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For the quarterly period ended June 27, 2020</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4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40" w:type="dxa"/>
            <w:vAlign w:val="bottom"/>
          </w:tcPr>
          <w:p>
            <w:pPr>
              <w:jc w:val="center"/>
              <w:ind w:left="2644"/>
              <w:spacing w:after="0"/>
              <w:rPr>
                <w:sz w:val="20"/>
                <w:szCs w:val="20"/>
                <w:color w:val="auto"/>
              </w:rPr>
            </w:pPr>
            <w:r>
              <w:rPr>
                <w:rFonts w:ascii="Arial" w:cs="Arial" w:eastAsia="Arial" w:hAnsi="Arial"/>
                <w:sz w:val="17"/>
                <w:szCs w:val="17"/>
                <w:b w:val="1"/>
                <w:bCs w:val="1"/>
                <w:color w:val="auto"/>
                <w:w w:val="92"/>
              </w:rPr>
              <w:t>31-1414921</w:t>
            </w:r>
          </w:p>
        </w:tc>
      </w:tr>
      <w:tr>
        <w:trPr>
          <w:trHeight w:val="184"/>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3"/>
              </w:rPr>
              <w:t>(State or other jurisdiction of</w:t>
            </w:r>
          </w:p>
        </w:tc>
        <w:tc>
          <w:tcPr>
            <w:tcW w:w="384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40" w:type="dxa"/>
            <w:vAlign w:val="bottom"/>
          </w:tcPr>
          <w:p>
            <w:pPr>
              <w:jc w:val="center"/>
              <w:ind w:left="2644"/>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73"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6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41"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40" w:type="dxa"/>
        <w:tblCellMar>
          <w:top w:w="0" w:type="dxa"/>
          <w:left w:w="0" w:type="dxa"/>
          <w:bottom w:w="0" w:type="dxa"/>
          <w:right w:w="0" w:type="dxa"/>
        </w:tblCellMar>
      </w:tblPr>
      <w:tr>
        <w:trPr>
          <w:trHeight w:val="256"/>
        </w:trPr>
        <w:tc>
          <w:tcPr>
            <w:tcW w:w="27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26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7"/>
        </w:trPr>
        <w:tc>
          <w:tcPr>
            <w:tcW w:w="2760" w:type="dxa"/>
            <w:vAlign w:val="bottom"/>
          </w:tcPr>
          <w:p>
            <w:pPr>
              <w:spacing w:after="0"/>
              <w:rPr>
                <w:sz w:val="20"/>
                <w:szCs w:val="20"/>
                <w:color w:val="auto"/>
              </w:rPr>
            </w:pPr>
            <w:r>
              <w:rPr>
                <w:rFonts w:ascii="Arial" w:cs="Arial" w:eastAsia="Arial" w:hAnsi="Arial"/>
                <w:sz w:val="17"/>
                <w:szCs w:val="17"/>
                <w:color w:val="auto"/>
              </w:rPr>
              <w:t>Non-accelerated filer</w:t>
            </w:r>
          </w:p>
        </w:tc>
        <w:tc>
          <w:tcPr>
            <w:tcW w:w="13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26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9"/>
        </w:trPr>
        <w:tc>
          <w:tcPr>
            <w:tcW w:w="27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3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88"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8" w:lineRule="exact"/>
        <w:rPr>
          <w:sz w:val="24"/>
          <w:szCs w:val="24"/>
          <w:color w:val="auto"/>
        </w:rPr>
      </w:pPr>
    </w:p>
    <w:p>
      <w:pPr>
        <w:ind w:left="20"/>
        <w:spacing w:after="0" w:line="207" w:lineRule="exact"/>
        <w:tabs>
          <w:tab w:leader="none" w:pos="4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173" w:lineRule="exact"/>
        <w:rPr>
          <w:sz w:val="24"/>
          <w:szCs w:val="24"/>
          <w:color w:val="auto"/>
        </w:rPr>
      </w:pPr>
    </w:p>
    <w:p>
      <w:pPr>
        <w:spacing w:after="0"/>
        <w:rPr>
          <w:sz w:val="20"/>
          <w:szCs w:val="20"/>
          <w:color w:val="auto"/>
        </w:rPr>
      </w:pPr>
      <w:r>
        <w:rPr>
          <w:rFonts w:ascii="Arial" w:cs="Arial" w:eastAsia="Arial" w:hAnsi="Arial"/>
          <w:sz w:val="17"/>
          <w:szCs w:val="17"/>
          <w:color w:val="auto"/>
        </w:rPr>
        <w:t>As of July 31, 2020, there were 55,768,819 Common Shares outstanding.</w:t>
      </w:r>
    </w:p>
    <w:p>
      <w:pPr>
        <w:sectPr>
          <w:pgSz w:w="11900" w:h="16838" w:orient="portrait"/>
          <w:cols w:equalWidth="0" w:num="1">
            <w:col w:w="11240"/>
          </w:cols>
          <w:pgMar w:left="320" w:top="796" w:right="339" w:bottom="1440" w:gutter="0" w:footer="0" w:header="0"/>
        </w:sectPr>
      </w:pP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71"/>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120" w:type="dxa"/>
            <w:vAlign w:val="bottom"/>
            <w:gridSpan w:val="16"/>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120" w:type="dxa"/>
            <w:vAlign w:val="bottom"/>
            <w:gridSpan w:val="16"/>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860" w:type="dxa"/>
            <w:vAlign w:val="bottom"/>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14"/>
          </w:tcPr>
          <w:p>
            <w:pPr>
              <w:spacing w:after="0" w:line="190" w:lineRule="exact"/>
              <w:rPr>
                <w:rFonts w:ascii="Arial" w:cs="Arial" w:eastAsia="Arial" w:hAnsi="Arial"/>
                <w:sz w:val="18"/>
                <w:szCs w:val="18"/>
                <w:color w:val="0000FF"/>
                <w:w w:val="92"/>
              </w:rPr>
            </w:pPr>
            <w:hyperlink w:anchor="page3">
              <w:r>
                <w:rPr>
                  <w:rFonts w:ascii="Arial" w:cs="Arial" w:eastAsia="Arial" w:hAnsi="Arial"/>
                  <w:sz w:val="18"/>
                  <w:szCs w:val="18"/>
                  <w:u w:val="single" w:color="auto"/>
                  <w:color w:val="0000FF"/>
                  <w:w w:val="92"/>
                </w:rPr>
                <w:t>Condensed Consolidated Statements of Operations — Three and</w:t>
              </w:r>
              <w:r>
                <w:rPr>
                  <w:rFonts w:ascii="Arial" w:cs="Arial" w:eastAsia="Arial" w:hAnsi="Arial"/>
                  <w:sz w:val="18"/>
                  <w:szCs w:val="18"/>
                  <w:color w:val="0000FF"/>
                  <w:w w:val="92"/>
                </w:rPr>
                <w:t xml:space="preserve"> nine months ended June 27, </w:t>
              </w:r>
              <w:r>
                <w:rPr>
                  <w:rFonts w:ascii="Arial" w:cs="Arial" w:eastAsia="Arial" w:hAnsi="Arial"/>
                  <w:sz w:val="18"/>
                  <w:szCs w:val="18"/>
                  <w:u w:val="single" w:color="auto"/>
                  <w:color w:val="0000FF"/>
                  <w:w w:val="92"/>
                </w:rPr>
                <w:t>2020 and</w:t>
              </w:r>
              <w:r>
                <w:rPr>
                  <w:rFonts w:ascii="Arial" w:cs="Arial" w:eastAsia="Arial" w:hAnsi="Arial"/>
                  <w:sz w:val="18"/>
                  <w:szCs w:val="18"/>
                  <w:color w:val="0000FF"/>
                  <w:w w:val="92"/>
                </w:rPr>
                <w:t xml:space="preserve"> June </w:t>
              </w:r>
              <w:r>
                <w:rPr>
                  <w:rFonts w:ascii="Arial" w:cs="Arial" w:eastAsia="Arial" w:hAnsi="Arial"/>
                  <w:sz w:val="18"/>
                  <w:szCs w:val="18"/>
                  <w:u w:val="single" w:color="auto"/>
                  <w:color w:val="0000FF"/>
                  <w:w w:val="92"/>
                </w:rPr>
                <w:t>29, 2019</w:t>
              </w:r>
            </w:hyperlink>
          </w:p>
        </w:tc>
        <w:tc>
          <w:tcPr>
            <w:tcW w:w="10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60" w:type="dxa"/>
            <w:vAlign w:val="bottom"/>
            <w:gridSpan w:val="14"/>
          </w:tcPr>
          <w:p>
            <w:pPr>
              <w:spacing w:after="0"/>
              <w:rPr>
                <w:rFonts w:ascii="Arial" w:cs="Arial" w:eastAsia="Arial" w:hAnsi="Arial"/>
                <w:sz w:val="18"/>
                <w:szCs w:val="18"/>
                <w:color w:val="0000FF"/>
                <w:w w:val="92"/>
              </w:rPr>
            </w:pPr>
            <w:hyperlink w:anchor="page3">
              <w:r>
                <w:rPr>
                  <w:rFonts w:ascii="Arial" w:cs="Arial" w:eastAsia="Arial" w:hAnsi="Arial"/>
                  <w:sz w:val="18"/>
                  <w:szCs w:val="18"/>
                  <w:u w:val="single" w:color="auto"/>
                  <w:color w:val="0000FF"/>
                  <w:w w:val="92"/>
                </w:rPr>
                <w:t>Condensed Consolidated Statements of Comprehensive Income (Loss) — Three and</w:t>
              </w:r>
              <w:r>
                <w:rPr>
                  <w:rFonts w:ascii="Arial" w:cs="Arial" w:eastAsia="Arial" w:hAnsi="Arial"/>
                  <w:sz w:val="18"/>
                  <w:szCs w:val="18"/>
                  <w:color w:val="0000FF"/>
                  <w:w w:val="92"/>
                </w:rPr>
                <w:t xml:space="preserve"> nine months ended </w:t>
              </w:r>
              <w:r>
                <w:rPr>
                  <w:rFonts w:ascii="Arial" w:cs="Arial" w:eastAsia="Arial" w:hAnsi="Arial"/>
                  <w:sz w:val="18"/>
                  <w:szCs w:val="18"/>
                  <w:u w:val="single" w:color="auto"/>
                  <w:color w:val="0000FF"/>
                  <w:w w:val="92"/>
                </w:rPr>
                <w:t>June 27,</w:t>
              </w:r>
              <w:r>
                <w:rPr>
                  <w:rFonts w:ascii="Arial" w:cs="Arial" w:eastAsia="Arial" w:hAnsi="Arial"/>
                  <w:sz w:val="18"/>
                  <w:szCs w:val="18"/>
                  <w:color w:val="0000FF"/>
                  <w:w w:val="92"/>
                </w:rPr>
                <w:t xml:space="preserve"> 2020</w:t>
              </w:r>
            </w:hyperlink>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120" w:type="dxa"/>
            <w:vAlign w:val="bottom"/>
            <w:gridSpan w:val="5"/>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and June 29, </w:t>
              </w:r>
              <w:r>
                <w:rPr>
                  <w:rFonts w:ascii="Arial" w:cs="Arial" w:eastAsia="Arial" w:hAnsi="Arial"/>
                  <w:sz w:val="18"/>
                  <w:szCs w:val="18"/>
                  <w:u w:val="single" w:color="auto"/>
                  <w:color w:val="0000FF"/>
                </w:rPr>
                <w:t>2019</w:t>
              </w:r>
            </w:hyperlink>
          </w:p>
        </w:tc>
        <w:tc>
          <w:tcPr>
            <w:tcW w:w="660" w:type="dxa"/>
            <w:vAlign w:val="bottom"/>
            <w:tcBorders>
              <w:top w:val="single" w:sz="8" w:color="0000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gridSpan w:val="2"/>
          </w:tcPr>
          <w:p>
            <w:pPr>
              <w:spacing w:after="0"/>
              <w:rPr>
                <w:sz w:val="13"/>
                <w:szCs w:val="13"/>
                <w:color w:val="auto"/>
              </w:rPr>
            </w:pPr>
          </w:p>
        </w:tc>
        <w:tc>
          <w:tcPr>
            <w:tcW w:w="8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line="156"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60" w:type="dxa"/>
            <w:vAlign w:val="bottom"/>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Cash Flows — Nine months ended June 27, </w:t>
              </w:r>
              <w:r>
                <w:rPr>
                  <w:rFonts w:ascii="Arial" w:cs="Arial" w:eastAsia="Arial" w:hAnsi="Arial"/>
                  <w:sz w:val="18"/>
                  <w:szCs w:val="18"/>
                  <w:u w:val="single" w:color="auto"/>
                  <w:color w:val="0000FF"/>
                </w:rPr>
                <w:t>2020 and</w:t>
              </w:r>
              <w:r>
                <w:rPr>
                  <w:rFonts w:ascii="Arial" w:cs="Arial" w:eastAsia="Arial" w:hAnsi="Arial"/>
                  <w:sz w:val="18"/>
                  <w:szCs w:val="18"/>
                  <w:color w:val="0000FF"/>
                </w:rPr>
                <w:t xml:space="preserve"> June </w:t>
              </w:r>
              <w:r>
                <w:rPr>
                  <w:rFonts w:ascii="Arial" w:cs="Arial" w:eastAsia="Arial" w:hAnsi="Arial"/>
                  <w:sz w:val="18"/>
                  <w:szCs w:val="18"/>
                  <w:u w:val="single" w:color="auto"/>
                  <w:color w:val="0000FF"/>
                </w:rPr>
                <w:t>29, 2019</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6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 June </w:t>
              </w:r>
            </w:hyperlink>
            <w:r>
              <w:rPr>
                <w:rFonts w:ascii="Arial" w:cs="Arial" w:eastAsia="Arial" w:hAnsi="Arial"/>
                <w:sz w:val="18"/>
                <w:szCs w:val="18"/>
                <w:color w:val="0000FF"/>
              </w:rPr>
              <w:t>27</w:t>
            </w:r>
            <w:hyperlink w:anchor="page5">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June 29, 2019 and September 30, 2019</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60" w:type="dxa"/>
            <w:vAlign w:val="bottom"/>
            <w:gridSpan w:val="14"/>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42</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42</w:t>
              </w:r>
            </w:hyperlink>
          </w:p>
        </w:tc>
        <w:tc>
          <w:tcPr>
            <w:tcW w:w="0" w:type="dxa"/>
            <w:vAlign w:val="bottom"/>
          </w:tcPr>
          <w:p>
            <w:pPr>
              <w:spacing w:after="0"/>
              <w:rPr>
                <w:sz w:val="1"/>
                <w:szCs w:val="1"/>
                <w:color w:val="auto"/>
              </w:rPr>
            </w:pPr>
          </w:p>
        </w:tc>
      </w:tr>
      <w:tr>
        <w:trPr>
          <w:trHeight w:val="500"/>
        </w:trPr>
        <w:tc>
          <w:tcPr>
            <w:tcW w:w="1012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PART II. OTHER INFORMATION:</w:t>
              </w:r>
            </w:hyperlink>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1A.</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Unregistered Sales of Equity Securities and Use of Proceeds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Defaults Upon Senior Securities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Mine Safety Disclosures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5.</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Other Information</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9260" w:type="dxa"/>
            <w:vAlign w:val="bottom"/>
            <w:gridSpan w:val="15"/>
          </w:tcPr>
          <w:p>
            <w:pPr>
              <w:ind w:left="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229"/>
        </w:trPr>
        <w:tc>
          <w:tcPr>
            <w:tcW w:w="10120" w:type="dxa"/>
            <w:vAlign w:val="bottom"/>
            <w:gridSpan w:val="16"/>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Index to Exhibits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FF"/>
                <w:w w:val="97"/>
              </w:rPr>
            </w:pPr>
            <w:hyperlink w:anchor="page46">
              <w:r>
                <w:rPr>
                  <w:rFonts w:ascii="Arial" w:cs="Arial" w:eastAsia="Arial" w:hAnsi="Arial"/>
                  <w:sz w:val="18"/>
                  <w:szCs w:val="18"/>
                  <w:u w:val="single" w:color="auto"/>
                  <w:color w:val="0000FF"/>
                  <w:w w:val="97"/>
                </w:rPr>
                <w:t>Signatures</w:t>
              </w:r>
            </w:hyperlink>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94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2,094.9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1,131.1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Diluted income (loss) per common share: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Weighted-average common shares outstanding during the period plus dilutive potential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7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7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9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4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518.4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6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Net foreign currency translation adjustment, including reclassifications to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6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of zero, zero, zero and $2.5,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29"/>
        </w:trPr>
        <w:tc>
          <w:tcPr>
            <w:tcW w:w="6480" w:type="dxa"/>
            <w:vAlign w:val="bottom"/>
          </w:tcPr>
          <w:p>
            <w:pPr>
              <w:ind w:left="460"/>
              <w:spacing w:after="0"/>
              <w:rPr>
                <w:sz w:val="20"/>
                <w:szCs w:val="20"/>
                <w:color w:val="auto"/>
              </w:rPr>
            </w:pPr>
            <w:r>
              <w:rPr>
                <w:rFonts w:ascii="Arial" w:cs="Arial" w:eastAsia="Arial" w:hAnsi="Arial"/>
                <w:sz w:val="18"/>
                <w:szCs w:val="18"/>
                <w:color w:val="auto"/>
                <w:w w:val="95"/>
              </w:rPr>
              <w:t>Net unrealized loss on derivative instruments, net of tax of $(1.0), $(1.1), $(5.4)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480" w:type="dxa"/>
            <w:vAlign w:val="bottom"/>
          </w:tcPr>
          <w:p>
            <w:pPr>
              <w:ind w:left="460"/>
              <w:spacing w:after="0"/>
              <w:rPr>
                <w:sz w:val="20"/>
                <w:szCs w:val="20"/>
                <w:color w:val="auto"/>
              </w:rPr>
            </w:pPr>
            <w:r>
              <w:rPr>
                <w:rFonts w:ascii="Arial" w:cs="Arial" w:eastAsia="Arial" w:hAnsi="Arial"/>
                <w:sz w:val="18"/>
                <w:szCs w:val="18"/>
                <w:color w:val="auto"/>
              </w:rPr>
              <w:t>and $(4.7), respectively</w:t>
            </w:r>
          </w:p>
        </w:tc>
        <w:tc>
          <w:tcPr>
            <w:tcW w:w="20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(13.4)</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6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Reclassification of net unrealized (gains) losses on derivative instruments to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6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net of tax of $1.1, zero, $2.0 and $(0.7),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29"/>
        </w:trPr>
        <w:tc>
          <w:tcPr>
            <w:tcW w:w="6480" w:type="dxa"/>
            <w:vAlign w:val="bottom"/>
          </w:tcPr>
          <w:p>
            <w:pPr>
              <w:ind w:left="460"/>
              <w:spacing w:after="0"/>
              <w:rPr>
                <w:sz w:val="20"/>
                <w:szCs w:val="20"/>
                <w:color w:val="auto"/>
              </w:rPr>
            </w:pPr>
            <w:r>
              <w:rPr>
                <w:rFonts w:ascii="Arial" w:cs="Arial" w:eastAsia="Arial" w:hAnsi="Arial"/>
                <w:sz w:val="18"/>
                <w:szCs w:val="18"/>
                <w:color w:val="auto"/>
                <w:w w:val="92"/>
              </w:rPr>
              <w:t>Reclassification of net pension and other post-retirement benefit (gains) losses to</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480" w:type="dxa"/>
            <w:vAlign w:val="bottom"/>
          </w:tcPr>
          <w:p>
            <w:pPr>
              <w:ind w:left="460"/>
              <w:spacing w:after="0"/>
              <w:rPr>
                <w:sz w:val="20"/>
                <w:szCs w:val="20"/>
                <w:color w:val="auto"/>
              </w:rPr>
            </w:pPr>
            <w:r>
              <w:rPr>
                <w:rFonts w:ascii="Arial" w:cs="Arial" w:eastAsia="Arial" w:hAnsi="Arial"/>
                <w:sz w:val="18"/>
                <w:szCs w:val="18"/>
                <w:color w:val="auto"/>
              </w:rPr>
              <w:t>net income, net of tax of $0.1, $0.2, $0.5 and $0.5, respectively</w:t>
            </w:r>
          </w:p>
        </w:tc>
        <w:tc>
          <w:tcPr>
            <w:tcW w:w="200" w:type="dxa"/>
            <w:vAlign w:val="bottom"/>
          </w:tcPr>
          <w:p>
            <w:pPr>
              <w:spacing w:after="0"/>
              <w:rPr>
                <w:sz w:val="20"/>
                <w:szCs w:val="20"/>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1.3</w:t>
            </w:r>
          </w:p>
        </w:tc>
      </w:tr>
      <w:tr>
        <w:trPr>
          <w:trHeight w:val="27"/>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502.7</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375.2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502.9</w:t>
            </w:r>
          </w:p>
        </w:tc>
      </w:tr>
      <w:tr>
        <w:trPr>
          <w:trHeight w:val="27"/>
        </w:trPr>
        <w:tc>
          <w:tcPr>
            <w:tcW w:w="6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22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8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384.4</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518.4</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Impairment, restructuring and other</w:t>
            </w:r>
          </w:p>
        </w:tc>
        <w:tc>
          <w:tcPr>
            <w:tcW w:w="2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0.5</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Costs related to refinancing</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28.4</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Depreciation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w:t>
            </w:r>
          </w:p>
        </w:tc>
      </w:tr>
      <w:tr>
        <w:trPr>
          <w:trHeight w:val="196"/>
        </w:trPr>
        <w:tc>
          <w:tcPr>
            <w:tcW w:w="8160" w:type="dxa"/>
            <w:vAlign w:val="bottom"/>
          </w:tcPr>
          <w:p>
            <w:pPr>
              <w:ind w:left="66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25.2</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(Gain) loss on long-lived assets</w:t>
            </w:r>
          </w:p>
        </w:tc>
        <w:tc>
          <w:tcPr>
            <w:tcW w:w="2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(Gain) loss on sale of business / unconsolidated affiliate</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(262.6)</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Recognition of accumulated foreign currency translation loss</w:t>
            </w:r>
          </w:p>
        </w:tc>
        <w:tc>
          <w:tcPr>
            <w:tcW w:w="2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08"/>
        </w:trPr>
        <w:tc>
          <w:tcPr>
            <w:tcW w:w="81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Equity in income and distributions from unconsolidated affiliates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197"/>
        </w:trPr>
        <w:tc>
          <w:tcPr>
            <w:tcW w:w="8160" w:type="dxa"/>
            <w:vAlign w:val="bottom"/>
          </w:tcPr>
          <w:p>
            <w:pPr>
              <w:ind w:left="660"/>
              <w:spacing w:after="0"/>
              <w:rPr>
                <w:sz w:val="20"/>
                <w:szCs w:val="20"/>
                <w:color w:val="auto"/>
              </w:rPr>
            </w:pPr>
            <w:r>
              <w:rPr>
                <w:rFonts w:ascii="Arial" w:cs="Arial" w:eastAsia="Arial" w:hAnsi="Arial"/>
                <w:sz w:val="14"/>
                <w:szCs w:val="14"/>
                <w:color w:val="auto"/>
              </w:rPr>
              <w:t>Changes in assets and liabilities, net of acquired businesses: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(436.0)</w:t>
            </w:r>
          </w:p>
        </w:tc>
      </w:tr>
      <w:tr>
        <w:trPr>
          <w:trHeight w:val="197"/>
        </w:trPr>
        <w:tc>
          <w:tcPr>
            <w:tcW w:w="8160" w:type="dxa"/>
            <w:vAlign w:val="bottom"/>
          </w:tcPr>
          <w:p>
            <w:pPr>
              <w:ind w:left="110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(53.4)</w:t>
            </w:r>
          </w:p>
        </w:tc>
      </w:tr>
      <w:tr>
        <w:trPr>
          <w:trHeight w:val="208"/>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Prepaid and other assets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r>
      <w:tr>
        <w:trPr>
          <w:trHeight w:val="197"/>
        </w:trPr>
        <w:tc>
          <w:tcPr>
            <w:tcW w:w="8160" w:type="dxa"/>
            <w:vAlign w:val="bottom"/>
          </w:tcPr>
          <w:p>
            <w:pPr>
              <w:ind w:left="110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79.7</w:t>
            </w:r>
          </w:p>
        </w:tc>
      </w:tr>
      <w:tr>
        <w:trPr>
          <w:trHeight w:val="208"/>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130.6</w:t>
            </w:r>
          </w:p>
        </w:tc>
      </w:tr>
      <w:tr>
        <w:trPr>
          <w:trHeight w:val="196"/>
        </w:trPr>
        <w:tc>
          <w:tcPr>
            <w:tcW w:w="8160" w:type="dxa"/>
            <w:vAlign w:val="bottom"/>
          </w:tcPr>
          <w:p>
            <w:pPr>
              <w:ind w:left="1100"/>
              <w:spacing w:after="0"/>
              <w:rPr>
                <w:sz w:val="20"/>
                <w:szCs w:val="20"/>
                <w:color w:val="auto"/>
              </w:rPr>
            </w:pPr>
            <w:r>
              <w:rPr>
                <w:rFonts w:ascii="Arial" w:cs="Arial" w:eastAsia="Arial" w:hAnsi="Arial"/>
                <w:sz w:val="14"/>
                <w:szCs w:val="14"/>
                <w:color w:val="auto"/>
              </w:rPr>
              <w:t>Restructuring and other</w:t>
            </w:r>
          </w:p>
        </w:tc>
        <w:tc>
          <w:tcPr>
            <w:tcW w:w="2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(83.6)</w:t>
            </w:r>
          </w:p>
        </w:tc>
      </w:tr>
      <w:tr>
        <w:trPr>
          <w:trHeight w:val="209"/>
        </w:trPr>
        <w:tc>
          <w:tcPr>
            <w:tcW w:w="81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 non-current items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197"/>
        </w:trPr>
        <w:tc>
          <w:tcPr>
            <w:tcW w:w="8160" w:type="dxa"/>
            <w:vAlign w:val="bottom"/>
          </w:tcPr>
          <w:p>
            <w:pPr>
              <w:ind w:left="110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0.4</w:t>
            </w:r>
          </w:p>
        </w:tc>
      </w:tr>
      <w:tr>
        <w:trPr>
          <w:trHeight w:val="196"/>
        </w:trPr>
        <w:tc>
          <w:tcPr>
            <w:tcW w:w="8160" w:type="dxa"/>
            <w:vAlign w:val="bottom"/>
            <w:tcBorders>
              <w:top w:val="single" w:sz="8" w:color="CCEEFF"/>
            </w:tcBorders>
            <w:shd w:val="clear" w:color="auto" w:fill="CCEEFF"/>
          </w:tcPr>
          <w:p>
            <w:pPr>
              <w:ind w:left="142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r>
      <w:tr>
        <w:trPr>
          <w:trHeight w:val="202"/>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6"/>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sale of long-lived assets</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0.2</w:t>
            </w:r>
          </w:p>
        </w:tc>
      </w:tr>
      <w:tr>
        <w:trPr>
          <w:trHeight w:val="209"/>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Investments in property, plant and equipment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r>
      <w:tr>
        <w:trPr>
          <w:trHeight w:val="196"/>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(investments in) loans receivable</w:t>
            </w:r>
          </w:p>
        </w:tc>
        <w:tc>
          <w:tcPr>
            <w:tcW w:w="2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20.8</w:t>
            </w:r>
          </w:p>
        </w:tc>
      </w:tr>
      <w:tr>
        <w:trPr>
          <w:trHeight w:val="209"/>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brand extension assets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sale of investment in unconsolidated affiliates</w:t>
            </w:r>
          </w:p>
        </w:tc>
        <w:tc>
          <w:tcPr>
            <w:tcW w:w="2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274.3</w:t>
            </w:r>
          </w:p>
        </w:tc>
      </w:tr>
      <w:tr>
        <w:trPr>
          <w:trHeight w:val="209"/>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Investments in acquired businesses, net of cash acquired</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196"/>
        </w:trPr>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investing, net</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w:t>
            </w:r>
          </w:p>
        </w:tc>
      </w:tr>
      <w:tr>
        <w:trPr>
          <w:trHeight w:val="196"/>
        </w:trPr>
        <w:tc>
          <w:tcPr>
            <w:tcW w:w="816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Net cash provided by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263.5</w:t>
            </w:r>
          </w:p>
        </w:tc>
      </w:tr>
      <w:tr>
        <w:trPr>
          <w:trHeight w:val="202"/>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1,134.3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938.8</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(1,029.0)</w:t>
            </w: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Proceeds from issuance of 4.500% Senior Notes</w:t>
            </w:r>
          </w:p>
        </w:tc>
        <w:tc>
          <w:tcPr>
            <w:tcW w:w="28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 of 6.000% Senior Notes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Financing and issuance fees</w:t>
            </w:r>
          </w:p>
        </w:tc>
        <w:tc>
          <w:tcPr>
            <w:tcW w:w="2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Dividends paid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w:t>
            </w:r>
          </w:p>
        </w:tc>
      </w:tr>
      <w:tr>
        <w:trPr>
          <w:trHeight w:val="197"/>
        </w:trPr>
        <w:tc>
          <w:tcPr>
            <w:tcW w:w="8160" w:type="dxa"/>
            <w:vAlign w:val="bottom"/>
          </w:tcPr>
          <w:p>
            <w:pPr>
              <w:ind w:left="340"/>
              <w:spacing w:after="0"/>
              <w:rPr>
                <w:sz w:val="20"/>
                <w:szCs w:val="20"/>
                <w:color w:val="auto"/>
              </w:rPr>
            </w:pPr>
            <w:r>
              <w:rPr>
                <w:rFonts w:ascii="Arial" w:cs="Arial" w:eastAsia="Arial" w:hAnsi="Arial"/>
                <w:sz w:val="14"/>
                <w:szCs w:val="14"/>
                <w:color w:val="auto"/>
              </w:rPr>
              <w:t>Purchase of Common Shares</w:t>
            </w:r>
          </w:p>
        </w:tc>
        <w:tc>
          <w:tcPr>
            <w:tcW w:w="2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08"/>
        </w:trPr>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on seller notes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197"/>
        </w:trPr>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Cash received from exercise of stock options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r>
      <w:tr>
        <w:trPr>
          <w:trHeight w:val="202"/>
        </w:trPr>
        <w:tc>
          <w:tcPr>
            <w:tcW w:w="81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(182.9)</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02"/>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w:t>
            </w: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29"/>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18.8</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allowances of $13.3, $7.6 and $4.2,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223.9</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Accounts receivable pledged</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84.5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540.3</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174.2</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1,041.7</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w w:val="94"/>
              </w:rPr>
              <w:t>Property, plant and equipment, net of accumulated depreciation of $671.1, $649.9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$628.0, respectively</w:t>
            </w:r>
          </w:p>
        </w:tc>
        <w:tc>
          <w:tcPr>
            <w:tcW w:w="36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546.0</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538.7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685.3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707.5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194.8</w:t>
            </w:r>
          </w:p>
        </w:tc>
      </w:tr>
      <w:tr>
        <w:trPr>
          <w:trHeight w:val="237"/>
        </w:trPr>
        <w:tc>
          <w:tcPr>
            <w:tcW w:w="652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3,876.8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3,028.7</w:t>
            </w:r>
          </w:p>
        </w:tc>
      </w:tr>
      <w:tr>
        <w:trPr>
          <w:trHeight w:val="27"/>
        </w:trPr>
        <w:tc>
          <w:tcPr>
            <w:tcW w:w="68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6880" w:type="dxa"/>
            <w:vAlign w:val="bottom"/>
            <w:gridSpan w:val="2"/>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128.1</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214.2</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278.2</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620.5</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1,523.5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161.5</w:t>
            </w:r>
          </w:p>
        </w:tc>
      </w:tr>
      <w:tr>
        <w:trPr>
          <w:trHeight w:val="237"/>
        </w:trPr>
        <w:tc>
          <w:tcPr>
            <w:tcW w:w="652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2,872.9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2,662.2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2,305.5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shares and capital in excess of $.01 stated value per share; shares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of 55.8, 55.4 and 55.8,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442.2</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1,557.0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1,274.7</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shares, at cost; 12.4, 12.7 and 12.4 shares,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(93.9)</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718.7</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4.5</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723.2</w:t>
            </w:r>
          </w:p>
        </w:tc>
      </w:tr>
      <w:tr>
        <w:trPr>
          <w:trHeight w:val="237"/>
        </w:trPr>
        <w:tc>
          <w:tcPr>
            <w:tcW w:w="652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3,876.8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3,028.7</w:t>
            </w:r>
          </w:p>
        </w:tc>
      </w:tr>
      <w:tr>
        <w:trPr>
          <w:trHeight w:val="27"/>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Due to the seasonal nature of the consumer lawn and garden business, the majority of the Company’s sales to customers occur in the Company’s second and third fiscal quarters. On a combined basis, net sales for the second and third quarters of the last three fiscal years represented approximately 75% of the Company’s annual net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and nine months ended June 27, 2020 and June 29, 2019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2019 (the “2019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2019 has been derived from the Company’s audited Consolidated Balance Sheet at that date, but does not include all of the information and footnotes required by GAAP for complete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$3.2 million and $1.8 million during the nine months ended June 27, 2020 and June 29, 2019, respectively, representing unpaid liabilities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JUNE 27,</w:t>
            </w:r>
          </w:p>
        </w:tc>
        <w:tc>
          <w:tcPr>
            <w:tcW w:w="520" w:type="dxa"/>
            <w:vAlign w:val="bottom"/>
          </w:tcPr>
          <w:p>
            <w:pPr>
              <w:spacing w:after="0"/>
              <w:rPr>
                <w:sz w:val="13"/>
                <w:szCs w:val="13"/>
                <w:color w:val="auto"/>
              </w:rPr>
            </w:pPr>
          </w:p>
        </w:tc>
        <w:tc>
          <w:tcPr>
            <w:tcW w:w="110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196"/>
        </w:trPr>
        <w:tc>
          <w:tcPr>
            <w:tcW w:w="8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left="742"/>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17"/>
                <w:szCs w:val="17"/>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68.2</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82.8</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280" w:type="dxa"/>
            <w:vAlign w:val="bottom"/>
          </w:tcPr>
          <w:p>
            <w:pPr>
              <w:spacing w:after="0"/>
              <w:rPr>
                <w:sz w:val="21"/>
                <w:szCs w:val="21"/>
                <w:color w:val="auto"/>
              </w:rPr>
            </w:pPr>
          </w:p>
        </w:tc>
        <w:tc>
          <w:tcPr>
            <w:tcW w:w="1180" w:type="dxa"/>
            <w:vAlign w:val="bottom"/>
          </w:tcPr>
          <w:p>
            <w:pPr>
              <w:jc w:val="right"/>
              <w:ind w:right="62"/>
              <w:spacing w:after="0"/>
              <w:rPr>
                <w:sz w:val="20"/>
                <w:szCs w:val="20"/>
                <w:color w:val="auto"/>
              </w:rPr>
            </w:pPr>
            <w:r>
              <w:rPr>
                <w:rFonts w:ascii="Arial" w:cs="Arial" w:eastAsia="Arial" w:hAnsi="Arial"/>
                <w:sz w:val="18"/>
                <w:szCs w:val="18"/>
                <w:color w:val="auto"/>
              </w:rPr>
              <w:t>16.6</w:t>
            </w:r>
          </w:p>
        </w:tc>
        <w:tc>
          <w:tcPr>
            <w:tcW w:w="52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126.4</w:t>
            </w:r>
          </w:p>
        </w:tc>
      </w:tr>
    </w:tbl>
    <w:p>
      <w:pPr>
        <w:spacing w:after="0" w:line="16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nine months ended June 29, 2019, the Company paid a post-closing net working capital adjustment obligation of $6.6 million related to the fiscal 2018 acquisition of Sunlight Supply, Inc., Sunlight Garden Supply, Inc., Sunlight Garden Supply, ULC, and IP Holdings, LLC, and all of the issued and outstanding equity interests of Columbia River Industrial Holdings, LLC (collectively “Sunlight Supply”), which was classified as an investing activity in the “Investments in acquired businesses, net of cash acquired” line in the Condensed Consolidated Statements of Cash Flows.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determined by the first in, first out method of accounting. Inventories acquired through the acquisition of or subsequently produced by Sunlight Supply were initially recorded at fair value at the date of the acquisition and subsequently were measured using the average costing method of inventory valuation. During the three months ended December 28, 2019, the Company determined it was preferable to use the first in, first out inventory valuation method and adopted this method for the remaining Sunlight Supply inventories not subject to the first in, first out method. This change in accounting principle resulted in an increase in inventories of $0.2 million as of December 28, 2019, with a corresponding decrease in cost of goods sold for the three months ended December 28, 2019. The change in accounting principle was not material to prior periods so it was not retrospectively applied.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Effective October 1, 2019, the Company adopted Accounting Standards Codification (“ASC”) 842, “Leases” (“ASC 842”). Under this guidance, 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excludes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Condensed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February 2016, the Financial Accounting Standards Board (“FASB”) issued its final standard on lease accounting, ASC 842. This guidance requires lessees to recognize a lease liability for the obligation to make lease payments and a ROU asset for the right to use the underlying asset for the lease term. The Company elected the optional transition method and adopted the new guidance on October 1, 2019 on a modified retrospective basis with no restatement of prior period amounts. Fiscal 2019 balances and related disclosures supporting those comparative period balances continue to be presented under ASC 840, “Leases.” As allowed under the new accounting standard, the Company elected to apply practical expedients to carry forward the original lease determinations, lease classifications and accounting of initial direct costs for all asset classes at the time of adoption. The Company also elected to exclude short-term leases from its Condensed Consolidated Balance Sheet. The Company’s adoption of the new standard resulted in the recognition of ROU assets of $129.6 million in the “Other assets” line in the Condensed Consolidated Balance Sheet, liabilities of $45.4 million in the “Other current liabilities” line in the Condensed Consolidated Balance Sheet and liabilities of $88.8 million in the “Other liabilities” line in the Condensed Consolidated Balance Sheet as of the October 1, 2019 adoption date. Adoption of the new standard did not result in a material cumulative effect adjustment to equity as of the date of adoption and did not have a material impact on the Company’s Condensed Consolidated Statements of Operations or Cash Flows. In connection with the adoption of this guidance, as required, the Company reclassified certain restructuring reserves (refer to “NOTE 4. IMPAIRMENT, RESTRUCTURING AND OTHER” for more information) and deferred rent liabilities as reductions to the ROU asset. Refer to “NOTE 13. LEASES AND OTHER COMMITMENTS” for more information.</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2, 2020, the SEC issued a final rule that amends the financial disclosure requirements related to certain registered securities under SEC Regulation S-X, Rule 3-10, “Financial Statements of Guarantors and Issuers of Guaranteed Securities Registered or Being Registered.” These amendments are generally effective for registration statements filed pursuant to the Securities Act of 1933, as amended, or the Securities Exchange of Act of 1934, as amended (the “Exchange Act”), on or after January 4, 2021 and periodic reports filed pursuant to the Exchange Act for fiscal periods beginning after January 4, 2021. However, voluntary compliance in advance of these effective dates is permitted. The amendments permit the omission from the applicable filings of separate financial statements for each issuer of a registered security that is guaranteed and each guarantor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a registered security that would be required of a registrant under Regulation S-X if, subject to additional conditions, the parent company of such issuers and/or guarantors provides supplemental financial and non-financial disclosures about the subsidiary issuers and/or guarantors and the guarantees. Under the amended Rule 3-10, in lieu of separate financial statements, a parent company of the subsidiary issuers and/or guarantors may provide summarized financial information of the issuers and guarantors, as well as other qualitative disclosures about the guarantees and the issuers and guarantors, in the parent company’s Management’s Discussion and Analysis (“MD&amp;A”) or its consolidated financial statements. As permitted under these amendments, the Company elected to begin providing the summarized financial information and qualitative disclosures permitted under the amended Rule 3-10 during the second quarter of fiscal 2020 and has provided such information and disclosures within the “Liquidity and Capital Resources” section of the MD&amp;A.</w:t>
      </w:r>
    </w:p>
    <w:p>
      <w:pPr>
        <w:spacing w:after="0" w:line="8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March 12, 2020, the FASB issued Accounting Standards Update (“ASU”) No. 2020-04, “Facilitation of the Effects of Reference Rate Reform on Financial Reporting,” which provides optional expedients and exceptions for applying GAAP to contracts, hedging relationships and other transactions affected by reference rate reform if certain criteria are met. The Company may elect to apply the contract modification provisions as of any date from the beginning of an interim period that includes or is subsequent to March 12, 2020 up until December 31, 2022. The hedge accounting expedients may be applied, on an individual hedging relationship basis, to eligible hedge accounting relationships that existed as of the beginning of the interim period that includes March 12, 2020 and to new eligible hedging relationships entered into after the beginning of the interim period that includes March 12, 2020; however, those expedients generally cannot be applied to hedging relationships evaluated for periods after December 31, 2022. The Company adopted certain optional hedge accounting expedients provided by ASU 2020-04 during fiscal 2020. The adoption of this guidance did not have a significant impact on the Company’s consolidated financial position, results of operations or cash flows. The Company is continuing to assess other optional expedients and exceptions available within the amended guidance.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ASU No. 2016-13, “Financial Instruments - Credit Losses (Topic 326),” which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2018, the FASB issued ASU No. 2018-14, “Compensation-Retirement Benefits-Defined Benefit Plans-General (Topic 715): Disclosure Framework–Changes to the Disclosure Requirements for Defined Benefit Plans,” which removes certain disclosures that are not considered cost beneficial, clarifies certain required disclosures and requires certain additional disclosures related to defined benefit pension and other postretirement plans. The provisions are effective for the Company’s financial statements no later than the fiscal year beginning October 1, 2020. The Company is continuing to assess the impact of the amended guidance.</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 Company’s financial statements no later than the fiscal year beginning October 1, 2021. The Company is continuing to assess the impact of the amended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At each of June 27, 2020, June 29, 2019 and September 30, 2019, zero, $20.0 million and zero, respectively, was accrued for a probable loss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in the “Other current liabilities” line in the Condensed Consolidated Balance Sheet. This matter relates to a class-action lawsuit filed in 2012 in connection with the sale of wild bird food products that were the subject of a voluntary recall in 2008 by the Company’s previously sold wild bird food business. The Company recognized insurance recoveries related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this matter of zero and $1.5 million during the three and nine months ended June 27, 2020, respectively, and recognized insurance recoveries of $8.4 million and $13.4 million during the three and nine months ended June 29, 2019, respectively. In addition, during the three and nine months ended June 29, 2019, the Company recognized a favorable adjustment of $22.5 million as a result of the final resolution of the previously disclosed settlement agreement related to this matter.</w:t>
      </w:r>
    </w:p>
    <w:p>
      <w:pPr>
        <w:spacing w:after="0" w:line="106" w:lineRule="exact"/>
        <w:rPr>
          <w:sz w:val="20"/>
          <w:szCs w:val="20"/>
          <w:color w:val="auto"/>
        </w:rPr>
      </w:pPr>
    </w:p>
    <w:p>
      <w:pPr>
        <w:jc w:val="both"/>
        <w:ind w:right="20" w:firstLine="369"/>
        <w:spacing w:after="0" w:line="276"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condensed consolidated financial statements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92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exit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(recoveries), net</w:t>
            </w:r>
          </w:p>
        </w:tc>
        <w:tc>
          <w:tcPr>
            <w:tcW w:w="1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(35.8)</w:t>
            </w: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35.7</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Income tax expense (benefit) from discontinued operations</w:t>
            </w:r>
          </w:p>
        </w:tc>
        <w:tc>
          <w:tcPr>
            <w:tcW w:w="18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9.6</w:t>
            </w: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provided by (used in) operating activities related to discontinued operations was $3.6 million and $(24.5) million for the nine months ended June 27, 2020 and June 29, 2019, respectively. Cash (used in) provided by investing activities related to discontinued operations was zero for the nine months ended June 27, 2020 and June 29,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6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March 19, 2019, the Company entered into an agreement under which it sold, to TruGreen Companies L.L.C., a subsidiary of TruGreen Holding Corporation, all of its approximately 30% equity interest in Outdoor Home Services Holdings LLC, a lawn services joint venture between the Company and TruGreen Holding Corporation (the “TruGreen Joint Venture”). Prior to this transaction, the Company’s net investment and advances with respect to the TruGreen Joint Venture had been reduced to a liability which resulted in an amount recorded in the “Distributions in excess of investment in unconsolidated affiliate” line in the Condensed Consolidated Balance Sheets. In connection with this transaction, the Company received cash proceeds of $234.2 million related to the sale of its equity interest in the TruGreen Joint Venture and $18.4 million related to the payoff of second lien term loan financing by the TruGreen Joint Venture. During the nine months ended June 29, 2019, the Company also received a distribution from the TruGreen Joint Venture intended to cover certain required tax payments of $3.5 million, which was classified as an investing activity in the Condensed Consolidated Statements of Cash Flows. During the three and nine months ended June 29, 2019, the Company recognized a pre-tax gain of zero and $259.8 million, respectively, related to this sale in the “Other non-operating income, net” line in the Condensed Consolidated Statements of Operations.</w:t>
      </w:r>
    </w:p>
    <w:p>
      <w:pPr>
        <w:spacing w:after="0" w:line="10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April 1, 2019, the Company sold all of its noncontrolling equity interest in an unconsolidated affiliate whose products support the professional U.S. industrial, turf and ornamental market (the “IT&amp;O Joint Venture”) for cash proceeds of $36.6 million. During the three and nine months ended June 29, 2019, the Company recognized a pre-tax gain of $2.9 million related to this sale in the “Other non-operating (income) expense, net” line in the Condensed Consolidated Statements of Operations. During the nine months ended June 29, 2019, the Company received a distribution of net earnings from the IT&amp;O Joint Venture of $4.9 million, which was classified as an operating activity in the Condensed Consolidated Statements of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92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r>
      <w:tr>
        <w:trPr>
          <w:trHeight w:val="196"/>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COVID-19 related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and other charges (recoveries)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Property, plant and equipment impairments</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0.5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COVID-19 related costs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and other charges, net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7.7</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(28.1)</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nine months ended June 27,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2019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5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20.5</w:t>
            </w:r>
          </w:p>
        </w:tc>
      </w:tr>
      <w:tr>
        <w:trPr>
          <w:trHeight w:val="27"/>
        </w:trPr>
        <w:tc>
          <w:tcPr>
            <w:tcW w:w="9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37"/>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June 27, 2020</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w:t>
            </w:r>
          </w:p>
        </w:tc>
      </w:tr>
      <w:tr>
        <w:trPr>
          <w:trHeight w:val="27"/>
        </w:trPr>
        <w:tc>
          <w:tcPr>
            <w:tcW w:w="9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adoption of ASC 842 on October 1, 2019, the Company reclassified restructuring accruals of $1.7 million to lease ROU assets, and has presented this reclassification within “Payments and other” in the table above. Refer to “NOTE 1. SUMMARY OF SIGNIFICANT ACCOUNTING POLICIES” and “NOTE 13. LEASES AND OTHER COMMITMENTS” for more information. Included in restructuring accruals, as of June 27, 2020, is $0.6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World Health Organization recognized a novel strain of coronavirus (“COVID-19”) as a public health emergency of international concern on January 30, 2020 and as a global pandemic on March 11, 2020. In response to the COVID-19 pandemic, the Company has implemented additional measures intended to both protect the health and safety of its employees and maintain its ability to provide products to its customers, including (i) requiring a significant part of its workforce to work from home, (ii) monitoring its employees for COVID-19 symptoms, (iii) making additional personal protective equipment available to its operations team, (iv) requiring all manufacturing and warehousing associates to take their temperatures before beginning a shift,</w:t>
      </w:r>
    </w:p>
    <w:p>
      <w:pPr>
        <w:spacing w:after="0" w:line="2" w:lineRule="exact"/>
        <w:rPr>
          <w:sz w:val="20"/>
          <w:szCs w:val="20"/>
          <w:color w:val="auto"/>
        </w:rPr>
      </w:pPr>
    </w:p>
    <w:p>
      <w:pPr>
        <w:jc w:val="both"/>
        <w:ind w:firstLine="8"/>
        <w:spacing w:after="0" w:line="286" w:lineRule="auto"/>
        <w:tabs>
          <w:tab w:leader="none" w:pos="264" w:val="left"/>
        </w:tabs>
        <w:numPr>
          <w:ilvl w:val="0"/>
          <w:numId w:val="3"/>
        </w:numPr>
        <w:rPr>
          <w:rFonts w:ascii="Arial" w:cs="Arial" w:eastAsia="Arial" w:hAnsi="Arial"/>
          <w:sz w:val="16"/>
          <w:szCs w:val="16"/>
          <w:color w:val="auto"/>
        </w:rPr>
      </w:pPr>
      <w:r>
        <w:rPr>
          <w:rFonts w:ascii="Arial" w:cs="Arial" w:eastAsia="Arial" w:hAnsi="Arial"/>
          <w:sz w:val="16"/>
          <w:szCs w:val="16"/>
          <w:color w:val="auto"/>
        </w:rPr>
        <w:t>modifying work methods and schedules of its manufacturing and field associates to create distance or add barriers between associates, consumers and others, (vi) expanding cleaning efforts at its operation centers, (vii) modifying attendance policies so that associates may elect to stay home if they have symptoms, (viii) prioritizing production for goods that are more essential to its customers and (ix) implementing an interim premium pay allowance for associates in its field sales force as well as those still working in manufacturing or distribution centers. In addition, to help address the critical shortage of personal protective equipment in the fight against COVID-19, the Company shifted production in its Temecula, California manufacturing plant to produce face shields to help protect healthcare workers and first responders in critical need areas across the country. During the three and nine months ended June 27, 2020, the Company incurred costs of $16.5 million and $20.3 million, respectively, associated with the COVID-19 pandemic primarily related to premium pay. The Company incurred costs of $9.6 million and $12.2 million in its U.S. Consumer segment, $2.0 million and $2.5 million in its Hawthorne segment and $0.6 million in its Other segment in the “Cost of sales—impairment, restructuring and other” line in the Condensed Consolidated Statements of Operations during the three and nine months ended June 27, 2020, respectively. The Company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incurred costs of $4.2 million and $4.9 million in its U.S. Consumer segment and $0.1 million in its Other segment in the “Impairment, restructuring and other” line in the Condensed Consolidated Statements of Operations during the three and nine months ended June 27, 2020,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Costs incurred during the three and nine months ended June 27, 2020 related to Project Catalyst were not material. Costs incurred to date since the inception of Project Catalyst are $25.3 million for the Hawthorne segment, $13.5 million for the U.S. Consumer segment, $1.3 million for the Other segment and $2.8 million for Corporate. Additionally, during the three and nine months ended June 27, 2020, the Company received zero and $2.6 million, respectively, from the final settlement of escrow funds related to a previous acquisition within the Hawthorne segment that was recognized in the “Impairment, restructuring and other” line in the Condensed Consolidated Statements of Operations.</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three and nine months ended June 29, 2019, the Company incurred charges of $0.4 million and $8.0 million, respectively, related to Project Catalyst. The Company incurred charges of zero and $0.4 million in its U.S. Consumer segment, $(0.1) million and $2.4 million in its Hawthorne segment and zero and $0.6 million in its Other segment in the “Cost of sales—impairment, restructuring and other” line in the Condensed Consolidated Statements of Operations during the three and nine months ended June 29, 2019, respectively, related to employee termination benefits, facility closure costs and impairment of property, plant and equipment. The Company incurred charges of zero and $0.5 million in its U.S. Consumer segment, $0.5 million and $2.6 million in its Hawthorne segment, zero and $0.6 million in its Other segment and zero and $0.9 million at Corporate in the “Impairment, restructuring and other” line in the Condensed Consolidated Statements of Operations during the three and nine months ended June 29, 2019, respectively, related to employee termination benefits and facility closure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 recognized insurance recoveries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of zero and $1.5 million during the three and nine months ended June 27, 2020, respectively, and recognized insurance recoveries of $8.4 million and $13.4 million during the three and nine months ended June 29, 2019, respectively, in the “Income (loss) from discontinued operations, net of tax” line in the Condensed Consolidated Statements of Operations. In addition, during the three and nine months ended June 29, 2019, the Company recognized a favorable adjustment of $22.5 million in the “Income (loss) from discontinued operations, net of tax” line in the Condensed Consolidated Statements of Operations as a result of the final resolution of the previously disclosed settlement agreement. Refer to “NOTE 2. DISCONTINUED OPERATIONS” for more information.</w:t>
      </w:r>
    </w:p>
    <w:p>
      <w:pPr>
        <w:spacing w:after="0" w:line="12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During the three and nine months ended June 29, 2019, the Company recognized favorable adjustments of zero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JUNE 29,</w:t>
            </w:r>
          </w:p>
        </w:tc>
        <w:tc>
          <w:tcPr>
            <w:tcW w:w="16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344.9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63.6</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131.8</w:t>
            </w: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493.1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540.3</w:t>
            </w:r>
          </w:p>
        </w:tc>
      </w:tr>
      <w:tr>
        <w:trPr>
          <w:trHeight w:val="27"/>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78"/>
        <w:spacing w:after="0" w:line="277" w:lineRule="auto"/>
        <w:rPr>
          <w:sz w:val="20"/>
          <w:szCs w:val="20"/>
          <w:color w:val="auto"/>
        </w:rPr>
      </w:pPr>
      <w:r>
        <w:rPr>
          <w:rFonts w:ascii="Arial" w:cs="Arial" w:eastAsia="Arial" w:hAnsi="Arial"/>
          <w:sz w:val="18"/>
          <w:szCs w:val="18"/>
          <w:color w:val="auto"/>
        </w:rPr>
        <w:t>Adjustments to reflect inventories at net realizable values were $13.9 million at June 27, 2020, $9.4 million at June 29, 2019 and $8.8 million at September 30,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The Scotts Company LLC (“Scotts LLC”) is the exclusive agent of Monsanto Company (“Monsanto”), a subsidiary of Bayer AG since June 2018, for the marketing and distribution of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by the Third Restated Agreement (“Program EBIT”). Prior to the Third Restated Agreement, the annual commission payable was equal to (1)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for program years 2017 and 2018 and (2)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in excess of $40.0 million for program year 2019. The Third Restated Agreement also requires the Company to make annual payments of $18.0 million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subject to reduction pursuant to the Third Restated Agreement for any program year in which the Program EBIT does not equal or exceed $36.0 million. During the third quarter of fiscal 2019, Monsanto agreed to reimburse the Company for $20.0 million of additional expenses incurred by the Company for certain activities connected to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marketing agreement and this payment was recognized in the “Net sales” line in the Condensed Consolidated Statements of Operations during the third quarter of fiscal 2019.</w:t>
      </w:r>
    </w:p>
    <w:p>
      <w:pPr>
        <w:spacing w:after="0" w:line="10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103" w:lineRule="exact"/>
        <w:rPr>
          <w:sz w:val="20"/>
          <w:szCs w:val="20"/>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78" w:lineRule="exact"/>
        <w:rPr>
          <w:rFonts w:ascii="Arial" w:cs="Arial" w:eastAsia="Arial" w:hAnsi="Arial"/>
          <w:sz w:val="17"/>
          <w:szCs w:val="17"/>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million and, in such case, no termination fee would be payable to either party.</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$175.0 million upon a Convenience Termination, (ii) $375.0 million upon a Brand Decommissioning Event, and (iii) the greater of $175.0 million or four times an amount equal to the average of the Program EBIT for the three program years before the year of termination, minus $186.4 million, if Monsanto or its successor terminates the Third Restated Agreement as a result of a Roundup Sale or Change of Control of Monsanto (each, as defined in the Third Restated Agreement).</w:t>
      </w:r>
    </w:p>
    <w:p>
      <w:pPr>
        <w:spacing w:after="0" w:line="120"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In connection with the signing of the Third Restated Agreement, the Company also entered into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sold outside the non-selective weedkiller category within the residential lawn and garden market. The consideration paid by Monsanto was $112.0 million plus the value of finished goods inventory of $3.5 million. This consideration was recorded in the “Prepaid and other current assets” line in the Consolidated Balance Sheets until it was received by the Company on January 13, 2020. The carrying value of the assets sold, which included the brand extension agreement intangible asset with a carrying value of $111.7 million, approximated the consideration received, resulting in an insignificant gain on the sale.</w:t>
      </w:r>
    </w:p>
    <w:p>
      <w:pPr>
        <w:spacing w:after="0" w:line="9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the “Net sales” line in the Condensed Consolidated Statements of Operations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1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1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8"/>
              </w:rPr>
              <w:t>JUNE 29,</w:t>
            </w:r>
          </w:p>
        </w:tc>
      </w:tr>
      <w:tr>
        <w:trPr>
          <w:trHeight w:val="192"/>
        </w:trPr>
        <w:tc>
          <w:tcPr>
            <w:tcW w:w="6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196"/>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295"/>
              <w:spacing w:after="0"/>
              <w:rPr>
                <w:sz w:val="20"/>
                <w:szCs w:val="20"/>
                <w:color w:val="auto"/>
              </w:rPr>
            </w:pPr>
            <w:r>
              <w:rPr>
                <w:rFonts w:ascii="Arial" w:cs="Arial" w:eastAsia="Arial" w:hAnsi="Arial"/>
                <w:sz w:val="18"/>
                <w:szCs w:val="18"/>
                <w:color w:val="auto"/>
                <w:w w:val="85"/>
              </w:rPr>
              <w:t>50.3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21"/>
                <w:szCs w:val="21"/>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left="275"/>
              <w:spacing w:after="0"/>
              <w:rPr>
                <w:sz w:val="20"/>
                <w:szCs w:val="20"/>
                <w:color w:val="auto"/>
              </w:rPr>
            </w:pPr>
            <w:r>
              <w:rPr>
                <w:rFonts w:ascii="Arial" w:cs="Arial" w:eastAsia="Arial" w:hAnsi="Arial"/>
                <w:sz w:val="18"/>
                <w:szCs w:val="18"/>
                <w:color w:val="auto"/>
                <w:w w:val="93"/>
              </w:rPr>
              <w:t>(13.5)</w:t>
            </w: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commission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295"/>
              <w:spacing w:after="0"/>
              <w:rPr>
                <w:sz w:val="20"/>
                <w:szCs w:val="20"/>
                <w:color w:val="auto"/>
              </w:rPr>
            </w:pPr>
            <w:r>
              <w:rPr>
                <w:rFonts w:ascii="Arial" w:cs="Arial" w:eastAsia="Arial" w:hAnsi="Arial"/>
                <w:sz w:val="18"/>
                <w:szCs w:val="18"/>
                <w:color w:val="auto"/>
                <w:w w:val="85"/>
              </w:rPr>
              <w:t>36.8</w:t>
            </w:r>
          </w:p>
        </w:tc>
      </w:tr>
      <w:tr>
        <w:trPr>
          <w:trHeight w:val="27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85"/>
              </w:rPr>
              <w:t>61.3</w:t>
            </w:r>
          </w:p>
        </w:tc>
      </w:tr>
      <w:tr>
        <w:trPr>
          <w:trHeight w:val="28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color w:val="auto"/>
                <w:w w:val="85"/>
              </w:rPr>
              <w:t>98.1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debt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JUNE 29,</w:t>
            </w:r>
          </w:p>
        </w:tc>
        <w:tc>
          <w:tcPr>
            <w:tcW w:w="16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147.2</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750.0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28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250.0</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400.0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Senior Notes – 4.500%</w:t>
            </w:r>
          </w:p>
        </w:tc>
        <w:tc>
          <w:tcPr>
            <w:tcW w:w="28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25.8</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w:t>
            </w: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1,732.5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1,659.3</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7.7</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1,516.0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1,523.5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June 27, 2020, the Company had letters of credit outstanding in the aggregate principal amount of $21.8 million, and $1,372.0 million of borrowing availability under the Fifth A&amp;R Credit Agreement. The weighted average interest rates on average borrowings under the Fifth A&amp;R Credit Agreement were 3.4% and 4.6% for the nine months ended June 27, 2020 and June 29, 2019, respectively.</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4.75 for the second quarter of fiscal 2020 through the fourth quarter of fiscal 2020 and 4.50 for the first quarter of fiscal 2021 and thereafter. The Company’s leverage ratio was 2.80 at June 27, 2020.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June 27, 2020. The Company’s interest coverage ratio was 8.50 for the twelve months ended June 27, 2020.</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the common shares of Scotts Miracle-Gro (“Common Shares”), as long as the leverage ratio resulting from the making of such restricted payments is 4.00 or less. Otherwise the Company may make further restricted payments in an aggregate amount for each fiscal year not to exceed $225.0 million for fiscal 2020 and thereafter.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million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22, 2019, Scotts Miracle-Gro issued $450.0 million aggregate principal amount of 4.500% Senior Notes due 2029 (the “4.500% Senior Notes”). The net proceeds of the offering were used to redeem all of the Company’s outstanding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All of Scotts Miracle-Gro’s domestic subsidiaries that serve as guarantors of the 5.250% Senior Notes also serve as guarantors of the 4.500% Senior Notes.</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23, 2019, Scotts Miracle-Gro redeemed all of its outstanding 6.000% Senior Notes for a redemption price of $412.5 million, comprised of $0.5 million of accrued and unpaid interest, $12.0 million of redemption premium, and $400.0 million for outstanding principal amount. The $12.0 million redemption premium was recognized in the “Costs related to refinancing” line on the Condensed Consolidated Statements of Operations during the first quarter of fiscal 2020. Additionally, the Company had $3.1 million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beginning on February 28, 2020 and ending on June 19, 2020 was $160.0 million. The Receivables Facility expires on August 21, 2020.</w:t>
      </w:r>
    </w:p>
    <w:p>
      <w:pPr>
        <w:spacing w:after="0" w:line="9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June 27, 2020 and June 29, 2019, there were $160.0 million and $316.0 million, respectively, in borrowings on receivables pledged as collateral under the Receivables Facility, and the carrying value of the receivables pledged as collateral was $177.8 million and $351.1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$600.0 million, $850.0 million and $850.0 million at June 27, 2020, June 29, 2019 and September 30, 2019,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June 27, 2020 are shown in the table below:</w:t>
      </w:r>
    </w:p>
    <w:tbl>
      <w:tblPr>
        <w:tblLayout w:type="fixed"/>
        <w:tblInd w:w="4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1980" w:type="dxa"/>
            <w:vAlign w:val="bottom"/>
          </w:tcPr>
          <w:p>
            <w:pPr>
              <w:jc w:val="right"/>
              <w:ind w:right="573"/>
              <w:spacing w:after="0" w:line="150" w:lineRule="exact"/>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3"/>
                <w:szCs w:val="13"/>
                <w:color w:val="auto"/>
              </w:rPr>
            </w:pPr>
          </w:p>
        </w:tc>
        <w:tc>
          <w:tcPr>
            <w:tcW w:w="1600" w:type="dxa"/>
            <w:vAlign w:val="bottom"/>
          </w:tcPr>
          <w:p>
            <w:pPr>
              <w:jc w:val="center"/>
              <w:ind w:left="828"/>
              <w:spacing w:after="0" w:line="150" w:lineRule="exact"/>
              <w:rPr>
                <w:sz w:val="20"/>
                <w:szCs w:val="20"/>
                <w:color w:val="auto"/>
              </w:rPr>
            </w:pPr>
            <w:r>
              <w:rPr>
                <w:rFonts w:ascii="Arial" w:cs="Arial" w:eastAsia="Arial" w:hAnsi="Arial"/>
                <w:sz w:val="14"/>
                <w:szCs w:val="14"/>
                <w:b w:val="1"/>
                <w:bCs w:val="1"/>
                <w:color w:val="auto"/>
                <w:w w:val="92"/>
              </w:rPr>
              <w:t>Effective</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2"/>
          </w:tcPr>
          <w:p>
            <w:pPr>
              <w:jc w:val="center"/>
              <w:ind w:right="380"/>
              <w:spacing w:after="0" w:line="150" w:lineRule="exact"/>
              <w:rPr>
                <w:sz w:val="20"/>
                <w:szCs w:val="20"/>
                <w:color w:val="auto"/>
              </w:rPr>
            </w:pPr>
            <w:r>
              <w:rPr>
                <w:rFonts w:ascii="Arial" w:cs="Arial" w:eastAsia="Arial" w:hAnsi="Arial"/>
                <w:sz w:val="14"/>
                <w:szCs w:val="14"/>
                <w:b w:val="1"/>
                <w:bCs w:val="1"/>
                <w:color w:val="auto"/>
                <w:w w:val="96"/>
              </w:rPr>
              <w:t>Expiration</w:t>
            </w:r>
          </w:p>
        </w:tc>
        <w:tc>
          <w:tcPr>
            <w:tcW w:w="2560" w:type="dxa"/>
            <w:vAlign w:val="bottom"/>
          </w:tcPr>
          <w:p>
            <w:pPr>
              <w:jc w:val="right"/>
              <w:ind w:right="933"/>
              <w:spacing w:after="0" w:line="150" w:lineRule="exact"/>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3"/>
                <w:szCs w:val="13"/>
                <w:color w:val="auto"/>
              </w:rPr>
            </w:pPr>
          </w:p>
        </w:tc>
      </w:tr>
      <w:tr>
        <w:trPr>
          <w:trHeight w:val="192"/>
        </w:trPr>
        <w:tc>
          <w:tcPr>
            <w:tcW w:w="380" w:type="dxa"/>
            <w:vAlign w:val="bottom"/>
          </w:tcPr>
          <w:p>
            <w:pPr>
              <w:spacing w:after="0"/>
              <w:rPr>
                <w:sz w:val="16"/>
                <w:szCs w:val="16"/>
                <w:color w:val="auto"/>
              </w:rPr>
            </w:pPr>
          </w:p>
        </w:tc>
        <w:tc>
          <w:tcPr>
            <w:tcW w:w="1980" w:type="dxa"/>
            <w:vAlign w:val="bottom"/>
          </w:tcPr>
          <w:p>
            <w:pPr>
              <w:jc w:val="right"/>
              <w:ind w:right="73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600" w:type="dxa"/>
            <w:vAlign w:val="bottom"/>
          </w:tcPr>
          <w:p>
            <w:pPr>
              <w:jc w:val="center"/>
              <w:ind w:left="828"/>
              <w:spacing w:after="0"/>
              <w:rPr>
                <w:sz w:val="20"/>
                <w:szCs w:val="20"/>
                <w:color w:val="auto"/>
              </w:rPr>
            </w:pPr>
            <w:r>
              <w:rPr>
                <w:rFonts w:ascii="Arial" w:cs="Arial" w:eastAsia="Arial" w:hAnsi="Arial"/>
                <w:sz w:val="14"/>
                <w:szCs w:val="14"/>
                <w:b w:val="1"/>
                <w:bCs w:val="1"/>
                <w:color w:val="auto"/>
                <w:w w:val="97"/>
              </w:rPr>
              <w:t>Date (a)</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Date</w:t>
            </w:r>
          </w:p>
        </w:tc>
        <w:tc>
          <w:tcPr>
            <w:tcW w:w="2560" w:type="dxa"/>
            <w:vAlign w:val="bottom"/>
          </w:tcPr>
          <w:p>
            <w:pPr>
              <w:jc w:val="right"/>
              <w:ind w:right="953"/>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r>
      <w:tr>
        <w:trPr>
          <w:trHeight w:val="250"/>
        </w:trPr>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10/20/2020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2"/>
        </w:trPr>
        <w:tc>
          <w:tcPr>
            <w:tcW w:w="380" w:type="dxa"/>
            <w:vAlign w:val="bottom"/>
          </w:tcPr>
          <w:p>
            <w:pPr>
              <w:spacing w:after="0"/>
              <w:rPr>
                <w:sz w:val="22"/>
                <w:szCs w:val="22"/>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940" w:type="dxa"/>
            <w:vAlign w:val="bottom"/>
            <w:gridSpan w:val="2"/>
          </w:tcPr>
          <w:p>
            <w:pPr>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8"/>
        </w:trPr>
        <w:tc>
          <w:tcPr>
            <w:tcW w:w="3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12/21/2020</w:t>
            </w:r>
          </w:p>
        </w:tc>
        <w:tc>
          <w:tcPr>
            <w:tcW w:w="3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2"/>
        </w:trPr>
        <w:tc>
          <w:tcPr>
            <w:tcW w:w="380" w:type="dxa"/>
            <w:vAlign w:val="bottom"/>
          </w:tcPr>
          <w:p>
            <w:pPr>
              <w:spacing w:after="0"/>
              <w:rPr>
                <w:sz w:val="22"/>
                <w:szCs w:val="22"/>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300</w:t>
            </w:r>
          </w:p>
        </w:tc>
        <w:tc>
          <w:tcPr>
            <w:tcW w:w="1940" w:type="dxa"/>
            <w:vAlign w:val="bottom"/>
            <w:gridSpan w:val="2"/>
          </w:tcPr>
          <w:p>
            <w:pPr>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8"/>
        </w:trPr>
        <w:tc>
          <w:tcPr>
            <w:tcW w:w="3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2"/>
        </w:trPr>
        <w:tc>
          <w:tcPr>
            <w:tcW w:w="380" w:type="dxa"/>
            <w:vAlign w:val="bottom"/>
          </w:tcPr>
          <w:p>
            <w:pPr>
              <w:spacing w:after="0"/>
              <w:rPr>
                <w:sz w:val="22"/>
                <w:szCs w:val="22"/>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940" w:type="dxa"/>
            <w:vAlign w:val="bottom"/>
            <w:gridSpan w:val="2"/>
          </w:tcPr>
          <w:p>
            <w:pPr>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1"/>
        </w:trPr>
        <w:tc>
          <w:tcPr>
            <w:tcW w:w="38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4.2% and 4.7% for the nine months ended June 27, 2020 and June 29,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each of the periods indicated (in millions):</w:t>
      </w:r>
    </w:p>
    <w:tbl>
      <w:tblPr>
        <w:tblLayout w:type="fixed"/>
        <w:tblInd w:w="0" w:type="dxa"/>
        <w:tblCellMar>
          <w:top w:w="0" w:type="dxa"/>
          <w:left w:w="0" w:type="dxa"/>
          <w:bottom w:w="0" w:type="dxa"/>
          <w:right w:w="0" w:type="dxa"/>
        </w:tblCellMar>
      </w:tblPr>
      <w:tr>
        <w:trPr>
          <w:trHeight w:val="13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7"/>
              </w:rPr>
              <w:t>Common Shares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 Equity -</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900" w:type="dxa"/>
            <w:vAlign w:val="bottom"/>
          </w:tcPr>
          <w:p>
            <w:pPr>
              <w:jc w:val="right"/>
              <w:ind w:right="36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90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r>
      <w:tr>
        <w:trPr>
          <w:trHeight w:val="20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442.2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1,274.7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(904.3)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718.7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723.2</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(71.3)</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7.0</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($0.580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0.9</w:t>
            </w:r>
          </w:p>
        </w:tc>
      </w:tr>
      <w:tr>
        <w:trPr>
          <w:trHeight w:val="202"/>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28,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448.9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1,169.8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(903.1)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629.3</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252.4</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12.0</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($0.580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(52.9)</w:t>
            </w:r>
          </w:p>
        </w:tc>
      </w:tr>
      <w:tr>
        <w:trPr>
          <w:trHeight w:val="20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Balance at March 28,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450.5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1,389.0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(941.9)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789.7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794.6</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203.3</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5.7</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22.8</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Dividends declared ($0.580 per share)</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(34.9)</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12.5</w:t>
            </w:r>
          </w:p>
        </w:tc>
      </w:tr>
      <w:tr>
        <w:trPr>
          <w:trHeight w:val="227"/>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27,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1,557.0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1,003.9</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Common Shares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 Equity -</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900" w:type="dxa"/>
            <w:vAlign w:val="bottom"/>
          </w:tcPr>
          <w:p>
            <w:pPr>
              <w:jc w:val="right"/>
              <w:ind w:right="36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900" w:type="dxa"/>
            <w:vAlign w:val="bottom"/>
          </w:tcPr>
          <w:p>
            <w:pPr>
              <w:jc w:val="right"/>
              <w:ind w:right="329"/>
              <w:spacing w:after="0"/>
              <w:rPr>
                <w:sz w:val="20"/>
                <w:szCs w:val="20"/>
                <w:color w:val="auto"/>
              </w:rPr>
            </w:pPr>
            <w:r>
              <w:rPr>
                <w:rFonts w:ascii="Arial" w:cs="Arial" w:eastAsia="Arial" w:hAnsi="Arial"/>
                <w:sz w:val="13"/>
                <w:szCs w:val="13"/>
                <w:b w:val="1"/>
                <w:bCs w:val="1"/>
                <w:color w:val="auto"/>
              </w:rPr>
              <w:t>Equity</w:t>
            </w:r>
          </w:p>
        </w:tc>
      </w:tr>
      <w:tr>
        <w:trPr>
          <w:trHeight w:val="20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420.3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919.9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(939.6)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359.6</w:t>
            </w:r>
          </w:p>
        </w:tc>
      </w:tr>
      <w:tr>
        <w:trPr>
          <w:trHeight w:val="157"/>
        </w:trPr>
        <w:tc>
          <w:tcPr>
            <w:tcW w:w="2560" w:type="dxa"/>
            <w:vAlign w:val="bottom"/>
          </w:tcPr>
          <w:p>
            <w:pPr>
              <w:ind w:left="20"/>
              <w:spacing w:after="0" w:line="157" w:lineRule="exact"/>
              <w:rPr>
                <w:sz w:val="20"/>
                <w:szCs w:val="20"/>
                <w:color w:val="auto"/>
              </w:rPr>
            </w:pPr>
            <w:r>
              <w:rPr>
                <w:rFonts w:ascii="Arial" w:cs="Arial" w:eastAsia="Arial" w:hAnsi="Arial"/>
                <w:sz w:val="14"/>
                <w:szCs w:val="14"/>
                <w:color w:val="auto"/>
              </w:rPr>
              <w:t>Adoption of new accounting</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4"/>
                <w:szCs w:val="14"/>
                <w:color w:val="auto"/>
              </w:rPr>
              <w:t>pronouncements</w:t>
            </w:r>
          </w:p>
        </w:tc>
        <w:tc>
          <w:tcPr>
            <w:tcW w:w="10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9.1</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(79.7)</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(12.4)</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Dividends declared ($0.550 per share)</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(30.9)</w:t>
            </w:r>
          </w:p>
        </w:tc>
      </w:tr>
      <w:tr>
        <w:trPr>
          <w:trHeight w:val="20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0.9</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Balance at December 29,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(937.7)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253.2</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396.4</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Dividends declared ($0.550 per share)</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(32.7)</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1.1</w:t>
            </w:r>
          </w:p>
        </w:tc>
      </w:tr>
      <w:tr>
        <w:trPr>
          <w:trHeight w:val="202"/>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426.2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1,199.2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(929.0)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622.1</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201.6</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0.6</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11.4</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($0.550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(31.7)</w:t>
            </w: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(0.1)</w:t>
            </w:r>
          </w:p>
        </w:tc>
      </w:tr>
      <w:tr>
        <w:trPr>
          <w:trHeight w:val="20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color w:val="auto"/>
              </w:rPr>
              <w:t>Balance at June 29,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1,369.3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(927.3)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800.4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805.2</w:t>
            </w: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At June 27, 2020 and September 30, 2019, the Company had unrecognized losses on pension and other postretirement liabilities of $67.0 million, net of tax of $22.3 million, and $68.4 million, net of tax of $22.8 million, respectively, recorded in accumulated other comprehensive loss. At each of June 27, 2020 and September 30, 2019, the Company had accumulated foreign currency translation losses of $17.4 million recorded in accumulated other comprehensive loss. At June 27, 2020 and September 30, 2019, the Company had unrecognized losses on derivatives of $17.8 million, net of tax of $6.2 million, and $8.1 million, net of tax of $2.8 million, respectively, recorded in accumulated other comprehensive loss.</w:t>
      </w:r>
    </w:p>
    <w:p>
      <w:pPr>
        <w:spacing w:after="0" w:line="10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second quarter of fiscal 2019, the Company recognized a charge of $2.5 million in the “Other non-operating income, net” line in the Condensed Consolidated Statements of Operations related to the write-off of accumulated foreign currency translation loss adjustments of a foreign subsidiary that was substantially liquidated.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July 30, 2019, the Scotts Miracle-Gro Board of Directors approved an increase in the Company’s quarterly cash dividend from $0.55 to $0.58 per Common Share. On July 27, 2020, the Scotts Miracle-Gro Board of Directors approved a special cash dividend of $5.00 per Common Share, which will be paid on September 10, 2020 to all shareholders of record at the close of business on August 27, 2020. In addition, on July 27, 2020, the Scotts Miracle-Gro Board of Directors also approved an increase in the Company’s quarterly cash dividend from $0.58 to $0.62 per Common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extension of the share repurchase authorization through March 28, 2020. The amended authorization allowed for repurchases of Common Shares of up to an aggregate amount of $1.0 billion through March 28, 2020. During fiscal 2020 through March 28, 2020, Scotts Miracle-Gro repurchased 0.4 million Common Shares under the share repurchase authorization for $48.2 million. There were no share repurchases under the share repurchase authorization during the three and nine months ended June 29, 2019. From the effective date of the share repurchase authorization in the fourth quarter of fiscal 2014 through March 28, 2020, Scotts Miracle-Gro repurchased approximately 8.7 million Common Shares for $762.8 million.</w:t>
      </w:r>
    </w:p>
    <w:p>
      <w:pPr>
        <w:spacing w:after="0" w:line="9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31, 2020, the Scotts Miracle-Gro Board of Directors authorized a new share repurchase program allowing for repurchases of up to $750.0 million of Common Shares from April 30, 2020 through March 25, 2023. The share repurchase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On March 26, 2020, the Company announced a temporary suspension of share repurchase activity, effective as of March 30, 2020, in order to enhance the Company’s financial flexibility in response to the COVID-19 pandemic. Accordingly, there were no share repurchases under this share repurchase authorization during the three months ended June 27, 2020. The “Treasury share purchases” lines in the tables above include cash paid to tax authorities to satisfy statutory income tax withholding obligations related to share-based compensation of $0.2 million and $4.9 million for the three and nine months ended June 27, 2020, respectively, and $0.1 million and $2.6 million for the three and nine months ended June 29, 2019,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If available, Scotts Miracle-Gro will typically use treasury shares, or if not available, newly-issued Common Shares, in satisfaction of its share-based awards.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22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118,410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163,170</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Performance units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131,644</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Non-Employee Directors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and deferred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31,136</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Total share-based awards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172,275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325,950</w:t>
            </w:r>
          </w:p>
        </w:tc>
      </w:tr>
      <w:tr>
        <w:trPr>
          <w:trHeight w:val="27"/>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Aggregate fair value at grant dates (in millions)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25.3</w:t>
            </w: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r>
      <w:tr>
        <w:trPr>
          <w:trHeight w:val="152"/>
        </w:trPr>
        <w:tc>
          <w:tcPr>
            <w:tcW w:w="37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2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3"/>
                <w:szCs w:val="13"/>
                <w:color w:val="auto"/>
              </w:rPr>
            </w:pP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196"/>
        </w:trPr>
        <w:tc>
          <w:tcPr>
            <w:tcW w:w="37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41.8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2"/>
                <w:szCs w:val="22"/>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r>
      <w:tr>
        <w:trPr>
          <w:trHeight w:val="904"/>
        </w:trPr>
        <w:tc>
          <w:tcPr>
            <w:tcW w:w="3740" w:type="dxa"/>
            <w:vAlign w:val="bottom"/>
          </w:tcPr>
          <w:p>
            <w:pPr>
              <w:spacing w:after="0"/>
              <w:rPr>
                <w:sz w:val="24"/>
                <w:szCs w:val="24"/>
                <w:color w:val="auto"/>
              </w:rPr>
            </w:pPr>
          </w:p>
        </w:tc>
        <w:tc>
          <w:tcPr>
            <w:tcW w:w="2660" w:type="dxa"/>
            <w:vAlign w:val="bottom"/>
          </w:tcPr>
          <w:p>
            <w:pPr>
              <w:jc w:val="right"/>
              <w:ind w:right="59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Stock Options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Aggregate </w:t>
      </w:r>
      <w:r>
        <w:rPr>
          <w:rFonts w:ascii="Arial" w:cs="Arial" w:eastAsia="Arial" w:hAnsi="Arial"/>
          <w:sz w:val="18"/>
          <w:szCs w:val="18"/>
          <w:color w:val="333333"/>
        </w:rPr>
        <w:t>stock option activity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9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No. of Options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596"/>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2019</w:t>
            </w:r>
          </w:p>
        </w:tc>
        <w:tc>
          <w:tcPr>
            <w:tcW w:w="1960" w:type="dxa"/>
            <w:vAlign w:val="bottom"/>
            <w:tcBorders>
              <w:bottom w:val="single" w:sz="8" w:color="CCEEFF"/>
            </w:tcBorders>
            <w:shd w:val="clear" w:color="auto" w:fill="CCEEFF"/>
          </w:tcPr>
          <w:p>
            <w:pPr>
              <w:jc w:val="center"/>
              <w:ind w:left="974"/>
              <w:spacing w:after="0"/>
              <w:rPr>
                <w:sz w:val="20"/>
                <w:szCs w:val="20"/>
                <w:color w:val="auto"/>
              </w:rPr>
            </w:pPr>
            <w:r>
              <w:rPr>
                <w:rFonts w:ascii="Arial" w:cs="Arial" w:eastAsia="Arial" w:hAnsi="Arial"/>
                <w:sz w:val="18"/>
                <w:szCs w:val="18"/>
                <w:color w:val="auto"/>
                <w:w w:val="89"/>
              </w:rPr>
              <w:t>862,388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960" w:type="dxa"/>
            <w:vAlign w:val="bottom"/>
          </w:tcPr>
          <w:p>
            <w:pPr>
              <w:jc w:val="center"/>
              <w:ind w:left="954"/>
              <w:spacing w:after="0"/>
              <w:rPr>
                <w:sz w:val="20"/>
                <w:szCs w:val="20"/>
                <w:color w:val="auto"/>
              </w:rPr>
            </w:pPr>
            <w:r>
              <w:rPr>
                <w:rFonts w:ascii="Arial" w:cs="Arial" w:eastAsia="Arial" w:hAnsi="Arial"/>
                <w:sz w:val="18"/>
                <w:szCs w:val="18"/>
                <w:color w:val="auto"/>
                <w:w w:val="93"/>
              </w:rPr>
              <w:t>(280,418)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ind w:right="76"/>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June 27, 2020</w:t>
            </w:r>
          </w:p>
        </w:tc>
        <w:tc>
          <w:tcPr>
            <w:tcW w:w="196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8"/>
                <w:szCs w:val="18"/>
                <w:color w:val="auto"/>
                <w:w w:val="89"/>
              </w:rPr>
              <w:t>581,970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ind w:left="20"/>
              <w:spacing w:after="0"/>
              <w:rPr>
                <w:sz w:val="20"/>
                <w:szCs w:val="20"/>
                <w:color w:val="auto"/>
              </w:rPr>
            </w:pPr>
            <w:r>
              <w:rPr>
                <w:rFonts w:ascii="Arial" w:cs="Arial" w:eastAsia="Arial" w:hAnsi="Arial"/>
                <w:sz w:val="18"/>
                <w:szCs w:val="18"/>
                <w:color w:val="auto"/>
              </w:rPr>
              <w:t>Exercisable</w:t>
            </w:r>
          </w:p>
        </w:tc>
        <w:tc>
          <w:tcPr>
            <w:tcW w:w="1960" w:type="dxa"/>
            <w:vAlign w:val="bottom"/>
          </w:tcPr>
          <w:p>
            <w:pPr>
              <w:jc w:val="center"/>
              <w:ind w:left="974"/>
              <w:spacing w:after="0"/>
              <w:rPr>
                <w:sz w:val="20"/>
                <w:szCs w:val="20"/>
                <w:color w:val="auto"/>
              </w:rPr>
            </w:pPr>
            <w:r>
              <w:rPr>
                <w:rFonts w:ascii="Arial" w:cs="Arial" w:eastAsia="Arial" w:hAnsi="Arial"/>
                <w:sz w:val="18"/>
                <w:szCs w:val="18"/>
                <w:color w:val="auto"/>
                <w:w w:val="89"/>
              </w:rPr>
              <w:t>581,970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ind w:right="76"/>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27, 2020, the total pre-tax compensation cost, net of estimated forfeitures, related to nonvested stock options not yet recognized was zero. The total intrinsic value of stock options exercised was $21.9 million for the nine months ended June 27, 2020. Cash received from the exercise of stock options, including amounts received from employee purchases under the employee stock purchase plan, was $17.0 million for the nine months ended June 27,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nine months ended June 27, 2020 and June 29, 2019 were 24.2% and 24.8%,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There are currently no ongoing audits with respect to the U.S. federal or foreign jurisdictions. Subject to the following exceptions, the Company is no longer subject to examination by these tax authorities for fiscal years prior to 2017. The Company is currently under examination by certain U.S. state and local tax authorities covering various periods from fiscal years 2012 through 2018. In addition to the aforementioned audits, certain other tax deficiency notices and refund claims for previous years remain unresolved.</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At June 27, 2020, $3.7 million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uses currency forward contracts to manage the exchange rate risk associated with intercompany loans and certain other balances denominated in foreign currencies. The notional amount of outstanding currency forward contracts was $143.9 million, $135.4 million and $120.0 million at June 27, 2020, June 29, 2019 and September 30, 2019, respectively. Contracts outstanding at June 27, 2020 will mature over the next fiscal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w:t>
      </w:r>
    </w:p>
    <w:p>
      <w:pPr>
        <w:spacing w:after="0" w:line="8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$600.0 million, $850.0 million and $850.0 million at June 27, 2020, June 29, 2019 and September 30, 2019, respectively. Refer to “NOTE 7. DEBT” for the terms of the swap agreements outstanding at June 27, 2020. Included in the AOCI balance at June 27, 2020 was a loss of $8.3 million related to interest rate swap agreements that is expected to be reclassified to earnings during the next twelve months, consistent with the timing of the underlying hedged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enters into hedging arrangements designed to fix the price of a portion of its projected future urea, diesel and resin requirements. Changes in the fair value of derivative contracts that qualify for hedge accounting are recorded in AOCI. Realized gains or losses remain as a component of AOCI until the related inventory is sold. Included in the AOCI balance at June 27, 2020 was a loss of $1.6 million related to commodity hedges that is expected to be reclassified to earnings during the next twelve months, consistent with the timing of the underlying hedged transactions.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060" w:type="dxa"/>
            <w:vAlign w:val="bottom"/>
            <w:gridSpan w:val="2"/>
          </w:tcPr>
          <w:p>
            <w:pPr>
              <w:ind w:left="680"/>
              <w:spacing w:after="0"/>
              <w:rPr>
                <w:sz w:val="20"/>
                <w:szCs w:val="20"/>
                <w:color w:val="auto"/>
              </w:rPr>
            </w:pPr>
            <w:r>
              <w:rPr>
                <w:rFonts w:ascii="Arial" w:cs="Arial" w:eastAsia="Arial" w:hAnsi="Arial"/>
                <w:sz w:val="14"/>
                <w:szCs w:val="14"/>
                <w:b w:val="1"/>
                <w:bCs w:val="1"/>
                <w:color w:val="auto"/>
              </w:rPr>
              <w:t>JUNE 27,</w:t>
            </w:r>
          </w:p>
        </w:tc>
        <w:tc>
          <w:tcPr>
            <w:tcW w:w="2080" w:type="dxa"/>
            <w:vAlign w:val="bottom"/>
            <w:gridSpan w:val="2"/>
          </w:tcPr>
          <w:p>
            <w:pPr>
              <w:ind w:left="700"/>
              <w:spacing w:after="0"/>
              <w:rPr>
                <w:sz w:val="20"/>
                <w:szCs w:val="20"/>
                <w:color w:val="auto"/>
              </w:rPr>
            </w:pPr>
            <w:r>
              <w:rPr>
                <w:rFonts w:ascii="Arial" w:cs="Arial" w:eastAsia="Arial" w:hAnsi="Arial"/>
                <w:sz w:val="14"/>
                <w:szCs w:val="14"/>
                <w:b w:val="1"/>
                <w:bCs w:val="1"/>
                <w:color w:val="auto"/>
              </w:rPr>
              <w:t>JUNE 29,</w:t>
            </w:r>
          </w:p>
        </w:tc>
        <w:tc>
          <w:tcPr>
            <w:tcW w:w="2020" w:type="dxa"/>
            <w:vAlign w:val="bottom"/>
            <w:gridSpan w:val="2"/>
          </w:tcPr>
          <w:p>
            <w:pPr>
              <w:ind w:lef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2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79,500 tons</w:t>
            </w:r>
          </w:p>
        </w:tc>
        <w:tc>
          <w:tcPr>
            <w:tcW w:w="2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62,500 tons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78,500 tons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Resin</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7,100,000 pounds</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1,900,000 pounds</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14,900,000 pounds</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5,292,000 gallons</w:t>
            </w:r>
          </w:p>
        </w:tc>
        <w:tc>
          <w:tcPr>
            <w:tcW w:w="2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4,242,000 gallons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4,956,000 gallons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Heating Oil</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1,764,000 gallons</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462,000 gallons</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1,344,000 gallons</w:t>
            </w:r>
          </w:p>
        </w:tc>
        <w:tc>
          <w:tcPr>
            <w:tcW w:w="0" w:type="dxa"/>
            <w:vAlign w:val="bottom"/>
          </w:tcPr>
          <w:p>
            <w:pPr>
              <w:spacing w:after="0"/>
              <w:rPr>
                <w:sz w:val="1"/>
                <w:szCs w:val="1"/>
                <w:color w:val="auto"/>
              </w:rPr>
            </w:pPr>
          </w:p>
        </w:tc>
      </w:tr>
      <w:tr>
        <w:trPr>
          <w:trHeight w:val="90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jc w:val="right"/>
              <w:ind w:right="12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3"/>
                <w:szCs w:val="13"/>
                <w:color w:val="auto"/>
              </w:rPr>
            </w:pPr>
          </w:p>
        </w:tc>
        <w:tc>
          <w:tcPr>
            <w:tcW w:w="120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JUNE 29,</w:t>
            </w:r>
          </w:p>
        </w:tc>
        <w:tc>
          <w:tcPr>
            <w:tcW w:w="16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derivatives designated as hedging instruments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w:t>
            </w:r>
          </w:p>
        </w:tc>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480" w:type="dxa"/>
            <w:vAlign w:val="bottom"/>
            <w:gridSpan w:val="2"/>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560" w:type="dxa"/>
            <w:vAlign w:val="bottom"/>
            <w:gridSpan w:val="4"/>
          </w:tcPr>
          <w:p>
            <w:pPr>
              <w:ind w:left="340"/>
              <w:spacing w:after="0"/>
              <w:rPr>
                <w:sz w:val="20"/>
                <w:szCs w:val="20"/>
                <w:color w:val="auto"/>
              </w:rPr>
            </w:pPr>
            <w:r>
              <w:rPr>
                <w:rFonts w:ascii="Arial" w:cs="Arial" w:eastAsia="Arial" w:hAnsi="Arial"/>
                <w:sz w:val="18"/>
                <w:szCs w:val="18"/>
                <w:color w:val="auto"/>
              </w:rPr>
              <w:t>Total derivatives not designated as hedging instruments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2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each of the periods presented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18"/>
          </w:tcPr>
          <w:p>
            <w:pPr>
              <w:jc w:val="right"/>
              <w:ind w:right="717"/>
              <w:spacing w:after="0"/>
              <w:rPr>
                <w:sz w:val="20"/>
                <w:szCs w:val="20"/>
                <w:color w:val="auto"/>
              </w:rPr>
            </w:pPr>
            <w:r>
              <w:rPr>
                <w:rFonts w:ascii="Arial" w:cs="Arial" w:eastAsia="Arial" w:hAnsi="Arial"/>
                <w:sz w:val="14"/>
                <w:szCs w:val="14"/>
                <w:b w:val="1"/>
                <w:bCs w:val="1"/>
                <w:color w:val="auto"/>
              </w:rPr>
              <w:t>AMOUNT OF GAIN / (LOSS) RECOGNIZED IN AOCI</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JUNE 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JUNE 29,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JUNE 27,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JUNE 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60" w:type="dxa"/>
            <w:vAlign w:val="bottom"/>
            <w:gridSpan w:val="8"/>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AMOUNT OF GAIN / (LOSS)</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0" w:type="dxa"/>
            <w:vAlign w:val="bottom"/>
          </w:tcPr>
          <w:p>
            <w:pPr>
              <w:spacing w:after="0"/>
              <w:rPr>
                <w:sz w:val="13"/>
                <w:szCs w:val="13"/>
                <w:color w:val="auto"/>
              </w:rPr>
            </w:pPr>
          </w:p>
        </w:tc>
        <w:tc>
          <w:tcPr>
            <w:tcW w:w="230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rPr>
              <w:t>INTO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JUNE 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JUNE 29,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JUNE 27,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JUNE 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ind w:left="20"/>
              <w:spacing w:after="0"/>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6"/>
                <w:szCs w:val="16"/>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STATEMENT OF OPERATIONS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AMOUNT OF GAIN / (LOSS)</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317"/>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0" w:type="dxa"/>
            <w:vAlign w:val="bottom"/>
          </w:tcPr>
          <w:p>
            <w:pPr>
              <w:spacing w:after="0"/>
              <w:rPr>
                <w:sz w:val="13"/>
                <w:szCs w:val="13"/>
                <w:color w:val="auto"/>
              </w:rPr>
            </w:pPr>
          </w:p>
        </w:tc>
        <w:tc>
          <w:tcPr>
            <w:tcW w:w="2300" w:type="dxa"/>
            <w:vAlign w:val="bottom"/>
            <w:gridSpan w:val="4"/>
          </w:tcPr>
          <w:p>
            <w:pPr>
              <w:ind w:left="540"/>
              <w:spacing w:after="0" w:line="153" w:lineRule="exact"/>
              <w:rPr>
                <w:sz w:val="20"/>
                <w:szCs w:val="20"/>
                <w:color w:val="auto"/>
              </w:rPr>
            </w:pPr>
            <w:r>
              <w:rPr>
                <w:rFonts w:ascii="Arial" w:cs="Arial" w:eastAsia="Arial" w:hAnsi="Arial"/>
                <w:sz w:val="14"/>
                <w:szCs w:val="14"/>
                <w:b w:val="1"/>
                <w:bCs w:val="1"/>
                <w:color w:val="auto"/>
              </w:rPr>
              <w:t>RECOGNIZED IN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JUNE 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16"/>
                <w:szCs w:val="16"/>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STATEMENT OF OPERATIONS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9"/>
              </w:rPr>
              <w:t>Other income / expense, net</w:t>
            </w: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fair value of the Company’s assets and liabilities for which disclosure of fair value is required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600"/>
              <w:spacing w:after="0"/>
              <w:rPr>
                <w:sz w:val="20"/>
                <w:szCs w:val="20"/>
                <w:color w:val="auto"/>
              </w:rPr>
            </w:pPr>
            <w:r>
              <w:rPr>
                <w:rFonts w:ascii="Arial" w:cs="Arial" w:eastAsia="Arial" w:hAnsi="Arial"/>
                <w:sz w:val="13"/>
                <w:szCs w:val="13"/>
                <w:b w:val="1"/>
                <w:bCs w:val="1"/>
                <w:color w:val="auto"/>
              </w:rPr>
              <w:t>JUNE 27, 2020</w:t>
            </w:r>
          </w:p>
        </w:tc>
        <w:tc>
          <w:tcPr>
            <w:tcW w:w="160" w:type="dxa"/>
            <w:vAlign w:val="bottom"/>
          </w:tcPr>
          <w:p>
            <w:pPr>
              <w:spacing w:after="0"/>
              <w:rPr>
                <w:sz w:val="15"/>
                <w:szCs w:val="15"/>
                <w:color w:val="auto"/>
              </w:rPr>
            </w:pPr>
          </w:p>
        </w:tc>
        <w:tc>
          <w:tcPr>
            <w:tcW w:w="2240" w:type="dxa"/>
            <w:vAlign w:val="bottom"/>
            <w:gridSpan w:val="5"/>
          </w:tcPr>
          <w:p>
            <w:pPr>
              <w:ind w:left="580"/>
              <w:spacing w:after="0"/>
              <w:rPr>
                <w:sz w:val="20"/>
                <w:szCs w:val="20"/>
                <w:color w:val="auto"/>
              </w:rPr>
            </w:pPr>
            <w:r>
              <w:rPr>
                <w:rFonts w:ascii="Arial" w:cs="Arial" w:eastAsia="Arial" w:hAnsi="Arial"/>
                <w:sz w:val="13"/>
                <w:szCs w:val="13"/>
                <w:b w:val="1"/>
                <w:bCs w:val="1"/>
                <w:color w:val="auto"/>
              </w:rPr>
              <w:t>JUNE 29, 2019</w:t>
            </w:r>
          </w:p>
        </w:tc>
        <w:tc>
          <w:tcPr>
            <w:tcW w:w="160" w:type="dxa"/>
            <w:vAlign w:val="bottom"/>
          </w:tcPr>
          <w:p>
            <w:pPr>
              <w:spacing w:after="0"/>
              <w:rPr>
                <w:sz w:val="15"/>
                <w:szCs w:val="15"/>
                <w:color w:val="auto"/>
              </w:rPr>
            </w:pPr>
          </w:p>
        </w:tc>
        <w:tc>
          <w:tcPr>
            <w:tcW w:w="2140" w:type="dxa"/>
            <w:vAlign w:val="bottom"/>
            <w:gridSpan w:val="4"/>
          </w:tcPr>
          <w:p>
            <w:pPr>
              <w:jc w:val="right"/>
              <w:ind w:right="442"/>
              <w:spacing w:after="0"/>
              <w:rPr>
                <w:sz w:val="20"/>
                <w:szCs w:val="20"/>
                <w:color w:val="auto"/>
              </w:rPr>
            </w:pPr>
            <w:r>
              <w:rPr>
                <w:rFonts w:ascii="Arial" w:cs="Arial" w:eastAsia="Arial" w:hAnsi="Arial"/>
                <w:sz w:val="13"/>
                <w:szCs w:val="13"/>
                <w:b w:val="1"/>
                <w:bCs w:val="1"/>
                <w:color w:val="auto"/>
              </w:rPr>
              <w:t>SEPTEMBER 30, 2019</w:t>
            </w:r>
          </w:p>
        </w:tc>
      </w:tr>
      <w:tr>
        <w:trPr>
          <w:trHeight w:val="130"/>
        </w:trPr>
        <w:tc>
          <w:tcPr>
            <w:tcW w:w="2840" w:type="dxa"/>
            <w:vAlign w:val="bottom"/>
          </w:tcPr>
          <w:p>
            <w:pPr>
              <w:spacing w:after="0"/>
              <w:rPr>
                <w:sz w:val="11"/>
                <w:szCs w:val="11"/>
                <w:color w:val="auto"/>
              </w:rPr>
            </w:pPr>
          </w:p>
        </w:tc>
        <w:tc>
          <w:tcPr>
            <w:tcW w:w="13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4"/>
              </w:rPr>
              <w:t>FAIR VALUE</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HEIRARCHY</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960" w:type="dxa"/>
            <w:vAlign w:val="bottom"/>
          </w:tcPr>
          <w:p>
            <w:pPr>
              <w:jc w:val="right"/>
              <w:ind w:right="102"/>
              <w:spacing w:after="0" w:line="135" w:lineRule="exact"/>
              <w:rPr>
                <w:sz w:val="20"/>
                <w:szCs w:val="20"/>
                <w:color w:val="auto"/>
              </w:rPr>
            </w:pPr>
            <w:r>
              <w:rPr>
                <w:rFonts w:ascii="Arial" w:cs="Arial" w:eastAsia="Arial" w:hAnsi="Arial"/>
                <w:sz w:val="13"/>
                <w:szCs w:val="13"/>
                <w:b w:val="1"/>
                <w:bCs w:val="1"/>
                <w:color w:val="auto"/>
              </w:rPr>
              <w:t>ESTIMATED</w:t>
            </w:r>
          </w:p>
        </w:tc>
      </w:tr>
      <w:tr>
        <w:trPr>
          <w:trHeight w:val="174"/>
        </w:trPr>
        <w:tc>
          <w:tcPr>
            <w:tcW w:w="284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rPr>
              <w:t>LEVEL</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60" w:type="dxa"/>
            <w:vAlign w:val="bottom"/>
          </w:tcPr>
          <w:p>
            <w:pPr>
              <w:jc w:val="right"/>
              <w:ind w:right="82"/>
              <w:spacing w:after="0"/>
              <w:rPr>
                <w:sz w:val="20"/>
                <w:szCs w:val="20"/>
                <w:color w:val="auto"/>
              </w:rPr>
            </w:pPr>
            <w:r>
              <w:rPr>
                <w:rFonts w:ascii="Arial" w:cs="Arial" w:eastAsia="Arial" w:hAnsi="Arial"/>
                <w:sz w:val="13"/>
                <w:szCs w:val="13"/>
                <w:b w:val="1"/>
                <w:bCs w:val="1"/>
                <w:color w:val="auto"/>
                <w:w w:val="99"/>
              </w:rPr>
              <w:t>FAIR VALUE</w:t>
            </w:r>
          </w:p>
        </w:tc>
      </w:tr>
      <w:tr>
        <w:trPr>
          <w:trHeight w:val="223"/>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2.0</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0"/>
        </w:trPr>
        <w:tc>
          <w:tcPr>
            <w:tcW w:w="2840" w:type="dxa"/>
            <w:vAlign w:val="bottom"/>
          </w:tcPr>
          <w:p>
            <w:pPr>
              <w:ind w:left="220"/>
              <w:spacing w:after="0"/>
              <w:rPr>
                <w:sz w:val="20"/>
                <w:szCs w:val="20"/>
                <w:color w:val="auto"/>
              </w:rPr>
            </w:pPr>
            <w:r>
              <w:rPr>
                <w:rFonts w:ascii="Arial" w:cs="Arial" w:eastAsia="Arial" w:hAnsi="Arial"/>
                <w:sz w:val="16"/>
                <w:szCs w:val="16"/>
                <w:color w:val="auto"/>
                <w:w w:val="98"/>
              </w:rPr>
              <w:t>Investment securities in non-qualified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2840" w:type="dxa"/>
            <w:vAlign w:val="bottom"/>
          </w:tcPr>
          <w:p>
            <w:pPr>
              <w:ind w:left="220"/>
              <w:spacing w:after="0"/>
              <w:rPr>
                <w:sz w:val="20"/>
                <w:szCs w:val="20"/>
                <w:color w:val="auto"/>
              </w:rPr>
            </w:pPr>
            <w:r>
              <w:rPr>
                <w:rFonts w:ascii="Arial" w:cs="Arial" w:eastAsia="Arial" w:hAnsi="Arial"/>
                <w:sz w:val="16"/>
                <w:szCs w:val="16"/>
                <w:color w:val="auto"/>
              </w:rPr>
              <w:t>retirement plan assets</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21.6</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Bonnie Option</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3</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11.3</w:t>
            </w:r>
          </w:p>
        </w:tc>
      </w:tr>
      <w:tr>
        <w:trPr>
          <w:trHeight w:val="270"/>
        </w:trPr>
        <w:tc>
          <w:tcPr>
            <w:tcW w:w="2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Debt instruments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Credit facilities – revolving loans</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147.2</w:t>
            </w: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Credit facilities – term loans</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730.0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760.0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750.0</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Senior Notes – 4.500%</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462.9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r>
      <w:tr>
        <w:trPr>
          <w:trHeight w:val="223"/>
        </w:trPr>
        <w:tc>
          <w:tcPr>
            <w:tcW w:w="2840" w:type="dxa"/>
            <w:vAlign w:val="bottom"/>
          </w:tcPr>
          <w:p>
            <w:pPr>
              <w:ind w:left="220"/>
              <w:spacing w:after="0"/>
              <w:rPr>
                <w:sz w:val="20"/>
                <w:szCs w:val="20"/>
                <w:color w:val="auto"/>
              </w:rPr>
            </w:pPr>
            <w:r>
              <w:rPr>
                <w:rFonts w:ascii="Arial" w:cs="Arial" w:eastAsia="Arial" w:hAnsi="Arial"/>
                <w:sz w:val="16"/>
                <w:szCs w:val="16"/>
                <w:color w:val="auto"/>
              </w:rPr>
              <w:t>Senior Notes – 5.250%</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263.4</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Senior Notes – 6.000%</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Level 1</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412.5</w:t>
            </w: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Receivables facility</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76.0</w:t>
            </w:r>
          </w:p>
        </w:tc>
      </w:tr>
      <w:tr>
        <w:trPr>
          <w:trHeight w:val="33"/>
        </w:trPr>
        <w:tc>
          <w:tcPr>
            <w:tcW w:w="2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Debt</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10.3</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 AND OTHER COMMITMENTS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Certain lease agreements contain renewal and purchase options. The lease agreements generally require that the Company pay taxes, insurance and maintenance expenses related to the leased assets. There were no material operating leases that the Company had entered into and that were yet to commence as of June 27, 2020. From time to time, the Company will sublease portions of its facilities, resulting in sublease income. Sublease income and the related cash flows are not material to the condensed consolidated financial statements for the three months ended June 27, 2020.</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June 27, 2020, the Company’s residual value guarantee would have approximated $3.4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JUNE 27, 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8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Property, plant and equipment, net</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18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Components of lease cost were as follows:</w:t>
            </w:r>
          </w:p>
        </w:tc>
        <w:tc>
          <w:tcPr>
            <w:tcW w:w="1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6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8"/>
                <w:szCs w:val="18"/>
                <w:color w:val="auto"/>
              </w:rPr>
            </w:pPr>
          </w:p>
        </w:tc>
        <w:tc>
          <w:tcPr>
            <w:tcW w:w="1960" w:type="dxa"/>
            <w:vAlign w:val="bottom"/>
          </w:tcPr>
          <w:p>
            <w:pPr>
              <w:jc w:val="center"/>
              <w:ind w:right="2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93"/>
              </w:rPr>
              <w:t>JUNE 27, 2020</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JUNE 27, 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25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 term lease cost</w:t>
            </w:r>
          </w:p>
        </w:tc>
        <w:tc>
          <w:tcPr>
            <w:tcW w:w="1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880" w:type="dxa"/>
            <w:vAlign w:val="bottom"/>
          </w:tcPr>
          <w:p>
            <w:pPr>
              <w:spacing w:after="0"/>
              <w:rPr>
                <w:sz w:val="22"/>
                <w:szCs w:val="22"/>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line="277"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for the three and nine months ended June 27, 2020 of $11.3 million and $34.2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jc w:val="center"/>
              <w:ind w:right="157"/>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5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JUNE 27, 2020</w:t>
            </w:r>
          </w:p>
        </w:tc>
      </w:tr>
      <w:tr>
        <w:trPr>
          <w:trHeight w:val="196"/>
        </w:trPr>
        <w:tc>
          <w:tcPr>
            <w:tcW w:w="55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3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3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7"/>
              <w:spacing w:after="0"/>
              <w:rPr>
                <w:sz w:val="20"/>
                <w:szCs w:val="20"/>
                <w:color w:val="auto"/>
              </w:rPr>
            </w:pPr>
            <w:r>
              <w:rPr>
                <w:rFonts w:ascii="Arial" w:cs="Arial" w:eastAsia="Arial" w:hAnsi="Arial"/>
                <w:sz w:val="18"/>
                <w:szCs w:val="18"/>
                <w:color w:val="auto"/>
              </w:rPr>
              <w:t>40.9</w:t>
            </w:r>
          </w:p>
        </w:tc>
      </w:tr>
      <w:tr>
        <w:trPr>
          <w:trHeight w:val="27"/>
        </w:trPr>
        <w:tc>
          <w:tcPr>
            <w:tcW w:w="5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3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77"/>
              <w:spacing w:after="0"/>
              <w:rPr>
                <w:sz w:val="20"/>
                <w:szCs w:val="20"/>
                <w:color w:val="auto"/>
              </w:rPr>
            </w:pPr>
            <w:r>
              <w:rPr>
                <w:rFonts w:ascii="Arial" w:cs="Arial" w:eastAsia="Arial" w:hAnsi="Arial"/>
                <w:sz w:val="18"/>
                <w:szCs w:val="18"/>
                <w:color w:val="auto"/>
              </w:rPr>
              <w:t>2.6</w:t>
            </w:r>
          </w:p>
        </w:tc>
      </w:tr>
      <w:tr>
        <w:trPr>
          <w:trHeight w:val="27"/>
        </w:trPr>
        <w:tc>
          <w:tcPr>
            <w:tcW w:w="5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7"/>
        </w:trPr>
        <w:tc>
          <w:tcPr>
            <w:tcW w:w="550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34.6</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77"/>
              <w:spacing w:after="0"/>
              <w:rPr>
                <w:sz w:val="20"/>
                <w:szCs w:val="20"/>
                <w:color w:val="auto"/>
              </w:rPr>
            </w:pPr>
            <w:r>
              <w:rPr>
                <w:rFonts w:ascii="Arial" w:cs="Arial" w:eastAsia="Arial" w:hAnsi="Arial"/>
                <w:sz w:val="18"/>
                <w:szCs w:val="18"/>
                <w:color w:val="auto"/>
              </w:rPr>
              <w:t>11.9</w:t>
            </w:r>
          </w:p>
        </w:tc>
      </w:tr>
      <w:tr>
        <w:trPr>
          <w:trHeight w:val="904"/>
        </w:trPr>
        <w:tc>
          <w:tcPr>
            <w:tcW w:w="5500" w:type="dxa"/>
            <w:vAlign w:val="bottom"/>
          </w:tcPr>
          <w:p>
            <w:pPr>
              <w:spacing w:after="0"/>
              <w:rPr>
                <w:sz w:val="24"/>
                <w:szCs w:val="24"/>
                <w:color w:val="auto"/>
              </w:rPr>
            </w:pPr>
          </w:p>
        </w:tc>
        <w:tc>
          <w:tcPr>
            <w:tcW w:w="3440" w:type="dxa"/>
            <w:vAlign w:val="bottom"/>
          </w:tcPr>
          <w:p>
            <w:pPr>
              <w:jc w:val="right"/>
              <w:ind w:right="3130"/>
              <w:spacing w:after="0"/>
              <w:rPr>
                <w:sz w:val="20"/>
                <w:szCs w:val="20"/>
                <w:color w:val="auto"/>
              </w:rPr>
            </w:pPr>
            <w:r>
              <w:rPr>
                <w:rFonts w:ascii="Arial" w:cs="Arial" w:eastAsia="Arial" w:hAnsi="Arial"/>
                <w:sz w:val="18"/>
                <w:szCs w:val="18"/>
                <w:color w:val="auto"/>
                <w:w w:val="99"/>
              </w:rPr>
              <w:t>23</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w w:val="98"/>
              </w:rPr>
              <w:t>JUNE 27, 2020</w:t>
            </w: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378"/>
        </w:trPr>
        <w:tc>
          <w:tcPr>
            <w:tcW w:w="9000" w:type="dxa"/>
            <w:vAlign w:val="bottom"/>
            <w:gridSpan w:val="4"/>
          </w:tcPr>
          <w:p>
            <w:pPr>
              <w:ind w:left="420"/>
              <w:spacing w:after="0"/>
              <w:rPr>
                <w:sz w:val="20"/>
                <w:szCs w:val="20"/>
                <w:color w:val="auto"/>
              </w:rPr>
            </w:pPr>
            <w:r>
              <w:rPr>
                <w:rFonts w:ascii="Arial" w:cs="Arial" w:eastAsia="Arial" w:hAnsi="Arial"/>
                <w:sz w:val="18"/>
                <w:szCs w:val="18"/>
                <w:color w:val="auto"/>
                <w:w w:val="92"/>
              </w:rPr>
              <w:t>Maturities of lease liabilities by fiscal year for the Company’s leases as of June 27, 2020 were as follows (in millions):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4"/>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FINANCE LEASES</w:t>
            </w:r>
          </w:p>
        </w:tc>
      </w:tr>
      <w:tr>
        <w:trPr>
          <w:trHeight w:val="249"/>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(remainder of the year)</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16.0</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future minimum annual lease payments required under the Company’s existing non-cancelable operating and capital lease agreements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prior to the adoption of ASC 842 were as follows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Arial" w:cs="Arial" w:eastAsia="Arial" w:hAnsi="Arial"/>
                <w:sz w:val="14"/>
                <w:szCs w:val="14"/>
                <w:b w:val="1"/>
                <w:bCs w:val="1"/>
                <w:color w:val="auto"/>
              </w:rPr>
              <w:t>CAPITAL LEASES</w:t>
            </w:r>
          </w:p>
        </w:tc>
      </w:tr>
      <w:tr>
        <w:trPr>
          <w:trHeight w:val="249"/>
        </w:trPr>
        <w:tc>
          <w:tcPr>
            <w:tcW w:w="8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3.5</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3.6</w:t>
            </w:r>
          </w:p>
        </w:tc>
      </w:tr>
      <w:tr>
        <w:trPr>
          <w:trHeight w:val="27"/>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15.4</w:t>
            </w:r>
          </w:p>
        </w:tc>
      </w:tr>
      <w:tr>
        <w:trPr>
          <w:trHeight w:val="27"/>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11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financial information for the Company’s reportable segments for each of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94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196"/>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889.1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2,325.9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2,019.5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461.1</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177.7</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3,241.3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2,658.3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 (Loss):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548.5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31.6</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13.0</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Segment Profit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593.1</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(96.7)</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in income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Costs related to refinancing</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Other non-operating income, net</w:t>
            </w: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268.2</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655.0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each of the periods indicated:</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94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196"/>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Consumer:</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Growing media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866.8</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Lawn care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689.8</w:t>
            </w: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Controls</w:t>
            </w: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249.3</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96.6</w:t>
            </w: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Other, primarily gardening and landscape</w:t>
            </w: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117.0</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Hawthorne: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Indoor, urban and hydroponic gardening</w:t>
            </w: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461.1</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Growing media</w:t>
            </w: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68.7</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Lawn care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60.1</w:t>
            </w:r>
          </w:p>
        </w:tc>
      </w:tr>
      <w:tr>
        <w:trPr>
          <w:trHeight w:val="243"/>
        </w:trPr>
        <w:tc>
          <w:tcPr>
            <w:tcW w:w="6380" w:type="dxa"/>
            <w:vAlign w:val="bottom"/>
          </w:tcPr>
          <w:p>
            <w:pPr>
              <w:ind w:left="320"/>
              <w:spacing w:after="0"/>
              <w:rPr>
                <w:sz w:val="20"/>
                <w:szCs w:val="20"/>
                <w:color w:val="auto"/>
              </w:rPr>
            </w:pPr>
            <w:r>
              <w:rPr>
                <w:rFonts w:ascii="Arial" w:cs="Arial" w:eastAsia="Arial" w:hAnsi="Arial"/>
                <w:sz w:val="18"/>
                <w:szCs w:val="18"/>
                <w:color w:val="auto"/>
              </w:rPr>
              <w:t>Other, primarily gardening and controls</w:t>
            </w: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48.9</w:t>
            </w:r>
          </w:p>
        </w:tc>
      </w:tr>
      <w:tr>
        <w:trPr>
          <w:trHeight w:val="27"/>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1,492.7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1,170.3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3,241.3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2,658.3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geographic area for each of the periods indicated:</w:t>
      </w:r>
    </w:p>
    <w:p>
      <w:pPr>
        <w:spacing w:after="0" w:line="55" w:lineRule="exact"/>
        <w:rPr>
          <w:sz w:val="20"/>
          <w:szCs w:val="20"/>
          <w:color w:val="auto"/>
        </w:rPr>
      </w:pPr>
    </w:p>
    <w:tbl>
      <w:tblPr>
        <w:tblLayout w:type="fixed"/>
        <w:tblInd w:w="6420" w:type="dxa"/>
        <w:tblCellMar>
          <w:top w:w="0" w:type="dxa"/>
          <w:left w:w="0" w:type="dxa"/>
          <w:bottom w:w="0" w:type="dxa"/>
          <w:right w:w="0" w:type="dxa"/>
        </w:tblCellMar>
      </w:tblPr>
      <w:tr>
        <w:trPr>
          <w:trHeight w:val="192"/>
        </w:trPr>
        <w:tc>
          <w:tcPr>
            <w:tcW w:w="23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3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JUNE 27,</w:t>
            </w:r>
          </w:p>
        </w:tc>
        <w:tc>
          <w:tcPr>
            <w:tcW w:w="130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8"/>
              </w:rPr>
              <w:t>JUNE 29,</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JUNE 27,</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JUNE 29,</w:t>
            </w:r>
          </w:p>
        </w:tc>
      </w:tr>
      <w:tr>
        <w:trPr>
          <w:trHeight w:val="186"/>
        </w:trPr>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7620</wp:posOffset>
            </wp:positionV>
            <wp:extent cx="30518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1,338.0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2,415.9</w:t>
            </w: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242.4</w:t>
            </w:r>
          </w:p>
        </w:tc>
      </w:tr>
      <w:tr>
        <w:trPr>
          <w:trHeight w:val="237"/>
        </w:trPr>
        <w:tc>
          <w:tcPr>
            <w:tcW w:w="63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1,492.7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3,241.3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2,658.3</w:t>
            </w:r>
          </w:p>
        </w:tc>
      </w:tr>
      <w:tr>
        <w:trPr>
          <w:trHeight w:val="27"/>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5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This MD&amp;A should be read in conjunction with “Management’s Discussion and Analysis of Financial Condition and Results of Operations” included in Scotts Miracle-Gro’s Annual Report on Form 10-K for the fiscal year ended September 30, 2019 (the “2019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We are a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within the United States and certain other specified countries. Through our Hawthorne segment, we are a leading manufacturer, marketer and distributor of nutrients, growing media, advanced indoor garden, lighting and ventilation systems and accessories for indoor, urban and hydroponic gardening.</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Beginning in fiscal 2015, our Hawthorne segment made a series of key acquisitions, including General Hydroponics, Gavita, Botanicare, Vermicrop, Agrolux, Can-Filters and AeroGrow. On June 4, 2018, our Hawthorne segment acquired substantially all of the assets of Sunlight Supply. Prior to the acquisition, Sunlight Supply was the largest distributor of hydroponic products in the United States, and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 We follow a 13-week quarterly accounting cycle pursuant to which the first three fiscal quarters end on a Saturday and the fiscal year always ends on September 30. This fiscal calendar convention requires us to cycle forward the first three fiscal quarter ends every six years.</w:t>
      </w:r>
    </w:p>
    <w:p>
      <w:pPr>
        <w:spacing w:after="0" w:line="14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13335</wp:posOffset>
            </wp:positionV>
            <wp:extent cx="3068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gridSpan w:val="2"/>
          </w:tcPr>
          <w:p>
            <w:pPr>
              <w:ind w:left="700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r>
      <w:tr>
        <w:trPr>
          <w:trHeight w:val="24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37.7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6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 billion through March 28, 2020. During fiscal 2020 through March 28, 2020, Scotts Miracle-Gro repurchased 0.4 million Common Shares under the share repurchase authorization for $48.2 million. There were no share repurchases under the share repurchase authorization during the three and nine months ended June 29, 2019. From the effective date of the share repurchase authorization in the fourth quarter of fiscal 2014 through March 28, 2020, Scotts Miracle-Gro repurchased approximately 8.7 million Common Shares for $762.8 million.</w:t>
      </w:r>
    </w:p>
    <w:p>
      <w:pPr>
        <w:spacing w:after="0" w:line="9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January 31, 2020, the Scotts Miracle-Gro Board of Directors authorized a new share repurchase program allowing for repurchases of up to $750.0 million of Common Shares from April 30, 2020 through March 25, 2023. On March 26, 2020, we announced a temporary suspension of share repurchase activity, effective as of March 30, 2020, in order to enhance the Company’s financial flexibility in response to the COVID-19 pandemic. Accordingly, there were no share repurchases under this share repurchase authorization during the three months ended June 27, 2020.</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30, 2019, the Scotts Miracle-Gro Board of Directors approved an increase in our quarterly cash dividend from $0.55 to $0.58 per Common Share, which was first paid in the fourth quarter of fiscal 2019. On July 27, 2020, the Scotts Miracle-Gro Board of Directors approved a special cash dividend of $5.00 per Common Share, which will be paid on September 10, 2020 to all shareholders of record at the close of business on August 27, 2020. In addition, on July 27, 2020, the Scotts Miracle-Gro Board of Directors also approved an increase in our quarterly cash dividend from $0.58 to $0.62 per Common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World Health Organization recognized a novel strain of coronavirus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Although many jurisdictions have begun down the path of re-opening their economies, the global pandemic and actions taken to contain COVID-19 have adversely affected the global economy and financial markets.</w:t>
      </w:r>
    </w:p>
    <w:p>
      <w:pPr>
        <w:spacing w:after="0" w:line="10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associates in our field sales force as well as those still working in manufacturing or distribution centers. In addition, to help address the critical shortage of personal protective equipment in the fight against COVID-19, we shifted production in our Temecula, California manufacturing plant to produce face shields to help protect healthcare workers and first responders in critical need areas across the country. As a result of these additional measures and initiatives, we expect to incur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costs, mostly related to premium pay provided to our associates, through the end of the fiscal year. While we believe that these efforts should enable us to maintain our operations during the COVID-19 pandemic, we can provide no assurance that we will be able to do so as a result of the unpredictability of the ultimate impact of the COVID-19 pandemic, including its length, severity and the responses of local, state, federal and foreign governmental authorities to the pandemic.</w:t>
      </w:r>
    </w:p>
    <w:p>
      <w:pPr>
        <w:spacing w:after="0" w:line="10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those jurisdictions that remain closed or limited, our manufacturing and distribution operations are viewed as essential services and continue to operate. Likewise, our major retail partners have been designated as essential services and remain open at this time. In certain places, however, they have operated under reduced hours and customer capacity limitations. There have been no significant disruptions in incoming supplies or raw materials. We believe we have sufficient liquidity to satisfy our cash needs, however, we continue to evaluate and take action, as necessary, to preserve adequate liquidity and ensure that our business can continue to operate during these uncertain times. At June 27, 2020, we had $1,372.0 million of borrowing availability under our fifth amended and restated credit agreement (the “Fifth A&amp;R Credit Agreement”).</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our fiscal quarter ended June 27, 2020, we experienced increased demand for many of our products, especially our soils, fertilizer, grass seed, controls and plant food products, in response to COVID-19, and expect strong demand for such products will continue throughout the remainder of this fiscal year. This increased demand has driven an increase in sales and profits through June 27, 2020 that were not previously projected for the fiscal year. In light of these events and in recognition of the dedication and efforts of our associates during this challenging time, we will provide one-time payments and retirement contributions to our hourly and certain salaried associates who do not participate in our variable cash incentive compensation plans along with providing increased variable payments to our salaried associates who participate in such plans. In addition, we will be increasing our contributions supporting community initiatives and charities.</w:t>
      </w:r>
    </w:p>
    <w:p>
      <w:pPr>
        <w:spacing w:after="0" w:line="12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extent to which the COVID-19 pandemic will ultimately impact our business, results of operations, financial condition and cash flows depends on future developments that are highly uncertain, rapidly evolving and difficult to predict at this time. Depending on the length and severity of the COVID-19 pandemic, we may experience an increase or decrease in future customer orders driven by volatility in retail foot traffic, consumer shopping and consumption behavior. We are not able to predict the impact that the COVID-19 pandemic may have on the seasonality of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right="20" w:firstLine="405"/>
        <w:spacing w:after="0" w:line="276" w:lineRule="auto"/>
        <w:rPr>
          <w:sz w:val="20"/>
          <w:szCs w:val="20"/>
          <w:color w:val="auto"/>
        </w:rPr>
      </w:pPr>
      <w:r>
        <w:rPr>
          <w:rFonts w:ascii="Arial" w:cs="Arial" w:eastAsia="Arial" w:hAnsi="Arial"/>
          <w:sz w:val="18"/>
          <w:szCs w:val="18"/>
          <w:color w:val="auto"/>
        </w:rPr>
        <w:t>The following table sets forth the components of earnings as a percentage of net sales for the three months ended June 27, 2020 and June 29, 2019 (dollars in millions):</w:t>
      </w:r>
    </w:p>
    <w:tbl>
      <w:tblPr>
        <w:tblLayout w:type="fixed"/>
        <w:tblInd w:w="0" w:type="dxa"/>
        <w:tblCellMar>
          <w:top w:w="0" w:type="dxa"/>
          <w:left w:w="0" w:type="dxa"/>
          <w:bottom w:w="0" w:type="dxa"/>
          <w:right w:w="0" w:type="dxa"/>
        </w:tblCellMar>
      </w:tblPr>
      <w:tr>
        <w:trPr>
          <w:trHeight w:val="150"/>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20"/>
              <w:spacing w:after="0" w:line="150" w:lineRule="exact"/>
              <w:rPr>
                <w:sz w:val="20"/>
                <w:szCs w:val="20"/>
                <w:color w:val="auto"/>
              </w:rPr>
            </w:pPr>
            <w:r>
              <w:rPr>
                <w:rFonts w:ascii="Arial" w:cs="Arial" w:eastAsia="Arial" w:hAnsi="Arial"/>
                <w:sz w:val="14"/>
                <w:szCs w:val="14"/>
                <w:b w:val="1"/>
                <w:bCs w:val="1"/>
                <w:color w:val="auto"/>
              </w:rPr>
              <w:t>JUNE 27,</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00"/>
              <w:spacing w:after="0" w:line="150" w:lineRule="exact"/>
              <w:rPr>
                <w:sz w:val="20"/>
                <w:szCs w:val="20"/>
                <w:color w:val="auto"/>
              </w:rPr>
            </w:pPr>
            <w:r>
              <w:rPr>
                <w:rFonts w:ascii="Arial" w:cs="Arial" w:eastAsia="Arial" w:hAnsi="Arial"/>
                <w:sz w:val="14"/>
                <w:szCs w:val="14"/>
                <w:b w:val="1"/>
                <w:bCs w:val="1"/>
                <w:color w:val="auto"/>
              </w:rPr>
              <w:t>JUNE 29,</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r>
      <w:tr>
        <w:trPr>
          <w:trHeight w:val="192"/>
        </w:trPr>
        <w:tc>
          <w:tcPr>
            <w:tcW w:w="5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r>
      <w:tr>
        <w:trPr>
          <w:trHeight w:val="249"/>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1,492.7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1,170.3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747.0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sets forth the components of earnings as a percentage of net sales for the nine months ended June 27, 2020 and June 29, 2019 (dollars in millions):</w:t>
      </w:r>
    </w:p>
    <w:tbl>
      <w:tblPr>
        <w:tblLayout w:type="fixed"/>
        <w:tblInd w:w="0" w:type="dxa"/>
        <w:tblCellMar>
          <w:top w:w="0" w:type="dxa"/>
          <w:left w:w="0" w:type="dxa"/>
          <w:bottom w:w="0" w:type="dxa"/>
          <w:right w:w="0" w:type="dxa"/>
        </w:tblCellMar>
      </w:tblPr>
      <w:tr>
        <w:trPr>
          <w:trHeight w:val="150"/>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20"/>
              <w:spacing w:after="0" w:line="150" w:lineRule="exact"/>
              <w:rPr>
                <w:sz w:val="20"/>
                <w:szCs w:val="20"/>
                <w:color w:val="auto"/>
              </w:rPr>
            </w:pPr>
            <w:r>
              <w:rPr>
                <w:rFonts w:ascii="Arial" w:cs="Arial" w:eastAsia="Arial" w:hAnsi="Arial"/>
                <w:sz w:val="14"/>
                <w:szCs w:val="14"/>
                <w:b w:val="1"/>
                <w:bCs w:val="1"/>
                <w:color w:val="auto"/>
              </w:rPr>
              <w:t>JUNE 27,</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00"/>
              <w:spacing w:after="0" w:line="150" w:lineRule="exact"/>
              <w:rPr>
                <w:sz w:val="20"/>
                <w:szCs w:val="20"/>
                <w:color w:val="auto"/>
              </w:rPr>
            </w:pPr>
            <w:r>
              <w:rPr>
                <w:rFonts w:ascii="Arial" w:cs="Arial" w:eastAsia="Arial" w:hAnsi="Arial"/>
                <w:sz w:val="14"/>
                <w:szCs w:val="14"/>
                <w:b w:val="1"/>
                <w:bCs w:val="1"/>
                <w:color w:val="auto"/>
              </w:rPr>
              <w:t>JUNE 29,</w:t>
            </w:r>
          </w:p>
        </w:tc>
        <w:tc>
          <w:tcPr>
            <w:tcW w:w="1100" w:type="dxa"/>
            <w:vAlign w:val="bottom"/>
          </w:tcPr>
          <w:p>
            <w:pPr>
              <w:jc w:val="right"/>
              <w:ind w:right="192"/>
              <w:spacing w:after="0" w:line="150"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r>
      <w:tr>
        <w:trPr>
          <w:trHeight w:val="192"/>
        </w:trPr>
        <w:tc>
          <w:tcPr>
            <w:tcW w:w="5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6"/>
                <w:szCs w:val="16"/>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3,241.3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2,658.3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2,094.9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1,724.8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1,131.1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930.1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sales for the three months ended June 27, 2020 were $1,492.7 million, an increase of 27.5% from the three months ended June 29, 2019. Net sales for the nine months ended June 27, 2020 were $3,241.3 million, an increase of 21.9% from the nine months ended June 29, 2019. These changes in net sales were attributable to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140" w:type="dxa"/>
            <w:vAlign w:val="bottom"/>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r>
      <w:tr>
        <w:trPr>
          <w:trHeight w:val="208"/>
        </w:trPr>
        <w:tc>
          <w:tcPr>
            <w:tcW w:w="644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JUNE 27, 2020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JUNE 27, 2020</w:t>
            </w:r>
          </w:p>
        </w:tc>
        <w:tc>
          <w:tcPr>
            <w:tcW w:w="200" w:type="dxa"/>
            <w:vAlign w:val="bottom"/>
            <w:tcBorders>
              <w:bottom w:val="single" w:sz="8" w:color="auto"/>
            </w:tcBorders>
          </w:tcPr>
          <w:p>
            <w:pPr>
              <w:spacing w:after="0"/>
              <w:rPr>
                <w:sz w:val="18"/>
                <w:szCs w:val="18"/>
                <w:color w:val="auto"/>
              </w:rPr>
            </w:pPr>
          </w:p>
        </w:tc>
      </w:tr>
      <w:tr>
        <w:trPr>
          <w:trHeight w:val="24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Pricing</w:t>
            </w: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2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4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net sales for the three months ended June 27, 2020 as compared to the three months ended June 29, 2019 was primarily driven by:</w:t>
      </w:r>
    </w:p>
    <w:p>
      <w:pPr>
        <w:spacing w:after="0" w:line="140" w:lineRule="exact"/>
        <w:rPr>
          <w:sz w:val="20"/>
          <w:szCs w:val="20"/>
          <w:color w:val="auto"/>
        </w:rPr>
      </w:pPr>
    </w:p>
    <w:p>
      <w:pPr>
        <w:jc w:val="both"/>
        <w:ind w:left="980" w:hanging="324"/>
        <w:spacing w:after="0" w:line="298" w:lineRule="auto"/>
        <w:tabs>
          <w:tab w:leader="none" w:pos="976" w:val="left"/>
        </w:tabs>
        <w:numPr>
          <w:ilvl w:val="0"/>
          <w:numId w:val="8"/>
        </w:numPr>
        <w:rPr>
          <w:rFonts w:ascii="Arial" w:cs="Arial" w:eastAsia="Arial" w:hAnsi="Arial"/>
          <w:sz w:val="13"/>
          <w:szCs w:val="13"/>
          <w:color w:val="auto"/>
        </w:rPr>
      </w:pPr>
      <w:r>
        <w:rPr>
          <w:rFonts w:ascii="Arial" w:cs="Arial" w:eastAsia="Arial" w:hAnsi="Arial"/>
          <w:sz w:val="16"/>
          <w:szCs w:val="16"/>
          <w:color w:val="auto"/>
        </w:rPr>
        <w:t>increased sales volume due to increased consumer demand including the impacts of the COVID-19 pandemic and driven by soils, fertilizer, grass seed, controls and plant food products in our U.S. Consumer segment, hydroponic gardening products in our Hawthorne segment and increased sales in our Other segment, partially offset by decreased sales of mulch products in our U.S. Consumer segment and a decrease due to the loss in sales from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extension products that were sold to Monsanto during fiscal 2019; and</w:t>
      </w:r>
    </w:p>
    <w:p>
      <w:pPr>
        <w:spacing w:after="0" w:line="1" w:lineRule="exact"/>
        <w:rPr>
          <w:rFonts w:ascii="Arial" w:cs="Arial" w:eastAsia="Arial" w:hAnsi="Arial"/>
          <w:sz w:val="13"/>
          <w:szCs w:val="13"/>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8"/>
          <w:szCs w:val="18"/>
          <w:color w:val="auto"/>
        </w:rPr>
        <w:t>partially offset by a decrease in expense reimbursements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9" w:lineRule="exact"/>
        <w:rPr>
          <w:rFonts w:ascii="Arial" w:cs="Arial" w:eastAsia="Arial" w:hAnsi="Arial"/>
          <w:sz w:val="14"/>
          <w:szCs w:val="14"/>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strengthening of the U.S. dollar relative to the euro and the Canadian dollar.</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increase in net sales for the nine months ended June 27, 2020 as compared to the nine months ended June 29, 2019 was primarily driven by:</w:t>
      </w:r>
    </w:p>
    <w:p>
      <w:pPr>
        <w:spacing w:after="0" w:line="129" w:lineRule="exact"/>
        <w:rPr>
          <w:sz w:val="20"/>
          <w:szCs w:val="20"/>
          <w:color w:val="auto"/>
        </w:rPr>
      </w:pPr>
    </w:p>
    <w:p>
      <w:pPr>
        <w:ind w:left="980" w:hanging="324"/>
        <w:spacing w:after="0" w:line="277" w:lineRule="auto"/>
        <w:tabs>
          <w:tab w:leader="none" w:pos="976" w:val="left"/>
        </w:tabs>
        <w:numPr>
          <w:ilvl w:val="0"/>
          <w:numId w:val="9"/>
        </w:numPr>
        <w:rPr>
          <w:rFonts w:ascii="Arial" w:cs="Arial" w:eastAsia="Arial" w:hAnsi="Arial"/>
          <w:sz w:val="14"/>
          <w:szCs w:val="14"/>
          <w:color w:val="auto"/>
        </w:rPr>
      </w:pPr>
      <w:r>
        <w:rPr>
          <w:rFonts w:ascii="Arial" w:cs="Arial" w:eastAsia="Arial" w:hAnsi="Arial"/>
          <w:sz w:val="18"/>
          <w:szCs w:val="18"/>
          <w:color w:val="auto"/>
        </w:rPr>
        <w:t>increased sales volume due to increased consumer demand including impacts of the COVID-19 pandemic and driven by soils, fertilizer, grass seed, controls and plant food products in our U.S. Consumer segment, hydroponic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80"/>
        <w:spacing w:after="0" w:line="234" w:lineRule="auto"/>
        <w:rPr>
          <w:sz w:val="20"/>
          <w:szCs w:val="20"/>
          <w:color w:val="auto"/>
        </w:rPr>
      </w:pPr>
      <w:r>
        <w:rPr>
          <w:rFonts w:ascii="Arial" w:cs="Arial" w:eastAsia="Arial" w:hAnsi="Arial"/>
          <w:sz w:val="18"/>
          <w:szCs w:val="18"/>
          <w:color w:val="auto"/>
        </w:rPr>
        <w:t>gardening products in our Hawthorne segment and increased sales in our Other segment, partially offset by decreased sales of mulch products in our U.S. Consumer segment and a decrease of $29.3 million due to the loss in sales from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products that were sold to Monsanto during fiscal 2019;</w:t>
      </w:r>
    </w:p>
    <w:p>
      <w:pPr>
        <w:spacing w:after="0" w:line="9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8"/>
          <w:szCs w:val="18"/>
          <w:color w:val="auto"/>
        </w:rPr>
        <w:t>increased pricing in our U.S. Consumer, Hawthorne and Other segments; and</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9"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the euro and the Canadian dollar.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414.8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1,206.4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966.6</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392.5</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324.4</w:t>
            </w:r>
          </w:p>
        </w:tc>
      </w:tr>
      <w:tr>
        <w:trPr>
          <w:trHeight w:val="27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41.3</w:t>
            </w:r>
          </w:p>
        </w:tc>
      </w:tr>
      <w:tr>
        <w:trPr>
          <w:trHeight w:val="243"/>
        </w:trPr>
        <w:tc>
          <w:tcPr>
            <w:tcW w:w="5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1,724.8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3.4</w:t>
            </w:r>
          </w:p>
        </w:tc>
      </w:tr>
      <w:tr>
        <w:trPr>
          <w:trHeight w:val="27"/>
        </w:trPr>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966.0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746.9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2,110.2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1,728.2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960" w:type="dxa"/>
            <w:vAlign w:val="bottom"/>
          </w:tcPr>
          <w:p>
            <w:pPr>
              <w:jc w:val="right"/>
              <w:ind w:right="274"/>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6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JUNE 27, 2020</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JUNE 27, 2020</w:t>
            </w:r>
          </w:p>
        </w:tc>
      </w:tr>
      <w:tr>
        <w:trPr>
          <w:trHeight w:val="196"/>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377.4</w:t>
            </w:r>
          </w:p>
        </w:tc>
      </w:tr>
      <w:tr>
        <w:trPr>
          <w:trHeight w:val="270"/>
        </w:trPr>
        <w:tc>
          <w:tcPr>
            <w:tcW w:w="6540" w:type="dxa"/>
            <w:vAlign w:val="bottom"/>
          </w:tcPr>
          <w:p>
            <w:pPr>
              <w:ind w:left="20"/>
              <w:spacing w:after="0"/>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00" w:type="dxa"/>
            <w:vAlign w:val="bottom"/>
          </w:tcPr>
          <w:p>
            <w:pPr>
              <w:spacing w:after="0"/>
              <w:rPr>
                <w:sz w:val="23"/>
                <w:szCs w:val="23"/>
                <w:color w:val="auto"/>
              </w:rPr>
            </w:pPr>
          </w:p>
        </w:tc>
        <w:tc>
          <w:tcPr>
            <w:tcW w:w="2100" w:type="dxa"/>
            <w:vAlign w:val="bottom"/>
          </w:tcPr>
          <w:p>
            <w:pPr>
              <w:jc w:val="right"/>
              <w:ind w:right="7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5.4</w:t>
            </w: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00" w:type="dxa"/>
            <w:vAlign w:val="bottom"/>
          </w:tcPr>
          <w:p>
            <w:pPr>
              <w:spacing w:after="0"/>
              <w:rPr>
                <w:sz w:val="21"/>
                <w:szCs w:val="21"/>
                <w:color w:val="auto"/>
              </w:rPr>
            </w:pPr>
          </w:p>
        </w:tc>
        <w:tc>
          <w:tcPr>
            <w:tcW w:w="210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370.1</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2100" w:type="dxa"/>
            <w:vAlign w:val="bottom"/>
          </w:tcPr>
          <w:p>
            <w:pPr>
              <w:jc w:val="right"/>
              <w:ind w:right="7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11.9</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382.0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three months ended June 27, 2020 as compared to the three months ended June 29, 2019 was primarily driven by:</w:t>
      </w:r>
    </w:p>
    <w:p>
      <w:pPr>
        <w:spacing w:after="0" w:line="14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impairment, restructuring and other charges of $11.8 million as a result of costs associated with the COVID-19 pandemic;</w:t>
      </w:r>
    </w:p>
    <w:p>
      <w:pPr>
        <w:spacing w:after="0" w:line="128" w:lineRule="exact"/>
        <w:rPr>
          <w:rFonts w:ascii="Arial" w:cs="Arial" w:eastAsia="Arial" w:hAnsi="Arial"/>
          <w:sz w:val="17"/>
          <w:szCs w:val="17"/>
          <w:color w:val="auto"/>
        </w:rPr>
      </w:pPr>
    </w:p>
    <w:p>
      <w:pPr>
        <w:ind w:left="980" w:hanging="324"/>
        <w:spacing w:after="0" w:line="277" w:lineRule="auto"/>
        <w:tabs>
          <w:tab w:leader="none" w:pos="976" w:val="left"/>
        </w:tabs>
        <w:numPr>
          <w:ilvl w:val="0"/>
          <w:numId w:val="11"/>
        </w:numPr>
        <w:rPr>
          <w:rFonts w:ascii="Arial" w:cs="Arial" w:eastAsia="Arial" w:hAnsi="Arial"/>
          <w:sz w:val="14"/>
          <w:szCs w:val="14"/>
          <w:color w:val="auto"/>
        </w:rPr>
      </w:pPr>
      <w:r>
        <w:rPr>
          <w:rFonts w:ascii="Arial" w:cs="Arial" w:eastAsia="Arial" w:hAnsi="Arial"/>
          <w:sz w:val="18"/>
          <w:szCs w:val="18"/>
          <w:color w:val="auto"/>
        </w:rPr>
        <w:t>partially offset by the favorable impact of foreign exchange rates as a result of the strengthening of the U.S. dollar relative to the euro and the Canadian dollar; and</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material costs in our U.S. Consumer, Hawthorne and Other segments.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nine months ended June 27, 2020 as compared to the nine months ended June 29, 2019 was primarily driven by:</w:t>
      </w:r>
    </w:p>
    <w:p>
      <w:pPr>
        <w:spacing w:after="0" w:line="14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segment;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impairment, restructuring and other charges of $11.9 million as a result of costs associated with the COVID-19 pandemic;</w:t>
      </w:r>
    </w:p>
    <w:p>
      <w:pPr>
        <w:spacing w:after="0" w:line="128" w:lineRule="exact"/>
        <w:rPr>
          <w:rFonts w:ascii="Arial" w:cs="Arial" w:eastAsia="Arial" w:hAnsi="Arial"/>
          <w:sz w:val="17"/>
          <w:szCs w:val="17"/>
          <w:color w:val="auto"/>
        </w:rPr>
      </w:pPr>
    </w:p>
    <w:p>
      <w:pPr>
        <w:ind w:left="980" w:hanging="324"/>
        <w:spacing w:after="0" w:line="277" w:lineRule="auto"/>
        <w:tabs>
          <w:tab w:leader="none" w:pos="976" w:val="left"/>
        </w:tabs>
        <w:numPr>
          <w:ilvl w:val="0"/>
          <w:numId w:val="13"/>
        </w:numPr>
        <w:rPr>
          <w:rFonts w:ascii="Arial" w:cs="Arial" w:eastAsia="Arial" w:hAnsi="Arial"/>
          <w:sz w:val="14"/>
          <w:szCs w:val="14"/>
          <w:color w:val="auto"/>
        </w:rPr>
      </w:pPr>
      <w:r>
        <w:rPr>
          <w:rFonts w:ascii="Arial" w:cs="Arial" w:eastAsia="Arial" w:hAnsi="Arial"/>
          <w:sz w:val="18"/>
          <w:szCs w:val="18"/>
          <w:color w:val="auto"/>
        </w:rPr>
        <w:t>partially offset by the favorable impact of foreign exchange rates as a result of the strengthening of the U.S. dollar relative to the euro and the Canadian dollar;</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lower material costs in our U.S. Consumer, Hawthorne and Other segments; and</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transportation costs included within “volume, product mix and other” in our U.S. Consumer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percentage of net sales, our gross profit rate was 35.3% and 36.2% for the three months ended June 27, 2020 and June 29, 2019, respectively. As a percentage of net sales, our gross profit rate was 34.9% and 35.0% for the nine months ended June 27, 2020 and June 29, 2019, respectively. Factors contributing to the change in gross profit rate are outlined in the following table: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208"/>
        </w:trPr>
        <w:tc>
          <w:tcPr>
            <w:tcW w:w="6440" w:type="dxa"/>
            <w:vAlign w:val="bottom"/>
          </w:tcPr>
          <w:p>
            <w:pPr>
              <w:spacing w:after="0"/>
              <w:rPr>
                <w:sz w:val="18"/>
                <w:szCs w:val="18"/>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JUNE 27, 2020</w:t>
            </w:r>
          </w:p>
        </w:tc>
        <w:tc>
          <w:tcPr>
            <w:tcW w:w="2340" w:type="dxa"/>
            <w:vAlign w:val="bottom"/>
          </w:tcPr>
          <w:p>
            <w:pPr>
              <w:jc w:val="right"/>
              <w:ind w:right="634"/>
              <w:spacing w:after="0"/>
              <w:rPr>
                <w:sz w:val="20"/>
                <w:szCs w:val="20"/>
                <w:color w:val="auto"/>
              </w:rPr>
            </w:pPr>
            <w:r>
              <w:rPr>
                <w:rFonts w:ascii="Arial" w:cs="Arial" w:eastAsia="Arial" w:hAnsi="Arial"/>
                <w:sz w:val="14"/>
                <w:szCs w:val="14"/>
                <w:b w:val="1"/>
                <w:bCs w:val="1"/>
                <w:color w:val="auto"/>
              </w:rPr>
              <w:t>JUNE 27, 2020</w:t>
            </w:r>
          </w:p>
        </w:tc>
      </w:tr>
      <w:tr>
        <w:trPr>
          <w:trHeight w:val="25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34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340" w:type="dxa"/>
            <w:vAlign w:val="bottom"/>
          </w:tcPr>
          <w:p>
            <w:pPr>
              <w:jc w:val="right"/>
              <w:ind w:right="154"/>
              <w:spacing w:after="0"/>
              <w:rPr>
                <w:sz w:val="20"/>
                <w:szCs w:val="20"/>
                <w:color w:val="auto"/>
              </w:rPr>
            </w:pPr>
            <w:r>
              <w:rPr>
                <w:rFonts w:ascii="Arial" w:cs="Arial" w:eastAsia="Arial" w:hAnsi="Arial"/>
                <w:sz w:val="18"/>
                <w:szCs w:val="18"/>
                <w:color w:val="auto"/>
              </w:rPr>
              <w:t>0.2</w:t>
            </w:r>
          </w:p>
        </w:tc>
      </w:tr>
      <w:tr>
        <w:trPr>
          <w:trHeight w:val="27"/>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Volume, product mix and other</w:t>
            </w:r>
          </w:p>
        </w:tc>
        <w:tc>
          <w:tcPr>
            <w:tcW w:w="234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340" w:type="dxa"/>
            <w:vAlign w:val="bottom"/>
          </w:tcPr>
          <w:p>
            <w:pPr>
              <w:ind w:left="1800"/>
              <w:spacing w:after="0"/>
              <w:rPr>
                <w:sz w:val="20"/>
                <w:szCs w:val="20"/>
                <w:color w:val="auto"/>
              </w:rPr>
            </w:pPr>
            <w:r>
              <w:rPr>
                <w:rFonts w:ascii="Arial" w:cs="Arial" w:eastAsia="Arial" w:hAnsi="Arial"/>
                <w:sz w:val="18"/>
                <w:szCs w:val="18"/>
                <w:color w:val="auto"/>
              </w:rPr>
              <w:t>(0.7)</w:t>
            </w:r>
          </w:p>
        </w:tc>
      </w:tr>
      <w:tr>
        <w:trPr>
          <w:trHeight w:val="27"/>
        </w:trPr>
        <w:tc>
          <w:tcPr>
            <w:tcW w:w="64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340" w:type="dxa"/>
            <w:vAlign w:val="bottom"/>
          </w:tcPr>
          <w:p>
            <w:pPr>
              <w:jc w:val="right"/>
              <w:ind w:right="9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340" w:type="dxa"/>
            <w:vAlign w:val="bottom"/>
          </w:tcPr>
          <w:p>
            <w:pPr>
              <w:ind w:left="1800"/>
              <w:spacing w:after="0"/>
              <w:rPr>
                <w:sz w:val="20"/>
                <w:szCs w:val="20"/>
                <w:color w:val="auto"/>
              </w:rPr>
            </w:pPr>
            <w:r>
              <w:rPr>
                <w:rFonts w:ascii="Arial" w:cs="Arial" w:eastAsia="Arial" w:hAnsi="Arial"/>
                <w:sz w:val="18"/>
                <w:szCs w:val="18"/>
                <w:color w:val="auto"/>
              </w:rPr>
              <w:t>(0.4)</w:t>
            </w:r>
          </w:p>
        </w:tc>
      </w:tr>
      <w:tr>
        <w:trPr>
          <w:trHeight w:val="27"/>
        </w:trPr>
        <w:tc>
          <w:tcPr>
            <w:tcW w:w="64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8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gross profit rate</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w w:val="98"/>
              </w:rPr>
              <w:t>(0.1)%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three months ended June 27, 2020 as compared to the three months ended June 29, 2019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3"/>
          <w:szCs w:val="13"/>
          <w:color w:val="auto"/>
        </w:rPr>
      </w:pPr>
      <w:r>
        <w:rPr>
          <w:rFonts w:ascii="Arial" w:cs="Arial" w:eastAsia="Arial" w:hAnsi="Arial"/>
          <w:sz w:val="17"/>
          <w:szCs w:val="17"/>
          <w:color w:val="auto"/>
        </w:rPr>
        <w:t>an increase in impairment, restructuring and other charges of $11.8 million as a result of costs associated with the COVID-19 pandemic;</w:t>
      </w:r>
    </w:p>
    <w:p>
      <w:pPr>
        <w:spacing w:after="0" w:line="128" w:lineRule="exact"/>
        <w:rPr>
          <w:rFonts w:ascii="Arial" w:cs="Arial" w:eastAsia="Arial" w:hAnsi="Arial"/>
          <w:sz w:val="13"/>
          <w:szCs w:val="13"/>
          <w:color w:val="auto"/>
        </w:rPr>
      </w:pPr>
    </w:p>
    <w:p>
      <w:pPr>
        <w:ind w:left="980" w:hanging="324"/>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8"/>
          <w:szCs w:val="18"/>
          <w:color w:val="auto"/>
        </w:rPr>
        <w:t>a decrease in expense reimbursements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9" w:lineRule="exact"/>
        <w:rPr>
          <w:rFonts w:ascii="Arial" w:cs="Arial" w:eastAsia="Arial" w:hAnsi="Arial"/>
          <w:sz w:val="14"/>
          <w:szCs w:val="14"/>
          <w:color w:val="auto"/>
        </w:rPr>
      </w:pPr>
    </w:p>
    <w:p>
      <w:pPr>
        <w:ind w:left="980" w:hanging="324"/>
        <w:spacing w:after="0" w:line="277" w:lineRule="auto"/>
        <w:tabs>
          <w:tab w:leader="none" w:pos="976" w:val="left"/>
        </w:tabs>
        <w:numPr>
          <w:ilvl w:val="0"/>
          <w:numId w:val="14"/>
        </w:numPr>
        <w:rPr>
          <w:rFonts w:ascii="Arial" w:cs="Arial" w:eastAsia="Arial" w:hAnsi="Arial"/>
          <w:sz w:val="14"/>
          <w:szCs w:val="14"/>
          <w:color w:val="auto"/>
        </w:rPr>
      </w:pPr>
      <w:r>
        <w:rPr>
          <w:rFonts w:ascii="Arial" w:cs="Arial" w:eastAsia="Arial" w:hAnsi="Arial"/>
          <w:sz w:val="18"/>
          <w:szCs w:val="18"/>
          <w:color w:val="auto"/>
        </w:rPr>
        <w:t>unfavorable mix driven by higher sales growth in our Hawthorne segment relative to our U.S. Consumer segment and increased sales of lower tier and commodity soils products within our U.S. Consumer segment;</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8"/>
          <w:szCs w:val="18"/>
          <w:color w:val="auto"/>
        </w:rPr>
        <w:t>partially offset by increased pricing in our U.S. Consumer, Hawthorne and Other segments;</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material costs in our U.S. Consumer, Hawthorne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Hawthorne and Other segments.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nine months ended June 27, 2020 as compared to the nine months ended June 29, 2019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impairment, restructuring and other charges of $11.9 million as a result of costs associated with the COVID-19 pandemic;</w:t>
      </w:r>
    </w:p>
    <w:p>
      <w:pPr>
        <w:spacing w:after="0" w:line="128" w:lineRule="exact"/>
        <w:rPr>
          <w:rFonts w:ascii="Arial" w:cs="Arial" w:eastAsia="Arial" w:hAnsi="Arial"/>
          <w:sz w:val="17"/>
          <w:szCs w:val="17"/>
          <w:color w:val="auto"/>
        </w:rPr>
      </w:pPr>
    </w:p>
    <w:p>
      <w:pPr>
        <w:ind w:left="980" w:hanging="324"/>
        <w:spacing w:after="0" w:line="277" w:lineRule="auto"/>
        <w:tabs>
          <w:tab w:leader="none" w:pos="976" w:val="left"/>
        </w:tabs>
        <w:numPr>
          <w:ilvl w:val="0"/>
          <w:numId w:val="15"/>
        </w:numPr>
        <w:rPr>
          <w:rFonts w:ascii="Arial" w:cs="Arial" w:eastAsia="Arial" w:hAnsi="Arial"/>
          <w:sz w:val="14"/>
          <w:szCs w:val="14"/>
          <w:color w:val="auto"/>
        </w:rPr>
      </w:pPr>
      <w:r>
        <w:rPr>
          <w:rFonts w:ascii="Arial" w:cs="Arial" w:eastAsia="Arial" w:hAnsi="Arial"/>
          <w:sz w:val="18"/>
          <w:szCs w:val="18"/>
          <w:color w:val="auto"/>
        </w:rPr>
        <w:t>unfavorable mix driven by higher sales growth in our Hawthorne segment relative to our U.S. Consumer segment and increased sales of lower tier and commodity soils products within our U.S. Consumer segment; and</w:t>
      </w:r>
    </w:p>
    <w:p>
      <w:pPr>
        <w:spacing w:after="0" w:line="62" w:lineRule="exact"/>
        <w:rPr>
          <w:rFonts w:ascii="Arial" w:cs="Arial" w:eastAsia="Arial" w:hAnsi="Arial"/>
          <w:sz w:val="14"/>
          <w:szCs w:val="14"/>
          <w:color w:val="auto"/>
        </w:rPr>
      </w:pPr>
    </w:p>
    <w:p>
      <w:pPr>
        <w:ind w:left="980" w:hanging="324"/>
        <w:spacing w:after="0" w:line="277" w:lineRule="auto"/>
        <w:tabs>
          <w:tab w:leader="none" w:pos="976" w:val="left"/>
        </w:tabs>
        <w:numPr>
          <w:ilvl w:val="0"/>
          <w:numId w:val="15"/>
        </w:numPr>
        <w:rPr>
          <w:rFonts w:ascii="Arial" w:cs="Arial" w:eastAsia="Arial" w:hAnsi="Arial"/>
          <w:sz w:val="14"/>
          <w:szCs w:val="14"/>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segment;</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increased pricing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material costs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transportation costs included within “volume, product mix and other” in our U.S. Consumer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Hawthorne and Other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28.4</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24.7</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274.2</w:t>
            </w:r>
          </w:p>
        </w:tc>
      </w:tr>
      <w:tr>
        <w:trPr>
          <w:trHeight w:val="237"/>
        </w:trPr>
        <w:tc>
          <w:tcPr>
            <w:tcW w:w="56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462.4</w:t>
            </w: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SG&amp;A increased $71.3 million, or 42.8%, during the three months ended June 27, 2020 compared to the three months ended June 29, 2019. Advertising expense increased $13.8 million, or 33.0%, during the three months ended June 27, 2020 driven by increased media spending in our U.S. Consumer segment. Share-based compensation expense increased $11.4 million, or 100.0%, during the three months ended June 27, 2020 due to an increase in the expected payout percentage on long-term performance-based awards. Other SG&amp;A increased $47.7 million, or 50.3%, during the three months ended June 27, 2020 driven by higher short-term variable cash incentive compensation expense and higher selling expense.</w:t>
      </w:r>
    </w:p>
    <w:p>
      <w:pPr>
        <w:spacing w:after="0" w:line="10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SG&amp;A increased $90.7 million, or 19.6%, during the nine months ended June 27, 2020 compared to the nine months ended June 29, 2019. Advertising expense increased $16.1 million, or 15.1%, during the nine months ended June 27, 2020 driven by increased media spending in our U.S. Consumer segment. Share-based compensation expense increased $13.4 million, or 47.2%, during the nine months ended June 27, 2020 due to an increase in the expected payout percentage on long-term performance-based awards. Other SG&amp;A increased $63.6 million, or 23.2%, during the nine months ended June 27, 2020 driven by higher short-term variable cash incentive compensation expense and higher selling expense.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0.5</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w w:val="99"/>
              </w:rPr>
              <w:t>Impairment, restructuring and other charges from continuing operations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7.7</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net, from discontinued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r>
      <w:tr>
        <w:trPr>
          <w:trHeight w:val="236"/>
        </w:trPr>
        <w:tc>
          <w:tcPr>
            <w:tcW w:w="568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(28.1)</w:t>
            </w: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response to the COVID-19 pandemic, we have implemented additional measures intended to both protect the health and safety of our employees and maintain our ability to provide products to our customers as described in additional detail above under “COVID-19 Response and Impacts.” During the three and nine months ended June 27, 2020, we incurred costs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$16.5 million and $20.3 million, respectively, associated with the COVID-19 pandemic primarily related to premium pay. We incurred costs of $9.6 million and $12.2 million in our U.S. Consumer segment, $2.0 million and $2.5 million in our Hawthorne segment and $0.6 million in our Other segment in the “Cost of sales—impairment, restructuring and other” line in the Condensed Consolidated Statements of Operations during the three and nine months ended June 27, 2020, respectively. We incurred costs of $4.2 million and $4.9 million in our U.S. Consumer segment and $0.1 million in our Other segment in the “Impairment, restructuring and other” line in the Condensed Consolidated Statements of Operations during the three and nine months ended June 27, 2020, respectively.</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5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Costs incurred during the three and nine months ended June 27, 2020 related to Project Catalyst were not material. Costs incurred to date since the inception of Project Catalyst are $25.3 million for our Hawthorne segment, $13.5 million for our U.S. Consumer segment, $1.3 million for our Other segment and $2.8 million for Corporate. Additionally, during the three and nine months ended June 27, 2020, we received zero and $2.6 million, respectively, from the final settlement of escrow funds related to a previous acquisition within the Hawthorne segment that was recognized in the “Impairment, restructuring and other” line in the Condensed Consolidated Statements of Operations.</w:t>
      </w:r>
    </w:p>
    <w:p>
      <w:pPr>
        <w:spacing w:after="0" w:line="9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three and nine months ended June 29, 2019, we incurred charges of $0.4 million and $8.0 million, respectively, related to Project Catalyst. We incurred charges of zero and $0.4 million in our U.S. Consumer segment, $(0.1) million and $2.4 million in our Hawthorne segment and zero and $0.6 million in our Other segment in the “Cost of sales—impairment, restructuring and other” line in the Condensed Consolidated Statements of Operations during the three and nine months ended June 29, 2019, respectively, related to employee termination benefits, facility closure costs and impairment of property, plant and equipment. We incurred charges of zero and $0.5 million in our U.S. Consumer segment, $0.5 million and $2.6 million in our Hawthorne segment, zero and $0.6 million in our Other segment and zero and $0.9 million at Corporate in the “Impairment, restructuring and other” line in the Condensed Consolidated Statements of Operations during the three and nine months ended June 29, 2019, respectively, related to employee termination benefits and facility closure costs.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We recognized insurance recoveries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of zero and $1.5 million during the three and nine months ended June 27, 2020, respectively, and recognized insurance recoveries of $8.4 million and $13.4 million during the three and nine months ended June 29, 2019, respectively, in the “Income (loss) from discontinued operations, net of tax” line in the Condensed Consolidated Statements of Operations. In addition, during the three and nine months ended June 29, 2019, we recognized a favorable adjustment of $22.5 million in the “Income (loss) from discontinued operations, net of tax” line in the Condensed Consolidated Statements of Operations as a result of the final resolution of the previously disclosed settlement agreement. Refer to “NOTE 2. DISCONTINUED OPERATIONS” of the Notes to Condensed Consolidated Financial Statements (Unaudited) included in this Quarterly Report on Form 10-Q for more information.</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During the three and nine months ended June 29, 2019, we recognized favorable adjustments of zero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(income) expense is comprised of activities outside our normal business operations, such as royalty income from the licensing of certain of our brand names, foreign exchange transaction gains and losses and gains and losses from the disposition of non-inventory assets. Other (income) expense was $0.3 million and $(1.8) million for the three months ended June 27, 2020 and June 29, 2019, respectively. The change for the three months ended June 27, 2020 was primarily due to foreign exchange transaction losses. Other (income) expense was $0.4 million and $(0.1) million for the nine months ended June 27, 2020 and June 29, 2019,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Income from operations was $284.5 million for the three months ended June 27, 2020, an increase of 10.2% compared to $258.2 million for the three months ended June 29, 2019. Income from operations was $575.6 million for the nine months ended June 27, 2020, an increase of 24.2% compared to $463.5 million for the nine months ended June 29, 2019. For the three and nine months ended June 27, 2020, the increase was driven by higher net sales, partially offset by higher SG&amp;A, higher impairment, restructuring and other charges and decreased other income.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Equity in income of unconsolidated affiliates was zero for the three months ended June 27, 2020 and June 29, 2019 and was zero and $3.3 million for the nine months ended June 27, 2020 and June 29, 2019, respectively. The decrease for the nine months ended June 27, 2020 was attributable to the sale of our equity interest in an unconsolidated affiliate whose products support the professional U.S. industrial, turf and ornamental market (the “IT&amp;O Joint Venture”) on April 1,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Costs related to refinancing were zero and $15.1 million for the three and nine months ended June 27, 2020. The costs incurred for the nine months ended June 27, 2020 were associated with the redemption of our 6.000% Senior Notes due 2023 (the “6.000% Senior Notes”), and are comprised of $12.0 million of redemption premium and $3.1 million of unamortized bond issuance costs that were written off. Refer to “NOTE 7. DEBT” of the Notes to the Condensed Consolidated Financial Statements (Unaudited) included in this Quarterly Report on Form 10-Q for more information regarding the redemption of the 6.000% Senior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Interest expense was $20.3 million for the three months ended June 27, 2020, a decrease of 21.6% compared to $25.9 million for the three months ended June 29, 2019. The decrease was driven by a decrease in average borrowings of $175.8 million and a decrease in our weighted average interest rate of 70 basis points. The decrease in average borrowings was primarily driven by the application of the proceeds from the sale of our approximately 30% equity interest in Outdoor Home Services Holdings LLC, a lawn service joint venture between the Company and TruGreen Holding Corporation (the “TruGreen Joint Venture”), the payoff of second lien term loan financing by the TruGreen Joint Venture, the sale of our equity interest in the IT&amp;O Joint Venture and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assets to reduce our indebtedness. The decrease in our weighted average interest rate was driven by lower borrowing rates on the Fifth A&amp;R Credit Agreement, the issuance of the 4.500% Senior Notes due 2029 (the “4.500% Senior Notes”) and the redemption of the 6.000% Senior Notes.</w:t>
      </w:r>
    </w:p>
    <w:p>
      <w:pPr>
        <w:spacing w:after="0" w:line="13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Interest expense was $63.0 million for the nine months ended June 27, 2020, a decrease of 21.3% compared to $80.0 million for the nine months ended June 29, 2019. The decrease was driven by a decrease in average borrowings of $263.6 million and a decrease in our weighted average interest rate of 50 basis points. The decrease in average borrowings was primarily driven by the application of the proceeds from the sale of our approximately 30% equity interest in the TruGreen Joint Venture, the payoff of second lien term loan financing by the TruGreen Joint Venture, the sale of our equity interest in the IT&amp;O Joint Venture and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assets to reduce our indebtedness. The decrease in our weighted average interest rate was driven by lower borrowing rates on the Fifth A&amp;R Credit Agreement, the issuance of the 4.500% Senior Notes and the redemption of the 6.000% Senior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non-operating income, which includes the non-service-cost components of net post-employment benefit cost and interest income, was $1.9 million and $5.1 million for the three months ended June 27, 2020 and June 29, 2019, respectively, and was $7.3 million and $268.2 million for the nine months ended June 27, 2020 and June 29, 2019, respectively.</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March 19, 2019, we entered into an agreement under which we sold, to TruGreen Companies L.L.C., a subsidiary of TruGreen Holding Corporation, all of our approximately 30% equity interest in the TruGreen Joint Venture. Prior to this transaction, our net investment and advances with respect to the TruGreen Joint Venture had been reduced to a liability which resulted in an amount recorded in the “Distributions in excess of investment in unconsolidated affiliate” line in the Condensed Consolidated Balance Sheets. In connection with this transaction, we received cash proceeds of $234.2 million related to the sale of our equity interest in the TruGreen Joint Venture and $18.4 million related to the payoff of second lien term loan financing by the TruGreen Joint Venture. During the nine months ended June 29, 2019, we also received a distribution from the TruGreen Joint Venture intended to cover certain required tax payments of $3.5 million, which was classified as an investing activity in the Condensed Consolidated Statements of Cash Flows. During the three and nine months ended June 29, 2019, we recognized a pre-tax gain of zero and $259.8 million, respectively, related to this sale in the “Other non-operating income, net” line in the Condensed Consolidated Statements of Operations. The cash proceeds were applied to reduce our indebtedness. During the third quarter of fiscal 2019, we made cash tax payments of $75.2 million associated with this disposition.</w:t>
      </w:r>
    </w:p>
    <w:p>
      <w:pPr>
        <w:spacing w:after="0" w:line="10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April 1, 2019, we sold all of our noncontrolling equity interest in the IT&amp;O Joint Venture for cash proceeds of $36.6 million. During the three and nine months ended June 29, 2019, we recognized a pre-tax gain of $2.9 million related to this sale in the “Other non-operating income, net” line in the Condensed Consolidated Statements of Operations. During the nine months ended June 29, 2019, we received a distribution of net earnings from the IT&amp;O Joint Venture of $4.9 million, which was classified as an operating activity in the Condensed Consolidated Statements of Cash Flows.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second quarter of fiscal 2019, we recognized a charge of $2.5 million in the “Other non-operating income, net” line in the Condensed Consolidated Statements of Operations related to the write-off of accumulated foreign currency translation loss adjustments of a foreign subsidiary that was substantially liquidated.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from Continuing Operations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rates related to continuing operations for the nine months ended June 27, 2020 and June 29, 2019 were 24.2% and 24.8%,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Income from continuing operations was $204.3 million, or $3.57 per diluted share, for the three months ended June 27, 2020 compared to $178.0 million, or $3.15 per diluted share, for the three months ended June 29, 2019. The increase was driven by higher net sales and lower interest expense, partially offset by higher SG&amp;A, increased impairment, restructuring and other charges, lower other non-operating income and decreased other income.</w:t>
      </w:r>
    </w:p>
    <w:p>
      <w:pPr>
        <w:spacing w:after="0" w:line="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Diluted average common shares used in the diluted income per common share calculation were 57.1 million for the three months ended June 27, 2020 compared to 56.6 million for the three months ended June 29, 2019. The increase was primarily the result of the exercise and issuance of share-based compensation awards, partially offset by Common Share repurchase activity.</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$382.8 million, or $6.74 per diluted share, for the nine months ended June 27, 2020 compared to $492.3 million, or $8.78 per diluted share, for the nine months ended June 29, 2019. The decrease was driven by lower other non-operating income, higher SG&amp;A, increased impairment, restructuring and other charges, higher costs related to refinancing, lower equity in income of unconsolidated affiliates and decreased other income, partially offset by higher net sales and lower interest expense.</w:t>
      </w:r>
    </w:p>
    <w:p>
      <w:pPr>
        <w:spacing w:after="0" w:line="10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Diluted average common shares used in the diluted income per common share calculation were 56.7 million for the nine months ended June 27, 2020 compared to 56.1 million for the nine months ended June 29, 2019. The increase was primarily the result of the exercise and issuance of share-based compensation awards, partially offset by Common Share repurchase activity.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Income (loss) from discontinued operations, net of tax, was $(1.0) million and $1.6 million for the three and nine months ended June 27, 2020, respectively, as compared to $23.6 million and $26.1 million for the three and nine months ended June 29, 2019, respectively.</w:t>
      </w:r>
    </w:p>
    <w:p>
      <w:pPr>
        <w:spacing w:after="0" w:line="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We recognized insurance recoveries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of zero and $1.5 million during the three and nine months ended June 27, 2020, respectively, and recognized insurance recoveries of $8.4 million and $13.4 million during the three and nine months ended June 29, 2019, respectively. In addition, during the three and nine months ended June 29, 2019, we recognized a favorable adjustment of $22.5 million as a result of the final resolution of the previously disclosed settlement agreement related to this matter. Refer to “NOTE 2. DISCONTINUED OPERATIONS” of the Notes to Condensed Consolidated Financial Statements (Unaudited) included in this Quarterly Report on Form 10-Q for more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divide our operations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our chief operating decision maker.</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which is a non-GAAP financial measure. Senior management uses Segment Profit (Loss) to evaluate segment performance because they believe this measure is indicative of performance trends and the overall earnings potential of each segment.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8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1,075.8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2,325.9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2,019.5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40" w:type="dxa"/>
            <w:vAlign w:val="bottom"/>
          </w:tcPr>
          <w:p>
            <w:pPr>
              <w:spacing w:after="0"/>
              <w:rPr>
                <w:sz w:val="21"/>
                <w:szCs w:val="21"/>
                <w:color w:val="auto"/>
              </w:rPr>
            </w:pPr>
          </w:p>
        </w:tc>
        <w:tc>
          <w:tcPr>
            <w:tcW w:w="1060" w:type="dxa"/>
            <w:vAlign w:val="bottom"/>
          </w:tcPr>
          <w:p>
            <w:pPr>
              <w:jc w:val="right"/>
              <w:ind w:right="58"/>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8"/>
              <w:spacing w:after="0"/>
              <w:rPr>
                <w:sz w:val="20"/>
                <w:szCs w:val="20"/>
                <w:color w:val="auto"/>
              </w:rPr>
            </w:pPr>
            <w:r>
              <w:rPr>
                <w:rFonts w:ascii="Arial" w:cs="Arial" w:eastAsia="Arial" w:hAnsi="Arial"/>
                <w:sz w:val="18"/>
                <w:szCs w:val="18"/>
                <w:color w:val="auto"/>
              </w:rPr>
              <w:t>731.7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461.1</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177.7</w:t>
            </w:r>
          </w:p>
        </w:tc>
      </w:tr>
      <w:tr>
        <w:trPr>
          <w:trHeight w:val="263"/>
        </w:trPr>
        <w:tc>
          <w:tcPr>
            <w:tcW w:w="5680" w:type="dxa"/>
            <w:vAlign w:val="bottom"/>
          </w:tcPr>
          <w:p>
            <w:pPr>
              <w:ind w:left="46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1,492.7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3,241.3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2,658.3</w:t>
            </w:r>
          </w:p>
        </w:tc>
      </w:tr>
      <w:tr>
        <w:trPr>
          <w:trHeight w:val="21"/>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548.5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31.6</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r>
      <w:tr>
        <w:trPr>
          <w:trHeight w:val="237"/>
        </w:trPr>
        <w:tc>
          <w:tcPr>
            <w:tcW w:w="5680" w:type="dxa"/>
            <w:vAlign w:val="bottom"/>
          </w:tcPr>
          <w:p>
            <w:pPr>
              <w:ind w:left="340"/>
              <w:spacing w:after="0"/>
              <w:rPr>
                <w:sz w:val="20"/>
                <w:szCs w:val="20"/>
                <w:color w:val="auto"/>
              </w:rPr>
            </w:pPr>
            <w:r>
              <w:rPr>
                <w:rFonts w:ascii="Arial" w:cs="Arial" w:eastAsia="Arial" w:hAnsi="Arial"/>
                <w:sz w:val="18"/>
                <w:szCs w:val="18"/>
                <w:color w:val="auto"/>
              </w:rPr>
              <w:t>Total Segment Profit (Non-GAAP)</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737.2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593.1</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(25.2)</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3.3</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(80.0)</w:t>
            </w: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268.2</w:t>
            </w:r>
          </w:p>
        </w:tc>
      </w:tr>
      <w:tr>
        <w:trPr>
          <w:trHeight w:val="237"/>
        </w:trPr>
        <w:tc>
          <w:tcPr>
            <w:tcW w:w="568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 (GAAP)</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655.0</w:t>
            </w: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U.S. Consumer segment net sales were $1,075.8 million in the third quarter of fiscal 2020, an increase of 21.0% from third quarter of fiscal 2019 net sales of $889.1 million, and were $2,325.9 million for the first nine months of fiscal 2020, an increase of 15.2% from the first nine months of fiscal 2019 net sales of $2,019.5 million. For the third quarter of fiscal 2020, the increase was driven by the favorable impacts of volume and pricing of 19.4% and 1.6%, respectively. For the nine months ended June 27, 2020, the increase was driven by the favorable impacts of volume and pricing of 13.8% and 1.4%, respectively. The increase in sales volume for the three and nine months ended June 27, 2020 was driven by soils, fertilizer, grass seed, controls and plant food products, partially offset by decreased sales of mulch products and the loss in sales from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products that were sold to Monsanto during fiscal 2019. Additionally, during the third quarter of fiscal 2019, Monsanto agreed to reimburse us for $20.0 million of additional expenses incurred by the Company for certain activities connected to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marketing agreement and this payment was recognized in the “Net sales” line in the Condensed Consolidated Statements of Operations during the third quarter of fiscal 2019.</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Consumer Segment Profit was $310.5 million in the third quarter of fiscal 2020, an increase of 14.4% from the third quarter of fiscal 2019 Segment Profit of $271.5 million; and was $641.9 million for the first nine months of fiscal 2020, an increase of 17.0% from the first nine months of fiscal 2019 Segment Profit of $548.5 million. For the three and nine months ended June 27, 2020, the increase was due to higher net sales and a higher gross profit rate, partially offset by higher SG&amp;A.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Hawthorne segment net sales were $302.9 million in the third quarter of fiscal 2020, an increase of 71.8% from third quarter of fiscal 2019 net sales of $176.3 million; and were $731.7 million for the first nine months of fiscal 2020, an increase of 58.7% from the first nine months of fiscal 2019 net sales of $461.1 million. For the third quarter of fiscal 2020, the increase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was driven by the favorable impacts of volume and pricing of 67.9% and 4.6%, respectively, partially offset by the unfavorable impact of foreign exchange rates of 0.7%. For the nine months ended June 27, 2020, the increase was driven by the favorable impacts of volume and pricing of 55.5% and 3.7%, respectively, partially offset by the unfavorable impact of foreign exchange rates of 0.5%.</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Hawthorne Segment Profit was $41.1 million in the third quarter of fiscal 2020, an increase of 144.6% from the third quarter of fiscal 2019 Segment Profit of $16.8 million; and was $80.5 million for the first nine months of fiscal 2020, an increase of 154.7% from the first nine months of fiscal 2019 Segment Profit of $31.6 million. For the three and nine months ended June 27, 2020, the increase was driven by higher net sales and a higher gross profit rate, partially offset by higher SG&amp;A.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segment net sales were $114.0 million in the third quarter of fiscal 2020, an increase of 8.7% from third quarter of fiscal 2019 net sales of $104.9 million; and were $183.7 million in the first nine months of fiscal 2020, an increase of 3.4% from the first nine months of fiscal 2019 net sales of $177.7 million. For the third quarter of fiscal 2020, the increase was driven by the favorable impacts of volume and pricing of 12.9% and 0.4%, respectively, partially offset by the unfavorable impact of foreign exchange rates of 4.6%. For the nine months ended June 27, 2020, the increase was driven by the favorable impacts of volume and pricing of 6.6% and 0.3%, respectively, partially offset by the unfavorable impact of foreign exchange rates of 3.4%.</w:t>
      </w:r>
    </w:p>
    <w:p>
      <w:pPr>
        <w:spacing w:after="0" w:line="1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Other Segment Profit was $14.4 million in the third quarter of fiscal 2020, an increase of 9.1% from the third quarter of fiscal 2019 Segment Profit of $13.2 million; and was $14.8 million for the first nine months of fiscal 2020, an increase of 13.8% from the first nine months of fiscal 2019 Segment Profit of $13.0 million. For the three months ended June 27, 2020, the increase was driven by higher net sales and lower SG&amp;A, partially offset by a lower gross profit rate. For the nine months ended June 27, 2020, the increase was driven by higher net sales, a higher gross profit rate and lower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Corporate expenses were $57.8 million in the third quarter of fiscal 2020, an increase of 68.0% from third quarter of fiscal 2019 expenses of $34.4 million; and were $120.7 million for the first nine months of fiscal 2020, an increase of 24.8% from the first nine months of fiscal 2019 expenses of $96.7 million. For the three and nine months ended June 27, 2020, the increase was driven by higher short-term variable cash incentive compensation expense and an increase in the expected payout percentage on long-term performance-based awards.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JUNE 27,</w:t>
            </w:r>
          </w:p>
        </w:tc>
        <w:tc>
          <w:tcPr>
            <w:tcW w:w="500" w:type="dxa"/>
            <w:vAlign w:val="bottom"/>
          </w:tcPr>
          <w:p>
            <w:pPr>
              <w:spacing w:after="0"/>
              <w:rPr>
                <w:sz w:val="13"/>
                <w:szCs w:val="13"/>
                <w:color w:val="auto"/>
              </w:rPr>
            </w:pPr>
          </w:p>
        </w:tc>
        <w:tc>
          <w:tcPr>
            <w:tcW w:w="110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196"/>
        </w:trPr>
        <w:tc>
          <w:tcPr>
            <w:tcW w:w="8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left="720"/>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17"/>
                <w:szCs w:val="17"/>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center"/>
              <w:ind w:left="500"/>
              <w:spacing w:after="0"/>
              <w:rPr>
                <w:sz w:val="20"/>
                <w:szCs w:val="20"/>
                <w:color w:val="auto"/>
              </w:rPr>
            </w:pPr>
            <w:r>
              <w:rPr>
                <w:rFonts w:ascii="Arial" w:cs="Arial" w:eastAsia="Arial" w:hAnsi="Arial"/>
                <w:sz w:val="18"/>
                <w:szCs w:val="18"/>
                <w:color w:val="auto"/>
                <w:w w:val="91"/>
              </w:rPr>
              <w:t>42.5</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21"/>
                <w:szCs w:val="21"/>
                <w:color w:val="auto"/>
              </w:rPr>
            </w:pPr>
          </w:p>
        </w:tc>
        <w:tc>
          <w:tcPr>
            <w:tcW w:w="1220" w:type="dxa"/>
            <w:vAlign w:val="bottom"/>
          </w:tcPr>
          <w:p>
            <w:pPr>
              <w:jc w:val="center"/>
              <w:ind w:left="500"/>
              <w:spacing w:after="0"/>
              <w:rPr>
                <w:sz w:val="20"/>
                <w:szCs w:val="20"/>
                <w:color w:val="auto"/>
              </w:rPr>
            </w:pPr>
            <w:r>
              <w:rPr>
                <w:rFonts w:ascii="Arial" w:cs="Arial" w:eastAsia="Arial" w:hAnsi="Arial"/>
                <w:sz w:val="18"/>
                <w:szCs w:val="18"/>
                <w:color w:val="auto"/>
                <w:w w:val="91"/>
              </w:rPr>
              <w:t>74.4</w:t>
            </w:r>
          </w:p>
        </w:tc>
        <w:tc>
          <w:tcPr>
            <w:tcW w:w="50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263.5</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89"/>
              </w:rPr>
              <w:t>(87.4)</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(182.9)</w:t>
            </w:r>
          </w:p>
        </w:tc>
      </w:tr>
      <w:tr>
        <w:trPr>
          <w:trHeight w:val="27"/>
        </w:trPr>
        <w:tc>
          <w:tcPr>
            <w:tcW w:w="8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provided by operating activities totaled $42.5 million for the nine months ended June 27, 2020, an increase of $120.2 million as compared to cash used in operating activities of $77.7 million for the nine months ended June 29, 2019. This increase was driven by higher net sales and lower interest payments during the nine months ended June 27, 2020, timing of customer rebate payments, payments made in connection with litigation settlements of $55.2 million partially offset by insurance reimbursements of $13.4 million received during the nine months ended June 29, 2019, and lower tax payments due to timing as well as payments of $75.2 million made in connection with the sale of our equity interest in the TruGreen Joint Venture during the nine months ended June 29, 2019, partially offset by higher short-term variable cash incentive compensation payouts and higher SG&amp;A during the nine months ended June 27,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Cash provided by investing activities totaled $74.4 million for the nine months ended June 27, 2020 as compared to $263.5 million for the nine months ended June 29, 2019. Cash used for investments in property, plant and equipment during the first nine months of fiscal 2020 and 2019 was $41.7 million and $28.8 million, respectively. During the nine months ended June 27, 2020, we received proceeds of $115.5 million from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assets. During the nine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months ended June 27, 2020, we made a $2.5 million loan investment and received cash of $2.9 million associated with currency forward contracts. During the nine months ended June 29, 2019, we sold our interest in the TruGreen Joint Venture for cash proceeds of $234.2 million related to the sale of our equity interest and $18.4 million related to the payoff of second lien term loan financing, and we sold our equity interest in the IT&amp;O Joint Venture for cash proceeds of $36.6 million. During the nine months ended June 29, 2019, we paid a post-closing net working capital adjustment obligation of $6.6 million related to the fiscal 2018 acquisition of Sunlight Supply and we received cash of $3.6 million associated with currency forward contracts.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used in financing activities totaled $87.4 million for the nine months ended June 27, 2020 as compared to $182.9 million for the nine months ended June 29, 2019. This change was the result of the issuance of $450.0 million aggregate principal amount of 4.500% Senior Notes and an increase in net borrowings under our Fifth A&amp;R Credit Facilities (as defined below) of $15.7 million during the nine months ended June 27, 2020 as compared to net repayments on our Fifth A&amp;R Credit Facilities of $90.2 million during the nine months ended June 29, 2019, and an increase in cash received from the exercise of stock options of $13.8 million, partially offset by the redemption of all $400.0 million aggregate principal amount of 6.000% Senior Notes, payment of financing and issuance fees of $18.7 million and an increase in repurchases of our Common Shares of $50.1 million during the nine months ended June 27, 2020.</w:t>
      </w:r>
    </w:p>
    <w:p>
      <w:pPr>
        <w:spacing w:after="0" w:line="12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27, 2020, the Scotts Miracle-Gro Board of Directors approved a special cash dividend of $5.00 per Common Share, which will be paid on September 10, 2020 to all shareholders of record at the close of business on August 27, 2020. In addition, on July 27, 2020, the Scotts Miracle-Gro Board of Directors also approved an increase in our quarterly cash dividend from $0.58 to $0.62 per Common Share.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$48.3 million, $36.4 million and $18.8 million as of June 27, 2020, June 29, 2019 and September 30, 2019, respectively, included $33.0 million, $24.0 million and $7.2 million, respectively, held by controlled foreign corporations. As of June 27, 2020, we maintain our assertion of indefinite reinvestment of the earnings of all material foreign subsidiaries with the exception of the cumulative earnings of Scotts Luxembourg Sarl, which are generally taxed on a current basis under “Subpart F” of the Code which prevents deferral of recognition of U.S. taxable income through the use of foreign entities.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 billion, comprised of a revolving credit facility of $1.5 billion and a term loan in the original principal amount of $800.0 million (the “Fifth A&amp;R Credit Facilities”).</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June 27, 2020, we had letters of credit outstanding in the aggregate principal amount of $21.8 million, and $1,372.0 million of borrowing availability under the Fifth A&amp;R Credit Agreement. The weighted average interest rates on average borrowings under the Fifth A&amp;R Credit Agreement were 3.4% and 4.6% for the nine months ended June 27, 2020 and June 29, 2019, respectively.</w:t>
      </w:r>
    </w:p>
    <w:p>
      <w:pPr>
        <w:spacing w:after="0" w:line="10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4.75 for the second quarter of fiscal 2020 through the fourth quarter of fiscal 2020 and 4.50 for the first quarter of fiscal 2021 and thereafter. Our leverage ratio was 2.80 at June 27, 2020.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June 27, 2020. Our interest coverage ratio was 8.50 for the twelve months ended June 27, 2020. As of June 27, 2020, we were in compliance with these financial covenants.</w:t>
      </w:r>
    </w:p>
    <w:p>
      <w:pPr>
        <w:spacing w:after="0" w:line="9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Fifth A&amp;R Credit Agreement allows us to make unlimited restricted payments (as defined in the Fifth A&amp;R Credit Agreement), including dividend payments and Common Share repurchases, as long as the leverage ratio resulting from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making of such restricted payments is 4.00 or less. Otherwise we may make further restricted payments in an aggregate amount for each fiscal year not to exceed $225.0 million for fiscal 2020 and thereafter.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2020.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million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2019, we issued $450.0 million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23, 2019, we redeemed all of our outstanding 6.000% Senior Notes for a redemption price of $412.5 million, comprised of $0.5 million of accrued and unpaid interest, $12.0 million of redemption premium, and $400.0 million for outstanding principal amount. The $12.0 million redemption premium was recognized in the “Costs related to refinancing” line on the Condensed Consolidated Statements of Operations during the first quarter of fiscal 2020. Additionally, we had $3.1 million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also maintain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beginning on February 28, 2020 and ending on June 19, 2020 was $160.0 million. The Receivables Facility expires on August 21, 2020 but is expected to be renewed prior to its expiration.</w:t>
      </w:r>
    </w:p>
    <w:p>
      <w:pPr>
        <w:spacing w:after="0" w:line="9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 primarily as a result of our requirement to repurchase receivables sold. As of June 27, 2020 and June 29, 2019, there were $160.0 million and $316.0 million, respectively, in borrowings on receivables pledged as collateral under the Receivables Facility, and the carrying value of the receivables pledged as collateral was $177.8 million and $351.1 million, respectively.</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The swap agreements had a maximum total U.S. dollar equivalent notional amount of $600.0 million, $850.0 million and $850.0 million at June 27, 2020, June 29, 2019 and September 30, 2019, respectively. Interest payments made between the effective date and expiration date are hedged by the swap agreements, except as noted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June 27, 2020 are shown in the table below:</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80" w:type="dxa"/>
            <w:vAlign w:val="bottom"/>
          </w:tcPr>
          <w:p>
            <w:pPr>
              <w:jc w:val="right"/>
              <w:ind w:right="57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600" w:type="dxa"/>
            <w:vAlign w:val="bottom"/>
          </w:tcPr>
          <w:p>
            <w:pPr>
              <w:jc w:val="center"/>
              <w:ind w:left="828"/>
              <w:spacing w:after="0"/>
              <w:rPr>
                <w:sz w:val="20"/>
                <w:szCs w:val="20"/>
                <w:color w:val="auto"/>
              </w:rPr>
            </w:pPr>
            <w:r>
              <w:rPr>
                <w:rFonts w:ascii="Arial" w:cs="Arial" w:eastAsia="Arial" w:hAnsi="Arial"/>
                <w:sz w:val="14"/>
                <w:szCs w:val="14"/>
                <w:b w:val="1"/>
                <w:bCs w:val="1"/>
                <w:color w:val="auto"/>
                <w:w w:val="92"/>
              </w:rPr>
              <w:t>Effective</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Expiration</w:t>
            </w:r>
          </w:p>
        </w:tc>
        <w:tc>
          <w:tcPr>
            <w:tcW w:w="2560" w:type="dxa"/>
            <w:vAlign w:val="bottom"/>
          </w:tcPr>
          <w:p>
            <w:pPr>
              <w:jc w:val="right"/>
              <w:ind w:right="933"/>
              <w:spacing w:after="0"/>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4"/>
                <w:szCs w:val="14"/>
                <w:color w:val="auto"/>
              </w:rPr>
            </w:pPr>
          </w:p>
        </w:tc>
      </w:tr>
      <w:tr>
        <w:trPr>
          <w:trHeight w:val="192"/>
        </w:trPr>
        <w:tc>
          <w:tcPr>
            <w:tcW w:w="380" w:type="dxa"/>
            <w:vAlign w:val="bottom"/>
          </w:tcPr>
          <w:p>
            <w:pPr>
              <w:spacing w:after="0"/>
              <w:rPr>
                <w:sz w:val="16"/>
                <w:szCs w:val="16"/>
                <w:color w:val="auto"/>
              </w:rPr>
            </w:pPr>
          </w:p>
        </w:tc>
        <w:tc>
          <w:tcPr>
            <w:tcW w:w="1980" w:type="dxa"/>
            <w:vAlign w:val="bottom"/>
          </w:tcPr>
          <w:p>
            <w:pPr>
              <w:jc w:val="right"/>
              <w:ind w:right="73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600" w:type="dxa"/>
            <w:vAlign w:val="bottom"/>
          </w:tcPr>
          <w:p>
            <w:pPr>
              <w:jc w:val="center"/>
              <w:ind w:left="828"/>
              <w:spacing w:after="0"/>
              <w:rPr>
                <w:sz w:val="20"/>
                <w:szCs w:val="20"/>
                <w:color w:val="auto"/>
              </w:rPr>
            </w:pPr>
            <w:r>
              <w:rPr>
                <w:rFonts w:ascii="Arial" w:cs="Arial" w:eastAsia="Arial" w:hAnsi="Arial"/>
                <w:sz w:val="14"/>
                <w:szCs w:val="14"/>
                <w:b w:val="1"/>
                <w:bCs w:val="1"/>
                <w:color w:val="auto"/>
                <w:w w:val="97"/>
              </w:rPr>
              <w:t>Date (a)</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Date</w:t>
            </w:r>
          </w:p>
        </w:tc>
        <w:tc>
          <w:tcPr>
            <w:tcW w:w="2560" w:type="dxa"/>
            <w:vAlign w:val="bottom"/>
          </w:tcPr>
          <w:p>
            <w:pPr>
              <w:jc w:val="right"/>
              <w:ind w:right="953"/>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r>
      <w:tr>
        <w:trPr>
          <w:trHeight w:val="250"/>
        </w:trPr>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10/20/2020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2"/>
        </w:trPr>
        <w:tc>
          <w:tcPr>
            <w:tcW w:w="380" w:type="dxa"/>
            <w:vAlign w:val="bottom"/>
          </w:tcPr>
          <w:p>
            <w:pPr>
              <w:spacing w:after="0"/>
              <w:rPr>
                <w:sz w:val="22"/>
                <w:szCs w:val="22"/>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940" w:type="dxa"/>
            <w:vAlign w:val="bottom"/>
            <w:gridSpan w:val="2"/>
          </w:tcPr>
          <w:p>
            <w:pPr>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8"/>
        </w:trPr>
        <w:tc>
          <w:tcPr>
            <w:tcW w:w="3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80" w:type="dxa"/>
            <w:vAlign w:val="bottom"/>
          </w:tcPr>
          <w:p>
            <w:pPr>
              <w:spacing w:after="0"/>
              <w:rPr>
                <w:sz w:val="21"/>
                <w:szCs w:val="21"/>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12/21/2020</w:t>
            </w:r>
          </w:p>
        </w:tc>
        <w:tc>
          <w:tcPr>
            <w:tcW w:w="3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2"/>
        </w:trPr>
        <w:tc>
          <w:tcPr>
            <w:tcW w:w="380" w:type="dxa"/>
            <w:vAlign w:val="bottom"/>
          </w:tcPr>
          <w:p>
            <w:pPr>
              <w:spacing w:after="0"/>
              <w:rPr>
                <w:sz w:val="22"/>
                <w:szCs w:val="22"/>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300</w:t>
            </w:r>
          </w:p>
        </w:tc>
        <w:tc>
          <w:tcPr>
            <w:tcW w:w="1940" w:type="dxa"/>
            <w:vAlign w:val="bottom"/>
            <w:gridSpan w:val="2"/>
          </w:tcPr>
          <w:p>
            <w:pPr>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8"/>
        </w:trPr>
        <w:tc>
          <w:tcPr>
            <w:tcW w:w="3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2"/>
        </w:trPr>
        <w:tc>
          <w:tcPr>
            <w:tcW w:w="380" w:type="dxa"/>
            <w:vAlign w:val="bottom"/>
          </w:tcPr>
          <w:p>
            <w:pPr>
              <w:spacing w:after="0"/>
              <w:rPr>
                <w:sz w:val="22"/>
                <w:szCs w:val="22"/>
                <w:color w:val="auto"/>
              </w:rPr>
            </w:pPr>
          </w:p>
        </w:tc>
        <w:tc>
          <w:tcPr>
            <w:tcW w:w="198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940" w:type="dxa"/>
            <w:vAlign w:val="bottom"/>
            <w:gridSpan w:val="2"/>
          </w:tcPr>
          <w:p>
            <w:pPr>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1"/>
        </w:trPr>
        <w:tc>
          <w:tcPr>
            <w:tcW w:w="38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the 2019 Annual Report, under “ITEM 1A. RISK FACTORS — Our indebtedness could limit our flexibility and adversely affect our financial condition” and in our Quarterly Report on Form 10-Q for the quarter ended March 28, 2020, under Part II, “ITEM 1A. RISK FACTORS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5.250% Senior Notes and 4.500% Senior Notes were issued by Scotts Miracle-Gro on December 15, 2016 and October 22, 2019, respectively. The 5.250% Senior Notes and 4.500%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1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guarantees are “full and unconditional,” as those terms are used in Regulation S-X, Rule 3-10(b)(3), except that a Guarantor’s guarantee will be released in certain circumstances set forth in the indentures governing the 5.250% Senior Notes and 4.500% Senior Notes, such as (1) upon any sale or other disposition of all or substantially all of the assets of the Guarantor (including by way of merger or consolidation) to any person other than Scotts Miracle-Gro or any “restricted subsidiary” under the applicable indenture; (2) if the Guarantor merges with and into Scotts Miracle-Gro, with Scotts Miracle-Gro surviving such merger; (3) if the Guarantor is designated an “unrestricted subsidiary” in accordance with the applicable indenture or otherwise ceases to be a “restricted subsidiary” (including by way of liquidation or dissolution) in a transaction permitted by such indenture; (4) upon legal or covenant defeasance; (5) at the election of Scotts Miracle-Gro following the Guarantor’s release as a guarantor under the Fifth A&amp;R Credit Agreement, except a release by or as a result of the repayment of the Fifth A&amp;R Credit Agreement; or (6) if the Guarantor ceases to be a “restricted subsidiary” and the Guarantor is not otherwise required to provide a guarantee of the 5.250% Senior Notes and the 4.500% Senior Notes pursuant to the applicable indenture.</w:t>
      </w:r>
    </w:p>
    <w:p>
      <w:pPr>
        <w:spacing w:after="0" w:line="9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foreign subsidiaries and certain of our domestic subsidiaries are not guarantors (collectively, the “Non-Guarantors”) on the 5.250% Senior Notes and 4.500% Senior Notes. Payments on the 5.250% Senior Notes and 4.500%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Non-Guarantors before any assets are made available for distribution to Scotts Miracle-Gro or the Guarantors. As a result, the 5.250% Senior Notes and 4.500% Senior Notes are effectively subordinated to all the liabilities of the Non-Guarantors.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5.250% Senior Notes and 4.500% Senior Notes.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5.250% Senior Notes or the 4.500% Senior Notes.</w:t>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5.250% Senior Notes and 4.500% Senior Notes would constitute a preference, fraudulent transfer or conveyances on other grounds. If a guarantee is voided as a fraudulent conveyance or is found to be unenforceable for any other reason, the holders of the 5.250% Senior Notes and 4.500% Senior Notes will not have a claim against the Guarantor.</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Non-Guarantor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8"/>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3"/>
          </w:tcPr>
          <w:p>
            <w:pPr>
              <w:jc w:val="right"/>
              <w:ind w:right="10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1,523.2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895.6</w:t>
            </w: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26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1,777.1</w:t>
            </w:r>
          </w:p>
        </w:tc>
        <w:tc>
          <w:tcPr>
            <w:tcW w:w="260" w:type="dxa"/>
            <w:vAlign w:val="bottom"/>
          </w:tcPr>
          <w:p>
            <w:pPr>
              <w:spacing w:after="0"/>
              <w:rPr>
                <w:sz w:val="23"/>
                <w:szCs w:val="23"/>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1,682.1</w:t>
            </w: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1,013.2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569.3</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1,656.6</w:t>
            </w:r>
          </w:p>
        </w:tc>
        <w:tc>
          <w:tcPr>
            <w:tcW w:w="260" w:type="dxa"/>
            <w:vAlign w:val="bottom"/>
          </w:tcPr>
          <w:p>
            <w:pPr>
              <w:spacing w:after="0"/>
              <w:rPr>
                <w:sz w:val="21"/>
                <w:szCs w:val="21"/>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1,560.2</w:t>
            </w:r>
          </w:p>
        </w:tc>
      </w:tr>
    </w:tbl>
    <w:p>
      <w:pPr>
        <w:spacing w:after="0" w:line="25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$11.8 million and $5.3 million, respectively.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rPr>
              <w:t>YEAR</w:t>
            </w:r>
          </w:p>
        </w:tc>
      </w:tr>
      <w:tr>
        <w:trPr>
          <w:trHeight w:val="192"/>
        </w:trPr>
        <w:tc>
          <w:tcPr>
            <w:tcW w:w="8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ENDED</w:t>
            </w:r>
          </w:p>
        </w:tc>
      </w:tr>
      <w:tr>
        <w:trPr>
          <w:trHeight w:val="152"/>
        </w:trPr>
        <w:tc>
          <w:tcPr>
            <w:tcW w:w="8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JUNE 27,</w:t>
            </w:r>
          </w:p>
        </w:tc>
        <w:tc>
          <w:tcPr>
            <w:tcW w:w="140" w:type="dxa"/>
            <w:vAlign w:val="bottom"/>
          </w:tcPr>
          <w:p>
            <w:pPr>
              <w:spacing w:after="0"/>
              <w:rPr>
                <w:sz w:val="13"/>
                <w:szCs w:val="13"/>
                <w:color w:val="auto"/>
              </w:rPr>
            </w:pPr>
          </w:p>
        </w:tc>
        <w:tc>
          <w:tcPr>
            <w:tcW w:w="132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9"/>
              </w:rPr>
              <w:t>SEPTEMBER 30,</w:t>
            </w:r>
          </w:p>
        </w:tc>
      </w:tr>
      <w:tr>
        <w:trPr>
          <w:trHeight w:val="192"/>
        </w:trPr>
        <w:tc>
          <w:tcPr>
            <w:tcW w:w="8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4"/>
          </w:tcPr>
          <w:p>
            <w:pPr>
              <w:jc w:val="right"/>
              <w:ind w:right="1058"/>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2,931.0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2,806.3</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948.1</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417.7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441.4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441.4</w:t>
            </w:r>
          </w:p>
        </w:tc>
      </w:tr>
      <w:tr>
        <w:trPr>
          <w:trHeight w:val="27"/>
        </w:trPr>
        <w:tc>
          <w:tcPr>
            <w:tcW w:w="8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intercompany expense from Non-Guarantor subsidiaries of $3.5 million and $9.2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than the issuance of our 4.500% Senior Notes and the redemption of all outstanding 6.000% Senior Notes during the first quarter of fiscal 2020, there have been no material changes outside of the ordinary course of business in our outstanding contractual obligations since the end of fiscal 2019 and through June 27,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2019 Annual Report, under “ITEM 1. BUSINESS — Regulatory Considerations” and “ITEM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2019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2019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June 27,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27, 2020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fiscal year ended September 30, 2019. There have been no material changes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risk factors, as of June 27, 2020, have not materially changed from those described in Part I, Item 1A of our Annual Report on Form 10-K for the year ended September 30, 2019 filed on November 27, 2019 as updated in Part II, Item 1A of our Quarterly Report on Form 10-Q for the quarter ended March 28, 2020 filed on May 6,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the 2019 Annual Report and in “ITEM 1A. RISK FACTORS” in Part II of our Quarterly Report on Form 10-Q for the quarter ended March 28, 2020. All forward-looking statements attributable to us or persons working on our behalf are expressly qualified in their entirety by such risk factors.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$225.0 million for fiscal 2020 and thereafter. The Company’s leverage ratio was 2.80 at June 27, 2020.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June 27,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 per</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29, 2020 through April 25, 2020</w:t>
            </w:r>
          </w:p>
        </w:tc>
        <w:tc>
          <w:tcPr>
            <w:tcW w:w="15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111.48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April 26, 2020 through May 23, 2020</w:t>
            </w:r>
          </w:p>
        </w:tc>
        <w:tc>
          <w:tcPr>
            <w:tcW w:w="1520" w:type="dxa"/>
            <w:vAlign w:val="bottom"/>
          </w:tcPr>
          <w:p>
            <w:pPr>
              <w:jc w:val="right"/>
              <w:ind w:right="83"/>
              <w:spacing w:after="0"/>
              <w:rPr>
                <w:sz w:val="20"/>
                <w:szCs w:val="20"/>
                <w:color w:val="auto"/>
              </w:rPr>
            </w:pPr>
            <w:r>
              <w:rPr>
                <w:rFonts w:ascii="Arial" w:cs="Arial" w:eastAsia="Arial" w:hAnsi="Arial"/>
                <w:sz w:val="16"/>
                <w:szCs w:val="16"/>
                <w:color w:val="auto"/>
              </w:rPr>
              <w:t>872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127.72</w:t>
            </w:r>
          </w:p>
        </w:tc>
        <w:tc>
          <w:tcPr>
            <w:tcW w:w="100" w:type="dxa"/>
            <w:vAlign w:val="bottom"/>
          </w:tcPr>
          <w:p>
            <w:pPr>
              <w:spacing w:after="0"/>
              <w:rPr>
                <w:sz w:val="19"/>
                <w:szCs w:val="19"/>
                <w:color w:val="auto"/>
              </w:rPr>
            </w:pPr>
          </w:p>
        </w:tc>
        <w:tc>
          <w:tcPr>
            <w:tcW w:w="1720" w:type="dxa"/>
            <w:vAlign w:val="bottom"/>
          </w:tcPr>
          <w:p>
            <w:pPr>
              <w:ind w:left="14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5"/>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 24, 2020 through June 27, 2020</w:t>
            </w:r>
          </w:p>
        </w:tc>
        <w:tc>
          <w:tcPr>
            <w:tcW w:w="15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138.12</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3,139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135.16</w:t>
            </w:r>
          </w:p>
        </w:tc>
        <w:tc>
          <w:tcPr>
            <w:tcW w:w="100" w:type="dxa"/>
            <w:vAlign w:val="bottom"/>
          </w:tcPr>
          <w:p>
            <w:pPr>
              <w:spacing w:after="0"/>
              <w:rPr>
                <w:sz w:val="21"/>
                <w:szCs w:val="21"/>
                <w:color w:val="auto"/>
              </w:rPr>
            </w:pPr>
          </w:p>
        </w:tc>
        <w:tc>
          <w:tcPr>
            <w:tcW w:w="172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660" w:hanging="328"/>
        <w:spacing w:after="0" w:line="286" w:lineRule="auto"/>
        <w:tabs>
          <w:tab w:leader="none" w:pos="654"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Common Shares purchased during the third fiscal quarter of 2020 were purchased in open market transactions. The total number of Common Shares purchased during this quarter includes 3,139 Common Shares purchased by the trustee of the rabbi trust established by the Company as permitted pursuant to the terms of The Scotts Company LLC Executive Retirement Plan (the “ERP”).</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660" w:hanging="328"/>
        <w:spacing w:after="0" w:line="301" w:lineRule="auto"/>
        <w:tabs>
          <w:tab w:leader="none" w:pos="654" w:val="left"/>
        </w:tabs>
        <w:numPr>
          <w:ilvl w:val="0"/>
          <w:numId w:val="19"/>
        </w:numPr>
        <w:rPr>
          <w:rFonts w:ascii="Arial" w:cs="Arial" w:eastAsia="Arial" w:hAnsi="Arial"/>
          <w:sz w:val="16"/>
          <w:szCs w:val="16"/>
          <w:color w:val="333333"/>
        </w:rPr>
      </w:pPr>
      <w:r>
        <w:rPr>
          <w:rFonts w:ascii="Arial" w:cs="Arial" w:eastAsia="Arial" w:hAnsi="Arial"/>
          <w:sz w:val="16"/>
          <w:szCs w:val="16"/>
          <w:color w:val="auto"/>
        </w:rPr>
        <w:t>On January 31, 2020, the Scotts Miracle-Gro Board of Directors authorized a new repurchase program allowing for repurchases of up to $750.0 million of Common Shares from April 30, 2020 through March 25, 2023. The previous repurchase program, which authorized repurchases of up to $1.0 billion, expired on March 28, 2020. In addition, on March 26, 2020, the Company announced a temporary suspension of share repurchase activity, effective as of March 30, 2020, in order to enhance the Company’s financial flexibility in response to the COVID-19 pandemic.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On August 3, 2020, the Board approved an amendment and restatement (the “Amendment and Restatement”) to The Scotts Company LLC Amended and Restated Executive Incentive Plan (“Plan”), effective as of October 1, 2019. All of the Company’s named executive officers participate in the Plan. Among other things, the Amendment and Restatement: (i) incorporates a range of payout calculated from 0-250% based on Company performance for a fiscal year, and a personal performance factor of from 0-150% for that fiscal year, which is multiplied by the result of the Company performance and could increase or reduce the result; (ii) allows the Compensation and Organization Committee of the Board to exercise positive, as well as negative, discretion in determining an individual’s actual award based on additional factors it deems appropriate under the circumstances; and (iii) eliminates the previous $6.0 million limit on the amount that may be paid to any one individual.</w:t>
      </w:r>
    </w:p>
    <w:p>
      <w:pPr>
        <w:spacing w:after="0" w:line="9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On August 3, 2020, the Board approved an amendment and restatement to the Company’s Code of Business Conduct and Ethics (the “Amended Code”). Among other items, the Amended Code clarifies the conflict of interest guidance, expands upon the Company’s stated commitment to wellness, health and safety, makes explicit the Company’s commitment to upholding human rights, clarifies the Company’s procedures and expectations concerning giving and accepting gifts and entertainment vis-à-vis its business partners, adds language reflecting the Company’s corporate sustainability actions and initiatives, and makes general revisions to language, brand artwork and images. The Amended Code does not result in any waiver with respect to any officer, director or employee of the Company from any provision of the Code in effect before the Board’s approval of the Amended Code.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The foregoing summaries of the Amendment and Restatement and the Amended Code are qualified in their entirety by reference to the full text of the Amendment and Restatement and the Amended Code, respectively. A copy of the Amendment and Restatement and the Amended Code are filed as Exhibit 10 and Exhibit 14, respectively, to this Quarterly Report on Form 10-Q and are incorporated herein by reference. In addition, the Amended Code will also be available on the Investor Relations section of the Company’s website at www.scottsmiraclegro.com.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46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QUARTERLY PERIOD ENDED JUNE 27,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40" w:type="dxa"/>
            <w:vAlign w:val="bottom"/>
            <w:gridSpan w:val="5"/>
          </w:tcPr>
          <w:p>
            <w:pPr>
              <w:ind w:left="2260"/>
              <w:spacing w:after="0"/>
              <w:rPr>
                <w:sz w:val="20"/>
                <w:szCs w:val="20"/>
                <w:color w:val="auto"/>
              </w:rPr>
            </w:pPr>
            <w:r>
              <w:rPr>
                <w:rFonts w:ascii="Arial" w:cs="Arial" w:eastAsia="Arial" w:hAnsi="Arial"/>
                <w:sz w:val="18"/>
                <w:szCs w:val="18"/>
                <w:color w:val="auto"/>
              </w:rPr>
              <w:t>INDEX TO EXHIBITS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gridSpan w:val="5"/>
          </w:tcPr>
          <w:p>
            <w:pPr>
              <w:ind w:left="420"/>
              <w:spacing w:after="0"/>
              <w:rPr>
                <w:sz w:val="20"/>
                <w:szCs w:val="20"/>
                <w:color w:val="auto"/>
              </w:rPr>
            </w:pPr>
            <w:r>
              <w:rPr>
                <w:rFonts w:ascii="Arial" w:cs="Arial" w:eastAsia="Arial" w:hAnsi="Arial"/>
                <w:sz w:val="18"/>
                <w:szCs w:val="18"/>
                <w:color w:val="auto"/>
              </w:rPr>
              <w:t>Incorporated by Reference</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vMerge w:val="restart"/>
          </w:tcPr>
          <w:p>
            <w:pPr>
              <w:jc w:val="center"/>
              <w:ind w:left="170"/>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40" w:type="dxa"/>
            <w:vAlign w:val="bottom"/>
            <w:gridSpan w:val="5"/>
          </w:tcPr>
          <w:p>
            <w:pPr>
              <w:ind w:left="1280"/>
              <w:spacing w:after="0"/>
              <w:rPr>
                <w:sz w:val="20"/>
                <w:szCs w:val="20"/>
                <w:color w:val="auto"/>
              </w:rPr>
            </w:pPr>
            <w:r>
              <w:rPr>
                <w:rFonts w:ascii="Arial" w:cs="Arial" w:eastAsia="Arial" w:hAnsi="Arial"/>
                <w:sz w:val="18"/>
                <w:szCs w:val="18"/>
                <w:color w:val="auto"/>
              </w:rPr>
              <w:t>Description</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Form</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Exhibit</w:t>
            </w:r>
          </w:p>
        </w:tc>
        <w:tc>
          <w:tcPr>
            <w:tcW w:w="104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vMerge w:val="restart"/>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line="196"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gridSpan w:val="8"/>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The Scotts Company LLC Amended and Restated Executive Incentive 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 xml:space="preserve">effective as of </w:t>
              </w:r>
              <w:r>
                <w:rPr>
                  <w:rFonts w:ascii="Arial" w:cs="Arial" w:eastAsia="Arial" w:hAnsi="Arial"/>
                  <w:sz w:val="18"/>
                  <w:szCs w:val="18"/>
                  <w:u w:val="single" w:color="auto"/>
                  <w:color w:val="0000FF"/>
                </w:rPr>
                <w:t>October 1, 2019</w:t>
              </w:r>
            </w:hyperlink>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The Scotts Miracle-Gro Company Code of Business Conduct &amp; Ethics (as revised</w:t>
              </w:r>
            </w:hyperlink>
          </w:p>
        </w:tc>
        <w:tc>
          <w:tcPr>
            <w:tcW w:w="26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6"/>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 xml:space="preserve">effective August 3, </w:t>
              </w:r>
              <w:r>
                <w:rPr>
                  <w:rFonts w:ascii="Arial" w:cs="Arial" w:eastAsia="Arial" w:hAnsi="Arial"/>
                  <w:sz w:val="18"/>
                  <w:szCs w:val="18"/>
                  <w:u w:val="single" w:color="auto"/>
                  <w:color w:val="0000FF"/>
                </w:rPr>
                <w:t>2020)</w:t>
              </w:r>
            </w:hyperlink>
          </w:p>
        </w:tc>
        <w:tc>
          <w:tcPr>
            <w:tcW w:w="2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80" w:type="dxa"/>
            <w:vAlign w:val="bottom"/>
            <w:gridSpan w:val="8"/>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Subsidiaries of The Scotts Miracle-Gro Company</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06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180" w:type="dxa"/>
            <w:vAlign w:val="bottom"/>
            <w:gridSpan w:val="8"/>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Guarantor Subsidiaries</w:t>
              </w:r>
            </w:hyperlink>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180" w:type="dxa"/>
            <w:vAlign w:val="bottom"/>
            <w:gridSpan w:val="8"/>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Rule 13a-14(a)/15d-14(a) Certifications (Principal Executive Officer)</w:t>
              </w:r>
            </w:hyperlink>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180" w:type="dxa"/>
            <w:vAlign w:val="bottom"/>
            <w:gridSpan w:val="8"/>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Rule 13a-14(a)/15d-14(a) Certifications (Principal Financial Officer)</w:t>
              </w:r>
            </w:hyperlink>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w:anchor="page86">
              <w:r>
                <w:rPr>
                  <w:rFonts w:ascii="Arial" w:cs="Arial" w:eastAsia="Arial" w:hAnsi="Arial"/>
                  <w:sz w:val="18"/>
                  <w:szCs w:val="18"/>
                  <w:color w:val="0000FF"/>
                  <w:w w:val="92"/>
                </w:rPr>
                <w:t>Section 1350 Certifications (Principal Executive Officer and Principal Financial</w:t>
              </w:r>
            </w:hyperlink>
          </w:p>
        </w:tc>
        <w:tc>
          <w:tcPr>
            <w:tcW w:w="42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gridSpan w:val="5"/>
          </w:tcPr>
          <w:p>
            <w:pPr>
              <w:spacing w:after="0" w:line="156" w:lineRule="exact"/>
              <w:rPr>
                <w:rFonts w:ascii="Arial" w:cs="Arial" w:eastAsia="Arial" w:hAnsi="Arial"/>
                <w:sz w:val="18"/>
                <w:szCs w:val="18"/>
                <w:color w:val="0000FF"/>
              </w:rPr>
            </w:pPr>
            <w:hyperlink w:anchor="page86">
              <w:r>
                <w:rPr>
                  <w:rFonts w:ascii="Arial" w:cs="Arial" w:eastAsia="Arial" w:hAnsi="Arial"/>
                  <w:sz w:val="18"/>
                  <w:szCs w:val="18"/>
                  <w:color w:val="0000FF"/>
                </w:rPr>
                <w:t>Officer)</w:t>
              </w:r>
            </w:hyperlink>
          </w:p>
        </w:tc>
        <w:tc>
          <w:tcPr>
            <w:tcW w:w="42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2"/>
                <w:szCs w:val="22"/>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Exhibit 101)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6" w:name="page47"/>
    <w:bookmarkEnd w:id="4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63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u w:val="single" w:color="auto"/>
          <w:color w:val="auto"/>
        </w:rPr>
        <w:t>Exhibit 10</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OCTOBER 1, 2019)</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Objectives</w:t>
      </w:r>
    </w:p>
    <w:p>
      <w:pPr>
        <w:spacing w:after="0" w:line="10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1.1 Provide meaningful financial incentives consistent with and supportive of corporate strategies and objectives.</w:t>
      </w:r>
    </w:p>
    <w:p>
      <w:pPr>
        <w:spacing w:after="0" w:line="109" w:lineRule="exact"/>
        <w:rPr>
          <w:rFonts w:ascii="Arial" w:cs="Arial" w:eastAsia="Arial" w:hAnsi="Arial"/>
          <w:sz w:val="22"/>
          <w:szCs w:val="22"/>
          <w:color w:val="auto"/>
        </w:rPr>
      </w:pPr>
    </w:p>
    <w:p>
      <w:pPr>
        <w:ind w:left="1300" w:hanging="648"/>
        <w:spacing w:after="0" w:line="250" w:lineRule="auto"/>
        <w:rPr>
          <w:rFonts w:ascii="Arial" w:cs="Arial" w:eastAsia="Arial" w:hAnsi="Arial"/>
          <w:sz w:val="22"/>
          <w:szCs w:val="22"/>
          <w:color w:val="auto"/>
        </w:rPr>
      </w:pPr>
      <w:r>
        <w:rPr>
          <w:rFonts w:ascii="Arial" w:cs="Arial" w:eastAsia="Arial" w:hAnsi="Arial"/>
          <w:sz w:val="22"/>
          <w:szCs w:val="22"/>
          <w:color w:val="auto"/>
        </w:rPr>
        <w:t>1.2 Encourage team effort toward achievement of corporate financial and strategic goals aligned with shareholders of The Scotts Miracle-Gro Company and our customers.</w:t>
      </w:r>
    </w:p>
    <w:p>
      <w:pPr>
        <w:spacing w:after="0" w:line="6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1.3 Contribute toward a competitive compensation program for all Participants.</w:t>
      </w:r>
    </w:p>
    <w:p>
      <w:pPr>
        <w:spacing w:after="0" w:line="92" w:lineRule="exact"/>
        <w:rPr>
          <w:rFonts w:ascii="Arial" w:cs="Arial" w:eastAsia="Arial" w:hAnsi="Arial"/>
          <w:sz w:val="22"/>
          <w:szCs w:val="22"/>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104" w:lineRule="exact"/>
        <w:rPr>
          <w:rFonts w:ascii="Arial" w:cs="Arial" w:eastAsia="Arial" w:hAnsi="Arial"/>
          <w:sz w:val="22"/>
          <w:szCs w:val="22"/>
          <w:color w:val="auto"/>
        </w:rPr>
      </w:pPr>
    </w:p>
    <w:p>
      <w:pPr>
        <w:ind w:left="1300" w:hanging="648"/>
        <w:spacing w:after="0" w:line="250" w:lineRule="auto"/>
        <w:rPr>
          <w:rFonts w:ascii="Arial" w:cs="Arial" w:eastAsia="Arial" w:hAnsi="Arial"/>
          <w:sz w:val="22"/>
          <w:szCs w:val="22"/>
          <w:color w:val="auto"/>
        </w:rPr>
      </w:pPr>
      <w:r>
        <w:rPr>
          <w:rFonts w:ascii="Arial" w:cs="Arial" w:eastAsia="Arial" w:hAnsi="Arial"/>
          <w:sz w:val="22"/>
          <w:szCs w:val="22"/>
          <w:color w:val="auto"/>
        </w:rPr>
        <w:t>2.1 “Administrator” means the Committee and, to the extent delegated by the Committee in accordance with Section 3.2, any delegate of the Committee.</w:t>
      </w:r>
    </w:p>
    <w:p>
      <w:pPr>
        <w:spacing w:after="0" w:line="66" w:lineRule="exact"/>
        <w:rPr>
          <w:rFonts w:ascii="Arial" w:cs="Arial" w:eastAsia="Arial" w:hAnsi="Arial"/>
          <w:sz w:val="22"/>
          <w:szCs w:val="22"/>
          <w:color w:val="auto"/>
        </w:rPr>
      </w:pPr>
    </w:p>
    <w:p>
      <w:pPr>
        <w:ind w:left="1300" w:hanging="648"/>
        <w:spacing w:after="0"/>
        <w:rPr>
          <w:rFonts w:ascii="Arial" w:cs="Arial" w:eastAsia="Arial" w:hAnsi="Arial"/>
          <w:sz w:val="22"/>
          <w:szCs w:val="22"/>
          <w:color w:val="auto"/>
        </w:rPr>
      </w:pPr>
      <w:r>
        <w:rPr>
          <w:rFonts w:ascii="Arial" w:cs="Arial" w:eastAsia="Arial" w:hAnsi="Arial"/>
          <w:sz w:val="22"/>
          <w:szCs w:val="22"/>
          <w:color w:val="auto"/>
        </w:rPr>
        <w:t>2.2 “Affiliate” means all trades or businesses, whether or not incorporated, with which the Company would be considered a single employer under Code §§414(b) and (c) or such other trade or business as the Committee determines, in its sole discretion.</w:t>
      </w:r>
    </w:p>
    <w:p>
      <w:pPr>
        <w:spacing w:after="0" w:line="7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2.3 “Board” means the Board of Directors of The Scotts Miracle-Gro Company.</w:t>
      </w:r>
    </w:p>
    <w:p>
      <w:pPr>
        <w:spacing w:after="0" w:line="9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2.4 “Committee” means the Compensation and Organization Committee of the Board.</w:t>
      </w:r>
    </w:p>
    <w:p>
      <w:pPr>
        <w:spacing w:after="0" w:line="9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2.5 “Company” means The Scotts Company LLC.</w:t>
      </w:r>
    </w:p>
    <w:p>
      <w:pPr>
        <w:spacing w:after="0" w:line="9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2.6 “Effective Date” means October 1, 2019.</w:t>
      </w:r>
    </w:p>
    <w:p>
      <w:pPr>
        <w:spacing w:after="0" w:line="98" w:lineRule="exact"/>
        <w:rPr>
          <w:rFonts w:ascii="Arial" w:cs="Arial" w:eastAsia="Arial" w:hAnsi="Arial"/>
          <w:sz w:val="22"/>
          <w:szCs w:val="22"/>
          <w:color w:val="auto"/>
        </w:rPr>
      </w:pPr>
    </w:p>
    <w:p>
      <w:pPr>
        <w:ind w:left="1300" w:hanging="648"/>
        <w:spacing w:after="0"/>
        <w:rPr>
          <w:rFonts w:ascii="Arial" w:cs="Arial" w:eastAsia="Arial" w:hAnsi="Arial"/>
          <w:sz w:val="22"/>
          <w:szCs w:val="22"/>
          <w:color w:val="auto"/>
        </w:rPr>
      </w:pPr>
      <w:r>
        <w:rPr>
          <w:rFonts w:ascii="Arial" w:cs="Arial" w:eastAsia="Arial" w:hAnsi="Arial"/>
          <w:sz w:val="22"/>
          <w:szCs w:val="22"/>
          <w:color w:val="auto"/>
        </w:rPr>
        <w:t>2.7 “Executive Officer” means an Executive Vice President or more senior level officer of The Scotts Miracle-Gro Company or an associate who qualifies as an “Executive Officer”, as determined by the Committee in its sole discretion.</w:t>
      </w:r>
    </w:p>
    <w:p>
      <w:pPr>
        <w:spacing w:after="0" w:line="78" w:lineRule="exact"/>
        <w:rPr>
          <w:rFonts w:ascii="Arial" w:cs="Arial" w:eastAsia="Arial" w:hAnsi="Arial"/>
          <w:sz w:val="22"/>
          <w:szCs w:val="22"/>
          <w:color w:val="auto"/>
        </w:rPr>
      </w:pPr>
    </w:p>
    <w:p>
      <w:pPr>
        <w:ind w:left="1300" w:right="20" w:hanging="648"/>
        <w:spacing w:after="0" w:line="250" w:lineRule="auto"/>
        <w:rPr>
          <w:rFonts w:ascii="Arial" w:cs="Arial" w:eastAsia="Arial" w:hAnsi="Arial"/>
          <w:sz w:val="22"/>
          <w:szCs w:val="22"/>
          <w:color w:val="auto"/>
        </w:rPr>
      </w:pPr>
      <w:r>
        <w:rPr>
          <w:rFonts w:ascii="Arial" w:cs="Arial" w:eastAsia="Arial" w:hAnsi="Arial"/>
          <w:sz w:val="22"/>
          <w:szCs w:val="22"/>
          <w:color w:val="auto"/>
        </w:rPr>
        <w:t>2.8 “Participant” means an associate of the Company or an Affiliate who is participating in the Plan for the applicable Plan Year.</w:t>
      </w:r>
    </w:p>
    <w:p>
      <w:pPr>
        <w:spacing w:after="0" w:line="6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2.9 “Performance Measure” means one or more of the Performance Measures listed in Section 5.2.</w:t>
      </w:r>
    </w:p>
    <w:p>
      <w:pPr>
        <w:spacing w:after="0" w:line="98" w:lineRule="exact"/>
        <w:rPr>
          <w:rFonts w:ascii="Arial" w:cs="Arial" w:eastAsia="Arial" w:hAnsi="Arial"/>
          <w:sz w:val="22"/>
          <w:szCs w:val="22"/>
          <w:color w:val="auto"/>
        </w:rPr>
      </w:pPr>
    </w:p>
    <w:p>
      <w:pPr>
        <w:ind w:left="1300" w:hanging="648"/>
        <w:spacing w:after="0" w:line="250" w:lineRule="auto"/>
        <w:rPr>
          <w:rFonts w:ascii="Arial" w:cs="Arial" w:eastAsia="Arial" w:hAnsi="Arial"/>
          <w:sz w:val="22"/>
          <w:szCs w:val="22"/>
          <w:color w:val="auto"/>
        </w:rPr>
      </w:pPr>
      <w:r>
        <w:rPr>
          <w:rFonts w:ascii="Arial" w:cs="Arial" w:eastAsia="Arial" w:hAnsi="Arial"/>
          <w:sz w:val="22"/>
          <w:szCs w:val="22"/>
          <w:color w:val="auto"/>
        </w:rPr>
        <w:t>2.10 “Plan” means The Scotts Company LLC Executive Incentive Plan as set forth herein, as it may be amended from time to time.</w:t>
      </w:r>
    </w:p>
    <w:p>
      <w:pPr>
        <w:spacing w:after="0" w:line="6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2.11 “Plan Year” means the fiscal year of the Company or any other period, as determined by the Committee.</w:t>
      </w:r>
    </w:p>
    <w:p>
      <w:pPr>
        <w:spacing w:after="0" w:line="103" w:lineRule="exact"/>
        <w:rPr>
          <w:rFonts w:ascii="Arial" w:cs="Arial" w:eastAsia="Arial" w:hAnsi="Arial"/>
          <w:sz w:val="22"/>
          <w:szCs w:val="22"/>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Administration</w:t>
      </w:r>
    </w:p>
    <w:p>
      <w:pPr>
        <w:spacing w:after="0" w:line="104" w:lineRule="exact"/>
        <w:rPr>
          <w:rFonts w:ascii="Arial" w:cs="Arial" w:eastAsia="Arial" w:hAnsi="Arial"/>
          <w:sz w:val="22"/>
          <w:szCs w:val="22"/>
          <w:color w:val="auto"/>
        </w:rPr>
      </w:pPr>
    </w:p>
    <w:p>
      <w:pPr>
        <w:ind w:left="1300" w:hanging="648"/>
        <w:spacing w:after="0" w:line="257" w:lineRule="auto"/>
        <w:rPr>
          <w:rFonts w:ascii="Arial" w:cs="Arial" w:eastAsia="Arial" w:hAnsi="Arial"/>
          <w:sz w:val="22"/>
          <w:szCs w:val="22"/>
          <w:color w:val="auto"/>
        </w:rPr>
      </w:pPr>
      <w:r>
        <w:rPr>
          <w:rFonts w:ascii="Arial" w:cs="Arial" w:eastAsia="Arial" w:hAnsi="Arial"/>
          <w:sz w:val="21"/>
          <w:szCs w:val="21"/>
          <w:color w:val="auto"/>
        </w:rPr>
        <w:t>3.1 The Plan shall be administered by the Committee. The Committee shall have complete authority to administer and interpret the Plan. The Committee shall select the Performance Measures and the period during which performance will be measured. The Committee shall prescribe any minimum, target and other</w:t>
      </w:r>
    </w:p>
    <w:p>
      <w:pPr>
        <w:sectPr>
          <w:pgSz w:w="11900" w:h="16838" w:orient="portrait"/>
          <w:cols w:equalWidth="0" w:num="1">
            <w:col w:w="11240"/>
          </w:cols>
          <w:pgMar w:left="320" w:top="618" w:right="339" w:bottom="1440" w:gutter="0" w:footer="0" w:header="0"/>
        </w:sectPr>
      </w:pPr>
    </w:p>
    <w:bookmarkStart w:id="48" w:name="page49"/>
    <w:bookmarkEnd w:id="48"/>
    <w:p>
      <w:pPr>
        <w:spacing w:after="0" w:line="83" w:lineRule="exact"/>
        <w:rPr>
          <w:sz w:val="20"/>
          <w:szCs w:val="20"/>
          <w:color w:val="auto"/>
        </w:rPr>
      </w:pPr>
    </w:p>
    <w:p>
      <w:pPr>
        <w:jc w:val="both"/>
        <w:ind w:left="1300"/>
        <w:spacing w:after="0" w:line="246" w:lineRule="auto"/>
        <w:rPr>
          <w:sz w:val="20"/>
          <w:szCs w:val="20"/>
          <w:color w:val="auto"/>
        </w:rPr>
      </w:pPr>
      <w:r>
        <w:rPr>
          <w:rFonts w:ascii="Arial" w:cs="Arial" w:eastAsia="Arial" w:hAnsi="Arial"/>
          <w:sz w:val="21"/>
          <w:szCs w:val="21"/>
          <w:color w:val="auto"/>
        </w:rPr>
        <w:t>performance objectives and, subject to Section 5.4, the potential payout at each level of performance and the actual incentive payment for each Participant. The Committee’s determinations under the Plan (including, without limitation, the determination of the individuals to receive awards under the Plan, the amount of such awards and the terms and conditions of such awards) shall be final and need not be uniform among all Participants. The express grant in the Plan of any specific power or authority of the Committee shall not be construed as limiting any power or authority of the Committee. The members of the Committee shall not be liable for any act done in good faith with respect to the Plan.</w:t>
      </w:r>
    </w:p>
    <w:p>
      <w:pPr>
        <w:spacing w:after="0" w:line="76" w:lineRule="exact"/>
        <w:rPr>
          <w:sz w:val="20"/>
          <w:szCs w:val="20"/>
          <w:color w:val="auto"/>
        </w:rPr>
      </w:pPr>
    </w:p>
    <w:p>
      <w:pPr>
        <w:jc w:val="both"/>
        <w:ind w:left="1300" w:hanging="647"/>
        <w:spacing w:after="0" w:line="245" w:lineRule="auto"/>
        <w:rPr>
          <w:sz w:val="20"/>
          <w:szCs w:val="20"/>
          <w:color w:val="auto"/>
        </w:rPr>
      </w:pPr>
      <w:r>
        <w:rPr>
          <w:rFonts w:ascii="Arial" w:cs="Arial" w:eastAsia="Arial" w:hAnsi="Arial"/>
          <w:sz w:val="21"/>
          <w:szCs w:val="21"/>
          <w:color w:val="auto"/>
        </w:rPr>
        <w:t xml:space="preserve">3.2 The Committee, in its discretion, may delegate to one or more of the Chief Executive Officer or the Executive Vice President, Global Human Resources of The Scotts Miracle-Gro Company or any other Executive Officers, all or part of the Committee’s authority and duties with respect to awards and the participation of eligible associates who are not Executive Officers. The Committee may revoke or amend the terms of a delegation at any time but such action shall not invalidate any prior actions of the Committee’s delegate that were consistent with the terms of the Plan and the Committee’s prior delegation. References in the Plan to the “Administrator” mean the Committee or its delegate; provided that the Committee cannot delegate its authority or duties with respect to Executive Officers. References to the Committee refer only to the Committee, </w:t>
      </w:r>
      <w:r>
        <w:rPr>
          <w:rFonts w:ascii="Arial" w:cs="Arial" w:eastAsia="Arial" w:hAnsi="Arial"/>
          <w:sz w:val="21"/>
          <w:szCs w:val="21"/>
          <w:i w:val="1"/>
          <w:iCs w:val="1"/>
          <w:color w:val="auto"/>
        </w:rPr>
        <w:t>i.e.</w:t>
      </w:r>
      <w:r>
        <w:rPr>
          <w:rFonts w:ascii="Arial" w:cs="Arial" w:eastAsia="Arial" w:hAnsi="Arial"/>
          <w:sz w:val="21"/>
          <w:szCs w:val="21"/>
          <w:color w:val="auto"/>
        </w:rPr>
        <w:t>, that specific authority or responsibility is not delegable.</w:t>
      </w:r>
    </w:p>
    <w:p>
      <w:pPr>
        <w:spacing w:after="0" w:line="76" w:lineRule="exact"/>
        <w:rPr>
          <w:sz w:val="20"/>
          <w:szCs w:val="20"/>
          <w:color w:val="auto"/>
        </w:rPr>
      </w:pPr>
    </w:p>
    <w:p>
      <w:pPr>
        <w:jc w:val="both"/>
        <w:ind w:left="1300" w:hanging="647"/>
        <w:spacing w:after="0"/>
        <w:rPr>
          <w:sz w:val="20"/>
          <w:szCs w:val="20"/>
          <w:color w:val="auto"/>
        </w:rPr>
      </w:pPr>
      <w:r>
        <w:rPr>
          <w:rFonts w:ascii="Arial" w:cs="Arial" w:eastAsia="Arial" w:hAnsi="Arial"/>
          <w:sz w:val="22"/>
          <w:szCs w:val="22"/>
          <w:color w:val="auto"/>
        </w:rPr>
        <w:t>3.3 The Committee shall approve the Performance Measures for Executive Officers. No incentive payment may be paid to an Executive Officer unless the Committee certifies in writing that the Performance Measure objectives for the Plan Year have been achieved.</w:t>
      </w:r>
    </w:p>
    <w:p>
      <w:pPr>
        <w:spacing w:after="0" w:line="7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Participation</w:t>
      </w:r>
    </w:p>
    <w:p>
      <w:pPr>
        <w:spacing w:after="0" w:line="117" w:lineRule="exact"/>
        <w:rPr>
          <w:rFonts w:ascii="Arial" w:cs="Arial" w:eastAsia="Arial" w:hAnsi="Arial"/>
          <w:sz w:val="22"/>
          <w:szCs w:val="22"/>
          <w:color w:val="auto"/>
        </w:rPr>
      </w:pPr>
    </w:p>
    <w:p>
      <w:pPr>
        <w:ind w:left="1300" w:hanging="648"/>
        <w:spacing w:after="0" w:line="253" w:lineRule="auto"/>
        <w:rPr>
          <w:rFonts w:ascii="Arial" w:cs="Arial" w:eastAsia="Arial" w:hAnsi="Arial"/>
          <w:sz w:val="22"/>
          <w:szCs w:val="22"/>
          <w:color w:val="auto"/>
        </w:rPr>
      </w:pPr>
      <w:r>
        <w:rPr>
          <w:rFonts w:ascii="Arial" w:cs="Arial" w:eastAsia="Arial" w:hAnsi="Arial"/>
          <w:sz w:val="22"/>
          <w:szCs w:val="22"/>
          <w:color w:val="auto"/>
        </w:rPr>
        <w:t>4.1 Each Executive Officer is eligible to participate in the Plan. Senior Level associates, managers or any other associates of the Company and all Affiliates who are not Executive Officers are eligible to participate in the Plan if their participation is approved by the Administrator or the Committee.</w:t>
      </w:r>
    </w:p>
    <w:p>
      <w:pPr>
        <w:spacing w:after="0" w:line="171" w:lineRule="exact"/>
        <w:rPr>
          <w:rFonts w:ascii="Arial" w:cs="Arial" w:eastAsia="Arial" w:hAnsi="Arial"/>
          <w:sz w:val="22"/>
          <w:szCs w:val="22"/>
          <w:color w:val="auto"/>
        </w:rPr>
      </w:pPr>
    </w:p>
    <w:p>
      <w:pPr>
        <w:ind w:left="1300" w:hanging="648"/>
        <w:spacing w:after="0" w:line="250" w:lineRule="auto"/>
        <w:rPr>
          <w:rFonts w:ascii="Arial" w:cs="Arial" w:eastAsia="Arial" w:hAnsi="Arial"/>
          <w:sz w:val="22"/>
          <w:szCs w:val="22"/>
          <w:color w:val="auto"/>
        </w:rPr>
      </w:pPr>
      <w:r>
        <w:rPr>
          <w:rFonts w:ascii="Arial" w:cs="Arial" w:eastAsia="Arial" w:hAnsi="Arial"/>
          <w:sz w:val="22"/>
          <w:szCs w:val="22"/>
          <w:color w:val="auto"/>
        </w:rPr>
        <w:t>4.2 Except as otherwise determined by the Administrator, Participants must be actively employed in an eligible job/position for at least 13 consecutive weeks during the Plan Year.</w:t>
      </w:r>
    </w:p>
    <w:p>
      <w:pPr>
        <w:spacing w:after="0" w:line="66" w:lineRule="exact"/>
        <w:rPr>
          <w:rFonts w:ascii="Arial" w:cs="Arial" w:eastAsia="Arial" w:hAnsi="Arial"/>
          <w:sz w:val="22"/>
          <w:szCs w:val="22"/>
          <w:color w:val="auto"/>
        </w:rPr>
      </w:pPr>
    </w:p>
    <w:p>
      <w:pPr>
        <w:ind w:left="1300" w:hanging="648"/>
        <w:spacing w:after="0" w:line="274" w:lineRule="auto"/>
        <w:rPr>
          <w:rFonts w:ascii="Arial" w:cs="Arial" w:eastAsia="Arial" w:hAnsi="Arial"/>
          <w:sz w:val="22"/>
          <w:szCs w:val="22"/>
          <w:color w:val="auto"/>
        </w:rPr>
      </w:pPr>
      <w:r>
        <w:rPr>
          <w:rFonts w:ascii="Arial" w:cs="Arial" w:eastAsia="Arial" w:hAnsi="Arial"/>
          <w:sz w:val="21"/>
          <w:szCs w:val="21"/>
          <w:color w:val="auto"/>
        </w:rPr>
        <w:t>4.3 Participant eligibility is based on active status during the Plan Year. Periods of inactive status, such as short-term disability and other leaves of absence, will be reflected in the eligible earnings and payout calculation.</w:t>
      </w:r>
    </w:p>
    <w:p>
      <w:pPr>
        <w:spacing w:after="0" w:line="42" w:lineRule="exact"/>
        <w:rPr>
          <w:rFonts w:ascii="Arial" w:cs="Arial" w:eastAsia="Arial" w:hAnsi="Arial"/>
          <w:sz w:val="22"/>
          <w:szCs w:val="22"/>
          <w:color w:val="auto"/>
        </w:rPr>
      </w:pPr>
    </w:p>
    <w:p>
      <w:pPr>
        <w:ind w:left="1300" w:right="20" w:hanging="648"/>
        <w:spacing w:after="0" w:line="250" w:lineRule="auto"/>
        <w:rPr>
          <w:rFonts w:ascii="Arial" w:cs="Arial" w:eastAsia="Arial" w:hAnsi="Arial"/>
          <w:sz w:val="22"/>
          <w:szCs w:val="22"/>
          <w:color w:val="auto"/>
        </w:rPr>
      </w:pPr>
      <w:r>
        <w:rPr>
          <w:rFonts w:ascii="Arial" w:cs="Arial" w:eastAsia="Arial" w:hAnsi="Arial"/>
          <w:sz w:val="22"/>
          <w:szCs w:val="22"/>
          <w:color w:val="auto"/>
        </w:rPr>
        <w:t>4.4 Except as otherwise determined by the Administrator, Participants must be employed on the last day of the Plan Year to be eligible for an incentive payment.</w:t>
      </w:r>
    </w:p>
    <w:p>
      <w:pPr>
        <w:spacing w:after="0" w:line="66" w:lineRule="exact"/>
        <w:rPr>
          <w:rFonts w:ascii="Arial" w:cs="Arial" w:eastAsia="Arial" w:hAnsi="Arial"/>
          <w:sz w:val="22"/>
          <w:szCs w:val="22"/>
          <w:color w:val="auto"/>
        </w:rPr>
      </w:pPr>
    </w:p>
    <w:p>
      <w:pPr>
        <w:ind w:left="1300" w:hanging="648"/>
        <w:spacing w:after="0" w:line="328" w:lineRule="auto"/>
        <w:rPr>
          <w:rFonts w:ascii="Arial" w:cs="Arial" w:eastAsia="Arial" w:hAnsi="Arial"/>
          <w:sz w:val="22"/>
          <w:szCs w:val="22"/>
          <w:color w:val="auto"/>
        </w:rPr>
      </w:pPr>
      <w:r>
        <w:rPr>
          <w:rFonts w:ascii="Arial" w:cs="Arial" w:eastAsia="Arial" w:hAnsi="Arial"/>
          <w:sz w:val="19"/>
          <w:szCs w:val="19"/>
          <w:color w:val="auto"/>
        </w:rPr>
        <w:t>4.5 Except as otherwise determined by the Administrator, Participants whose employment terminates during the Plan Year, except in cases of retirement, will not be eligible for an incentive payment, prorated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83"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4.6 Participants who retire during the Plan Year (as determined by the Administrator) will be eligible for a prorated incentive payment.</w:t>
      </w:r>
    </w:p>
    <w:p>
      <w:pPr>
        <w:spacing w:after="0" w:line="67"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4.7 Associates who hold an eligible position on a part-time basis are eligible to participate in the Plan. All other terms and conditions of the Plan apply to such associates.</w:t>
      </w:r>
    </w:p>
    <w:p>
      <w:pPr>
        <w:spacing w:after="0" w:line="67" w:lineRule="exact"/>
        <w:rPr>
          <w:sz w:val="20"/>
          <w:szCs w:val="20"/>
          <w:color w:val="auto"/>
        </w:rPr>
      </w:pPr>
    </w:p>
    <w:p>
      <w:pPr>
        <w:jc w:val="both"/>
        <w:ind w:left="1300" w:hanging="647"/>
        <w:spacing w:after="0" w:line="257" w:lineRule="auto"/>
        <w:rPr>
          <w:sz w:val="20"/>
          <w:szCs w:val="20"/>
          <w:color w:val="auto"/>
        </w:rPr>
      </w:pPr>
      <w:r>
        <w:rPr>
          <w:rFonts w:ascii="Arial" w:cs="Arial" w:eastAsia="Arial" w:hAnsi="Arial"/>
          <w:sz w:val="21"/>
          <w:szCs w:val="21"/>
          <w:color w:val="auto"/>
        </w:rPr>
        <w:t>4.8 If a Participant moves to a different Plan-eligible position or otherwise becomes eligible for a different target percentage during the Plan Year, the Participant’s incentive payment will be prorated based on new metrics/target (if applicable) if the move is for an eligible period of at least 13 weeks in the Plan Year.</w:t>
      </w:r>
    </w:p>
    <w:p>
      <w:pPr>
        <w:spacing w:after="0" w:line="61" w:lineRule="exact"/>
        <w:rPr>
          <w:sz w:val="20"/>
          <w:szCs w:val="20"/>
          <w:color w:val="auto"/>
        </w:rPr>
      </w:pPr>
    </w:p>
    <w:p>
      <w:pPr>
        <w:jc w:val="both"/>
        <w:ind w:left="1300" w:right="20" w:hanging="647"/>
        <w:spacing w:after="0"/>
        <w:rPr>
          <w:sz w:val="20"/>
          <w:szCs w:val="20"/>
          <w:color w:val="auto"/>
        </w:rPr>
      </w:pPr>
      <w:r>
        <w:rPr>
          <w:rFonts w:ascii="Arial" w:cs="Arial" w:eastAsia="Arial" w:hAnsi="Arial"/>
          <w:sz w:val="22"/>
          <w:szCs w:val="22"/>
          <w:color w:val="auto"/>
        </w:rPr>
        <w:t>4.9 If a Participant moves to a position that is not Plan-eligible during the Plan Year, the Participant will be eligible for a prorated incentive payment (based on the Participant’s earnings during the Plan Year) provided other eligibility requirements are met.</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4.10 Participants shall not have any right with respect to any award until an award shall, in fact, be paid to them.</w:t>
      </w:r>
    </w:p>
    <w:p>
      <w:pPr>
        <w:spacing w:after="0" w:line="110" w:lineRule="exact"/>
        <w:rPr>
          <w:sz w:val="20"/>
          <w:szCs w:val="20"/>
          <w:color w:val="auto"/>
        </w:rPr>
      </w:pPr>
    </w:p>
    <w:p>
      <w:pPr>
        <w:jc w:val="both"/>
        <w:ind w:left="1300" w:hanging="647"/>
        <w:spacing w:after="0" w:line="257" w:lineRule="auto"/>
        <w:rPr>
          <w:sz w:val="20"/>
          <w:szCs w:val="20"/>
          <w:color w:val="auto"/>
        </w:rPr>
      </w:pPr>
      <w:r>
        <w:rPr>
          <w:rFonts w:ascii="Arial" w:cs="Arial" w:eastAsia="Arial" w:hAnsi="Arial"/>
          <w:sz w:val="21"/>
          <w:szCs w:val="21"/>
          <w:color w:val="auto"/>
        </w:rPr>
        <w:t>4.11 The Plan confers no rights upon any associate to participate in the Plan or remain in the employ of the Company or any Affiliate. Neither the adoption of the Plan nor its operation shall in any way affect the right of the associate or the Company or any Affiliate to terminate the employment relationship at any time.</w:t>
      </w:r>
    </w:p>
    <w:p>
      <w:pPr>
        <w:spacing w:after="0" w:line="5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Plan Design, Performance Measures, and Payouts</w:t>
      </w:r>
    </w:p>
    <w:p>
      <w:pPr>
        <w:spacing w:after="0" w:line="104" w:lineRule="exact"/>
        <w:rPr>
          <w:rFonts w:ascii="Arial" w:cs="Arial" w:eastAsia="Arial" w:hAnsi="Arial"/>
          <w:sz w:val="22"/>
          <w:szCs w:val="22"/>
          <w:color w:val="auto"/>
        </w:rPr>
      </w:pPr>
    </w:p>
    <w:p>
      <w:pPr>
        <w:ind w:left="1300" w:hanging="648"/>
        <w:spacing w:after="0" w:line="274" w:lineRule="auto"/>
        <w:rPr>
          <w:rFonts w:ascii="Arial" w:cs="Arial" w:eastAsia="Arial" w:hAnsi="Arial"/>
          <w:sz w:val="22"/>
          <w:szCs w:val="22"/>
          <w:color w:val="auto"/>
        </w:rPr>
      </w:pPr>
      <w:r>
        <w:rPr>
          <w:rFonts w:ascii="Arial" w:cs="Arial" w:eastAsia="Arial" w:hAnsi="Arial"/>
          <w:sz w:val="21"/>
          <w:szCs w:val="21"/>
          <w:color w:val="auto"/>
        </w:rPr>
        <w:t>5.1 The Plan is designed to recognize and reward performance against established financial targets. The terms of awards for each Plan Year will be established by the Administrator and, among other things, may include:</w:t>
      </w:r>
    </w:p>
    <w:p>
      <w:pPr>
        <w:spacing w:after="0" w:line="42" w:lineRule="exact"/>
        <w:rPr>
          <w:rFonts w:ascii="Arial" w:cs="Arial" w:eastAsia="Arial" w:hAnsi="Arial"/>
          <w:sz w:val="22"/>
          <w:szCs w:val="22"/>
          <w:color w:val="auto"/>
        </w:rPr>
      </w:pPr>
    </w:p>
    <w:p>
      <w:pPr>
        <w:ind w:left="1580" w:hanging="276"/>
        <w:spacing w:after="0"/>
        <w:tabs>
          <w:tab w:leader="none" w:pos="15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 corporate net income “funding trigger” below which no incentives will be paid to any Participant;</w:t>
      </w:r>
    </w:p>
    <w:p>
      <w:pPr>
        <w:spacing w:after="0" w:line="98" w:lineRule="exact"/>
        <w:rPr>
          <w:rFonts w:ascii="Arial" w:cs="Arial" w:eastAsia="Arial" w:hAnsi="Arial"/>
          <w:sz w:val="22"/>
          <w:szCs w:val="22"/>
          <w:color w:val="auto"/>
        </w:rPr>
      </w:pPr>
    </w:p>
    <w:p>
      <w:pPr>
        <w:ind w:left="1600" w:hanging="296"/>
        <w:spacing w:after="0"/>
        <w:tabs>
          <w:tab w:leader="none" w:pos="160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selection of Performance Measures that will be used to measure performance during the plan year;</w:t>
      </w:r>
    </w:p>
    <w:p>
      <w:pPr>
        <w:spacing w:after="0" w:line="109" w:lineRule="exact"/>
        <w:rPr>
          <w:rFonts w:ascii="Arial" w:cs="Arial" w:eastAsia="Arial" w:hAnsi="Arial"/>
          <w:sz w:val="21"/>
          <w:szCs w:val="21"/>
          <w:color w:val="auto"/>
        </w:rPr>
      </w:pPr>
    </w:p>
    <w:p>
      <w:pPr>
        <w:ind w:left="1960" w:hanging="656"/>
        <w:spacing w:after="0" w:line="250" w:lineRule="auto"/>
        <w:tabs>
          <w:tab w:leader="none" w:pos="1595" w:val="left"/>
        </w:tabs>
        <w:numPr>
          <w:ilvl w:val="1"/>
          <w:numId w:val="22"/>
        </w:numPr>
        <w:rPr>
          <w:rFonts w:ascii="Arial" w:cs="Arial" w:eastAsia="Arial" w:hAnsi="Arial"/>
          <w:sz w:val="22"/>
          <w:szCs w:val="22"/>
          <w:color w:val="auto"/>
        </w:rPr>
      </w:pPr>
      <w:r>
        <w:rPr>
          <w:rFonts w:ascii="Arial" w:cs="Arial" w:eastAsia="Arial" w:hAnsi="Arial"/>
          <w:sz w:val="22"/>
          <w:szCs w:val="22"/>
          <w:color w:val="auto"/>
        </w:rPr>
        <w:t>An earnings multiplier, as described in Section 5.3 (“multiplier”), that will reinforce the importance of earnings by modifying the performance results against all of the other goals; and</w:t>
      </w:r>
    </w:p>
    <w:p>
      <w:pPr>
        <w:spacing w:after="0" w:line="66" w:lineRule="exact"/>
        <w:rPr>
          <w:rFonts w:ascii="Arial" w:cs="Arial" w:eastAsia="Arial" w:hAnsi="Arial"/>
          <w:sz w:val="22"/>
          <w:szCs w:val="22"/>
          <w:color w:val="auto"/>
        </w:rPr>
      </w:pPr>
    </w:p>
    <w:p>
      <w:pPr>
        <w:ind w:left="1960" w:hanging="656"/>
        <w:spacing w:after="0" w:line="250" w:lineRule="auto"/>
        <w:tabs>
          <w:tab w:leader="none" w:pos="16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Provisions that weight the Performance Measures for each particular group or unit to reflect the relative contribution that group or unit can make to those results.</w:t>
      </w:r>
    </w:p>
    <w:p>
      <w:pPr>
        <w:spacing w:after="0" w:line="67" w:lineRule="exact"/>
        <w:rPr>
          <w:sz w:val="20"/>
          <w:szCs w:val="20"/>
          <w:color w:val="auto"/>
        </w:rPr>
      </w:pPr>
    </w:p>
    <w:p>
      <w:pPr>
        <w:jc w:val="both"/>
        <w:ind w:left="1300" w:hanging="647"/>
        <w:spacing w:after="0"/>
        <w:rPr>
          <w:sz w:val="20"/>
          <w:szCs w:val="20"/>
          <w:color w:val="auto"/>
        </w:rPr>
      </w:pPr>
      <w:r>
        <w:rPr>
          <w:rFonts w:ascii="Arial" w:cs="Arial" w:eastAsia="Arial" w:hAnsi="Arial"/>
          <w:sz w:val="22"/>
          <w:szCs w:val="22"/>
          <w:color w:val="auto"/>
        </w:rPr>
        <w:t>5.2 The Performance Measures that may be used to measure performance during the period established by the Administrator shall be the following (each, a “Business Performance Factor”; collectively, the “Business Performance Factors”):</w:t>
      </w:r>
    </w:p>
    <w:p>
      <w:pPr>
        <w:spacing w:after="0" w:line="78" w:lineRule="exact"/>
        <w:rPr>
          <w:sz w:val="20"/>
          <w:szCs w:val="20"/>
          <w:color w:val="auto"/>
        </w:rPr>
      </w:pPr>
    </w:p>
    <w:p>
      <w:pPr>
        <w:ind w:left="1600" w:hanging="296"/>
        <w:spacing w:after="0"/>
        <w:tabs>
          <w:tab w:leader="none" w:pos="1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Net earnings or net income (before or after taxes);</w:t>
      </w:r>
    </w:p>
    <w:p>
      <w:pPr>
        <w:spacing w:after="0" w:line="98" w:lineRule="exact"/>
        <w:rPr>
          <w:rFonts w:ascii="Arial" w:cs="Arial" w:eastAsia="Arial" w:hAnsi="Arial"/>
          <w:sz w:val="22"/>
          <w:szCs w:val="22"/>
          <w:color w:val="auto"/>
        </w:rPr>
      </w:pPr>
    </w:p>
    <w:p>
      <w:pPr>
        <w:ind w:left="1600" w:hanging="296"/>
        <w:spacing w:after="0"/>
        <w:tabs>
          <w:tab w:leader="none" w:pos="1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Earnings per share (basic or diluted);</w:t>
      </w:r>
    </w:p>
    <w:p>
      <w:pPr>
        <w:spacing w:after="0" w:line="98" w:lineRule="exact"/>
        <w:rPr>
          <w:rFonts w:ascii="Arial" w:cs="Arial" w:eastAsia="Arial" w:hAnsi="Arial"/>
          <w:sz w:val="22"/>
          <w:szCs w:val="22"/>
          <w:color w:val="auto"/>
        </w:rPr>
      </w:pPr>
    </w:p>
    <w:p>
      <w:pPr>
        <w:ind w:left="1600" w:hanging="296"/>
        <w:spacing w:after="0"/>
        <w:tabs>
          <w:tab w:leader="none" w:pos="1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Net sales or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83" w:lineRule="exact"/>
        <w:rPr>
          <w:sz w:val="20"/>
          <w:szCs w:val="20"/>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Net operating profit;</w:t>
      </w:r>
    </w:p>
    <w:p>
      <w:pPr>
        <w:spacing w:after="0" w:line="98" w:lineRule="exact"/>
        <w:rPr>
          <w:rFonts w:ascii="Arial" w:cs="Arial" w:eastAsia="Arial" w:hAnsi="Arial"/>
          <w:sz w:val="22"/>
          <w:szCs w:val="22"/>
          <w:color w:val="auto"/>
        </w:rPr>
      </w:pPr>
    </w:p>
    <w:p>
      <w:pPr>
        <w:ind w:left="840" w:hanging="656"/>
        <w:spacing w:after="0" w:line="250" w:lineRule="auto"/>
        <w:tabs>
          <w:tab w:leader="none" w:pos="524"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Return measures (including, but not limited to, return on assets, capital, invested capital, equity, sales, or revenue);</w:t>
      </w:r>
    </w:p>
    <w:p>
      <w:pPr>
        <w:spacing w:after="0" w:line="66" w:lineRule="exact"/>
        <w:rPr>
          <w:rFonts w:ascii="Arial" w:cs="Arial" w:eastAsia="Arial" w:hAnsi="Arial"/>
          <w:sz w:val="22"/>
          <w:szCs w:val="22"/>
          <w:color w:val="auto"/>
        </w:rPr>
      </w:pPr>
    </w:p>
    <w:p>
      <w:pPr>
        <w:ind w:left="840" w:hanging="656"/>
        <w:spacing w:after="0" w:line="250" w:lineRule="auto"/>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Cash flow (including, but not limited to, operating cash flow, free cash flow, cash flow return on equity, and cash flow return on investment);</w:t>
      </w:r>
    </w:p>
    <w:p>
      <w:pPr>
        <w:spacing w:after="0" w:line="66"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Earnings before or after taxes, interest, depreciation, and/or amortization;</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Gross or operating margins;</w:t>
      </w:r>
    </w:p>
    <w:p>
      <w:pPr>
        <w:spacing w:after="0" w:line="98" w:lineRule="exact"/>
        <w:rPr>
          <w:rFonts w:ascii="Arial" w:cs="Arial" w:eastAsia="Arial" w:hAnsi="Arial"/>
          <w:sz w:val="22"/>
          <w:szCs w:val="22"/>
          <w:color w:val="auto"/>
        </w:rPr>
      </w:pPr>
    </w:p>
    <w:p>
      <w:pPr>
        <w:ind w:left="440" w:hanging="256"/>
        <w:spacing w:after="0"/>
        <w:tabs>
          <w:tab w:leader="none" w:pos="4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Productivity ratios;</w:t>
      </w:r>
    </w:p>
    <w:p>
      <w:pPr>
        <w:spacing w:after="0" w:line="98" w:lineRule="exact"/>
        <w:rPr>
          <w:rFonts w:ascii="Arial" w:cs="Arial" w:eastAsia="Arial" w:hAnsi="Arial"/>
          <w:sz w:val="22"/>
          <w:szCs w:val="22"/>
          <w:color w:val="auto"/>
        </w:rPr>
      </w:pPr>
    </w:p>
    <w:p>
      <w:pPr>
        <w:ind w:left="440" w:hanging="256"/>
        <w:spacing w:after="0"/>
        <w:tabs>
          <w:tab w:leader="none" w:pos="4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 price (including, but not limited to, growth measures and total shareholder return);</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Expense targets;</w:t>
      </w:r>
    </w:p>
    <w:p>
      <w:pPr>
        <w:spacing w:after="0" w:line="98" w:lineRule="exact"/>
        <w:rPr>
          <w:rFonts w:ascii="Arial" w:cs="Arial" w:eastAsia="Arial" w:hAnsi="Arial"/>
          <w:sz w:val="22"/>
          <w:szCs w:val="22"/>
          <w:color w:val="auto"/>
        </w:rPr>
      </w:pPr>
    </w:p>
    <w:p>
      <w:pPr>
        <w:ind w:left="440" w:hanging="256"/>
        <w:spacing w:after="0"/>
        <w:tabs>
          <w:tab w:leader="none" w:pos="4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Margins;</w:t>
      </w:r>
    </w:p>
    <w:p>
      <w:pPr>
        <w:spacing w:after="0" w:line="98" w:lineRule="exact"/>
        <w:rPr>
          <w:rFonts w:ascii="Arial" w:cs="Arial" w:eastAsia="Arial" w:hAnsi="Arial"/>
          <w:sz w:val="22"/>
          <w:szCs w:val="22"/>
          <w:color w:val="auto"/>
        </w:rPr>
      </w:pPr>
    </w:p>
    <w:p>
      <w:pPr>
        <w:ind w:left="560" w:hanging="376"/>
        <w:spacing w:after="0"/>
        <w:tabs>
          <w:tab w:leader="none" w:pos="5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Operating efficiency;</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Market share;</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Customer satisfaction/service;</w:t>
      </w:r>
    </w:p>
    <w:p>
      <w:pPr>
        <w:spacing w:after="0" w:line="98" w:lineRule="exact"/>
        <w:rPr>
          <w:rFonts w:ascii="Arial" w:cs="Arial" w:eastAsia="Arial" w:hAnsi="Arial"/>
          <w:sz w:val="22"/>
          <w:szCs w:val="22"/>
          <w:color w:val="auto"/>
        </w:rPr>
      </w:pPr>
    </w:p>
    <w:p>
      <w:pPr>
        <w:ind w:left="840" w:right="20" w:hanging="656"/>
        <w:spacing w:after="0" w:line="250" w:lineRule="auto"/>
        <w:tabs>
          <w:tab w:leader="none" w:pos="509"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Product Fill Rate percent (% of orders filled on first delivery) or All-In Fill Rate percent (% calculated dollar fill based on potential) times Inventory Turns;</w:t>
      </w:r>
    </w:p>
    <w:p>
      <w:pPr>
        <w:spacing w:after="0" w:line="66"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Working capital targets;</w:t>
      </w:r>
    </w:p>
    <w:p>
      <w:pPr>
        <w:spacing w:after="0" w:line="98" w:lineRule="exact"/>
        <w:rPr>
          <w:rFonts w:ascii="Arial" w:cs="Arial" w:eastAsia="Arial" w:hAnsi="Arial"/>
          <w:sz w:val="22"/>
          <w:szCs w:val="22"/>
          <w:color w:val="auto"/>
        </w:rPr>
      </w:pPr>
    </w:p>
    <w:p>
      <w:pPr>
        <w:ind w:left="840" w:right="20" w:hanging="656"/>
        <w:spacing w:after="0" w:line="250" w:lineRule="auto"/>
        <w:tabs>
          <w:tab w:leader="none" w:pos="47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Economic value added or EVA® (net operating profit after tax minus the sum of capital multiplied by the cost of capital);</w:t>
      </w:r>
    </w:p>
    <w:p>
      <w:pPr>
        <w:spacing w:after="0" w:line="66" w:lineRule="exact"/>
        <w:rPr>
          <w:rFonts w:ascii="Arial" w:cs="Arial" w:eastAsia="Arial" w:hAnsi="Arial"/>
          <w:sz w:val="22"/>
          <w:szCs w:val="22"/>
          <w:color w:val="auto"/>
        </w:rPr>
      </w:pPr>
    </w:p>
    <w:p>
      <w:pPr>
        <w:ind w:left="460" w:hanging="276"/>
        <w:spacing w:after="0"/>
        <w:tabs>
          <w:tab w:leader="none" w:pos="4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Developing new products and lines of revenue;</w:t>
      </w:r>
    </w:p>
    <w:p>
      <w:pPr>
        <w:spacing w:after="0" w:line="98" w:lineRule="exact"/>
        <w:rPr>
          <w:rFonts w:ascii="Arial" w:cs="Arial" w:eastAsia="Arial" w:hAnsi="Arial"/>
          <w:sz w:val="22"/>
          <w:szCs w:val="22"/>
          <w:color w:val="auto"/>
        </w:rPr>
      </w:pPr>
    </w:p>
    <w:p>
      <w:pPr>
        <w:ind w:left="440" w:hanging="256"/>
        <w:spacing w:after="0"/>
        <w:tabs>
          <w:tab w:leader="none" w:pos="4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Reducing operating expenses;</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Developing new markets;</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Meeting completion schedules;</w:t>
      </w:r>
    </w:p>
    <w:p>
      <w:pPr>
        <w:spacing w:after="0" w:line="98" w:lineRule="exact"/>
        <w:rPr>
          <w:rFonts w:ascii="Arial" w:cs="Arial" w:eastAsia="Arial" w:hAnsi="Arial"/>
          <w:sz w:val="22"/>
          <w:szCs w:val="22"/>
          <w:color w:val="auto"/>
        </w:rPr>
      </w:pPr>
    </w:p>
    <w:p>
      <w:pPr>
        <w:ind w:left="540" w:hanging="356"/>
        <w:spacing w:after="0"/>
        <w:tabs>
          <w:tab w:leader="none" w:pos="5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Developing and managing relationships with regulatory and other governmental agencies;</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Managing cash;</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Managing claims against the Company, including litigation; and</w:t>
      </w:r>
    </w:p>
    <w:p>
      <w:pPr>
        <w:spacing w:after="0" w:line="98" w:lineRule="exact"/>
        <w:rPr>
          <w:rFonts w:ascii="Arial" w:cs="Arial" w:eastAsia="Arial" w:hAnsi="Arial"/>
          <w:sz w:val="22"/>
          <w:szCs w:val="22"/>
          <w:color w:val="auto"/>
        </w:rPr>
      </w:pPr>
    </w:p>
    <w:p>
      <w:pPr>
        <w:ind w:left="480" w:hanging="296"/>
        <w:spacing w:after="0"/>
        <w:tabs>
          <w:tab w:leader="none" w:pos="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Identifying and completing strategic acquisitions.</w:t>
      </w:r>
    </w:p>
    <w:p>
      <w:pPr>
        <w:spacing w:after="0" w:line="98"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color w:val="auto"/>
        </w:rPr>
        <w:t>Any Performance Measure(s) may be used to measure the performance of the Company and/or an Affiliate as a whole or any business unit of the Company and/or an Affiliate or any combination thereof, as the Administrator may deem appropriate, or any of the above Performance Measures as compared to the performance of a group of comparator companies, or published or special index that the Administrator, in its sole discretion,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40" w:right="339" w:bottom="1440" w:gutter="0" w:footer="0" w:header="0"/>
        </w:sectPr>
      </w:pPr>
    </w:p>
    <w:bookmarkStart w:id="51" w:name="page52"/>
    <w:bookmarkEnd w:id="51"/>
    <w:p>
      <w:pPr>
        <w:jc w:val="both"/>
        <w:ind w:left="1300" w:hanging="647"/>
        <w:spacing w:after="0" w:line="292" w:lineRule="auto"/>
        <w:rPr>
          <w:sz w:val="20"/>
          <w:szCs w:val="20"/>
          <w:color w:val="auto"/>
        </w:rPr>
      </w:pPr>
      <w:r>
        <w:rPr>
          <w:rFonts w:ascii="Arial" w:cs="Arial" w:eastAsia="Arial" w:hAnsi="Arial"/>
          <w:sz w:val="19"/>
          <w:szCs w:val="19"/>
          <w:color w:val="auto"/>
        </w:rPr>
        <w:t>5.3 Two separate performance factors determine the Plan award each Plan Year: a Business Performance Factor and a Personal Performance Factor. The Business Performance Factor will be based on the achievement of a goal or goals designated by the Administrator based on those set forth in Section 5.2, and may result in a range between 0% to 250% of the target set by the Committee for a Business Performance Factor. Performance above and below the target Business Performance Factor will be incrementally calculated so Participants will receive a payout calculated on a straight-line basis, unless otherwise determined by the Committee, or the Administrator, if applicable, in its sole discretion, that no payouts will be made for performance below target performance goals.</w:t>
      </w:r>
    </w:p>
    <w:p>
      <w:pPr>
        <w:spacing w:after="0" w:line="151"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The Personal Performance Factor will be based on an assessment against a combination of personal financial and/or strategic performance goals and expectations as appropriate for each Participant. In general, based on the Committee or Administrator’s determination of a Participant’s achievement of the Personal Performance Factor, the actual Plan award determined from the Business Performance Factor can range from 0% to 150% of the results of the Business Performance Factor.</w:t>
      </w:r>
    </w:p>
    <w:p>
      <w:pPr>
        <w:spacing w:after="0" w:line="192"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1"/>
          <w:szCs w:val="21"/>
          <w:color w:val="auto"/>
        </w:rPr>
        <w:t>5.4 Notwithstanding any other provision in the Plan to the contrary, the Administrator shall have the right, in its sole discretion, to reduce or increase the amount otherwise payable to a Participant irrespective of the percentages set forth in Section 5.3, based on the Participant’s individual performance or any other factors that the Administrator deems appropriate. Unless a Participant has made a valid election under a deferred compensation plan maintained by the Company or an Affiliate no later than the date permitted under such plan, all awards under the Plan, including any prorated amounts described in Section 4.6, will be paid by the 15th day of the third month following the close of the applicable Plan Year.</w:t>
      </w:r>
    </w:p>
    <w:p>
      <w:pPr>
        <w:spacing w:after="0" w:line="16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Employee Agreement and Forfeiture of Payment</w:t>
      </w:r>
    </w:p>
    <w:p>
      <w:pPr>
        <w:spacing w:after="0" w:line="117" w:lineRule="exact"/>
        <w:rPr>
          <w:rFonts w:ascii="Arial" w:cs="Arial" w:eastAsia="Arial" w:hAnsi="Arial"/>
          <w:sz w:val="22"/>
          <w:szCs w:val="22"/>
          <w:color w:val="auto"/>
        </w:rPr>
      </w:pPr>
    </w:p>
    <w:p>
      <w:pPr>
        <w:ind w:left="1300" w:hanging="648"/>
        <w:spacing w:after="0" w:line="250" w:lineRule="auto"/>
        <w:rPr>
          <w:rFonts w:ascii="Arial" w:cs="Arial" w:eastAsia="Arial" w:hAnsi="Arial"/>
          <w:sz w:val="22"/>
          <w:szCs w:val="22"/>
          <w:color w:val="auto"/>
        </w:rPr>
      </w:pPr>
      <w:r>
        <w:rPr>
          <w:rFonts w:ascii="Arial" w:cs="Arial" w:eastAsia="Arial" w:hAnsi="Arial"/>
          <w:sz w:val="22"/>
          <w:szCs w:val="22"/>
          <w:color w:val="auto"/>
        </w:rPr>
        <w:t>6.1 Regardless of any other provision of this section and unless the Committee specifies otherwise, in order to participate in the Plan, a Participant must execute an Employee Confidentiality, Noncompetition, Nonsolicitation Agreement or any restrictive covenant agreement acceptable to the Committee (collectively, a “Restrictive Covenant Agreement”).</w:t>
      </w:r>
    </w:p>
    <w:p>
      <w:pPr>
        <w:spacing w:after="0" w:line="174" w:lineRule="exact"/>
        <w:rPr>
          <w:rFonts w:ascii="Arial" w:cs="Arial" w:eastAsia="Arial" w:hAnsi="Arial"/>
          <w:sz w:val="22"/>
          <w:szCs w:val="22"/>
          <w:color w:val="auto"/>
        </w:rPr>
      </w:pPr>
    </w:p>
    <w:p>
      <w:pPr>
        <w:ind w:left="1300" w:hanging="648"/>
        <w:spacing w:after="0" w:line="248" w:lineRule="auto"/>
        <w:rPr>
          <w:rFonts w:ascii="Arial" w:cs="Arial" w:eastAsia="Arial" w:hAnsi="Arial"/>
          <w:sz w:val="22"/>
          <w:szCs w:val="22"/>
          <w:color w:val="auto"/>
        </w:rPr>
      </w:pPr>
      <w:r>
        <w:rPr>
          <w:rFonts w:ascii="Arial" w:cs="Arial" w:eastAsia="Arial" w:hAnsi="Arial"/>
          <w:sz w:val="21"/>
          <w:szCs w:val="21"/>
          <w:color w:val="auto"/>
        </w:rPr>
        <w:t>6.2 Furthermore, regardless of any other provision of this section and unless the Committee specifies otherwise, a Participant who breaches any part of that Restrictive Covenant Agreement will forfeit any future payment under the Plan and will also return to the Company or any Affiliate any monies paid out to the Participant under this Plan within the three years prior to said breach. Any monies paid out to a Participant under this Plan also must be returned to the Company or any Affiliate if repayment is required under any recoupment or “clawback” policy adopted by the Company or an Affiliate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52" w:name="page53"/>
    <w:bookmarkEnd w:id="52"/>
    <w:p>
      <w:pPr>
        <w:spacing w:after="0" w:line="83" w:lineRule="exact"/>
        <w:rPr>
          <w:sz w:val="20"/>
          <w:szCs w:val="20"/>
          <w:color w:val="auto"/>
        </w:rPr>
      </w:pPr>
    </w:p>
    <w:p>
      <w:pPr>
        <w:jc w:val="both"/>
        <w:ind w:left="1300" w:hanging="647"/>
        <w:spacing w:after="0" w:line="234" w:lineRule="auto"/>
        <w:rPr>
          <w:sz w:val="20"/>
          <w:szCs w:val="20"/>
          <w:color w:val="auto"/>
        </w:rPr>
      </w:pPr>
      <w:r>
        <w:rPr>
          <w:rFonts w:ascii="Arial" w:cs="Arial" w:eastAsia="Arial" w:hAnsi="Arial"/>
          <w:sz w:val="22"/>
          <w:szCs w:val="22"/>
          <w:color w:val="auto"/>
        </w:rPr>
        <w:t>6.3 By participating in this Plan, a Participant hereby consents to a deduction from any amount the Company or any Affiliate may owe the Participant (including amounts owed to the Participant as salary, wages or other compensation, fringe benefits, or vacation pay as well as any other amounts owed to the Participant by the Company or any Affiliate), to the extent of any amounts owed by the Participant to the Company or any Affiliate for any reason, including under this Section 6, whether or not it elects to make any set-off in whole or in part. If the Company or any Affiliate does not recover the full amount the Participant owes it by means of set-off, calculated as set forth above in Section 6.1, the Participant agrees to pay immediately the unpaid balance to the Company, Affiliate or Subsidiary, as applicable.</w:t>
      </w:r>
    </w:p>
    <w:p>
      <w:pPr>
        <w:spacing w:after="0" w:line="7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Amendment and Termination</w:t>
      </w:r>
    </w:p>
    <w:p>
      <w:pPr>
        <w:spacing w:after="0" w:line="104" w:lineRule="exact"/>
        <w:rPr>
          <w:rFonts w:ascii="Arial" w:cs="Arial" w:eastAsia="Arial" w:hAnsi="Arial"/>
          <w:sz w:val="22"/>
          <w:szCs w:val="22"/>
          <w:color w:val="auto"/>
        </w:rPr>
      </w:pPr>
    </w:p>
    <w:p>
      <w:pPr>
        <w:ind w:left="660" w:right="20"/>
        <w:spacing w:after="0" w:line="250" w:lineRule="auto"/>
        <w:rPr>
          <w:rFonts w:ascii="Arial" w:cs="Arial" w:eastAsia="Arial" w:hAnsi="Arial"/>
          <w:sz w:val="22"/>
          <w:szCs w:val="22"/>
          <w:color w:val="auto"/>
        </w:rPr>
      </w:pPr>
      <w:r>
        <w:rPr>
          <w:rFonts w:ascii="Arial" w:cs="Arial" w:eastAsia="Arial" w:hAnsi="Arial"/>
          <w:sz w:val="22"/>
          <w:szCs w:val="22"/>
          <w:color w:val="auto"/>
        </w:rPr>
        <w:t>The Committee reserves to itself the right to suspend the Plan, to terminate the Plan, and, to the extent allowed without shareholder approval, to amend the Plan.</w:t>
      </w:r>
    </w:p>
    <w:p>
      <w:pPr>
        <w:spacing w:after="0" w:line="60" w:lineRule="exact"/>
        <w:rPr>
          <w:rFonts w:ascii="Arial" w:cs="Arial" w:eastAsia="Arial" w:hAnsi="Arial"/>
          <w:sz w:val="22"/>
          <w:szCs w:val="22"/>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Code Section 409A</w:t>
      </w:r>
    </w:p>
    <w:p>
      <w:pPr>
        <w:spacing w:after="0" w:line="104" w:lineRule="exact"/>
        <w:rPr>
          <w:rFonts w:ascii="Arial" w:cs="Arial" w:eastAsia="Arial" w:hAnsi="Arial"/>
          <w:sz w:val="22"/>
          <w:szCs w:val="22"/>
          <w:color w:val="auto"/>
        </w:rPr>
      </w:pPr>
    </w:p>
    <w:p>
      <w:pPr>
        <w:jc w:val="both"/>
        <w:ind w:left="660"/>
        <w:spacing w:after="0" w:line="271" w:lineRule="auto"/>
        <w:rPr>
          <w:rFonts w:ascii="Arial" w:cs="Arial" w:eastAsia="Arial" w:hAnsi="Arial"/>
          <w:sz w:val="22"/>
          <w:szCs w:val="22"/>
          <w:color w:val="auto"/>
        </w:rPr>
      </w:pPr>
      <w:r>
        <w:rPr>
          <w:rFonts w:ascii="Arial" w:cs="Arial" w:eastAsia="Arial" w:hAnsi="Arial"/>
          <w:sz w:val="19"/>
          <w:szCs w:val="19"/>
          <w:color w:val="auto"/>
        </w:rPr>
        <w:t>It is intended that this Plan comply with the short-term deferral exemption under Treasury Regulation §1.409A-1(a)(4), and this Plan will be interpreted, administered and operated in good faith accordingly. Nothing herein shall be construed as an entitlement to or guarantee of any particular tax treatment to a Participant. Notwithstanding any provisions of the Plan to the contrary, the Company may offset any amounts to be paid to a Participant (or, in the event of the Participant’s death, to his beneficiary) under the Plan against any amounts which such Participant may owe to Company; provided, however, that to the extent such amount constitutes a “deferral of compensation” for purposes of Section 409A of the Internal Revenue Code of 1986, as amended, and the regulations and guidance promulgated thereunder (“Section 409A”), the Company shall not offset such amounts that the Participant may owe to the Company other than with respect to taxes, assessments or other governmental charges imposed on property or income received by the Participant pursuant to the Plan, except to the extent such offset would not result in the Participant incurring interest or additional tax under Section 409A. Notwithstanding anything contained herein to the contrary, to the extent required to avoid accelerated taxation and/or tax penalties under Section 409A, amounts that would otherwise be payable and benefits that would otherwise be provided pursuant to this Agreement or any other arrangement between Participant and the Company during the six (6) month period immediately following Participant’s separation from service shall instead be paid on the first business day after the date that is six (6) months following Participant’s separation from service (or, if earlier, Participant’s date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u w:val="single" w:color="auto"/>
          <w:color w:val="auto"/>
        </w:rPr>
        <w:t>Exhibit 14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The Scotts Miracle-Gro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Code of Business Conduct &amp; Ethics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“Know Where We Stand”</w:t>
      </w: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COVER</w:t>
      </w:r>
      <w:r>
        <w:rPr>
          <w:rFonts w:ascii="Arial" w:cs="Arial" w:eastAsia="Arial" w:hAnsi="Arial"/>
          <w:sz w:val="25"/>
          <w:szCs w:val="25"/>
          <w:color w:val="auto"/>
        </w:rPr>
        <w:t>: KNOW WHERE WE STAND</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INSIDE COVER: </w:t>
      </w:r>
      <w:r>
        <w:rPr>
          <w:rFonts w:ascii="Arial" w:cs="Arial" w:eastAsia="Arial" w:hAnsi="Arial"/>
          <w:sz w:val="25"/>
          <w:szCs w:val="25"/>
          <w:color w:val="auto"/>
        </w:rPr>
        <w:t>Come Stand with Us</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Page 1: </w:t>
      </w:r>
      <w:r>
        <w:rPr>
          <w:rFonts w:ascii="Arial" w:cs="Arial" w:eastAsia="Arial" w:hAnsi="Arial"/>
          <w:sz w:val="25"/>
          <w:szCs w:val="25"/>
          <w:color w:val="auto"/>
        </w:rPr>
        <w:t>To All of Our Associates Worldwide</w:t>
      </w:r>
    </w:p>
    <w:p>
      <w:pPr>
        <w:spacing w:after="0" w:line="169" w:lineRule="exact"/>
        <w:rPr>
          <w:sz w:val="20"/>
          <w:szCs w:val="20"/>
          <w:color w:val="auto"/>
        </w:rPr>
      </w:pPr>
    </w:p>
    <w:p>
      <w:pPr>
        <w:ind w:right="60"/>
        <w:spacing w:after="0" w:line="341" w:lineRule="auto"/>
        <w:rPr>
          <w:sz w:val="20"/>
          <w:szCs w:val="20"/>
          <w:color w:val="auto"/>
        </w:rPr>
      </w:pPr>
      <w:r>
        <w:rPr>
          <w:rFonts w:ascii="Arial" w:cs="Arial" w:eastAsia="Arial" w:hAnsi="Arial"/>
          <w:sz w:val="22"/>
          <w:szCs w:val="22"/>
          <w:color w:val="auto"/>
        </w:rPr>
        <w:t>Every day the decisions we make, small and large, contribute to the trust that consumers place in our brands and our Company. As a ScottsMiracle-Gro associate, whether you’re on your first day or celebrating another year of service, you should always know where we stand – and what we stand for:</w:t>
      </w:r>
    </w:p>
    <w:p>
      <w:pPr>
        <w:spacing w:after="0" w:line="1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We stand with our consumers, helping them enjoy the benefits of their lawns and gardens.</w:t>
      </w:r>
    </w:p>
    <w:p>
      <w:pPr>
        <w:spacing w:after="0" w:line="111" w:lineRule="exact"/>
        <w:rPr>
          <w:rFonts w:ascii="Arial" w:cs="Arial" w:eastAsia="Arial" w:hAnsi="Arial"/>
          <w:sz w:val="22"/>
          <w:szCs w:val="22"/>
          <w:color w:val="auto"/>
        </w:rPr>
      </w:pPr>
    </w:p>
    <w:p>
      <w:pPr>
        <w:jc w:val="both"/>
        <w:ind w:left="980" w:right="380" w:hanging="324"/>
        <w:spacing w:after="0" w:line="341" w:lineRule="auto"/>
        <w:tabs>
          <w:tab w:leader="none" w:pos="9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We stand together as Associates to grow our business, protect the legacy of our Company and create a respectful and collaborative workplace, regardless of race, religion, national origin, sexual orientation or gender identity or expression.</w:t>
      </w:r>
    </w:p>
    <w:p>
      <w:pPr>
        <w:spacing w:after="0" w:line="15" w:lineRule="exact"/>
        <w:rPr>
          <w:rFonts w:ascii="Arial" w:cs="Arial" w:eastAsia="Arial" w:hAnsi="Arial"/>
          <w:sz w:val="22"/>
          <w:szCs w:val="22"/>
          <w:color w:val="auto"/>
        </w:rPr>
      </w:pPr>
    </w:p>
    <w:p>
      <w:pPr>
        <w:ind w:left="980" w:right="360" w:hanging="324"/>
        <w:spacing w:after="0" w:line="338" w:lineRule="auto"/>
        <w:tabs>
          <w:tab w:leader="none" w:pos="9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We stand with our suppliers and retail partners, dealing fairly with them, listening carefully to their needs and supporting their business.</w:t>
      </w:r>
    </w:p>
    <w:p>
      <w:pPr>
        <w:spacing w:after="0" w:line="16" w:lineRule="exact"/>
        <w:rPr>
          <w:rFonts w:ascii="Arial" w:cs="Arial" w:eastAsia="Arial" w:hAnsi="Arial"/>
          <w:sz w:val="22"/>
          <w:szCs w:val="22"/>
          <w:color w:val="auto"/>
        </w:rPr>
      </w:pPr>
    </w:p>
    <w:p>
      <w:pPr>
        <w:ind w:left="980" w:hanging="324"/>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We stand for our shareholders by striving to enhance the value of their investment.</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We stand for an ethical, competitive marketplace.</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We stand for doing the right things in the countries and communities where we live and work.</w:t>
      </w:r>
    </w:p>
    <w:p>
      <w:pPr>
        <w:spacing w:after="0" w:line="112" w:lineRule="exact"/>
        <w:rPr>
          <w:sz w:val="20"/>
          <w:szCs w:val="20"/>
          <w:color w:val="auto"/>
        </w:rPr>
      </w:pPr>
    </w:p>
    <w:p>
      <w:pPr>
        <w:ind w:right="180"/>
        <w:spacing w:after="0" w:line="348" w:lineRule="auto"/>
        <w:rPr>
          <w:sz w:val="20"/>
          <w:szCs w:val="20"/>
          <w:color w:val="auto"/>
        </w:rPr>
      </w:pPr>
      <w:r>
        <w:rPr>
          <w:rFonts w:ascii="Arial" w:cs="Arial" w:eastAsia="Arial" w:hAnsi="Arial"/>
          <w:sz w:val="22"/>
          <w:szCs w:val="22"/>
          <w:color w:val="auto"/>
        </w:rPr>
        <w:t>These are guiding principles that have made our Company successful – and guiding principles that will continue to guide us into the future. This Code will help you better understand how these guiding principles should be applied in our day-to-day business operations and our personal behavior as representatives of ScottsMiracle-Gro.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75" w:right="33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auto"/>
        </w:rPr>
        <w:t xml:space="preserve">Pages 2-3: </w:t>
      </w:r>
      <w:r>
        <w:rPr>
          <w:rFonts w:ascii="Arial" w:cs="Arial" w:eastAsia="Arial" w:hAnsi="Arial"/>
          <w:sz w:val="25"/>
          <w:szCs w:val="25"/>
          <w:color w:val="auto"/>
        </w:rPr>
        <w:t>From CEO Jim Hagedorn</w:t>
      </w:r>
    </w:p>
    <w:p>
      <w:pPr>
        <w:spacing w:after="0" w:line="169" w:lineRule="exact"/>
        <w:rPr>
          <w:sz w:val="20"/>
          <w:szCs w:val="20"/>
          <w:color w:val="auto"/>
        </w:rPr>
      </w:pPr>
    </w:p>
    <w:p>
      <w:pPr>
        <w:ind w:right="260"/>
        <w:spacing w:after="0" w:line="348" w:lineRule="auto"/>
        <w:rPr>
          <w:sz w:val="20"/>
          <w:szCs w:val="20"/>
          <w:color w:val="auto"/>
        </w:rPr>
      </w:pPr>
      <w:r>
        <w:rPr>
          <w:rFonts w:ascii="Arial" w:cs="Arial" w:eastAsia="Arial" w:hAnsi="Arial"/>
          <w:sz w:val="22"/>
          <w:szCs w:val="22"/>
          <w:color w:val="auto"/>
        </w:rPr>
        <w:t>Since 1868, ScottsMiracle-Gro has grown from its humble beginnings by building a firm foundation of trust with consumers. Their trust in our brands has made us the world’s leading consumer lawn and garden company and an enterprise our founders never could have envisioned.</w:t>
      </w:r>
    </w:p>
    <w:p>
      <w:pPr>
        <w:spacing w:after="0" w:line="236" w:lineRule="exact"/>
        <w:rPr>
          <w:sz w:val="20"/>
          <w:szCs w:val="20"/>
          <w:color w:val="auto"/>
        </w:rPr>
      </w:pPr>
    </w:p>
    <w:p>
      <w:pPr>
        <w:ind w:right="80"/>
        <w:spacing w:after="0" w:line="347" w:lineRule="auto"/>
        <w:rPr>
          <w:sz w:val="20"/>
          <w:szCs w:val="20"/>
          <w:color w:val="auto"/>
        </w:rPr>
      </w:pPr>
      <w:r>
        <w:rPr>
          <w:rFonts w:ascii="Arial" w:cs="Arial" w:eastAsia="Arial" w:hAnsi="Arial"/>
          <w:sz w:val="22"/>
          <w:szCs w:val="22"/>
          <w:color w:val="auto"/>
        </w:rPr>
        <w:t>We have achieved respect and loyalty in the marketplace because consumers – as well as our partners, suppliers and shareholders – trust us to conduct our business with integrity and respect for all. We earn this trust every day by making the right decisions and taking the right actions – one person at a time. Every associate is obligated to protect the integrity of our business and help to ensure that we leave our Company to the next generation of associates in even better condition than we found it.</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To do so, each of us must recognize that ethical behavior is our most important cultural attribute. At ScottsMiracle-</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Gro, we know that there is no personal or business goal worth compromising our integrity and commitment to ethics</w:t>
      </w:r>
      <w:r>
        <w:rPr>
          <w:rFonts w:ascii="Arial" w:cs="Arial" w:eastAsia="Arial" w:hAnsi="Arial"/>
          <w:sz w:val="21"/>
          <w:szCs w:val="21"/>
          <w:i w:val="1"/>
          <w:i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We strive to win, but to win the right way.</w:t>
      </w:r>
    </w:p>
    <w:p>
      <w:pPr>
        <w:spacing w:after="0" w:line="355" w:lineRule="exact"/>
        <w:rPr>
          <w:sz w:val="20"/>
          <w:szCs w:val="20"/>
          <w:color w:val="auto"/>
        </w:rPr>
      </w:pPr>
    </w:p>
    <w:p>
      <w:pPr>
        <w:spacing w:after="0" w:line="351" w:lineRule="auto"/>
        <w:rPr>
          <w:sz w:val="20"/>
          <w:szCs w:val="20"/>
          <w:color w:val="auto"/>
        </w:rPr>
      </w:pPr>
      <w:r>
        <w:rPr>
          <w:rFonts w:ascii="Arial" w:cs="Arial" w:eastAsia="Arial" w:hAnsi="Arial"/>
          <w:sz w:val="22"/>
          <w:szCs w:val="22"/>
          <w:color w:val="auto"/>
        </w:rPr>
        <w:t>Demonstrating and valuing ethical behavior starts with our leaders. Leaders have an especially important role to set a clear example for all associates and to make every effort to assist associates with concerns or problems.</w:t>
      </w:r>
    </w:p>
    <w:p>
      <w:pPr>
        <w:spacing w:after="0" w:line="210" w:lineRule="exact"/>
        <w:rPr>
          <w:sz w:val="20"/>
          <w:szCs w:val="20"/>
          <w:color w:val="auto"/>
        </w:rPr>
      </w:pPr>
    </w:p>
    <w:p>
      <w:pPr>
        <w:ind w:right="180"/>
        <w:spacing w:after="0" w:line="352" w:lineRule="auto"/>
        <w:rPr>
          <w:sz w:val="20"/>
          <w:szCs w:val="20"/>
          <w:color w:val="auto"/>
        </w:rPr>
      </w:pPr>
      <w:r>
        <w:rPr>
          <w:rFonts w:ascii="Arial" w:cs="Arial" w:eastAsia="Arial" w:hAnsi="Arial"/>
          <w:sz w:val="22"/>
          <w:szCs w:val="22"/>
          <w:i w:val="1"/>
          <w:iCs w:val="1"/>
          <w:color w:val="auto"/>
        </w:rPr>
        <w:t xml:space="preserve">Every </w:t>
      </w:r>
      <w:r>
        <w:rPr>
          <w:rFonts w:ascii="Arial" w:cs="Arial" w:eastAsia="Arial" w:hAnsi="Arial"/>
          <w:sz w:val="22"/>
          <w:szCs w:val="22"/>
          <w:color w:val="auto"/>
        </w:rPr>
        <w:t>associate, regardless of title or seniority, is expected to follow this Code. Do not allow anything – not your</w:t>
      </w:r>
      <w:r>
        <w:rPr>
          <w:rFonts w:ascii="Arial" w:cs="Arial" w:eastAsia="Arial" w:hAnsi="Arial"/>
          <w:sz w:val="22"/>
          <w:szCs w:val="22"/>
          <w:i w:val="1"/>
          <w:iCs w:val="1"/>
          <w:color w:val="auto"/>
        </w:rPr>
        <w:t xml:space="preserve"> </w:t>
      </w:r>
      <w:r>
        <w:rPr>
          <w:rFonts w:ascii="Arial" w:cs="Arial" w:eastAsia="Arial" w:hAnsi="Arial"/>
          <w:sz w:val="22"/>
          <w:szCs w:val="22"/>
          <w:color w:val="auto"/>
        </w:rPr>
        <w:t>competitive instincts, desire to achieve a financial goal, or even a direct order from a superior – to compromise your commitment to acting ethically. This Code does not serve as a substitute for good judgment. It’s not okay to do the wrong thing if your manager or another superior orders you to. You are accountable for your actions even if you’re “just doing what I was told.”</w:t>
      </w:r>
    </w:p>
    <w:p>
      <w:pPr>
        <w:spacing w:after="0" w:line="232" w:lineRule="exact"/>
        <w:rPr>
          <w:sz w:val="20"/>
          <w:szCs w:val="20"/>
          <w:color w:val="auto"/>
        </w:rPr>
      </w:pPr>
    </w:p>
    <w:p>
      <w:pPr>
        <w:jc w:val="both"/>
        <w:ind w:right="320"/>
        <w:spacing w:after="0" w:line="371" w:lineRule="auto"/>
        <w:rPr>
          <w:sz w:val="20"/>
          <w:szCs w:val="20"/>
          <w:color w:val="auto"/>
        </w:rPr>
      </w:pPr>
      <w:r>
        <w:rPr>
          <w:rFonts w:ascii="Arial" w:cs="Arial" w:eastAsia="Arial" w:hAnsi="Arial"/>
          <w:sz w:val="21"/>
          <w:szCs w:val="21"/>
          <w:color w:val="auto"/>
        </w:rPr>
        <w:t xml:space="preserve">At some point, you might find that you are facing a situation not covered in this Code and are not sure how to act. </w:t>
      </w:r>
      <w:r>
        <w:rPr>
          <w:rFonts w:ascii="Arial" w:cs="Arial" w:eastAsia="Arial" w:hAnsi="Arial"/>
          <w:sz w:val="21"/>
          <w:szCs w:val="21"/>
          <w:b w:val="1"/>
          <w:bCs w:val="1"/>
          <w:color w:val="auto"/>
        </w:rPr>
        <w:t xml:space="preserve">When in doubt, reach out. </w:t>
      </w:r>
      <w:r>
        <w:rPr>
          <w:rFonts w:ascii="Arial" w:cs="Arial" w:eastAsia="Arial" w:hAnsi="Arial"/>
          <w:sz w:val="21"/>
          <w:szCs w:val="21"/>
          <w:color w:val="auto"/>
        </w:rPr>
        <w:t>Ask your manager or anyone else listed in these pages for guidance, especially if you</w:t>
      </w:r>
      <w:r>
        <w:rPr>
          <w:rFonts w:ascii="Arial" w:cs="Arial" w:eastAsia="Arial" w:hAnsi="Arial"/>
          <w:sz w:val="21"/>
          <w:szCs w:val="21"/>
          <w:b w:val="1"/>
          <w:bCs w:val="1"/>
          <w:color w:val="auto"/>
        </w:rPr>
        <w:t xml:space="preserve"> </w:t>
      </w:r>
      <w:r>
        <w:rPr>
          <w:rFonts w:ascii="Arial" w:cs="Arial" w:eastAsia="Arial" w:hAnsi="Arial"/>
          <w:sz w:val="21"/>
          <w:szCs w:val="21"/>
          <w:color w:val="auto"/>
        </w:rPr>
        <w:t>are concerned about something that does not appear to support our commitment to integrity. You can even raise 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392" w:right="379" w:bottom="1440" w:gutter="0" w:footer="0" w:header="0"/>
        </w:sectPr>
      </w:pPr>
    </w:p>
    <w:bookmarkStart w:id="55" w:name="page56"/>
    <w:bookmarkEnd w:id="55"/>
    <w:p>
      <w:pPr>
        <w:ind w:right="280"/>
        <w:spacing w:after="0" w:line="351" w:lineRule="auto"/>
        <w:rPr>
          <w:sz w:val="20"/>
          <w:szCs w:val="20"/>
          <w:color w:val="auto"/>
        </w:rPr>
      </w:pPr>
      <w:r>
        <w:rPr>
          <w:rFonts w:ascii="Arial" w:cs="Arial" w:eastAsia="Arial" w:hAnsi="Arial"/>
          <w:sz w:val="22"/>
          <w:szCs w:val="22"/>
          <w:color w:val="auto"/>
        </w:rPr>
        <w:t>concern anonymously. We will not tolerate retaliation against any associate who raises a concern in good faith. We will enforce the Code consistently, regardless of our position within the Company.</w:t>
      </w:r>
    </w:p>
    <w:p>
      <w:pPr>
        <w:spacing w:after="0" w:line="232" w:lineRule="exact"/>
        <w:rPr>
          <w:sz w:val="20"/>
          <w:szCs w:val="20"/>
          <w:color w:val="auto"/>
        </w:rPr>
      </w:pPr>
    </w:p>
    <w:p>
      <w:pPr>
        <w:ind w:right="140"/>
        <w:spacing w:after="0" w:line="338" w:lineRule="auto"/>
        <w:rPr>
          <w:sz w:val="20"/>
          <w:szCs w:val="20"/>
          <w:color w:val="auto"/>
        </w:rPr>
      </w:pPr>
      <w:r>
        <w:rPr>
          <w:rFonts w:ascii="Arial" w:cs="Arial" w:eastAsia="Arial" w:hAnsi="Arial"/>
          <w:sz w:val="22"/>
          <w:szCs w:val="22"/>
          <w:color w:val="auto"/>
        </w:rPr>
        <w:t>Generations of ScottsMiracle-Gro associates before us built a positive reputation and exceptional culture through their words and deeds. Now it’s our turn to carry the banner. Thank you for your commitment to the Company and to upholding the values set forth in this Code.</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Jim Hagedorn signature</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 xml:space="preserve">Page 4: </w:t>
      </w:r>
      <w:r>
        <w:rPr>
          <w:rFonts w:ascii="Arial" w:cs="Arial" w:eastAsia="Arial" w:hAnsi="Arial"/>
          <w:sz w:val="25"/>
          <w:szCs w:val="25"/>
          <w:color w:val="auto"/>
        </w:rPr>
        <w:t>Our Code of Business Conduct and Ethics: Intro</w:t>
      </w:r>
    </w:p>
    <w:p>
      <w:pPr>
        <w:spacing w:after="0" w:line="200" w:lineRule="exact"/>
        <w:rPr>
          <w:sz w:val="20"/>
          <w:szCs w:val="20"/>
          <w:color w:val="auto"/>
        </w:rPr>
      </w:pPr>
    </w:p>
    <w:p>
      <w:pPr>
        <w:spacing w:after="0" w:line="212" w:lineRule="exact"/>
        <w:rPr>
          <w:sz w:val="20"/>
          <w:szCs w:val="20"/>
          <w:color w:val="auto"/>
        </w:rPr>
      </w:pPr>
    </w:p>
    <w:p>
      <w:pPr>
        <w:ind w:right="840"/>
        <w:spacing w:after="0" w:line="348" w:lineRule="auto"/>
        <w:rPr>
          <w:sz w:val="20"/>
          <w:szCs w:val="20"/>
          <w:color w:val="auto"/>
        </w:rPr>
      </w:pPr>
      <w:r>
        <w:rPr>
          <w:rFonts w:ascii="Arial" w:cs="Arial" w:eastAsia="Arial" w:hAnsi="Arial"/>
          <w:sz w:val="22"/>
          <w:szCs w:val="22"/>
          <w:color w:val="auto"/>
        </w:rPr>
        <w:t>For over 150 years, The Scotts Miracle-Gro Company has forged a reputation with our consumers and our stakeholders as a company with integrity. This is a valuable company asset and, in today’s internet world, we recognize that we are operating under more scrutiny than ever.</w:t>
      </w:r>
    </w:p>
    <w:p>
      <w:pPr>
        <w:spacing w:after="0" w:line="236" w:lineRule="exact"/>
        <w:rPr>
          <w:sz w:val="20"/>
          <w:szCs w:val="20"/>
          <w:color w:val="auto"/>
        </w:rPr>
      </w:pPr>
    </w:p>
    <w:p>
      <w:pPr>
        <w:ind w:right="100"/>
        <w:spacing w:after="0" w:line="347" w:lineRule="auto"/>
        <w:rPr>
          <w:sz w:val="20"/>
          <w:szCs w:val="20"/>
          <w:color w:val="auto"/>
        </w:rPr>
      </w:pPr>
      <w:r>
        <w:rPr>
          <w:rFonts w:ascii="Arial" w:cs="Arial" w:eastAsia="Arial" w:hAnsi="Arial"/>
          <w:sz w:val="22"/>
          <w:szCs w:val="22"/>
          <w:color w:val="auto"/>
        </w:rPr>
        <w:t>We earn the trust and respect of our consumers by doing the right thing every day. Our Code of Business Conduct and Ethics guides our actions as a company, from our associates to our Board of Directors. This Code provides guidelines for ethical issues that may arise when dealing with fellow associates, customers, suppliers, competitors or the general public.</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Each of us has committed to operate ethically and to lead with integrity. Specifically, this means that ScottsMiracle-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Gro can expect that each of us will:</w:t>
      </w:r>
    </w:p>
    <w:p>
      <w:pPr>
        <w:spacing w:after="0" w:line="11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Demonstrate the values in this Code and always act within its letter and spirit.</w:t>
      </w:r>
    </w:p>
    <w:p>
      <w:pPr>
        <w:spacing w:after="0" w:line="111" w:lineRule="exact"/>
        <w:rPr>
          <w:rFonts w:ascii="Arial" w:cs="Arial" w:eastAsia="Arial" w:hAnsi="Arial"/>
          <w:sz w:val="22"/>
          <w:szCs w:val="22"/>
          <w:color w:val="auto"/>
        </w:rPr>
      </w:pPr>
    </w:p>
    <w:p>
      <w:pPr>
        <w:ind w:left="660" w:right="620" w:hanging="328"/>
        <w:spacing w:after="0" w:line="338"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Take personal accountability for maintaining an environment in which associates feel comfortable asking questions, raise concerns and report issues without fear of reprisal.</w:t>
      </w:r>
    </w:p>
    <w:p>
      <w:pPr>
        <w:spacing w:after="0" w:line="16" w:lineRule="exact"/>
        <w:rPr>
          <w:rFonts w:ascii="Arial" w:cs="Arial" w:eastAsia="Arial" w:hAnsi="Arial"/>
          <w:sz w:val="22"/>
          <w:szCs w:val="22"/>
          <w:color w:val="auto"/>
        </w:rPr>
      </w:pPr>
    </w:p>
    <w:p>
      <w:pPr>
        <w:ind w:left="660" w:hanging="328"/>
        <w:spacing w:after="0" w:line="351"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Model at all times the expectations outlined in this Code, and hold the Associates who report to us accountable for doing so as well.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173" w:right="359" w:bottom="1440" w:gutter="0" w:footer="0" w:header="0"/>
        </w:sectPr>
      </w:pPr>
    </w:p>
    <w:bookmarkStart w:id="56" w:name="page57"/>
    <w:bookmarkEnd w:id="56"/>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Sustain a culture in which ethical conduct is recognized, valued and demonstrated at all levels.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Page 5: </w:t>
      </w:r>
      <w:r>
        <w:rPr>
          <w:rFonts w:ascii="Arial" w:cs="Arial" w:eastAsia="Arial" w:hAnsi="Arial"/>
          <w:sz w:val="25"/>
          <w:szCs w:val="25"/>
          <w:color w:val="auto"/>
        </w:rPr>
        <w:t>Our Cultural Attributes</w:t>
      </w:r>
    </w:p>
    <w:p>
      <w:pPr>
        <w:spacing w:after="0" w:line="344" w:lineRule="exact"/>
        <w:rPr>
          <w:sz w:val="20"/>
          <w:szCs w:val="20"/>
          <w:color w:val="auto"/>
        </w:rPr>
      </w:pPr>
    </w:p>
    <w:p>
      <w:pPr>
        <w:ind w:right="160"/>
        <w:spacing w:after="0" w:line="347" w:lineRule="auto"/>
        <w:rPr>
          <w:sz w:val="20"/>
          <w:szCs w:val="20"/>
          <w:color w:val="auto"/>
        </w:rPr>
      </w:pPr>
      <w:r>
        <w:rPr>
          <w:rFonts w:ascii="Arial" w:cs="Arial" w:eastAsia="Arial" w:hAnsi="Arial"/>
          <w:sz w:val="22"/>
          <w:szCs w:val="22"/>
          <w:color w:val="auto"/>
        </w:rPr>
        <w:t>Our cultural attributes define the behaviors all of us should display and expect from each other as we work together. Like our Guiding Principles, they let our customers and our partners know where we stand and what we stand for. Each attribute incorporates a measure of ethics – whether it involves doing the right thing, acting with integrity or demonstrating high ethical standards.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[Cultural Attributes Graphic]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Page 6: </w:t>
      </w:r>
      <w:r>
        <w:rPr>
          <w:rFonts w:ascii="Arial" w:cs="Arial" w:eastAsia="Arial" w:hAnsi="Arial"/>
          <w:sz w:val="25"/>
          <w:szCs w:val="25"/>
          <w:color w:val="auto"/>
        </w:rPr>
        <w:t>Why We Have a Code</w:t>
      </w:r>
    </w:p>
    <w:p>
      <w:pPr>
        <w:spacing w:after="0" w:line="344" w:lineRule="exact"/>
        <w:rPr>
          <w:sz w:val="20"/>
          <w:szCs w:val="20"/>
          <w:color w:val="auto"/>
        </w:rPr>
      </w:pPr>
    </w:p>
    <w:p>
      <w:pPr>
        <w:spacing w:after="0" w:line="345" w:lineRule="auto"/>
        <w:rPr>
          <w:sz w:val="20"/>
          <w:szCs w:val="20"/>
          <w:color w:val="auto"/>
        </w:rPr>
      </w:pPr>
      <w:r>
        <w:rPr>
          <w:rFonts w:ascii="Arial" w:cs="Arial" w:eastAsia="Arial" w:hAnsi="Arial"/>
          <w:sz w:val="22"/>
          <w:szCs w:val="22"/>
          <w:color w:val="auto"/>
        </w:rPr>
        <w:t>At ScottsMiracle-Gro, we adhere to the highest standards of personal, professional and business ethics. This Code of Business Conduct and Ethics delivers behavioral guidance to help us conduct our business with honesty, integrity and professionalism.</w:t>
      </w:r>
    </w:p>
    <w:p>
      <w:pPr>
        <w:spacing w:after="0" w:line="3" w:lineRule="exact"/>
        <w:rPr>
          <w:sz w:val="20"/>
          <w:szCs w:val="20"/>
          <w:color w:val="auto"/>
        </w:rPr>
      </w:pPr>
    </w:p>
    <w:p>
      <w:pPr>
        <w:ind w:right="100"/>
        <w:spacing w:after="0" w:line="347" w:lineRule="auto"/>
        <w:rPr>
          <w:sz w:val="20"/>
          <w:szCs w:val="20"/>
          <w:color w:val="auto"/>
        </w:rPr>
      </w:pPr>
      <w:r>
        <w:rPr>
          <w:rFonts w:ascii="Arial" w:cs="Arial" w:eastAsia="Arial" w:hAnsi="Arial"/>
          <w:sz w:val="22"/>
          <w:szCs w:val="22"/>
          <w:color w:val="auto"/>
        </w:rPr>
        <w:t>The Code is intended as an overview of the Company’s values, which underlie our policies. For more information about the values described here, read our policies on The Garden, the associate intranet site. Understand, however, that this Code and our policies cannot and are not intended to provide answers to all questions. For that, we must rely, ultimately, on each person’s sense of doing what’s right, including knowing when to seek guidance from others on the appropriate course of action.</w:t>
      </w:r>
    </w:p>
    <w:p>
      <w:pPr>
        <w:spacing w:after="0" w:line="237" w:lineRule="exact"/>
        <w:rPr>
          <w:sz w:val="20"/>
          <w:szCs w:val="20"/>
          <w:color w:val="auto"/>
        </w:rPr>
      </w:pPr>
    </w:p>
    <w:p>
      <w:pPr>
        <w:ind w:right="800"/>
        <w:spacing w:after="0" w:line="351" w:lineRule="auto"/>
        <w:rPr>
          <w:sz w:val="20"/>
          <w:szCs w:val="20"/>
          <w:color w:val="auto"/>
        </w:rPr>
      </w:pPr>
      <w:r>
        <w:rPr>
          <w:rFonts w:ascii="Arial" w:cs="Arial" w:eastAsia="Arial" w:hAnsi="Arial"/>
          <w:sz w:val="22"/>
          <w:szCs w:val="22"/>
          <w:color w:val="auto"/>
        </w:rPr>
        <w:t>This Code establishes guidelines for ethical as well as legal behavior and anticipates that each of us will take responsibility for our own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173" w:right="379" w:bottom="1440" w:gutter="0" w:footer="0" w:header="0"/>
        </w:sectPr>
      </w:pPr>
    </w:p>
    <w:bookmarkStart w:id="57" w:name="page58"/>
    <w:bookmarkEnd w:id="57"/>
    <w:p>
      <w:pPr>
        <w:spacing w:after="0"/>
        <w:rPr>
          <w:sz w:val="20"/>
          <w:szCs w:val="20"/>
          <w:color w:val="auto"/>
        </w:rPr>
      </w:pPr>
      <w:r>
        <w:rPr>
          <w:rFonts w:ascii="Arial" w:cs="Arial" w:eastAsia="Arial" w:hAnsi="Arial"/>
          <w:sz w:val="25"/>
          <w:szCs w:val="25"/>
          <w:color w:val="auto"/>
        </w:rPr>
        <w:t>Who Must Follow the Code</w:t>
      </w:r>
    </w:p>
    <w:p>
      <w:pPr>
        <w:spacing w:after="0" w:line="380" w:lineRule="exact"/>
        <w:rPr>
          <w:sz w:val="20"/>
          <w:szCs w:val="20"/>
          <w:color w:val="auto"/>
        </w:rPr>
      </w:pPr>
    </w:p>
    <w:p>
      <w:pPr>
        <w:jc w:val="both"/>
        <w:ind w:right="120"/>
        <w:spacing w:after="0" w:line="348" w:lineRule="auto"/>
        <w:rPr>
          <w:sz w:val="20"/>
          <w:szCs w:val="20"/>
          <w:color w:val="auto"/>
        </w:rPr>
      </w:pPr>
      <w:r>
        <w:rPr>
          <w:rFonts w:ascii="Arial" w:cs="Arial" w:eastAsia="Arial" w:hAnsi="Arial"/>
          <w:sz w:val="22"/>
          <w:szCs w:val="22"/>
          <w:color w:val="auto"/>
        </w:rPr>
        <w:t>This Code applies to every ScottsMiracle-Gro associate, officer and member of our Board of Directors. Each of us is obligated to read and understand this Code and to integrate its standards into every aspect of our business. Each of us must follow these standards as we do our jobs.</w:t>
      </w:r>
    </w:p>
    <w:p>
      <w:pPr>
        <w:spacing w:after="0" w:line="236" w:lineRule="exact"/>
        <w:rPr>
          <w:sz w:val="20"/>
          <w:szCs w:val="20"/>
          <w:color w:val="auto"/>
        </w:rPr>
      </w:pPr>
    </w:p>
    <w:p>
      <w:pPr>
        <w:ind w:right="500"/>
        <w:spacing w:after="0" w:line="351" w:lineRule="auto"/>
        <w:rPr>
          <w:sz w:val="20"/>
          <w:szCs w:val="20"/>
          <w:color w:val="auto"/>
        </w:rPr>
      </w:pPr>
      <w:r>
        <w:rPr>
          <w:rFonts w:ascii="Arial" w:cs="Arial" w:eastAsia="Arial" w:hAnsi="Arial"/>
          <w:sz w:val="22"/>
          <w:szCs w:val="22"/>
          <w:color w:val="auto"/>
        </w:rPr>
        <w:t>If you have questions, ask them. If you have ethical concerns, raise them. If you are unsure about how the Code applies to a particular situation, ask before you act.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color w:val="auto"/>
        </w:rPr>
        <w:t>What is Expected of Leaders</w:t>
      </w:r>
    </w:p>
    <w:p>
      <w:pPr>
        <w:spacing w:after="0" w:line="380" w:lineRule="exact"/>
        <w:rPr>
          <w:sz w:val="20"/>
          <w:szCs w:val="20"/>
          <w:color w:val="auto"/>
        </w:rPr>
      </w:pPr>
    </w:p>
    <w:p>
      <w:pPr>
        <w:ind w:right="40"/>
        <w:spacing w:after="0" w:line="366" w:lineRule="auto"/>
        <w:rPr>
          <w:sz w:val="20"/>
          <w:szCs w:val="20"/>
          <w:color w:val="auto"/>
        </w:rPr>
      </w:pPr>
      <w:r>
        <w:rPr>
          <w:rFonts w:ascii="Arial" w:cs="Arial" w:eastAsia="Arial" w:hAnsi="Arial"/>
          <w:sz w:val="21"/>
          <w:szCs w:val="21"/>
          <w:color w:val="auto"/>
        </w:rPr>
        <w:t>Leaders at our Company have a special responsibility to demonstrate our values through their actions. They should hold themselves to the highest standards of ethical conduct and foster an environment of integrity, honesty and respect. They should encourage others to act with integrity to avoid even the appearance of a violation of our guiding principles. Leaders must never retaliate against anyone for raising an ethics issue, assisting in an investigation, or participating in any proceeding relating to an alleged violation of this Code or any law or regulation.</w:t>
      </w:r>
    </w:p>
    <w:p>
      <w:pPr>
        <w:spacing w:after="0" w:line="224" w:lineRule="exact"/>
        <w:rPr>
          <w:sz w:val="20"/>
          <w:szCs w:val="20"/>
          <w:color w:val="auto"/>
        </w:rPr>
      </w:pPr>
    </w:p>
    <w:p>
      <w:pPr>
        <w:spacing w:after="0" w:line="347" w:lineRule="auto"/>
        <w:rPr>
          <w:sz w:val="20"/>
          <w:szCs w:val="20"/>
          <w:color w:val="auto"/>
        </w:rPr>
      </w:pPr>
      <w:r>
        <w:rPr>
          <w:rFonts w:ascii="Arial" w:cs="Arial" w:eastAsia="Arial" w:hAnsi="Arial"/>
          <w:sz w:val="22"/>
          <w:szCs w:val="22"/>
          <w:color w:val="auto"/>
        </w:rPr>
        <w:t>Leaders, if you are approached by an associate with a question or concern, listen carefully and give the associate your complete attention. Ask for clarification and additional information to make sure you understand the issue being raised. Demonstrate our guiding principles by showing the associate that we take such concerns seriously. Answer the associate’s questions if you can, but do not feel that you must give an immediate response. Seek help if you need it. If an associate raises a concern that may require investigation under this Code, contact the Human Resources and/or Ethics Department.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181" w:right="379" w:bottom="1440" w:gutter="0" w:footer="0" w:header="0"/>
        </w:sectPr>
      </w:pPr>
    </w:p>
    <w:bookmarkStart w:id="58" w:name="page59"/>
    <w:bookmarkEnd w:id="58"/>
    <w:p>
      <w:pPr>
        <w:ind w:right="480"/>
        <w:spacing w:after="0" w:line="359" w:lineRule="auto"/>
        <w:rPr>
          <w:sz w:val="20"/>
          <w:szCs w:val="20"/>
          <w:color w:val="auto"/>
        </w:rPr>
      </w:pPr>
      <w:r>
        <w:rPr>
          <w:rFonts w:ascii="Arial" w:cs="Arial" w:eastAsia="Arial" w:hAnsi="Arial"/>
          <w:sz w:val="22"/>
          <w:szCs w:val="22"/>
          <w:i w:val="1"/>
          <w:iCs w:val="1"/>
          <w:color w:val="auto"/>
        </w:rPr>
        <w:t>Separated by several generations but united in their focus on earning and keeping the consumer’s trust by maintaining the highest ethical standards: OM Scott (left), father of The Scotts Company, and Horace Hagedorn, founder of Miracle-Gro</w:t>
      </w:r>
      <w:r>
        <w:rPr>
          <w:rFonts w:ascii="Arial" w:cs="Arial" w:eastAsia="Arial" w:hAnsi="Arial"/>
          <w:sz w:val="22"/>
          <w:szCs w:val="22"/>
          <w:i w:val="1"/>
          <w:iCs w:val="1"/>
          <w:color w:val="0000FF"/>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Do you Know . . .</w:t>
      </w:r>
    </w:p>
    <w:p>
      <w:pPr>
        <w:spacing w:after="0" w:line="200" w:lineRule="exact"/>
        <w:rPr>
          <w:sz w:val="20"/>
          <w:szCs w:val="20"/>
          <w:color w:val="auto"/>
        </w:rPr>
      </w:pPr>
    </w:p>
    <w:p>
      <w:pPr>
        <w:spacing w:after="0" w:line="266"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22"/>
          <w:szCs w:val="22"/>
          <w:color w:val="auto"/>
        </w:rPr>
        <w:t>Why we need a Code of Business Conduct and Ethics?</w:t>
      </w:r>
    </w:p>
    <w:p>
      <w:pPr>
        <w:spacing w:after="0" w:line="355" w:lineRule="exact"/>
        <w:rPr>
          <w:sz w:val="20"/>
          <w:szCs w:val="20"/>
          <w:color w:val="auto"/>
        </w:rPr>
      </w:pPr>
    </w:p>
    <w:p>
      <w:pPr>
        <w:spacing w:after="0" w:line="371" w:lineRule="auto"/>
        <w:rPr>
          <w:sz w:val="20"/>
          <w:szCs w:val="20"/>
          <w:color w:val="auto"/>
        </w:rPr>
      </w:pPr>
      <w:r>
        <w:rPr>
          <w:rFonts w:ascii="Arial" w:cs="Arial" w:eastAsia="Arial" w:hAnsi="Arial"/>
          <w:sz w:val="21"/>
          <w:szCs w:val="21"/>
          <w:color w:val="auto"/>
        </w:rPr>
        <w:t>The Code sets out our commitment to living our values in the way we conduct business. The Code provides guidance on what is expected of each of us and references other Company policies and guidelines. Failure to comply with relevant laws, the Code or any policy is taken seriously and may result in discipline, up to and including termination.</w:t>
      </w:r>
    </w:p>
    <w:p>
      <w:pPr>
        <w:spacing w:after="0" w:line="21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Our Board of Directors must approve any waiver of the Code for our executive officers?</w:t>
      </w:r>
    </w:p>
    <w:p>
      <w:pPr>
        <w:spacing w:after="0" w:line="355" w:lineRule="exact"/>
        <w:rPr>
          <w:sz w:val="20"/>
          <w:szCs w:val="20"/>
          <w:color w:val="auto"/>
        </w:rPr>
      </w:pPr>
    </w:p>
    <w:p>
      <w:pPr>
        <w:ind w:right="40"/>
        <w:spacing w:after="0" w:line="347" w:lineRule="auto"/>
        <w:rPr>
          <w:sz w:val="20"/>
          <w:szCs w:val="20"/>
          <w:color w:val="auto"/>
        </w:rPr>
      </w:pPr>
      <w:r>
        <w:rPr>
          <w:rFonts w:ascii="Arial" w:cs="Arial" w:eastAsia="Arial" w:hAnsi="Arial"/>
          <w:sz w:val="22"/>
          <w:szCs w:val="22"/>
          <w:color w:val="auto"/>
        </w:rPr>
        <w:t>For members of the Board of Directors and our executive officers, waivers of this Code may only be made by the Board or a Board committee, and will be disclosed publicly as required by law or New York Stock Exchange Rules. Any waiver for other officers, associates or representatives may be made only by the Chief Executive Officer or, if the CEO is not available, the General Counsel together with the head of Global Human Resources.</w:t>
      </w:r>
    </w:p>
    <w:p>
      <w:pPr>
        <w:spacing w:after="0" w:line="238"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Most associates report concerns to their direct manager or supervisor?</w:t>
      </w:r>
    </w:p>
    <w:p>
      <w:pPr>
        <w:spacing w:after="0" w:line="355" w:lineRule="exact"/>
        <w:rPr>
          <w:sz w:val="20"/>
          <w:szCs w:val="20"/>
          <w:color w:val="auto"/>
        </w:rPr>
      </w:pPr>
    </w:p>
    <w:p>
      <w:pPr>
        <w:jc w:val="both"/>
        <w:ind w:right="100"/>
        <w:spacing w:after="0" w:line="371" w:lineRule="auto"/>
        <w:rPr>
          <w:sz w:val="20"/>
          <w:szCs w:val="20"/>
          <w:color w:val="auto"/>
        </w:rPr>
      </w:pPr>
      <w:r>
        <w:rPr>
          <w:rFonts w:ascii="Arial" w:cs="Arial" w:eastAsia="Arial" w:hAnsi="Arial"/>
          <w:sz w:val="21"/>
          <w:szCs w:val="21"/>
          <w:color w:val="auto"/>
        </w:rPr>
        <w:t xml:space="preserve">You have told us through our Cultural Assessment survey that you feel most comfortable reaching out to your direct manager or supervisor when you have a question or concern. You may also use the other channels contained in this Code, including the anonymous Ethics &amp; Compliance HelpLine, to escalate concerns. </w:t>
      </w:r>
      <w:r>
        <w:rPr>
          <w:rFonts w:ascii="Arial" w:cs="Arial" w:eastAsia="Arial" w:hAnsi="Arial"/>
          <w:sz w:val="21"/>
          <w:szCs w:val="21"/>
          <w:b w:val="1"/>
          <w:bCs w:val="1"/>
          <w:color w:val="auto"/>
        </w:rPr>
        <w:t>When in doubt, reach out.</w:t>
      </w:r>
    </w:p>
    <w:p>
      <w:pPr>
        <w:spacing w:after="0" w:line="21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22"/>
          <w:szCs w:val="22"/>
          <w:color w:val="auto"/>
        </w:rPr>
        <w:t>The Code does not contain everything you need to know to do your job?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22"/>
          <w:szCs w:val="22"/>
          <w:color w:val="auto"/>
        </w:rPr>
        <w:t>6</w:t>
      </w:r>
    </w:p>
    <w:p>
      <w:pPr>
        <w:sectPr>
          <w:pgSz w:w="11900" w:h="16838" w:orient="portrait"/>
          <w:cols w:equalWidth="0" w:num="1">
            <w:col w:w="11200"/>
          </w:cols>
          <w:pgMar w:left="320" w:top="1151" w:right="379" w:bottom="1440" w:gutter="0" w:footer="0" w:header="0"/>
        </w:sectPr>
      </w:pPr>
    </w:p>
    <w:bookmarkStart w:id="59" w:name="page60"/>
    <w:bookmarkEnd w:id="59"/>
    <w:p>
      <w:pPr>
        <w:spacing w:after="0" w:line="347" w:lineRule="auto"/>
        <w:rPr>
          <w:sz w:val="20"/>
          <w:szCs w:val="20"/>
          <w:color w:val="auto"/>
        </w:rPr>
      </w:pPr>
      <w:r>
        <w:rPr>
          <w:rFonts w:ascii="Arial" w:cs="Arial" w:eastAsia="Arial" w:hAnsi="Arial"/>
          <w:sz w:val="22"/>
          <w:szCs w:val="22"/>
          <w:color w:val="auto"/>
        </w:rPr>
        <w:t>The Code cannot detail everything you need to know to do your job or every situation you may face. You are responsible for learning about and conducting your work in a way that reflects our cultural attributes, core convictions and complies with all applicable laws. If you have questions, concerns or are unsure how to act in a particular situation, ask for help using any of the channels contained in this Code.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Pages 8-9: </w:t>
      </w:r>
      <w:r>
        <w:rPr>
          <w:rFonts w:ascii="Arial" w:cs="Arial" w:eastAsia="Arial" w:hAnsi="Arial"/>
          <w:sz w:val="25"/>
          <w:szCs w:val="25"/>
          <w:color w:val="auto"/>
        </w:rPr>
        <w:t>Getting Help</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When in doubt, reach out</w:t>
      </w:r>
    </w:p>
    <w:p>
      <w:pPr>
        <w:spacing w:after="0" w:line="381" w:lineRule="exact"/>
        <w:rPr>
          <w:sz w:val="20"/>
          <w:szCs w:val="20"/>
          <w:color w:val="auto"/>
        </w:rPr>
      </w:pPr>
    </w:p>
    <w:p>
      <w:pPr>
        <w:ind w:right="760"/>
        <w:spacing w:after="0" w:line="380" w:lineRule="auto"/>
        <w:rPr>
          <w:sz w:val="20"/>
          <w:szCs w:val="20"/>
          <w:color w:val="auto"/>
        </w:rPr>
      </w:pPr>
      <w:r>
        <w:rPr>
          <w:rFonts w:ascii="Arial" w:cs="Arial" w:eastAsia="Arial" w:hAnsi="Arial"/>
          <w:sz w:val="21"/>
          <w:szCs w:val="21"/>
          <w:color w:val="auto"/>
        </w:rPr>
        <w:t>Raising an ethics concern protects our Company, our stakeholders and all of us. If you have a concern about compliance with a policy, behavioral expectation or the law, you have a responsibility to raise that concern.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If you are in doubt about a business conduct situation, ask yourself these questions:</w:t>
      </w:r>
    </w:p>
    <w:p>
      <w:pPr>
        <w:spacing w:after="0" w:line="11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Is it legal? If legal, is it ethical?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Does it violate a Company policy?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Is it consistent with our values?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Is it fair?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How does it make me feel about myself?</w:t>
      </w:r>
    </w:p>
    <w:p>
      <w:pPr>
        <w:spacing w:after="0" w:line="355" w:lineRule="exact"/>
        <w:rPr>
          <w:sz w:val="20"/>
          <w:szCs w:val="20"/>
          <w:color w:val="auto"/>
        </w:rPr>
      </w:pPr>
    </w:p>
    <w:p>
      <w:pPr>
        <w:spacing w:after="0" w:line="358" w:lineRule="auto"/>
        <w:rPr>
          <w:sz w:val="20"/>
          <w:szCs w:val="20"/>
          <w:color w:val="auto"/>
        </w:rPr>
      </w:pPr>
      <w:r>
        <w:rPr>
          <w:rFonts w:ascii="Arial" w:cs="Arial" w:eastAsia="Arial" w:hAnsi="Arial"/>
          <w:sz w:val="21"/>
          <w:szCs w:val="21"/>
          <w:color w:val="auto"/>
        </w:rPr>
        <w:t>You have many resources available to resolve ethics and behavioral-related questions or issues. But since questions of law and ethics do not always lend themselves to simple answers, you may be uncertain about how the Code applies to a particular situation. Generally, your supervisor or manager will be in the best position to resolve an issue or offer guidance quickly. However, your direct manager is not your only option. You may also consult:</w:t>
      </w:r>
    </w:p>
    <w:p>
      <w:pPr>
        <w:spacing w:after="0" w:line="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Our policies and procedures located on “The Garden,” our associate intranet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Relevant e-learning and live training resources and materials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Your Human Resources representative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Ethics Department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lawyer in our Legal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40"/>
          </w:cols>
          <w:pgMar w:left="320" w:top="1173" w:right="439" w:bottom="1440" w:gutter="0" w:footer="0" w:header="0"/>
        </w:sectPr>
      </w:pPr>
    </w:p>
    <w:bookmarkStart w:id="60" w:name="page61"/>
    <w:bookmarkEnd w:id="60"/>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member of senior management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Chief Ethics Officer</w:t>
      </w: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color w:val="auto"/>
        </w:rPr>
        <w:t>If you are more comfortable reporting an issue anonymously, you may call the 24/7 Ethics &amp; Compliance HelpLine at</w:t>
      </w:r>
    </w:p>
    <w:p>
      <w:pPr>
        <w:spacing w:after="0" w:line="123" w:lineRule="exact"/>
        <w:rPr>
          <w:sz w:val="20"/>
          <w:szCs w:val="20"/>
          <w:color w:val="auto"/>
        </w:rPr>
      </w:pPr>
    </w:p>
    <w:p>
      <w:pPr>
        <w:ind w:right="740" w:firstLine="8"/>
        <w:spacing w:after="0" w:line="345" w:lineRule="auto"/>
        <w:tabs>
          <w:tab w:leader="none" w:pos="564" w:val="left"/>
        </w:tabs>
        <w:numPr>
          <w:ilvl w:val="0"/>
          <w:numId w:val="37"/>
        </w:numPr>
        <w:rPr>
          <w:rFonts w:ascii="Arial" w:cs="Arial" w:eastAsia="Arial" w:hAnsi="Arial"/>
          <w:sz w:val="22"/>
          <w:szCs w:val="22"/>
          <w:color w:val="auto"/>
        </w:rPr>
      </w:pPr>
      <w:r>
        <w:rPr>
          <w:rFonts w:ascii="Arial" w:cs="Arial" w:eastAsia="Arial" w:hAnsi="Arial"/>
          <w:sz w:val="22"/>
          <w:szCs w:val="22"/>
          <w:color w:val="auto"/>
        </w:rPr>
        <w:t>736-0379. You may also report concerns, anonymously or otherwise, via letter. For issues relating to accounting, internal controls, financial or auditing matters, you may send a letter in a sealed envelope marked “Confidential” to the Audit Committee of our Board of Directors at the following address:</w:t>
      </w:r>
    </w:p>
    <w:p>
      <w:pPr>
        <w:spacing w:after="0" w:line="2"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The Scotts Miracle-Gro Company</w:t>
      </w:r>
    </w:p>
    <w:p>
      <w:pPr>
        <w:spacing w:after="0" w:line="111" w:lineRule="exact"/>
        <w:rPr>
          <w:rFonts w:ascii="Arial" w:cs="Arial" w:eastAsia="Arial" w:hAnsi="Arial"/>
          <w:sz w:val="22"/>
          <w:szCs w:val="22"/>
          <w:color w:val="auto"/>
        </w:rPr>
      </w:pPr>
    </w:p>
    <w:p>
      <w:pPr>
        <w:ind w:left="1760" w:right="6120"/>
        <w:spacing w:after="0" w:line="362" w:lineRule="auto"/>
        <w:rPr>
          <w:rFonts w:ascii="Arial" w:cs="Arial" w:eastAsia="Arial" w:hAnsi="Arial"/>
          <w:sz w:val="22"/>
          <w:szCs w:val="22"/>
          <w:color w:val="auto"/>
        </w:rPr>
      </w:pPr>
      <w:r>
        <w:rPr>
          <w:rFonts w:ascii="Arial" w:cs="Arial" w:eastAsia="Arial" w:hAnsi="Arial"/>
          <w:sz w:val="21"/>
          <w:szCs w:val="21"/>
          <w:color w:val="auto"/>
        </w:rPr>
        <w:t>REPORT TO AUDIT COMMITTEE c/o Chief Ethics Officer</w:t>
      </w:r>
    </w:p>
    <w:p>
      <w:pPr>
        <w:ind w:left="1760"/>
        <w:spacing w:after="0"/>
        <w:rPr>
          <w:rFonts w:ascii="Arial" w:cs="Arial" w:eastAsia="Arial" w:hAnsi="Arial"/>
          <w:sz w:val="22"/>
          <w:szCs w:val="22"/>
          <w:color w:val="auto"/>
        </w:rPr>
      </w:pPr>
      <w:r>
        <w:rPr>
          <w:rFonts w:ascii="Arial" w:cs="Arial" w:eastAsia="Arial" w:hAnsi="Arial"/>
          <w:sz w:val="22"/>
          <w:szCs w:val="22"/>
          <w:color w:val="auto"/>
        </w:rPr>
        <w:t>14111 Scottslawn Road, Marysville, Ohio 43041</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For any other type of issue, you may send a letter in a sealed envelope marked “Confidential” to the Nominating &amp;</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Governance Committee of our Board of Directors at the following address:</w:t>
      </w:r>
    </w:p>
    <w:p>
      <w:pPr>
        <w:spacing w:after="0" w:line="355"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The Scotts Miracle-Gro Company</w:t>
      </w:r>
    </w:p>
    <w:p>
      <w:pPr>
        <w:spacing w:after="0" w:line="112" w:lineRule="exact"/>
        <w:rPr>
          <w:sz w:val="20"/>
          <w:szCs w:val="20"/>
          <w:color w:val="auto"/>
        </w:rPr>
      </w:pPr>
    </w:p>
    <w:p>
      <w:pPr>
        <w:ind w:left="1800" w:right="3580"/>
        <w:spacing w:after="0" w:line="345" w:lineRule="auto"/>
        <w:rPr>
          <w:sz w:val="20"/>
          <w:szCs w:val="20"/>
          <w:color w:val="auto"/>
        </w:rPr>
      </w:pPr>
      <w:r>
        <w:rPr>
          <w:rFonts w:ascii="Arial" w:cs="Arial" w:eastAsia="Arial" w:hAnsi="Arial"/>
          <w:sz w:val="22"/>
          <w:szCs w:val="22"/>
          <w:color w:val="auto"/>
        </w:rPr>
        <w:t>REPORT TO NOMINATING &amp; GOVERNANCE COMMITTEE c/o Chief Ethics Officer</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14111 Scottslawn Road, Marysville, Ohio 43041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Associates Outside of North America:</w:t>
      </w:r>
    </w:p>
    <w:p>
      <w:pPr>
        <w:spacing w:after="0" w:line="316" w:lineRule="exact"/>
        <w:rPr>
          <w:sz w:val="20"/>
          <w:szCs w:val="20"/>
          <w:color w:val="auto"/>
        </w:rPr>
      </w:pPr>
    </w:p>
    <w:p>
      <w:pPr>
        <w:spacing w:after="0" w:line="355" w:lineRule="auto"/>
        <w:rPr>
          <w:sz w:val="20"/>
          <w:szCs w:val="20"/>
          <w:color w:val="auto"/>
        </w:rPr>
      </w:pPr>
      <w:r>
        <w:rPr>
          <w:rFonts w:ascii="Arial" w:cs="Arial" w:eastAsia="Arial" w:hAnsi="Arial"/>
          <w:sz w:val="20"/>
          <w:szCs w:val="20"/>
          <w:color w:val="auto"/>
        </w:rPr>
        <w:t>If you are an associate living and working outside of North America and have a question or concern about a potential violation of law or any ScottsMiracle-Gro policy or procedure, you should reach out to your immediate manager or supervisor, your Human Resources representative or a member of executive management based in your home country.</w:t>
      </w:r>
    </w:p>
    <w:p>
      <w:pPr>
        <w:spacing w:after="0" w:line="235"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For issues relating to accounting, financial or auditing matters, you may report any potential issues through any of the channels above, or you may make a report to the Ethics &amp; Compliance HelpLine. Reports to the HelpLine may be made confidentially and anonymously.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173" w:right="379" w:bottom="1440" w:gutter="0" w:footer="0" w:header="0"/>
        </w:sectPr>
      </w:pPr>
    </w:p>
    <w:bookmarkStart w:id="61" w:name="page62"/>
    <w:bookmarkEnd w:id="61"/>
    <w:p>
      <w:pPr>
        <w:jc w:val="both"/>
        <w:ind w:right="400"/>
        <w:spacing w:after="0" w:line="355" w:lineRule="auto"/>
        <w:rPr>
          <w:sz w:val="20"/>
          <w:szCs w:val="20"/>
          <w:color w:val="auto"/>
        </w:rPr>
      </w:pPr>
      <w:r>
        <w:rPr>
          <w:rFonts w:ascii="Arial" w:cs="Arial" w:eastAsia="Arial" w:hAnsi="Arial"/>
          <w:sz w:val="20"/>
          <w:szCs w:val="20"/>
          <w:color w:val="auto"/>
        </w:rPr>
        <w:t>However, we prefer that, whenever possible, you identify yourself when you contact the HelpLine. We will keep your identity confidential unless your vital interests are at stake. The HelpLine is available 24/7. If you wish to use it, dial your local call-in number:</w:t>
      </w:r>
    </w:p>
    <w:p>
      <w:pPr>
        <w:spacing w:after="0" w:line="235" w:lineRule="exact"/>
        <w:rPr>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Austria: 800-736-0379 - access code 0800-200-288</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Belgium: 0800-7-1807</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France: 0800-90-1378</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Germany: 0800-182-4026</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Italy: 800-788-598</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Netherlands: 0800-022-7347</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Poland: 0-0-800-111-1662</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Spain: ###-##-####</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United Kingdom: 0808-234-8532</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Australia: 800-736-0379 – access code 1-800-551-155</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China: 800-736-0379</w:t>
      </w:r>
    </w:p>
    <w:p>
      <w:pPr>
        <w:spacing w:after="0" w:line="107" w:lineRule="exact"/>
        <w:rPr>
          <w:rFonts w:ascii="Arial" w:cs="Arial" w:eastAsia="Arial" w:hAnsi="Arial"/>
          <w:sz w:val="20"/>
          <w:szCs w:val="20"/>
          <w:color w:val="auto"/>
        </w:rPr>
      </w:pPr>
    </w:p>
    <w:p>
      <w:pPr>
        <w:ind w:left="1820" w:hanging="192"/>
        <w:spacing w:after="0"/>
        <w:tabs>
          <w:tab w:leader="none" w:pos="18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North – access code 108-710 or 108-888</w:t>
      </w:r>
    </w:p>
    <w:p>
      <w:pPr>
        <w:spacing w:after="0" w:line="107" w:lineRule="exact"/>
        <w:rPr>
          <w:rFonts w:ascii="Arial" w:cs="Arial" w:eastAsia="Arial" w:hAnsi="Arial"/>
          <w:sz w:val="20"/>
          <w:szCs w:val="20"/>
          <w:color w:val="auto"/>
        </w:rPr>
      </w:pPr>
    </w:p>
    <w:p>
      <w:pPr>
        <w:ind w:left="1820" w:hanging="192"/>
        <w:spacing w:after="0"/>
        <w:tabs>
          <w:tab w:leader="none" w:pos="18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South – access code 108-10 or 10-811</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Page 10: </w:t>
      </w:r>
      <w:r>
        <w:rPr>
          <w:rFonts w:ascii="Arial" w:cs="Arial" w:eastAsia="Arial" w:hAnsi="Arial"/>
          <w:sz w:val="25"/>
          <w:szCs w:val="25"/>
          <w:color w:val="auto"/>
        </w:rPr>
        <w:t>Share Your Concerns Without Fear</w:t>
      </w:r>
    </w:p>
    <w:p>
      <w:pPr>
        <w:spacing w:after="0" w:line="200" w:lineRule="exact"/>
        <w:rPr>
          <w:sz w:val="20"/>
          <w:szCs w:val="20"/>
          <w:color w:val="auto"/>
        </w:rPr>
      </w:pPr>
    </w:p>
    <w:p>
      <w:pPr>
        <w:spacing w:after="0" w:line="212" w:lineRule="exact"/>
        <w:rPr>
          <w:sz w:val="20"/>
          <w:szCs w:val="20"/>
          <w:color w:val="auto"/>
        </w:rPr>
      </w:pPr>
    </w:p>
    <w:p>
      <w:pPr>
        <w:ind w:left="20" w:right="480" w:hanging="2"/>
        <w:spacing w:after="0" w:line="380" w:lineRule="auto"/>
        <w:rPr>
          <w:sz w:val="20"/>
          <w:szCs w:val="20"/>
          <w:color w:val="auto"/>
        </w:rPr>
      </w:pPr>
      <w:r>
        <w:rPr>
          <w:rFonts w:ascii="Arial" w:cs="Arial" w:eastAsia="Arial" w:hAnsi="Arial"/>
          <w:sz w:val="21"/>
          <w:szCs w:val="21"/>
          <w:color w:val="auto"/>
        </w:rPr>
        <w:t>We will investigate each report. Investigations are coordinated through the Human Resources Department or the Ethics Department. Your identity and the information you provide will be shared only on a “need-to-know” basis.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22"/>
          <w:szCs w:val="22"/>
          <w:color w:val="auto"/>
        </w:rPr>
        <w:t>Management, consulting with the Human Resources Department, may take disciplinary action it considers appropriate, including termination of employment, after investigating the report. Scotts may also bring violations to the attention of appropriate enforcement authorities. See our Open Door policy, located on The Garden, for more information.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color w:val="auto"/>
        </w:rPr>
        <w:t>You Will Not Be Retaliated Against</w:t>
      </w:r>
    </w:p>
    <w:p>
      <w:pPr>
        <w:spacing w:after="0" w:line="380" w:lineRule="exact"/>
        <w:rPr>
          <w:sz w:val="20"/>
          <w:szCs w:val="20"/>
          <w:color w:val="auto"/>
        </w:rPr>
      </w:pPr>
    </w:p>
    <w:p>
      <w:pPr>
        <w:ind w:right="520"/>
        <w:spacing w:after="0" w:line="351" w:lineRule="auto"/>
        <w:rPr>
          <w:sz w:val="20"/>
          <w:szCs w:val="20"/>
          <w:color w:val="auto"/>
        </w:rPr>
      </w:pPr>
      <w:r>
        <w:rPr>
          <w:rFonts w:ascii="Arial" w:cs="Arial" w:eastAsia="Arial" w:hAnsi="Arial"/>
          <w:sz w:val="22"/>
          <w:szCs w:val="22"/>
          <w:color w:val="auto"/>
        </w:rPr>
        <w:t>We do not tolerate retaliation. You cannot lose your job or your benefits, or be demoted, suspended, threatened, harassed or discriminated against for raising a concern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162" w:right="359" w:bottom="1440" w:gutter="0" w:footer="0" w:header="0"/>
        </w:sectPr>
      </w:pPr>
    </w:p>
    <w:bookmarkStart w:id="62" w:name="page63"/>
    <w:bookmarkEnd w:id="62"/>
    <w:p>
      <w:pPr>
        <w:jc w:val="both"/>
        <w:ind w:right="20"/>
        <w:spacing w:after="0" w:line="348" w:lineRule="auto"/>
        <w:rPr>
          <w:sz w:val="20"/>
          <w:szCs w:val="20"/>
          <w:color w:val="auto"/>
        </w:rPr>
      </w:pPr>
      <w:r>
        <w:rPr>
          <w:rFonts w:ascii="Arial" w:cs="Arial" w:eastAsia="Arial" w:hAnsi="Arial"/>
          <w:sz w:val="22"/>
          <w:szCs w:val="22"/>
          <w:color w:val="auto"/>
        </w:rPr>
        <w:t>honestly and in good faith or for truthfully participating in an investigation. Reporting honestly and in good faith means that you believe you are being truthful and accurate. If you believe someone is retaliating against you, please report it as you would any other violation of the Code. All reports of retaliation will be investigated.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11: Do you know . . .</w:t>
      </w:r>
    </w:p>
    <w:p>
      <w:pPr>
        <w:spacing w:after="0" w:line="200" w:lineRule="exact"/>
        <w:rPr>
          <w:sz w:val="20"/>
          <w:szCs w:val="20"/>
          <w:color w:val="auto"/>
        </w:rPr>
      </w:pPr>
    </w:p>
    <w:p>
      <w:pPr>
        <w:spacing w:after="0" w:line="212"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22"/>
          <w:szCs w:val="22"/>
          <w:color w:val="auto"/>
        </w:rPr>
        <w:t>You may report concerns anonymously?</w:t>
      </w:r>
    </w:p>
    <w:p>
      <w:pPr>
        <w:spacing w:after="0" w:line="355" w:lineRule="exact"/>
        <w:rPr>
          <w:sz w:val="20"/>
          <w:szCs w:val="20"/>
          <w:color w:val="auto"/>
        </w:rPr>
      </w:pPr>
    </w:p>
    <w:p>
      <w:pPr>
        <w:jc w:val="both"/>
        <w:spacing w:after="0" w:line="348" w:lineRule="auto"/>
        <w:rPr>
          <w:sz w:val="20"/>
          <w:szCs w:val="20"/>
          <w:color w:val="auto"/>
        </w:rPr>
      </w:pPr>
      <w:r>
        <w:rPr>
          <w:rFonts w:ascii="Arial" w:cs="Arial" w:eastAsia="Arial" w:hAnsi="Arial"/>
          <w:sz w:val="22"/>
          <w:szCs w:val="22"/>
          <w:color w:val="auto"/>
        </w:rPr>
        <w:t>You may make an anonymous report by contacting the HelpLine, which is operated by an independent company and available 24 hours a day, 7 days a week. You may also send a letter to the Audit Committee of our Board of Directors. Understand, however, that maintaining your anonymity may limit our ability to investigate your concerns.</w:t>
      </w:r>
    </w:p>
    <w:p>
      <w:pPr>
        <w:spacing w:after="0" w:line="236"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22"/>
          <w:szCs w:val="22"/>
          <w:color w:val="auto"/>
        </w:rPr>
        <w:t>You need not be sure that a violation of this Code or our policies has occurred before raising a concern?</w:t>
      </w:r>
    </w:p>
    <w:p>
      <w:pPr>
        <w:spacing w:after="0" w:line="355" w:lineRule="exact"/>
        <w:rPr>
          <w:sz w:val="20"/>
          <w:szCs w:val="20"/>
          <w:color w:val="auto"/>
        </w:rPr>
      </w:pPr>
    </w:p>
    <w:p>
      <w:pPr>
        <w:ind w:right="80"/>
        <w:spacing w:after="0" w:line="348" w:lineRule="auto"/>
        <w:rPr>
          <w:sz w:val="20"/>
          <w:szCs w:val="20"/>
          <w:color w:val="auto"/>
        </w:rPr>
      </w:pPr>
      <w:r>
        <w:rPr>
          <w:rFonts w:ascii="Arial" w:cs="Arial" w:eastAsia="Arial" w:hAnsi="Arial"/>
          <w:sz w:val="22"/>
          <w:szCs w:val="22"/>
          <w:color w:val="auto"/>
        </w:rPr>
        <w:t>You should always raise a concern, even where you’re not 100% sure that a violation has occurred. The important thing is that you raise a concern in good faith, whether or not the concern turns out to be valid. You should report any concerns using the channels explained in these pages, and you will not be retaliated against for doing so.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12 Our Guiding Principles</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13: WE STAND</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WITH OUR CONSUMERS</w:t>
      </w:r>
    </w:p>
    <w:p>
      <w:pPr>
        <w:spacing w:after="0" w:line="381" w:lineRule="exact"/>
        <w:rPr>
          <w:sz w:val="20"/>
          <w:szCs w:val="20"/>
          <w:color w:val="auto"/>
        </w:rPr>
      </w:pPr>
    </w:p>
    <w:p>
      <w:pPr>
        <w:ind w:right="180"/>
        <w:spacing w:after="0" w:line="348" w:lineRule="auto"/>
        <w:rPr>
          <w:sz w:val="20"/>
          <w:szCs w:val="20"/>
          <w:color w:val="auto"/>
        </w:rPr>
      </w:pPr>
      <w:r>
        <w:rPr>
          <w:rFonts w:ascii="Arial" w:cs="Arial" w:eastAsia="Arial" w:hAnsi="Arial"/>
          <w:sz w:val="22"/>
          <w:szCs w:val="22"/>
          <w:color w:val="auto"/>
        </w:rPr>
        <w:t>We are passionate about consumers. We never stop learning about our consumers and use our knowledge about their wants and needs to help them make their lawns and gardens beautiful and drive our growth as a company. We cherish the value and trust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173" w:right="359" w:bottom="1440" w:gutter="0" w:footer="0" w:header="0"/>
        </w:sectPr>
      </w:pPr>
    </w:p>
    <w:bookmarkStart w:id="63" w:name="page64"/>
    <w:bookmarkEnd w:id="63"/>
    <w:p>
      <w:pPr>
        <w:spacing w:after="0" w:line="333" w:lineRule="auto"/>
        <w:rPr>
          <w:sz w:val="20"/>
          <w:szCs w:val="20"/>
          <w:color w:val="auto"/>
        </w:rPr>
      </w:pPr>
      <w:r>
        <w:rPr>
          <w:rFonts w:ascii="Arial" w:cs="Arial" w:eastAsia="Arial" w:hAnsi="Arial"/>
          <w:sz w:val="22"/>
          <w:szCs w:val="22"/>
          <w:color w:val="auto"/>
        </w:rPr>
        <w:t>that they have placed in our brands. We act ethically every day to build, respect and enhance the trust our consumers place in us.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Here’s how we do it:</w:t>
      </w:r>
    </w:p>
    <w:p>
      <w:pPr>
        <w:spacing w:after="0" w:line="359" w:lineRule="exact"/>
        <w:rPr>
          <w:sz w:val="20"/>
          <w:szCs w:val="20"/>
          <w:color w:val="auto"/>
        </w:rPr>
      </w:pPr>
    </w:p>
    <w:p>
      <w:pPr>
        <w:ind w:right="220"/>
        <w:spacing w:after="0" w:line="372" w:lineRule="auto"/>
        <w:rPr>
          <w:sz w:val="20"/>
          <w:szCs w:val="20"/>
          <w:color w:val="auto"/>
        </w:rPr>
      </w:pPr>
      <w:r>
        <w:rPr>
          <w:rFonts w:ascii="Arial" w:cs="Arial" w:eastAsia="Arial" w:hAnsi="Arial"/>
          <w:sz w:val="22"/>
          <w:szCs w:val="22"/>
          <w:i w:val="1"/>
          <w:iCs w:val="1"/>
          <w:color w:val="auto"/>
        </w:rPr>
        <w:t>Advertising</w:t>
      </w:r>
      <w:r>
        <w:rPr>
          <w:rFonts w:ascii="Arial" w:cs="Arial" w:eastAsia="Arial" w:hAnsi="Arial"/>
          <w:sz w:val="22"/>
          <w:szCs w:val="22"/>
          <w:color w:val="auto"/>
        </w:rPr>
        <w:t>: We do not make false statements about our products or unfairly disparage our competitors’ products to</w:t>
      </w:r>
      <w:r>
        <w:rPr>
          <w:rFonts w:ascii="Arial" w:cs="Arial" w:eastAsia="Arial" w:hAnsi="Arial"/>
          <w:sz w:val="22"/>
          <w:szCs w:val="22"/>
          <w:i w:val="1"/>
          <w:iCs w:val="1"/>
          <w:color w:val="auto"/>
        </w:rPr>
        <w:t xml:space="preserve"> </w:t>
      </w:r>
      <w:r>
        <w:rPr>
          <w:rFonts w:ascii="Arial" w:cs="Arial" w:eastAsia="Arial" w:hAnsi="Arial"/>
          <w:sz w:val="22"/>
          <w:szCs w:val="22"/>
          <w:color w:val="auto"/>
        </w:rPr>
        <w:t>gain the consumer’s trust.</w:t>
      </w:r>
    </w:p>
    <w:p>
      <w:pPr>
        <w:spacing w:after="0" w:line="188" w:lineRule="exact"/>
        <w:rPr>
          <w:sz w:val="20"/>
          <w:szCs w:val="20"/>
          <w:color w:val="auto"/>
        </w:rPr>
      </w:pPr>
    </w:p>
    <w:p>
      <w:pPr>
        <w:ind w:right="160"/>
        <w:spacing w:after="0" w:line="372" w:lineRule="auto"/>
        <w:rPr>
          <w:sz w:val="20"/>
          <w:szCs w:val="20"/>
          <w:color w:val="auto"/>
        </w:rPr>
      </w:pPr>
      <w:r>
        <w:rPr>
          <w:rFonts w:ascii="Arial" w:cs="Arial" w:eastAsia="Arial" w:hAnsi="Arial"/>
          <w:sz w:val="22"/>
          <w:szCs w:val="22"/>
          <w:i w:val="1"/>
          <w:iCs w:val="1"/>
          <w:color w:val="auto"/>
        </w:rPr>
        <w:t xml:space="preserve">Antitrust: </w:t>
      </w:r>
      <w:r>
        <w:rPr>
          <w:rFonts w:ascii="Arial" w:cs="Arial" w:eastAsia="Arial" w:hAnsi="Arial"/>
          <w:sz w:val="22"/>
          <w:szCs w:val="22"/>
          <w:color w:val="auto"/>
        </w:rPr>
        <w:t>We price, promote, produce, market and distribute our products fairly and honestly, so our consumers may</w:t>
      </w:r>
      <w:r>
        <w:rPr>
          <w:rFonts w:ascii="Arial" w:cs="Arial" w:eastAsia="Arial" w:hAnsi="Arial"/>
          <w:sz w:val="22"/>
          <w:szCs w:val="22"/>
          <w:i w:val="1"/>
          <w:iCs w:val="1"/>
          <w:color w:val="auto"/>
        </w:rPr>
        <w:t xml:space="preserve"> </w:t>
      </w:r>
      <w:r>
        <w:rPr>
          <w:rFonts w:ascii="Arial" w:cs="Arial" w:eastAsia="Arial" w:hAnsi="Arial"/>
          <w:sz w:val="22"/>
          <w:szCs w:val="22"/>
          <w:color w:val="auto"/>
        </w:rPr>
        <w:t>reap the benefits of an open, competitive marketplace.</w:t>
      </w:r>
    </w:p>
    <w:p>
      <w:pPr>
        <w:spacing w:after="0" w:line="188" w:lineRule="exact"/>
        <w:rPr>
          <w:sz w:val="20"/>
          <w:szCs w:val="20"/>
          <w:color w:val="auto"/>
        </w:rPr>
      </w:pPr>
    </w:p>
    <w:p>
      <w:pPr>
        <w:ind w:right="560"/>
        <w:spacing w:after="0" w:line="359" w:lineRule="auto"/>
        <w:rPr>
          <w:sz w:val="20"/>
          <w:szCs w:val="20"/>
          <w:color w:val="auto"/>
        </w:rPr>
      </w:pPr>
      <w:r>
        <w:rPr>
          <w:rFonts w:ascii="Arial" w:cs="Arial" w:eastAsia="Arial" w:hAnsi="Arial"/>
          <w:sz w:val="22"/>
          <w:szCs w:val="22"/>
          <w:i w:val="1"/>
          <w:iCs w:val="1"/>
          <w:color w:val="auto"/>
        </w:rPr>
        <w:t xml:space="preserve">Quality of Products and Services: </w:t>
      </w:r>
      <w:r>
        <w:rPr>
          <w:rFonts w:ascii="Arial" w:cs="Arial" w:eastAsia="Arial" w:hAnsi="Arial"/>
          <w:sz w:val="22"/>
          <w:szCs w:val="22"/>
          <w:color w:val="auto"/>
        </w:rPr>
        <w:t>We demonstrate our commitment to our customers and consumers by always</w:t>
      </w:r>
      <w:r>
        <w:rPr>
          <w:rFonts w:ascii="Arial" w:cs="Arial" w:eastAsia="Arial" w:hAnsi="Arial"/>
          <w:sz w:val="22"/>
          <w:szCs w:val="22"/>
          <w:i w:val="1"/>
          <w:iCs w:val="1"/>
          <w:color w:val="auto"/>
        </w:rPr>
        <w:t xml:space="preserve"> </w:t>
      </w:r>
      <w:r>
        <w:rPr>
          <w:rFonts w:ascii="Arial" w:cs="Arial" w:eastAsia="Arial" w:hAnsi="Arial"/>
          <w:sz w:val="22"/>
          <w:szCs w:val="22"/>
          <w:color w:val="auto"/>
        </w:rPr>
        <w:t>striving to deliver products and service that are of the highest quality. Our goal is to provide the highest level of satisfaction with every product we sell and service we perform.</w:t>
      </w:r>
    </w:p>
    <w:p>
      <w:pPr>
        <w:spacing w:after="0" w:line="201" w:lineRule="exact"/>
        <w:rPr>
          <w:sz w:val="20"/>
          <w:szCs w:val="20"/>
          <w:color w:val="auto"/>
        </w:rPr>
      </w:pPr>
    </w:p>
    <w:p>
      <w:pPr>
        <w:ind w:right="260"/>
        <w:spacing w:after="0" w:line="372" w:lineRule="auto"/>
        <w:rPr>
          <w:sz w:val="20"/>
          <w:szCs w:val="20"/>
          <w:color w:val="auto"/>
        </w:rPr>
      </w:pPr>
      <w:r>
        <w:rPr>
          <w:rFonts w:ascii="Arial" w:cs="Arial" w:eastAsia="Arial" w:hAnsi="Arial"/>
          <w:sz w:val="22"/>
          <w:szCs w:val="22"/>
          <w:i w:val="1"/>
          <w:iCs w:val="1"/>
          <w:color w:val="auto"/>
        </w:rPr>
        <w:t xml:space="preserve">Data Privacy: </w:t>
      </w:r>
      <w:r>
        <w:rPr>
          <w:rFonts w:ascii="Arial" w:cs="Arial" w:eastAsia="Arial" w:hAnsi="Arial"/>
          <w:sz w:val="22"/>
          <w:szCs w:val="22"/>
          <w:color w:val="auto"/>
        </w:rPr>
        <w:t>We respect the confidential nature of the personal information we possess about our consumers. We</w:t>
      </w:r>
      <w:r>
        <w:rPr>
          <w:rFonts w:ascii="Arial" w:cs="Arial" w:eastAsia="Arial" w:hAnsi="Arial"/>
          <w:sz w:val="22"/>
          <w:szCs w:val="22"/>
          <w:i w:val="1"/>
          <w:iCs w:val="1"/>
          <w:color w:val="auto"/>
        </w:rPr>
        <w:t xml:space="preserve"> </w:t>
      </w:r>
      <w:r>
        <w:rPr>
          <w:rFonts w:ascii="Arial" w:cs="Arial" w:eastAsia="Arial" w:hAnsi="Arial"/>
          <w:sz w:val="22"/>
          <w:szCs w:val="22"/>
          <w:color w:val="auto"/>
        </w:rPr>
        <w:t>recognize that it should only be used for business reasons in a manner that is fair and lawful.</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Page 14-15: WE STAND</w:t>
      </w:r>
    </w:p>
    <w:p>
      <w:pPr>
        <w:spacing w:after="0" w:line="143"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TOGETHER AS SCOTTS ASSOCIATES</w:t>
      </w:r>
    </w:p>
    <w:p>
      <w:pPr>
        <w:spacing w:after="0" w:line="381" w:lineRule="exact"/>
        <w:rPr>
          <w:sz w:val="20"/>
          <w:szCs w:val="20"/>
          <w:color w:val="auto"/>
        </w:rPr>
      </w:pPr>
    </w:p>
    <w:p>
      <w:pPr>
        <w:ind w:right="260"/>
        <w:spacing w:after="0" w:line="351" w:lineRule="auto"/>
        <w:rPr>
          <w:sz w:val="20"/>
          <w:szCs w:val="20"/>
          <w:color w:val="auto"/>
        </w:rPr>
      </w:pPr>
      <w:r>
        <w:rPr>
          <w:rFonts w:ascii="Arial" w:cs="Arial" w:eastAsia="Arial" w:hAnsi="Arial"/>
          <w:sz w:val="22"/>
          <w:szCs w:val="22"/>
          <w:color w:val="auto"/>
        </w:rPr>
        <w:t>We stand together in mutual respect. We treat one another fairly. We strive to create mutually fulfilling relationships and partnerships. We value the talents, experiences and strengths of our diverse workforce.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Here’s how we do it:</w:t>
      </w:r>
    </w:p>
    <w:p>
      <w:pPr>
        <w:spacing w:after="0" w:line="359" w:lineRule="exact"/>
        <w:rPr>
          <w:sz w:val="20"/>
          <w:szCs w:val="20"/>
          <w:color w:val="auto"/>
        </w:rPr>
      </w:pPr>
    </w:p>
    <w:p>
      <w:pPr>
        <w:ind w:right="140"/>
        <w:spacing w:after="0" w:line="372" w:lineRule="auto"/>
        <w:rPr>
          <w:sz w:val="20"/>
          <w:szCs w:val="20"/>
          <w:color w:val="auto"/>
        </w:rPr>
      </w:pPr>
      <w:r>
        <w:rPr>
          <w:rFonts w:ascii="Arial" w:cs="Arial" w:eastAsia="Arial" w:hAnsi="Arial"/>
          <w:sz w:val="22"/>
          <w:szCs w:val="22"/>
          <w:i w:val="1"/>
          <w:iCs w:val="1"/>
          <w:color w:val="auto"/>
        </w:rPr>
        <w:t xml:space="preserve">Commitment to Global Human Rights: </w:t>
      </w:r>
      <w:r>
        <w:rPr>
          <w:rFonts w:ascii="Arial" w:cs="Arial" w:eastAsia="Arial" w:hAnsi="Arial"/>
          <w:sz w:val="22"/>
          <w:szCs w:val="22"/>
          <w:color w:val="auto"/>
        </w:rPr>
        <w:t>We are committed to upholding human rights and operating all aspects of our</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in a responsible, honest, and ethical manner.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173" w:right="35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This holds true, not only within our business, but throughout our sales and supply chain infrastructures.</w:t>
      </w:r>
    </w:p>
    <w:p>
      <w:pPr>
        <w:spacing w:after="0" w:line="333" w:lineRule="exact"/>
        <w:rPr>
          <w:sz w:val="20"/>
          <w:szCs w:val="20"/>
          <w:color w:val="auto"/>
        </w:rPr>
      </w:pPr>
    </w:p>
    <w:p>
      <w:pPr>
        <w:ind w:right="1100"/>
        <w:spacing w:after="0" w:line="372" w:lineRule="auto"/>
        <w:rPr>
          <w:sz w:val="20"/>
          <w:szCs w:val="20"/>
          <w:color w:val="auto"/>
        </w:rPr>
      </w:pPr>
      <w:r>
        <w:rPr>
          <w:rFonts w:ascii="Arial" w:cs="Arial" w:eastAsia="Arial" w:hAnsi="Arial"/>
          <w:sz w:val="22"/>
          <w:szCs w:val="22"/>
          <w:i w:val="1"/>
          <w:iCs w:val="1"/>
          <w:color w:val="auto"/>
        </w:rPr>
        <w:t xml:space="preserve">Harassment: </w:t>
      </w:r>
      <w:r>
        <w:rPr>
          <w:rFonts w:ascii="Arial" w:cs="Arial" w:eastAsia="Arial" w:hAnsi="Arial"/>
          <w:sz w:val="22"/>
          <w:szCs w:val="22"/>
          <w:color w:val="auto"/>
        </w:rPr>
        <w:t>We treat others with respect, integrity, trust and dignity, and we do not tolerate intimidation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harassment.</w:t>
      </w:r>
    </w:p>
    <w:p>
      <w:pPr>
        <w:spacing w:after="0" w:line="188" w:lineRule="exact"/>
        <w:rPr>
          <w:sz w:val="20"/>
          <w:szCs w:val="20"/>
          <w:color w:val="auto"/>
        </w:rPr>
      </w:pPr>
    </w:p>
    <w:p>
      <w:pPr>
        <w:spacing w:after="0" w:line="354" w:lineRule="auto"/>
        <w:rPr>
          <w:sz w:val="20"/>
          <w:szCs w:val="20"/>
          <w:color w:val="auto"/>
        </w:rPr>
      </w:pPr>
      <w:r>
        <w:rPr>
          <w:rFonts w:ascii="Arial" w:cs="Arial" w:eastAsia="Arial" w:hAnsi="Arial"/>
          <w:sz w:val="22"/>
          <w:szCs w:val="22"/>
          <w:i w:val="1"/>
          <w:iCs w:val="1"/>
          <w:color w:val="auto"/>
        </w:rPr>
        <w:t xml:space="preserve">Discrimination: </w:t>
      </w:r>
      <w:r>
        <w:rPr>
          <w:rFonts w:ascii="Arial" w:cs="Arial" w:eastAsia="Arial" w:hAnsi="Arial"/>
          <w:sz w:val="22"/>
          <w:szCs w:val="22"/>
          <w:color w:val="auto"/>
        </w:rPr>
        <w:t>We treat people fairly and prohibit discrimination. We are committed to maintaining a diverse</w:t>
      </w:r>
      <w:r>
        <w:rPr>
          <w:rFonts w:ascii="Arial" w:cs="Arial" w:eastAsia="Arial" w:hAnsi="Arial"/>
          <w:sz w:val="22"/>
          <w:szCs w:val="22"/>
          <w:i w:val="1"/>
          <w:iCs w:val="1"/>
          <w:color w:val="auto"/>
        </w:rPr>
        <w:t xml:space="preserve"> </w:t>
      </w:r>
      <w:r>
        <w:rPr>
          <w:rFonts w:ascii="Arial" w:cs="Arial" w:eastAsia="Arial" w:hAnsi="Arial"/>
          <w:sz w:val="22"/>
          <w:szCs w:val="22"/>
          <w:color w:val="auto"/>
        </w:rPr>
        <w:t>workforce and an inclusive work environment. We fully support the employment of all qualified persons without regard to race, religion, country of origin, sexual orientation, gender identity or expression, disability, or protected veteran or other uniformed service status.</w:t>
      </w:r>
    </w:p>
    <w:p>
      <w:pPr>
        <w:spacing w:after="0" w:line="209" w:lineRule="exact"/>
        <w:rPr>
          <w:sz w:val="20"/>
          <w:szCs w:val="20"/>
          <w:color w:val="auto"/>
        </w:rPr>
      </w:pPr>
    </w:p>
    <w:p>
      <w:pPr>
        <w:ind w:right="180"/>
        <w:spacing w:after="0" w:line="359" w:lineRule="auto"/>
        <w:rPr>
          <w:sz w:val="20"/>
          <w:szCs w:val="20"/>
          <w:color w:val="auto"/>
        </w:rPr>
      </w:pPr>
      <w:r>
        <w:rPr>
          <w:rFonts w:ascii="Arial" w:cs="Arial" w:eastAsia="Arial" w:hAnsi="Arial"/>
          <w:sz w:val="22"/>
          <w:szCs w:val="22"/>
          <w:i w:val="1"/>
          <w:iCs w:val="1"/>
          <w:color w:val="auto"/>
        </w:rPr>
        <w:t xml:space="preserve">Legal Workforce: </w:t>
      </w:r>
      <w:r>
        <w:rPr>
          <w:rFonts w:ascii="Arial" w:cs="Arial" w:eastAsia="Arial" w:hAnsi="Arial"/>
          <w:sz w:val="22"/>
          <w:szCs w:val="22"/>
          <w:color w:val="auto"/>
        </w:rPr>
        <w:t>We only employ people who are legally authorized to work, as defined by the laws in each country</w:t>
      </w:r>
      <w:r>
        <w:rPr>
          <w:rFonts w:ascii="Arial" w:cs="Arial" w:eastAsia="Arial" w:hAnsi="Arial"/>
          <w:sz w:val="22"/>
          <w:szCs w:val="22"/>
          <w:i w:val="1"/>
          <w:iCs w:val="1"/>
          <w:color w:val="auto"/>
        </w:rPr>
        <w:t xml:space="preserve"> </w:t>
      </w:r>
      <w:r>
        <w:rPr>
          <w:rFonts w:ascii="Arial" w:cs="Arial" w:eastAsia="Arial" w:hAnsi="Arial"/>
          <w:sz w:val="22"/>
          <w:szCs w:val="22"/>
          <w:color w:val="auto"/>
        </w:rPr>
        <w:t>in which we operate. In complying with these legal requirements, we nevertheless follow our policy against discrimination on the basis of national origin or possible citizen status.</w:t>
      </w:r>
    </w:p>
    <w:p>
      <w:pPr>
        <w:spacing w:after="0" w:line="201" w:lineRule="exact"/>
        <w:rPr>
          <w:sz w:val="20"/>
          <w:szCs w:val="20"/>
          <w:color w:val="auto"/>
        </w:rPr>
      </w:pPr>
    </w:p>
    <w:p>
      <w:pPr>
        <w:ind w:right="20"/>
        <w:spacing w:after="0" w:line="352" w:lineRule="auto"/>
        <w:rPr>
          <w:sz w:val="20"/>
          <w:szCs w:val="20"/>
          <w:color w:val="auto"/>
        </w:rPr>
      </w:pPr>
      <w:r>
        <w:rPr>
          <w:rFonts w:ascii="Arial" w:cs="Arial" w:eastAsia="Arial" w:hAnsi="Arial"/>
          <w:sz w:val="22"/>
          <w:szCs w:val="22"/>
          <w:i w:val="1"/>
          <w:iCs w:val="1"/>
          <w:color w:val="auto"/>
        </w:rPr>
        <w:t xml:space="preserve">Wellness, Health and Safety: </w:t>
      </w:r>
      <w:r>
        <w:rPr>
          <w:rFonts w:ascii="Arial" w:cs="Arial" w:eastAsia="Arial" w:hAnsi="Arial"/>
          <w:sz w:val="22"/>
          <w:szCs w:val="22"/>
          <w:color w:val="auto"/>
        </w:rPr>
        <w:t>We are committed to your personal health and safety. We strive to provide a clean, safe</w:t>
      </w:r>
      <w:r>
        <w:rPr>
          <w:rFonts w:ascii="Arial" w:cs="Arial" w:eastAsia="Arial" w:hAnsi="Arial"/>
          <w:sz w:val="22"/>
          <w:szCs w:val="22"/>
          <w:i w:val="1"/>
          <w:iCs w:val="1"/>
          <w:color w:val="auto"/>
        </w:rPr>
        <w:t xml:space="preserve"> </w:t>
      </w:r>
      <w:r>
        <w:rPr>
          <w:rFonts w:ascii="Arial" w:cs="Arial" w:eastAsia="Arial" w:hAnsi="Arial"/>
          <w:sz w:val="22"/>
          <w:szCs w:val="22"/>
          <w:color w:val="auto"/>
        </w:rPr>
        <w:t>and secure work environment for our associates, which includes following applicable laws regarding healthy and safe operations. In turn, we expect our associates to work in a safe manner, and our managers and supervisors to endorse and demonstrate a culture of safety. We want you to be well. We want you to be safe. And we want to keep our business operating.</w:t>
      </w:r>
    </w:p>
    <w:p>
      <w:pPr>
        <w:spacing w:after="0" w:line="206" w:lineRule="exact"/>
        <w:rPr>
          <w:sz w:val="20"/>
          <w:szCs w:val="20"/>
          <w:color w:val="auto"/>
        </w:rPr>
      </w:pPr>
    </w:p>
    <w:p>
      <w:pPr>
        <w:ind w:left="660" w:right="120" w:hanging="328"/>
        <w:spacing w:after="0" w:line="351"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Live </w:t>
      </w:r>
      <w:r>
        <w:rPr>
          <w:rFonts w:ascii="Arial" w:cs="Arial" w:eastAsia="Arial" w:hAnsi="Arial"/>
          <w:sz w:val="22"/>
          <w:szCs w:val="22"/>
          <w:i w:val="1"/>
          <w:iCs w:val="1"/>
          <w:color w:val="auto"/>
        </w:rPr>
        <w:t>TotalHealth: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 care about the health and wellbeing of you and your family, and provide programs, tools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support to empower you to manage and improve your total health. Our longstanding wellness philosophy reflects our obligation to help all associates enhance their physical health, gain financial security for now and years to come, take time away from work to rest and recharge, and cope with personal and mental health challenges. All associates are expected to make a personal commitment for their own health and to take responsibility for maintaining a healthy environment for their family at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173" w:right="359" w:bottom="1440" w:gutter="0" w:footer="0" w:header="0"/>
        </w:sectPr>
      </w:pPr>
    </w:p>
    <w:bookmarkStart w:id="65" w:name="page66"/>
    <w:bookmarkEnd w:id="65"/>
    <w:p>
      <w:pPr>
        <w:ind w:left="660" w:hanging="328"/>
        <w:spacing w:after="0" w:line="359"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Leave: </w:t>
      </w:r>
      <w:r>
        <w:rPr>
          <w:rFonts w:ascii="Arial" w:cs="Arial" w:eastAsia="Arial" w:hAnsi="Arial"/>
          <w:sz w:val="22"/>
          <w:szCs w:val="22"/>
          <w:color w:val="auto"/>
        </w:rPr>
        <w:t>We respect our fellow associates’ legally-recognized need for leave when they have to step away from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work to care for themselves, their family members or grieve the loss of a loved one. See, </w:t>
      </w:r>
      <w:r>
        <w:rPr>
          <w:rFonts w:ascii="Arial" w:cs="Arial" w:eastAsia="Arial" w:hAnsi="Arial"/>
          <w:sz w:val="22"/>
          <w:szCs w:val="22"/>
          <w:u w:val="single" w:color="auto"/>
          <w:color w:val="auto"/>
        </w:rPr>
        <w:t>e.g.</w:t>
      </w:r>
      <w:r>
        <w:rPr>
          <w:rFonts w:ascii="Arial" w:cs="Arial" w:eastAsia="Arial" w:hAnsi="Arial"/>
          <w:sz w:val="22"/>
          <w:szCs w:val="22"/>
          <w:color w:val="auto"/>
        </w:rPr>
        <w:t>, the FMLA Policy located on The Garden.</w:t>
      </w:r>
    </w:p>
    <w:p>
      <w:pPr>
        <w:spacing w:after="0" w:line="201" w:lineRule="exact"/>
        <w:rPr>
          <w:rFonts w:ascii="Arial" w:cs="Arial" w:eastAsia="Arial" w:hAnsi="Arial"/>
          <w:sz w:val="22"/>
          <w:szCs w:val="22"/>
          <w:color w:val="auto"/>
        </w:rPr>
      </w:pPr>
    </w:p>
    <w:p>
      <w:pPr>
        <w:ind w:left="660" w:hanging="328"/>
        <w:spacing w:after="0" w:line="372"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Tobacco-Free : </w:t>
      </w:r>
      <w:r>
        <w:rPr>
          <w:rFonts w:ascii="Arial" w:cs="Arial" w:eastAsia="Arial" w:hAnsi="Arial"/>
          <w:sz w:val="22"/>
          <w:szCs w:val="22"/>
          <w:color w:val="auto"/>
        </w:rPr>
        <w:t>Where permitted by law, we help our Associates live long and healthy lives by being a tobacco-free employer and prohibiting tobacco use on Company property and in company vehicles.</w:t>
      </w:r>
    </w:p>
    <w:p>
      <w:pPr>
        <w:spacing w:after="0" w:line="187" w:lineRule="exact"/>
        <w:rPr>
          <w:rFonts w:ascii="Arial" w:cs="Arial" w:eastAsia="Arial" w:hAnsi="Arial"/>
          <w:sz w:val="22"/>
          <w:szCs w:val="22"/>
          <w:color w:val="auto"/>
        </w:rPr>
      </w:pPr>
    </w:p>
    <w:p>
      <w:pPr>
        <w:ind w:left="660" w:right="20" w:hanging="328"/>
        <w:spacing w:after="0" w:line="349"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Drug and Alcohol-Free Workplace: </w:t>
      </w:r>
      <w:r>
        <w:rPr>
          <w:rFonts w:ascii="Arial" w:cs="Arial" w:eastAsia="Arial" w:hAnsi="Arial"/>
          <w:sz w:val="22"/>
          <w:szCs w:val="22"/>
          <w:color w:val="auto"/>
        </w:rPr>
        <w:t>All of us are required to work safely and model the values and expectations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Company at all times. That is why we prohibit the use, sale or possession of illegal drugs within the conduct of our business. And, that is why you should never come to work under the influence of drugs that may keep you from being able to work safely, including drugs that have been prescribed to you. If you feel that you are unable to work safely due to a clinically-prescribed treatment or prescription, please notify your manager or supervisor. We also prohibit the use of, or being under the influence of, alcohol during the conduct of our business, except in certain circumstances outlined in the Drug &amp; Alcohol Policy, which is located on The Garden.</w:t>
      </w:r>
    </w:p>
    <w:p>
      <w:pPr>
        <w:spacing w:after="0" w:line="216" w:lineRule="exact"/>
        <w:rPr>
          <w:sz w:val="20"/>
          <w:szCs w:val="20"/>
          <w:color w:val="auto"/>
        </w:rPr>
      </w:pPr>
    </w:p>
    <w:p>
      <w:pPr>
        <w:ind w:right="540"/>
        <w:spacing w:after="0" w:line="372" w:lineRule="auto"/>
        <w:rPr>
          <w:sz w:val="20"/>
          <w:szCs w:val="20"/>
          <w:color w:val="auto"/>
        </w:rPr>
      </w:pPr>
      <w:r>
        <w:rPr>
          <w:rFonts w:ascii="Arial" w:cs="Arial" w:eastAsia="Arial" w:hAnsi="Arial"/>
          <w:sz w:val="22"/>
          <w:szCs w:val="22"/>
          <w:i w:val="1"/>
          <w:iCs w:val="1"/>
          <w:color w:val="auto"/>
        </w:rPr>
        <w:t xml:space="preserve">Fair Dealing: </w:t>
      </w:r>
      <w:r>
        <w:rPr>
          <w:rFonts w:ascii="Arial" w:cs="Arial" w:eastAsia="Arial" w:hAnsi="Arial"/>
          <w:sz w:val="22"/>
          <w:szCs w:val="22"/>
          <w:color w:val="auto"/>
        </w:rPr>
        <w:t>We deal fairly and honestly with one another. We do not manipulate, conceal or misrepresent facts</w:t>
      </w:r>
      <w:r>
        <w:rPr>
          <w:rFonts w:ascii="Arial" w:cs="Arial" w:eastAsia="Arial" w:hAnsi="Arial"/>
          <w:sz w:val="22"/>
          <w:szCs w:val="22"/>
          <w:i w:val="1"/>
          <w:iCs w:val="1"/>
          <w:color w:val="auto"/>
        </w:rPr>
        <w:t xml:space="preserve"> </w:t>
      </w:r>
      <w:r>
        <w:rPr>
          <w:rFonts w:ascii="Arial" w:cs="Arial" w:eastAsia="Arial" w:hAnsi="Arial"/>
          <w:sz w:val="22"/>
          <w:szCs w:val="22"/>
          <w:color w:val="auto"/>
        </w:rPr>
        <w:t>when we work together.</w:t>
      </w:r>
    </w:p>
    <w:p>
      <w:pPr>
        <w:spacing w:after="0" w:line="188" w:lineRule="exact"/>
        <w:rPr>
          <w:sz w:val="20"/>
          <w:szCs w:val="20"/>
          <w:color w:val="auto"/>
        </w:rPr>
      </w:pPr>
    </w:p>
    <w:p>
      <w:pPr>
        <w:ind w:right="60"/>
        <w:spacing w:after="0" w:line="367" w:lineRule="auto"/>
        <w:rPr>
          <w:sz w:val="20"/>
          <w:szCs w:val="20"/>
          <w:color w:val="auto"/>
        </w:rPr>
      </w:pPr>
      <w:r>
        <w:rPr>
          <w:rFonts w:ascii="Arial" w:cs="Arial" w:eastAsia="Arial" w:hAnsi="Arial"/>
          <w:sz w:val="21"/>
          <w:szCs w:val="21"/>
          <w:i w:val="1"/>
          <w:iCs w:val="1"/>
          <w:color w:val="auto"/>
        </w:rPr>
        <w:t xml:space="preserve">Conflicts of Interest: </w:t>
      </w:r>
      <w:r>
        <w:rPr>
          <w:rFonts w:ascii="Arial" w:cs="Arial" w:eastAsia="Arial" w:hAnsi="Arial"/>
          <w:sz w:val="21"/>
          <w:szCs w:val="21"/>
          <w:color w:val="auto"/>
        </w:rPr>
        <w:t>We do not take advantage of an opportunity that belongs to the Company for our own personal</w:t>
      </w:r>
      <w:r>
        <w:rPr>
          <w:rFonts w:ascii="Arial" w:cs="Arial" w:eastAsia="Arial" w:hAnsi="Arial"/>
          <w:sz w:val="21"/>
          <w:szCs w:val="21"/>
          <w:i w:val="1"/>
          <w:iCs w:val="1"/>
          <w:color w:val="auto"/>
        </w:rPr>
        <w:t xml:space="preserve"> </w:t>
      </w:r>
      <w:r>
        <w:rPr>
          <w:rFonts w:ascii="Arial" w:cs="Arial" w:eastAsia="Arial" w:hAnsi="Arial"/>
          <w:sz w:val="21"/>
          <w:szCs w:val="21"/>
          <w:color w:val="auto"/>
        </w:rPr>
        <w:t>gain. We appreciate that opportunities that we discover through our work here or as a result of Company property or information belong to ScottsMiracle-Gro. We do not engage in activities that create, or even appear to create, conflict between our personal interests and the interests of ScottsMiracle-Gro. For example, it would create at least the appearance of a conflict of interest for you or a member of your family to participate in a business arrangement or investment involving ScottsMiracle-Gro or that you learned of from a competitor, customer, client or supplier of ScottsMiracle-Gro or your position in the Company. You should disclose potential conflicts of interest immediately to your manager or supervisor and the Ethics Department, and take no further action until the situation is resolved.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151" w:right="359" w:bottom="1440" w:gutter="0" w:footer="0" w:header="0"/>
        </w:sectPr>
      </w:pPr>
    </w:p>
    <w:bookmarkStart w:id="66" w:name="page67"/>
    <w:bookmarkEnd w:id="66"/>
    <w:p>
      <w:pPr>
        <w:ind w:right="260"/>
        <w:spacing w:after="0" w:line="372" w:lineRule="auto"/>
        <w:rPr>
          <w:sz w:val="20"/>
          <w:szCs w:val="20"/>
          <w:color w:val="auto"/>
        </w:rPr>
      </w:pPr>
      <w:r>
        <w:rPr>
          <w:rFonts w:ascii="Arial" w:cs="Arial" w:eastAsia="Arial" w:hAnsi="Arial"/>
          <w:sz w:val="22"/>
          <w:szCs w:val="22"/>
          <w:i w:val="1"/>
          <w:iCs w:val="1"/>
          <w:color w:val="auto"/>
        </w:rPr>
        <w:t xml:space="preserve">Data Privacy: </w:t>
      </w:r>
      <w:r>
        <w:rPr>
          <w:rFonts w:ascii="Arial" w:cs="Arial" w:eastAsia="Arial" w:hAnsi="Arial"/>
          <w:sz w:val="22"/>
          <w:szCs w:val="22"/>
          <w:color w:val="auto"/>
        </w:rPr>
        <w:t>We respect the confidential nature of the personal information we possess about our associates. We</w:t>
      </w:r>
      <w:r>
        <w:rPr>
          <w:rFonts w:ascii="Arial" w:cs="Arial" w:eastAsia="Arial" w:hAnsi="Arial"/>
          <w:sz w:val="22"/>
          <w:szCs w:val="22"/>
          <w:i w:val="1"/>
          <w:iCs w:val="1"/>
          <w:color w:val="auto"/>
        </w:rPr>
        <w:t xml:space="preserve"> </w:t>
      </w:r>
      <w:r>
        <w:rPr>
          <w:rFonts w:ascii="Arial" w:cs="Arial" w:eastAsia="Arial" w:hAnsi="Arial"/>
          <w:sz w:val="22"/>
          <w:szCs w:val="22"/>
          <w:color w:val="auto"/>
        </w:rPr>
        <w:t>recognize that it should only be used for business reasons in a manner that is fair and lawful.</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Accurate Timekeeping: </w:t>
      </w:r>
      <w:r>
        <w:rPr>
          <w:rFonts w:ascii="Arial" w:cs="Arial" w:eastAsia="Arial" w:hAnsi="Arial"/>
          <w:sz w:val="21"/>
          <w:szCs w:val="21"/>
          <w:color w:val="auto"/>
        </w:rPr>
        <w:t>We are committed to paying our associates for the time they spend working for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As associates, we must comply fully with our policies related to timekeeping.</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15: Do you know . . .</w:t>
      </w:r>
    </w:p>
    <w:p>
      <w:pPr>
        <w:spacing w:after="0" w:line="200" w:lineRule="exact"/>
        <w:rPr>
          <w:sz w:val="20"/>
          <w:szCs w:val="20"/>
          <w:color w:val="auto"/>
        </w:rPr>
      </w:pPr>
    </w:p>
    <w:p>
      <w:pPr>
        <w:spacing w:after="0" w:line="266"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22"/>
          <w:szCs w:val="22"/>
          <w:color w:val="auto"/>
        </w:rPr>
        <w:t>That you should never perform any work for ScottsMiracle-Gro without compensation?</w:t>
      </w:r>
    </w:p>
    <w:p>
      <w:pPr>
        <w:spacing w:after="0" w:line="355" w:lineRule="exact"/>
        <w:rPr>
          <w:sz w:val="20"/>
          <w:szCs w:val="20"/>
          <w:color w:val="auto"/>
        </w:rPr>
      </w:pPr>
    </w:p>
    <w:p>
      <w:pPr>
        <w:ind w:right="380"/>
        <w:spacing w:after="0" w:line="351" w:lineRule="auto"/>
        <w:rPr>
          <w:sz w:val="20"/>
          <w:szCs w:val="20"/>
          <w:color w:val="auto"/>
        </w:rPr>
      </w:pPr>
      <w:r>
        <w:rPr>
          <w:rFonts w:ascii="Arial" w:cs="Arial" w:eastAsia="Arial" w:hAnsi="Arial"/>
          <w:sz w:val="22"/>
          <w:szCs w:val="22"/>
          <w:color w:val="auto"/>
        </w:rPr>
        <w:t>It is a violation of our policy for you to work without compensation or for a supervisor or manager request that you work without compensation.</w:t>
      </w:r>
    </w:p>
    <w:p>
      <w:pPr>
        <w:spacing w:after="0" w:line="232"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22"/>
          <w:szCs w:val="22"/>
          <w:color w:val="auto"/>
        </w:rPr>
        <w:t>That you have a right to take leave if you have a serious health condition?</w:t>
      </w:r>
    </w:p>
    <w:p>
      <w:pPr>
        <w:spacing w:after="0" w:line="355" w:lineRule="exact"/>
        <w:rPr>
          <w:sz w:val="20"/>
          <w:szCs w:val="20"/>
          <w:color w:val="auto"/>
        </w:rPr>
      </w:pPr>
    </w:p>
    <w:p>
      <w:pPr>
        <w:ind w:right="340"/>
        <w:spacing w:after="0" w:line="348" w:lineRule="auto"/>
        <w:rPr>
          <w:sz w:val="20"/>
          <w:szCs w:val="20"/>
          <w:color w:val="auto"/>
        </w:rPr>
      </w:pPr>
      <w:r>
        <w:rPr>
          <w:rFonts w:ascii="Arial" w:cs="Arial" w:eastAsia="Arial" w:hAnsi="Arial"/>
          <w:sz w:val="22"/>
          <w:szCs w:val="22"/>
          <w:color w:val="auto"/>
        </w:rPr>
        <w:t>If you need time away from work to take care of your own serious health condition or that of a family member, you may be eligible for some type of covered or protected leave. Consult your manager, the Office of Disability Management or our leave policies on The Garden for further information.</w:t>
      </w:r>
    </w:p>
    <w:p>
      <w:pPr>
        <w:spacing w:after="0" w:line="236"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22"/>
          <w:szCs w:val="22"/>
          <w:color w:val="auto"/>
        </w:rPr>
        <w:t>Our policies apply to your behavior any time you are representing the Company?</w:t>
      </w:r>
    </w:p>
    <w:p>
      <w:pPr>
        <w:spacing w:after="0" w:line="355" w:lineRule="exact"/>
        <w:rPr>
          <w:sz w:val="20"/>
          <w:szCs w:val="20"/>
          <w:color w:val="auto"/>
        </w:rPr>
      </w:pPr>
    </w:p>
    <w:p>
      <w:pPr>
        <w:ind w:right="780"/>
        <w:spacing w:after="0" w:line="380" w:lineRule="auto"/>
        <w:rPr>
          <w:sz w:val="20"/>
          <w:szCs w:val="20"/>
          <w:color w:val="auto"/>
        </w:rPr>
      </w:pPr>
      <w:r>
        <w:rPr>
          <w:rFonts w:ascii="Arial" w:cs="Arial" w:eastAsia="Arial" w:hAnsi="Arial"/>
          <w:sz w:val="21"/>
          <w:szCs w:val="21"/>
          <w:color w:val="auto"/>
        </w:rPr>
        <w:t>You are expected to abide by our policies and behavioral expectations any time you are interacting with other associates or business partners, even at functions that take place after business hours or on weekends.</w:t>
      </w:r>
    </w:p>
    <w:p>
      <w:pPr>
        <w:spacing w:after="0" w:line="207" w:lineRule="exact"/>
        <w:rPr>
          <w:sz w:val="20"/>
          <w:szCs w:val="20"/>
          <w:color w:val="auto"/>
        </w:rPr>
      </w:pPr>
    </w:p>
    <w:p>
      <w:pPr>
        <w:ind w:left="260" w:right="200" w:hanging="252"/>
        <w:spacing w:after="0" w:line="351" w:lineRule="auto"/>
        <w:tabs>
          <w:tab w:leader="none" w:pos="253" w:val="left"/>
        </w:tabs>
        <w:numPr>
          <w:ilvl w:val="0"/>
          <w:numId w:val="46"/>
        </w:numPr>
        <w:rPr>
          <w:rFonts w:ascii="Arial" w:cs="Arial" w:eastAsia="Arial" w:hAnsi="Arial"/>
          <w:sz w:val="18"/>
          <w:szCs w:val="18"/>
          <w:color w:val="auto"/>
        </w:rPr>
      </w:pPr>
      <w:r>
        <w:rPr>
          <w:rFonts w:ascii="Arial" w:cs="Arial" w:eastAsia="Arial" w:hAnsi="Arial"/>
          <w:sz w:val="22"/>
          <w:szCs w:val="22"/>
          <w:color w:val="auto"/>
        </w:rPr>
        <w:t>You are required to wear a seatbelt at all times when operating a Company vehicle and follow all Lockout-Tagout procedures when servicing or performing maintenance on the machinery at our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80"/>
          </w:cols>
          <w:pgMar w:left="320" w:top="1394" w:right="399" w:bottom="1440" w:gutter="0" w:footer="0" w:header="0"/>
        </w:sectPr>
      </w:pPr>
    </w:p>
    <w:bookmarkStart w:id="67" w:name="page68"/>
    <w:bookmarkEnd w:id="67"/>
    <w:p>
      <w:pPr>
        <w:spacing w:after="0" w:line="347" w:lineRule="auto"/>
        <w:rPr>
          <w:sz w:val="20"/>
          <w:szCs w:val="20"/>
          <w:color w:val="auto"/>
        </w:rPr>
      </w:pPr>
      <w:r>
        <w:rPr>
          <w:rFonts w:ascii="Arial" w:cs="Arial" w:eastAsia="Arial" w:hAnsi="Arial"/>
          <w:sz w:val="22"/>
          <w:szCs w:val="22"/>
          <w:color w:val="auto"/>
        </w:rPr>
        <w:t>You should never operate a Company vehicle without wearing your seatbelt. You should never bypass any safety interlocks or disregard any practices or procedures that keep you safe from the unexpected energization or startup of machinery and equipment. Failing to wear your seatbelt or follow Lockout-Tagout procedures is not only unsafe, it can result in immediate termination.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Pages 16-17: WE STAND</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 OUR SUPPLIERS, CUSTOMERS AND BUSINESS PARTNERS</w:t>
      </w:r>
    </w:p>
    <w:p>
      <w:pPr>
        <w:spacing w:after="0" w:line="381" w:lineRule="exact"/>
        <w:rPr>
          <w:sz w:val="20"/>
          <w:szCs w:val="20"/>
          <w:color w:val="auto"/>
        </w:rPr>
      </w:pPr>
    </w:p>
    <w:p>
      <w:pPr>
        <w:ind w:right="580"/>
        <w:spacing w:after="0" w:line="351" w:lineRule="auto"/>
        <w:rPr>
          <w:sz w:val="20"/>
          <w:szCs w:val="20"/>
          <w:color w:val="auto"/>
        </w:rPr>
      </w:pPr>
      <w:r>
        <w:rPr>
          <w:rFonts w:ascii="Arial" w:cs="Arial" w:eastAsia="Arial" w:hAnsi="Arial"/>
          <w:sz w:val="22"/>
          <w:szCs w:val="22"/>
          <w:color w:val="auto"/>
        </w:rPr>
        <w:t>We maintain and practice the highest standards of ethics, fair dealing, professional courtesy and competence in dealing with our business partners.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Here’s how we do it:</w:t>
      </w:r>
    </w:p>
    <w:p>
      <w:pPr>
        <w:spacing w:after="0" w:line="359" w:lineRule="exact"/>
        <w:rPr>
          <w:sz w:val="20"/>
          <w:szCs w:val="20"/>
          <w:color w:val="auto"/>
        </w:rPr>
      </w:pPr>
    </w:p>
    <w:p>
      <w:pPr>
        <w:ind w:right="40"/>
        <w:spacing w:after="0" w:line="348" w:lineRule="auto"/>
        <w:rPr>
          <w:sz w:val="20"/>
          <w:szCs w:val="20"/>
          <w:color w:val="auto"/>
        </w:rPr>
      </w:pPr>
      <w:r>
        <w:rPr>
          <w:rFonts w:ascii="Arial" w:cs="Arial" w:eastAsia="Arial" w:hAnsi="Arial"/>
          <w:sz w:val="22"/>
          <w:szCs w:val="22"/>
          <w:i w:val="1"/>
          <w:iCs w:val="1"/>
          <w:color w:val="auto"/>
        </w:rPr>
        <w:t xml:space="preserve">Business Partner Relations: </w:t>
      </w:r>
      <w:r>
        <w:rPr>
          <w:rFonts w:ascii="Arial" w:cs="Arial" w:eastAsia="Arial" w:hAnsi="Arial"/>
          <w:sz w:val="22"/>
          <w:szCs w:val="22"/>
          <w:color w:val="auto"/>
        </w:rPr>
        <w:t>We compete aggressively but without compromising our values. We deal fairly and</w:t>
      </w:r>
      <w:r>
        <w:rPr>
          <w:rFonts w:ascii="Arial" w:cs="Arial" w:eastAsia="Arial" w:hAnsi="Arial"/>
          <w:sz w:val="22"/>
          <w:szCs w:val="22"/>
          <w:i w:val="1"/>
          <w:iCs w:val="1"/>
          <w:color w:val="auto"/>
        </w:rPr>
        <w:t xml:space="preserve"> </w:t>
      </w:r>
      <w:r>
        <w:rPr>
          <w:rFonts w:ascii="Arial" w:cs="Arial" w:eastAsia="Arial" w:hAnsi="Arial"/>
          <w:sz w:val="22"/>
          <w:szCs w:val="22"/>
          <w:color w:val="auto"/>
        </w:rPr>
        <w:t>honestly with customers, vendors and suppliers. We do not take unfair advantage of them by manipulating, concealing or misrepresenting material facts. We do not abuse privileged information they have entrusted to us. We provide equal opportunity to all capable suppliers, including Minority Business Enterprises. We never give or accept gifts or entertainment if the purpose is to improperly influence a business decision, and it is the responsibility of a business partner, supplier or vendor who is offered a gift from us to obtain the appropriate permission from their employer before accepting the gift. We expect our partners to conduct business fairly, ethically and responsibly. They should safeguard private or confidential information appropriately. Information regarding business activities, structure, finances and performance should be disclosed only in accordance with applicable laws, regulations and prevailing industry practices.</w:t>
      </w:r>
    </w:p>
    <w:p>
      <w:pPr>
        <w:spacing w:after="0" w:line="220" w:lineRule="exact"/>
        <w:rPr>
          <w:sz w:val="20"/>
          <w:szCs w:val="20"/>
          <w:color w:val="auto"/>
        </w:rPr>
      </w:pPr>
    </w:p>
    <w:p>
      <w:pPr>
        <w:ind w:right="360"/>
        <w:spacing w:after="0" w:line="372" w:lineRule="auto"/>
        <w:rPr>
          <w:sz w:val="20"/>
          <w:szCs w:val="20"/>
          <w:color w:val="auto"/>
        </w:rPr>
      </w:pPr>
      <w:r>
        <w:rPr>
          <w:rFonts w:ascii="Arial" w:cs="Arial" w:eastAsia="Arial" w:hAnsi="Arial"/>
          <w:sz w:val="22"/>
          <w:szCs w:val="22"/>
          <w:i w:val="1"/>
          <w:iCs w:val="1"/>
          <w:color w:val="auto"/>
        </w:rPr>
        <w:t xml:space="preserve">Commitment to Human Rights: </w:t>
      </w:r>
      <w:r>
        <w:rPr>
          <w:rFonts w:ascii="Arial" w:cs="Arial" w:eastAsia="Arial" w:hAnsi="Arial"/>
          <w:sz w:val="22"/>
          <w:szCs w:val="22"/>
          <w:color w:val="auto"/>
        </w:rPr>
        <w:t>We expect that everyone who works for us and our business partners works under</w:t>
      </w:r>
      <w:r>
        <w:rPr>
          <w:rFonts w:ascii="Arial" w:cs="Arial" w:eastAsia="Arial" w:hAnsi="Arial"/>
          <w:sz w:val="22"/>
          <w:szCs w:val="22"/>
          <w:i w:val="1"/>
          <w:iCs w:val="1"/>
          <w:color w:val="auto"/>
        </w:rPr>
        <w:t xml:space="preserve"> </w:t>
      </w:r>
      <w:r>
        <w:rPr>
          <w:rFonts w:ascii="Arial" w:cs="Arial" w:eastAsia="Arial" w:hAnsi="Arial"/>
          <w:sz w:val="22"/>
          <w:szCs w:val="22"/>
          <w:color w:val="auto"/>
        </w:rPr>
        <w:t>safe, fair and legal working conditions. We are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173" w:right="3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committed to upholding human rights within our business and throughout our sales and supply chain infrastructures.</w:t>
      </w:r>
    </w:p>
    <w:p>
      <w:pPr>
        <w:spacing w:after="0" w:line="344" w:lineRule="exact"/>
        <w:rPr>
          <w:sz w:val="20"/>
          <w:szCs w:val="20"/>
          <w:color w:val="auto"/>
        </w:rPr>
      </w:pPr>
    </w:p>
    <w:p>
      <w:pPr>
        <w:ind w:right="60"/>
        <w:spacing w:after="0" w:line="402" w:lineRule="auto"/>
        <w:rPr>
          <w:sz w:val="20"/>
          <w:szCs w:val="20"/>
          <w:color w:val="auto"/>
        </w:rPr>
      </w:pPr>
      <w:r>
        <w:rPr>
          <w:rFonts w:ascii="Arial" w:cs="Arial" w:eastAsia="Arial" w:hAnsi="Arial"/>
          <w:sz w:val="21"/>
          <w:szCs w:val="21"/>
          <w:i w:val="1"/>
          <w:iCs w:val="1"/>
          <w:color w:val="auto"/>
        </w:rPr>
        <w:t xml:space="preserve">Data Privacy: </w:t>
      </w:r>
      <w:r>
        <w:rPr>
          <w:rFonts w:ascii="Arial" w:cs="Arial" w:eastAsia="Arial" w:hAnsi="Arial"/>
          <w:sz w:val="21"/>
          <w:szCs w:val="21"/>
          <w:color w:val="auto"/>
        </w:rPr>
        <w:t>We respect the confidential nature of the personal information we possess about our business partners</w:t>
      </w:r>
      <w:r>
        <w:rPr>
          <w:rFonts w:ascii="Arial" w:cs="Arial" w:eastAsia="Arial" w:hAnsi="Arial"/>
          <w:sz w:val="21"/>
          <w:szCs w:val="21"/>
          <w:i w:val="1"/>
          <w:iCs w:val="1"/>
          <w:color w:val="auto"/>
        </w:rPr>
        <w:t xml:space="preserve"> </w:t>
      </w:r>
      <w:r>
        <w:rPr>
          <w:rFonts w:ascii="Arial" w:cs="Arial" w:eastAsia="Arial" w:hAnsi="Arial"/>
          <w:sz w:val="21"/>
          <w:szCs w:val="21"/>
          <w:color w:val="auto"/>
        </w:rPr>
        <w:t>and consumers. We recognize that it should only be used for business reasons in a manner that is fair and lawful.</w:t>
      </w:r>
    </w:p>
    <w:p>
      <w:pPr>
        <w:spacing w:after="0" w:line="163" w:lineRule="exact"/>
        <w:rPr>
          <w:sz w:val="20"/>
          <w:szCs w:val="20"/>
          <w:color w:val="auto"/>
        </w:rPr>
      </w:pPr>
    </w:p>
    <w:p>
      <w:pPr>
        <w:ind w:right="160"/>
        <w:spacing w:after="0" w:line="349" w:lineRule="auto"/>
        <w:rPr>
          <w:sz w:val="20"/>
          <w:szCs w:val="20"/>
          <w:color w:val="auto"/>
        </w:rPr>
      </w:pPr>
      <w:r>
        <w:rPr>
          <w:rFonts w:ascii="Arial" w:cs="Arial" w:eastAsia="Arial" w:hAnsi="Arial"/>
          <w:sz w:val="22"/>
          <w:szCs w:val="22"/>
          <w:i w:val="1"/>
          <w:iCs w:val="1"/>
          <w:color w:val="auto"/>
        </w:rPr>
        <w:t xml:space="preserve">Gifts and Entertainment: </w:t>
      </w:r>
      <w:r>
        <w:rPr>
          <w:rFonts w:ascii="Arial" w:cs="Arial" w:eastAsia="Arial" w:hAnsi="Arial"/>
          <w:sz w:val="22"/>
          <w:szCs w:val="22"/>
          <w:color w:val="auto"/>
        </w:rPr>
        <w:t>We never give or accept gifts or entertainment if the purpose is to improperly influence a</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decision. As a general rule, we don’t give or accept gifts except in very limited circumstances and with appropriate approval. Any gifts we may receive from our business partners should be considered property of Scotts. That means that we may never accept personal gifts, such as cash or cash equivalents (e.g., gift cards or gift certificates) or personal travel for ourselves or family members. When it comes to gifts or invitations for business entertainment, transparency is best - Inform your supervisor or manager anytime you receive a gift, regardless of value. Should you receive a gift of more than a nominal value ($100 USD or more), you may not accept the gift without approval from the Chief Ethics Officer.</w:t>
      </w:r>
    </w:p>
    <w:p>
      <w:pPr>
        <w:spacing w:after="0" w:line="238" w:lineRule="exact"/>
        <w:rPr>
          <w:sz w:val="20"/>
          <w:szCs w:val="20"/>
          <w:color w:val="auto"/>
        </w:rPr>
      </w:pPr>
    </w:p>
    <w:p>
      <w:pPr>
        <w:ind w:right="120"/>
        <w:spacing w:after="0" w:line="348" w:lineRule="auto"/>
        <w:rPr>
          <w:sz w:val="20"/>
          <w:szCs w:val="20"/>
          <w:color w:val="auto"/>
        </w:rPr>
      </w:pPr>
      <w:r>
        <w:rPr>
          <w:rFonts w:ascii="Arial" w:cs="Arial" w:eastAsia="Arial" w:hAnsi="Arial"/>
          <w:sz w:val="22"/>
          <w:szCs w:val="22"/>
          <w:color w:val="auto"/>
        </w:rPr>
        <w:t>Before giving a gift to anyone on behalf of Scotts, you must likewise have approval: your supervisor or manager’s prior approval is required for gifts of a nominal value, and the Chief Ethics Officer’s prior approval is required for gifts of more than a nominal value.</w:t>
      </w:r>
    </w:p>
    <w:p>
      <w:pPr>
        <w:spacing w:after="0" w:line="236" w:lineRule="exact"/>
        <w:rPr>
          <w:sz w:val="20"/>
          <w:szCs w:val="20"/>
          <w:color w:val="auto"/>
        </w:rPr>
      </w:pPr>
    </w:p>
    <w:p>
      <w:pPr>
        <w:ind w:right="100"/>
        <w:spacing w:after="0" w:line="348" w:lineRule="auto"/>
        <w:rPr>
          <w:sz w:val="20"/>
          <w:szCs w:val="20"/>
          <w:color w:val="auto"/>
        </w:rPr>
      </w:pPr>
      <w:r>
        <w:rPr>
          <w:rFonts w:ascii="Arial" w:cs="Arial" w:eastAsia="Arial" w:hAnsi="Arial"/>
          <w:sz w:val="22"/>
          <w:szCs w:val="22"/>
          <w:color w:val="auto"/>
        </w:rPr>
        <w:t>From time to time, we may receive gifts from our business partners around the holidays or in appreciation for the relationship with Scotts. Gifts of a nominal value may be given to associates as tokens of appreciation or, in the case of consumable gifts such as holiday gift baskets, placed in a common area for everyone to enjoy.</w:t>
      </w:r>
    </w:p>
    <w:p>
      <w:pPr>
        <w:spacing w:after="0" w:line="236" w:lineRule="exact"/>
        <w:rPr>
          <w:sz w:val="20"/>
          <w:szCs w:val="20"/>
          <w:color w:val="auto"/>
        </w:rPr>
      </w:pPr>
    </w:p>
    <w:p>
      <w:pPr>
        <w:spacing w:after="0" w:line="347" w:lineRule="auto"/>
        <w:rPr>
          <w:sz w:val="20"/>
          <w:szCs w:val="20"/>
          <w:color w:val="auto"/>
        </w:rPr>
      </w:pPr>
      <w:r>
        <w:rPr>
          <w:rFonts w:ascii="Arial" w:cs="Arial" w:eastAsia="Arial" w:hAnsi="Arial"/>
          <w:sz w:val="22"/>
          <w:szCs w:val="22"/>
          <w:color w:val="auto"/>
        </w:rPr>
        <w:t xml:space="preserve">We follow the same rules for business entertainment. Business entertainment provided to or accepted from our business partners should always be reasonable and infrequent. We don’t provide or accept business entertainment beyond what is reasonable; </w:t>
      </w:r>
      <w:r>
        <w:rPr>
          <w:rFonts w:ascii="Arial" w:cs="Arial" w:eastAsia="Arial" w:hAnsi="Arial"/>
          <w:sz w:val="22"/>
          <w:szCs w:val="22"/>
          <w:u w:val="single" w:color="auto"/>
          <w:color w:val="auto"/>
        </w:rPr>
        <w:t>examples of reasonable business entertainment are</w:t>
      </w:r>
      <w:r>
        <w:rPr>
          <w:rFonts w:ascii="Arial" w:cs="Arial" w:eastAsia="Arial" w:hAnsi="Arial"/>
          <w:sz w:val="22"/>
          <w:szCs w:val="22"/>
          <w:color w:val="auto"/>
        </w:rPr>
        <w:t xml:space="preserve"> an occasional business meal, a local social or sporting event, or attendance at a company-sponsored promotional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173" w:right="359" w:bottom="1440" w:gutter="0" w:footer="0" w:header="0"/>
        </w:sectPr>
      </w:pPr>
    </w:p>
    <w:bookmarkStart w:id="69" w:name="page70"/>
    <w:bookmarkEnd w:id="69"/>
    <w:p>
      <w:pPr>
        <w:ind w:right="280"/>
        <w:spacing w:after="0" w:line="351" w:lineRule="auto"/>
        <w:rPr>
          <w:sz w:val="20"/>
          <w:szCs w:val="20"/>
          <w:color w:val="auto"/>
        </w:rPr>
      </w:pPr>
      <w:r>
        <w:rPr>
          <w:rFonts w:ascii="Arial" w:cs="Arial" w:eastAsia="Arial" w:hAnsi="Arial"/>
          <w:sz w:val="22"/>
          <w:szCs w:val="22"/>
          <w:color w:val="auto"/>
        </w:rPr>
        <w:t>event. Business entertainment beyond what is reasonable must be approved by the Chief Ethics Officer before the event.</w:t>
      </w:r>
    </w:p>
    <w:p>
      <w:pPr>
        <w:spacing w:after="0" w:line="232" w:lineRule="exact"/>
        <w:rPr>
          <w:sz w:val="20"/>
          <w:szCs w:val="20"/>
          <w:color w:val="auto"/>
        </w:rPr>
      </w:pPr>
    </w:p>
    <w:p>
      <w:pPr>
        <w:ind w:right="300"/>
        <w:spacing w:after="0" w:line="348" w:lineRule="auto"/>
        <w:rPr>
          <w:sz w:val="20"/>
          <w:szCs w:val="20"/>
          <w:color w:val="auto"/>
        </w:rPr>
      </w:pPr>
      <w:r>
        <w:rPr>
          <w:rFonts w:ascii="Arial" w:cs="Arial" w:eastAsia="Arial" w:hAnsi="Arial"/>
          <w:sz w:val="22"/>
          <w:szCs w:val="22"/>
          <w:color w:val="auto"/>
        </w:rPr>
        <w:t>We expect the same from our business partners, suppliers or vendors: it is the responsibility of a business partner, supplier or vendor who is offered a gift from us to obtain the appropriate permission from their employer before accepting the gift.</w:t>
      </w:r>
    </w:p>
    <w:p>
      <w:pPr>
        <w:spacing w:after="0" w:line="214" w:lineRule="exact"/>
        <w:rPr>
          <w:sz w:val="20"/>
          <w:szCs w:val="20"/>
          <w:color w:val="auto"/>
        </w:rPr>
      </w:pPr>
    </w:p>
    <w:p>
      <w:pPr>
        <w:jc w:val="both"/>
        <w:ind w:right="520"/>
        <w:spacing w:after="0" w:line="359" w:lineRule="auto"/>
        <w:rPr>
          <w:sz w:val="20"/>
          <w:szCs w:val="20"/>
          <w:color w:val="auto"/>
        </w:rPr>
      </w:pPr>
      <w:r>
        <w:rPr>
          <w:rFonts w:ascii="Arial" w:cs="Arial" w:eastAsia="Arial" w:hAnsi="Arial"/>
          <w:sz w:val="22"/>
          <w:szCs w:val="22"/>
          <w:i w:val="1"/>
          <w:iCs w:val="1"/>
          <w:color w:val="auto"/>
        </w:rPr>
        <w:t xml:space="preserve">Anti-Bribery: </w:t>
      </w:r>
      <w:r>
        <w:rPr>
          <w:rFonts w:ascii="Arial" w:cs="Arial" w:eastAsia="Arial" w:hAnsi="Arial"/>
          <w:sz w:val="22"/>
          <w:szCs w:val="22"/>
          <w:color w:val="auto"/>
        </w:rPr>
        <w:t>We help ensure that our partners, suppliers, consultants and others who do business with us don’t</w:t>
      </w:r>
      <w:r>
        <w:rPr>
          <w:rFonts w:ascii="Arial" w:cs="Arial" w:eastAsia="Arial" w:hAnsi="Arial"/>
          <w:sz w:val="22"/>
          <w:szCs w:val="22"/>
          <w:i w:val="1"/>
          <w:iCs w:val="1"/>
          <w:color w:val="auto"/>
        </w:rPr>
        <w:t xml:space="preserve"> </w:t>
      </w:r>
      <w:r>
        <w:rPr>
          <w:rFonts w:ascii="Arial" w:cs="Arial" w:eastAsia="Arial" w:hAnsi="Arial"/>
          <w:sz w:val="22"/>
          <w:szCs w:val="22"/>
          <w:color w:val="auto"/>
        </w:rPr>
        <w:t>engage in corrupt practices on our behalf. If you have any questions regarding such practices, contact the Legal Department or the Chief Ethics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Do you know . . .</w:t>
      </w:r>
    </w:p>
    <w:p>
      <w:pPr>
        <w:spacing w:after="0" w:line="200" w:lineRule="exact"/>
        <w:rPr>
          <w:sz w:val="20"/>
          <w:szCs w:val="20"/>
          <w:color w:val="auto"/>
        </w:rPr>
      </w:pPr>
    </w:p>
    <w:p>
      <w:pPr>
        <w:spacing w:after="0" w:line="266"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22"/>
          <w:szCs w:val="22"/>
          <w:color w:val="auto"/>
        </w:rPr>
        <w:t>When it comes to gifts and entertainment, transparency is always best?</w:t>
      </w:r>
    </w:p>
    <w:p>
      <w:pPr>
        <w:spacing w:after="0" w:line="355" w:lineRule="exact"/>
        <w:rPr>
          <w:sz w:val="20"/>
          <w:szCs w:val="20"/>
          <w:color w:val="auto"/>
        </w:rPr>
      </w:pPr>
    </w:p>
    <w:p>
      <w:pPr>
        <w:ind w:right="60"/>
        <w:spacing w:after="0" w:line="347" w:lineRule="auto"/>
        <w:rPr>
          <w:sz w:val="20"/>
          <w:szCs w:val="20"/>
          <w:color w:val="auto"/>
        </w:rPr>
      </w:pPr>
      <w:r>
        <w:rPr>
          <w:rFonts w:ascii="Arial" w:cs="Arial" w:eastAsia="Arial" w:hAnsi="Arial"/>
          <w:sz w:val="22"/>
          <w:szCs w:val="22"/>
          <w:color w:val="auto"/>
        </w:rPr>
        <w:t>Even where this Code does not require you to obtain approval of the Chief Ethics Officer before giving or accepting a gift or invitation to a business entertainment event, you should still discuss it with your supervisor or manager beforehand. Be transparent. If you’re not sure what to do, you may also reach out to the Ethics Department for guidance.</w:t>
      </w:r>
    </w:p>
    <w:p>
      <w:pPr>
        <w:spacing w:after="0" w:line="238"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22"/>
          <w:szCs w:val="22"/>
          <w:color w:val="auto"/>
        </w:rPr>
        <w:t>We could be held responsible for the actions of our consultants and other agents doing business on our behalf?</w:t>
      </w:r>
    </w:p>
    <w:p>
      <w:pPr>
        <w:spacing w:after="0" w:line="355" w:lineRule="exact"/>
        <w:rPr>
          <w:sz w:val="20"/>
          <w:szCs w:val="20"/>
          <w:color w:val="auto"/>
        </w:rPr>
      </w:pPr>
    </w:p>
    <w:p>
      <w:pPr>
        <w:spacing w:after="0" w:line="366" w:lineRule="auto"/>
        <w:rPr>
          <w:sz w:val="20"/>
          <w:szCs w:val="20"/>
          <w:color w:val="auto"/>
        </w:rPr>
      </w:pPr>
      <w:r>
        <w:rPr>
          <w:rFonts w:ascii="Arial" w:cs="Arial" w:eastAsia="Arial" w:hAnsi="Arial"/>
          <w:sz w:val="21"/>
          <w:szCs w:val="21"/>
          <w:color w:val="auto"/>
        </w:rPr>
        <w:t>We could be held responsible for the illegal actions of those doing business for us, no matter where they are in the world. We need to know what our consultants, agents and partners are doing for us and how they are using our money. In fact, we have to take affirmative steps to make sure that our money is not used as a bribe, and account for that money appropriately in our books and records. You can get further advice and support regarding issues of bribery and improper payments from the Anti-Bribery Policy W-LG-3, the Legal Department or the Ethics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173" w:right="379" w:bottom="1440" w:gutter="0" w:footer="0" w:header="0"/>
        </w:sectPr>
      </w:pPr>
    </w:p>
    <w:bookmarkStart w:id="70" w:name="page71"/>
    <w:bookmarkEnd w:id="70"/>
    <w:p>
      <w:pPr>
        <w:spacing w:after="0"/>
        <w:rPr>
          <w:sz w:val="20"/>
          <w:szCs w:val="20"/>
          <w:color w:val="auto"/>
        </w:rPr>
      </w:pPr>
      <w:r>
        <w:rPr>
          <w:rFonts w:ascii="Arial" w:cs="Arial" w:eastAsia="Arial" w:hAnsi="Arial"/>
          <w:sz w:val="25"/>
          <w:szCs w:val="25"/>
          <w:b w:val="1"/>
          <w:bCs w:val="1"/>
          <w:color w:val="auto"/>
        </w:rPr>
        <w:t>Page 18 WE STAND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AN ETHICAL, COMPETITIVE MARKETPLACE</w:t>
      </w:r>
    </w:p>
    <w:p>
      <w:pPr>
        <w:spacing w:after="0" w:line="381" w:lineRule="exact"/>
        <w:rPr>
          <w:sz w:val="20"/>
          <w:szCs w:val="20"/>
          <w:color w:val="auto"/>
        </w:rPr>
      </w:pPr>
    </w:p>
    <w:p>
      <w:pPr>
        <w:ind w:right="180"/>
        <w:spacing w:after="0" w:line="347" w:lineRule="auto"/>
        <w:rPr>
          <w:sz w:val="20"/>
          <w:szCs w:val="20"/>
          <w:color w:val="auto"/>
        </w:rPr>
      </w:pPr>
      <w:r>
        <w:rPr>
          <w:rFonts w:ascii="Arial" w:cs="Arial" w:eastAsia="Arial" w:hAnsi="Arial"/>
          <w:sz w:val="22"/>
          <w:szCs w:val="22"/>
          <w:color w:val="auto"/>
        </w:rPr>
        <w:t>We respect the markets in which we do business. We strive to meet the marketplace’s expectation that we conduct our affairs in a fair and just manner. We recognize that activities that are monopolistic, corrupt or fraudulent can be damaging to the marketplace. As a result, we do not engage in such activities or any other activity that harm the markets that support our business.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Here’s how we do it:</w:t>
      </w:r>
    </w:p>
    <w:p>
      <w:pPr>
        <w:spacing w:after="0" w:line="359" w:lineRule="exact"/>
        <w:rPr>
          <w:sz w:val="20"/>
          <w:szCs w:val="20"/>
          <w:color w:val="auto"/>
        </w:rPr>
      </w:pPr>
    </w:p>
    <w:p>
      <w:pPr>
        <w:ind w:right="100"/>
        <w:spacing w:after="0" w:line="354" w:lineRule="auto"/>
        <w:rPr>
          <w:sz w:val="20"/>
          <w:szCs w:val="20"/>
          <w:color w:val="auto"/>
        </w:rPr>
      </w:pPr>
      <w:r>
        <w:rPr>
          <w:rFonts w:ascii="Arial" w:cs="Arial" w:eastAsia="Arial" w:hAnsi="Arial"/>
          <w:sz w:val="22"/>
          <w:szCs w:val="22"/>
          <w:i w:val="1"/>
          <w:iCs w:val="1"/>
          <w:color w:val="auto"/>
        </w:rPr>
        <w:t xml:space="preserve">Anti-Bribery: </w:t>
      </w:r>
      <w:r>
        <w:rPr>
          <w:rFonts w:ascii="Arial" w:cs="Arial" w:eastAsia="Arial" w:hAnsi="Arial"/>
          <w:sz w:val="22"/>
          <w:szCs w:val="22"/>
          <w:color w:val="auto"/>
        </w:rPr>
        <w:t>We make business decisions based upon the best interests of the Company. We do not offer or accept</w:t>
      </w:r>
      <w:r>
        <w:rPr>
          <w:rFonts w:ascii="Arial" w:cs="Arial" w:eastAsia="Arial" w:hAnsi="Arial"/>
          <w:sz w:val="22"/>
          <w:szCs w:val="22"/>
          <w:i w:val="1"/>
          <w:iCs w:val="1"/>
          <w:color w:val="auto"/>
        </w:rPr>
        <w:t xml:space="preserve"> </w:t>
      </w:r>
      <w:r>
        <w:rPr>
          <w:rFonts w:ascii="Arial" w:cs="Arial" w:eastAsia="Arial" w:hAnsi="Arial"/>
          <w:sz w:val="22"/>
          <w:szCs w:val="22"/>
          <w:color w:val="auto"/>
        </w:rPr>
        <w:t>bribes, kickbacks or other illegal payments to or from our suppliers, business partners or government officials to obtain or retain business. We do not give or receive gifts, gratuities or other benefits that might improperly affect a business decision or allow us to gain a competitive advantage.</w:t>
      </w:r>
    </w:p>
    <w:p>
      <w:pPr>
        <w:spacing w:after="0" w:line="209" w:lineRule="exact"/>
        <w:rPr>
          <w:sz w:val="20"/>
          <w:szCs w:val="20"/>
          <w:color w:val="auto"/>
        </w:rPr>
      </w:pPr>
    </w:p>
    <w:p>
      <w:pPr>
        <w:ind w:right="520"/>
        <w:spacing w:after="0" w:line="372" w:lineRule="auto"/>
        <w:rPr>
          <w:sz w:val="20"/>
          <w:szCs w:val="20"/>
          <w:color w:val="auto"/>
        </w:rPr>
      </w:pPr>
      <w:r>
        <w:rPr>
          <w:rFonts w:ascii="Arial" w:cs="Arial" w:eastAsia="Arial" w:hAnsi="Arial"/>
          <w:sz w:val="22"/>
          <w:szCs w:val="22"/>
          <w:i w:val="1"/>
          <w:iCs w:val="1"/>
          <w:color w:val="auto"/>
        </w:rPr>
        <w:t xml:space="preserve">Antitrust: </w:t>
      </w:r>
      <w:r>
        <w:rPr>
          <w:rFonts w:ascii="Arial" w:cs="Arial" w:eastAsia="Arial" w:hAnsi="Arial"/>
          <w:sz w:val="22"/>
          <w:szCs w:val="22"/>
          <w:color w:val="auto"/>
        </w:rPr>
        <w:t>We compete aggressively, but fairly and honestly in our pricing, promotion, distribution and sale of our</w:t>
      </w:r>
      <w:r>
        <w:rPr>
          <w:rFonts w:ascii="Arial" w:cs="Arial" w:eastAsia="Arial" w:hAnsi="Arial"/>
          <w:sz w:val="22"/>
          <w:szCs w:val="22"/>
          <w:i w:val="1"/>
          <w:iCs w:val="1"/>
          <w:color w:val="auto"/>
        </w:rPr>
        <w:t xml:space="preserve"> </w:t>
      </w:r>
      <w:r>
        <w:rPr>
          <w:rFonts w:ascii="Arial" w:cs="Arial" w:eastAsia="Arial" w:hAnsi="Arial"/>
          <w:sz w:val="22"/>
          <w:szCs w:val="22"/>
          <w:color w:val="auto"/>
        </w:rPr>
        <w:t>products.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Advertising: </w:t>
      </w:r>
      <w:r>
        <w:rPr>
          <w:rFonts w:ascii="Arial" w:cs="Arial" w:eastAsia="Arial" w:hAnsi="Arial"/>
          <w:sz w:val="22"/>
          <w:szCs w:val="22"/>
          <w:color w:val="auto"/>
        </w:rPr>
        <w:t>We do not make misleading or false statements about our products or those of our competitors</w:t>
      </w:r>
    </w:p>
    <w:p>
      <w:pPr>
        <w:spacing w:after="0" w:line="355" w:lineRule="exact"/>
        <w:rPr>
          <w:sz w:val="20"/>
          <w:szCs w:val="20"/>
          <w:color w:val="auto"/>
        </w:rPr>
      </w:pPr>
    </w:p>
    <w:p>
      <w:pPr>
        <w:spacing w:after="0" w:line="354" w:lineRule="auto"/>
        <w:rPr>
          <w:sz w:val="20"/>
          <w:szCs w:val="20"/>
          <w:color w:val="auto"/>
        </w:rPr>
      </w:pPr>
      <w:r>
        <w:rPr>
          <w:rFonts w:ascii="Arial" w:cs="Arial" w:eastAsia="Arial" w:hAnsi="Arial"/>
          <w:sz w:val="22"/>
          <w:szCs w:val="22"/>
          <w:i w:val="1"/>
          <w:iCs w:val="1"/>
          <w:color w:val="auto"/>
        </w:rPr>
        <w:t xml:space="preserve">International Trade Compliance: </w:t>
      </w:r>
      <w:r>
        <w:rPr>
          <w:rFonts w:ascii="Arial" w:cs="Arial" w:eastAsia="Arial" w:hAnsi="Arial"/>
          <w:sz w:val="22"/>
          <w:szCs w:val="22"/>
          <w:color w:val="auto"/>
        </w:rPr>
        <w:t>We strive to follow all laws and regulations whenever we import products or</w:t>
      </w:r>
      <w:r>
        <w:rPr>
          <w:rFonts w:ascii="Arial" w:cs="Arial" w:eastAsia="Arial" w:hAnsi="Arial"/>
          <w:sz w:val="22"/>
          <w:szCs w:val="22"/>
          <w:i w:val="1"/>
          <w:iCs w:val="1"/>
          <w:color w:val="auto"/>
        </w:rPr>
        <w:t xml:space="preserve"> </w:t>
      </w:r>
      <w:r>
        <w:rPr>
          <w:rFonts w:ascii="Arial" w:cs="Arial" w:eastAsia="Arial" w:hAnsi="Arial"/>
          <w:sz w:val="22"/>
          <w:szCs w:val="22"/>
          <w:color w:val="auto"/>
        </w:rPr>
        <w:t>materials into any country, and when exporting our products to customers in other countries. Our practice is to not do business with sanctioned persons, entities or countries, unless such dealings have been approved by the Legal Department.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19: Do you know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40"/>
          </w:cols>
          <w:pgMar w:left="320" w:top="1149" w:right="439" w:bottom="1440" w:gutter="0" w:footer="0" w:header="0"/>
        </w:sectPr>
      </w:pPr>
    </w:p>
    <w:bookmarkStart w:id="71" w:name="page72"/>
    <w:bookmarkEnd w:id="71"/>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22"/>
          <w:szCs w:val="22"/>
          <w:color w:val="auto"/>
        </w:rPr>
        <w:t>We prohibit providing gratuities to government officials to ensure execution of official duties?</w:t>
      </w:r>
    </w:p>
    <w:p>
      <w:pPr>
        <w:spacing w:after="0" w:line="355" w:lineRule="exact"/>
        <w:rPr>
          <w:sz w:val="20"/>
          <w:szCs w:val="20"/>
          <w:color w:val="auto"/>
        </w:rPr>
      </w:pPr>
    </w:p>
    <w:p>
      <w:pPr>
        <w:spacing w:after="0" w:line="348" w:lineRule="auto"/>
        <w:rPr>
          <w:sz w:val="20"/>
          <w:szCs w:val="20"/>
          <w:color w:val="auto"/>
        </w:rPr>
      </w:pPr>
      <w:r>
        <w:rPr>
          <w:rFonts w:ascii="Arial" w:cs="Arial" w:eastAsia="Arial" w:hAnsi="Arial"/>
          <w:sz w:val="22"/>
          <w:szCs w:val="22"/>
          <w:color w:val="auto"/>
        </w:rPr>
        <w:t>We do not pay “facilitating” or “grease” payments to government officials to get them to perform an official duty. Even in countries where such payments are not against the law, we strictly prohibit them. Seek the advice of the Legal Department or the Chief Ethics Officer to find an acceptable alternative that accomplishes your goal.</w:t>
      </w:r>
    </w:p>
    <w:p>
      <w:pPr>
        <w:spacing w:after="0" w:line="236"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22"/>
          <w:szCs w:val="22"/>
          <w:color w:val="auto"/>
        </w:rPr>
        <w:t>We do not share a customer’s confidential commercial information with other customers?</w:t>
      </w:r>
    </w:p>
    <w:p>
      <w:pPr>
        <w:spacing w:after="0" w:line="355" w:lineRule="exact"/>
        <w:rPr>
          <w:sz w:val="20"/>
          <w:szCs w:val="20"/>
          <w:color w:val="auto"/>
        </w:rPr>
      </w:pPr>
    </w:p>
    <w:p>
      <w:pPr>
        <w:ind w:right="40"/>
        <w:spacing w:after="0" w:line="347" w:lineRule="auto"/>
        <w:rPr>
          <w:sz w:val="20"/>
          <w:szCs w:val="20"/>
          <w:color w:val="auto"/>
        </w:rPr>
      </w:pPr>
      <w:r>
        <w:rPr>
          <w:rFonts w:ascii="Arial" w:cs="Arial" w:eastAsia="Arial" w:hAnsi="Arial"/>
          <w:sz w:val="22"/>
          <w:szCs w:val="22"/>
          <w:color w:val="auto"/>
        </w:rPr>
        <w:t>We do not discuss the confidential terms or pricing plans of a customer with any of its competitors. If a customer persists in seeking such information about its competitors, contact your manager and the Legal Department to help you resolve the issue. For further information, see the Antitrust and Competition Compliance Manual located on The Garden.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Pages 20-21_: WE STAND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OUR SHAREHOLDERS</w:t>
      </w:r>
    </w:p>
    <w:p>
      <w:pPr>
        <w:spacing w:after="0" w:line="381" w:lineRule="exact"/>
        <w:rPr>
          <w:sz w:val="20"/>
          <w:szCs w:val="20"/>
          <w:color w:val="auto"/>
        </w:rPr>
      </w:pPr>
    </w:p>
    <w:p>
      <w:pPr>
        <w:ind w:right="20"/>
        <w:spacing w:after="0" w:line="348" w:lineRule="auto"/>
        <w:rPr>
          <w:sz w:val="20"/>
          <w:szCs w:val="20"/>
          <w:color w:val="auto"/>
        </w:rPr>
      </w:pPr>
      <w:r>
        <w:rPr>
          <w:rFonts w:ascii="Arial" w:cs="Arial" w:eastAsia="Arial" w:hAnsi="Arial"/>
          <w:sz w:val="22"/>
          <w:szCs w:val="22"/>
          <w:color w:val="auto"/>
        </w:rPr>
        <w:t>We act honestly and transparently with our shareholders. We spend and invest their money wisely, as if it were our own. We follow the letter and the spirit of the law in reporting our financial performance. In so doing, we maintain the trust investors have placed in us.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Here’s how we do it:</w:t>
      </w:r>
    </w:p>
    <w:p>
      <w:pPr>
        <w:spacing w:after="0" w:line="359" w:lineRule="exact"/>
        <w:rPr>
          <w:sz w:val="20"/>
          <w:szCs w:val="20"/>
          <w:color w:val="auto"/>
        </w:rPr>
      </w:pPr>
    </w:p>
    <w:p>
      <w:pPr>
        <w:ind w:right="320"/>
        <w:spacing w:after="0" w:line="354" w:lineRule="auto"/>
        <w:rPr>
          <w:sz w:val="20"/>
          <w:szCs w:val="20"/>
          <w:color w:val="auto"/>
        </w:rPr>
      </w:pPr>
      <w:r>
        <w:rPr>
          <w:rFonts w:ascii="Arial" w:cs="Arial" w:eastAsia="Arial" w:hAnsi="Arial"/>
          <w:sz w:val="22"/>
          <w:szCs w:val="22"/>
          <w:i w:val="1"/>
          <w:iCs w:val="1"/>
          <w:color w:val="auto"/>
        </w:rPr>
        <w:t xml:space="preserve">Corporate Governance: </w:t>
      </w:r>
      <w:r>
        <w:rPr>
          <w:rFonts w:ascii="Arial" w:cs="Arial" w:eastAsia="Arial" w:hAnsi="Arial"/>
          <w:sz w:val="22"/>
          <w:szCs w:val="22"/>
          <w:color w:val="auto"/>
        </w:rPr>
        <w:t>We have an effective governance and compliance infrastructure that helps achieve our</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objectives and create value for our shareholders. This includes the ethical behavior of our management team and our open and responsive approach to concerns raised by others. Our Board of Directors periodically reviews our key governance documents and policies. In addition, we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00"/>
          </w:cols>
          <w:pgMar w:left="320" w:top="1173" w:right="479" w:bottom="1440" w:gutter="0" w:footer="0" w:header="0"/>
        </w:sectPr>
      </w:pPr>
    </w:p>
    <w:bookmarkStart w:id="72" w:name="page73"/>
    <w:bookmarkEnd w:id="72"/>
    <w:p>
      <w:pPr>
        <w:ind w:right="60"/>
        <w:spacing w:after="0" w:line="347" w:lineRule="auto"/>
        <w:rPr>
          <w:sz w:val="20"/>
          <w:szCs w:val="20"/>
          <w:color w:val="auto"/>
        </w:rPr>
      </w:pPr>
      <w:r>
        <w:rPr>
          <w:rFonts w:ascii="Arial" w:cs="Arial" w:eastAsia="Arial" w:hAnsi="Arial"/>
          <w:sz w:val="22"/>
          <w:szCs w:val="22"/>
          <w:color w:val="auto"/>
        </w:rPr>
        <w:t>update our Board regarding fiduciary duties and other governance matters as appropriate and invite our Board to attend numerous training opportunities each year. Our Board’s Compensation Committee follows a philosophy that awards incentives to corporate officers to achieve our operational and strategic goals, which aligns our interests with those of our shareholders.</w:t>
      </w:r>
    </w:p>
    <w:p>
      <w:pPr>
        <w:spacing w:after="0" w:line="216" w:lineRule="exact"/>
        <w:rPr>
          <w:sz w:val="20"/>
          <w:szCs w:val="20"/>
          <w:color w:val="auto"/>
        </w:rPr>
      </w:pPr>
    </w:p>
    <w:p>
      <w:pPr>
        <w:jc w:val="both"/>
        <w:ind w:right="80"/>
        <w:spacing w:after="0" w:line="359" w:lineRule="auto"/>
        <w:rPr>
          <w:sz w:val="20"/>
          <w:szCs w:val="20"/>
          <w:color w:val="auto"/>
        </w:rPr>
      </w:pPr>
      <w:r>
        <w:rPr>
          <w:rFonts w:ascii="Arial" w:cs="Arial" w:eastAsia="Arial" w:hAnsi="Arial"/>
          <w:sz w:val="22"/>
          <w:szCs w:val="22"/>
          <w:i w:val="1"/>
          <w:iCs w:val="1"/>
          <w:color w:val="auto"/>
        </w:rPr>
        <w:t xml:space="preserve">Insider Trading: </w:t>
      </w:r>
      <w:r>
        <w:rPr>
          <w:rFonts w:ascii="Arial" w:cs="Arial" w:eastAsia="Arial" w:hAnsi="Arial"/>
          <w:sz w:val="22"/>
          <w:szCs w:val="22"/>
          <w:color w:val="auto"/>
        </w:rPr>
        <w:t>We treat "inside information" appropriately and lawfully. Anyone who has material inside information</w:t>
      </w:r>
      <w:r>
        <w:rPr>
          <w:rFonts w:ascii="Arial" w:cs="Arial" w:eastAsia="Arial" w:hAnsi="Arial"/>
          <w:sz w:val="22"/>
          <w:szCs w:val="22"/>
          <w:i w:val="1"/>
          <w:iCs w:val="1"/>
          <w:color w:val="auto"/>
        </w:rPr>
        <w:t xml:space="preserve"> </w:t>
      </w:r>
      <w:r>
        <w:rPr>
          <w:rFonts w:ascii="Arial" w:cs="Arial" w:eastAsia="Arial" w:hAnsi="Arial"/>
          <w:sz w:val="22"/>
          <w:szCs w:val="22"/>
          <w:color w:val="auto"/>
        </w:rPr>
        <w:t>about ScottsMiracle-Gro or a ScottsMiracle-Gro customer, supplier or competitor must not use it for personal gain or provide it to others.</w:t>
      </w:r>
    </w:p>
    <w:p>
      <w:pPr>
        <w:spacing w:after="0" w:line="201" w:lineRule="exact"/>
        <w:rPr>
          <w:sz w:val="20"/>
          <w:szCs w:val="20"/>
          <w:color w:val="auto"/>
        </w:rPr>
      </w:pPr>
    </w:p>
    <w:p>
      <w:pPr>
        <w:ind w:right="300"/>
        <w:spacing w:after="0" w:line="354" w:lineRule="auto"/>
        <w:rPr>
          <w:sz w:val="20"/>
          <w:szCs w:val="20"/>
          <w:color w:val="auto"/>
        </w:rPr>
      </w:pPr>
      <w:r>
        <w:rPr>
          <w:rFonts w:ascii="Arial" w:cs="Arial" w:eastAsia="Arial" w:hAnsi="Arial"/>
          <w:sz w:val="22"/>
          <w:szCs w:val="22"/>
          <w:i w:val="1"/>
          <w:iCs w:val="1"/>
          <w:color w:val="auto"/>
        </w:rPr>
        <w:t xml:space="preserve">Confidentiality of Company Information: </w:t>
      </w:r>
      <w:r>
        <w:rPr>
          <w:rFonts w:ascii="Arial" w:cs="Arial" w:eastAsia="Arial" w:hAnsi="Arial"/>
          <w:sz w:val="22"/>
          <w:szCs w:val="22"/>
          <w:color w:val="auto"/>
        </w:rPr>
        <w:t>We consider every piece of information we own as an asset, and we are</w:t>
      </w:r>
      <w:r>
        <w:rPr>
          <w:rFonts w:ascii="Arial" w:cs="Arial" w:eastAsia="Arial" w:hAnsi="Arial"/>
          <w:sz w:val="22"/>
          <w:szCs w:val="22"/>
          <w:i w:val="1"/>
          <w:iCs w:val="1"/>
          <w:color w:val="auto"/>
        </w:rPr>
        <w:t xml:space="preserve"> </w:t>
      </w:r>
      <w:r>
        <w:rPr>
          <w:rFonts w:ascii="Arial" w:cs="Arial" w:eastAsia="Arial" w:hAnsi="Arial"/>
          <w:sz w:val="22"/>
          <w:szCs w:val="22"/>
          <w:color w:val="auto"/>
        </w:rPr>
        <w:t>careful to safeguard our confidential information. We do not reveal confidential or non-public information about the Company, our customers, suppliers, vendors or anyone else. We respond to legitimate inquiries from our stakeholders without releasing confidential information or violating securities laws.</w:t>
      </w:r>
    </w:p>
    <w:p>
      <w:pPr>
        <w:spacing w:after="0" w:line="209" w:lineRule="exact"/>
        <w:rPr>
          <w:sz w:val="20"/>
          <w:szCs w:val="20"/>
          <w:color w:val="auto"/>
        </w:rPr>
      </w:pPr>
    </w:p>
    <w:p>
      <w:pPr>
        <w:ind w:right="40"/>
        <w:spacing w:after="0" w:line="354" w:lineRule="auto"/>
        <w:rPr>
          <w:sz w:val="20"/>
          <w:szCs w:val="20"/>
          <w:color w:val="auto"/>
        </w:rPr>
      </w:pPr>
      <w:r>
        <w:rPr>
          <w:rFonts w:ascii="Arial" w:cs="Arial" w:eastAsia="Arial" w:hAnsi="Arial"/>
          <w:sz w:val="22"/>
          <w:szCs w:val="22"/>
          <w:i w:val="1"/>
          <w:iCs w:val="1"/>
          <w:color w:val="auto"/>
        </w:rPr>
        <w:t xml:space="preserve">External Communications/Social Media: </w:t>
      </w:r>
      <w:r>
        <w:rPr>
          <w:rFonts w:ascii="Arial" w:cs="Arial" w:eastAsia="Arial" w:hAnsi="Arial"/>
          <w:sz w:val="22"/>
          <w:szCs w:val="22"/>
          <w:color w:val="auto"/>
        </w:rPr>
        <w:t>Generally, our Corporate Communications and Investor Relations</w:t>
      </w:r>
      <w:r>
        <w:rPr>
          <w:rFonts w:ascii="Arial" w:cs="Arial" w:eastAsia="Arial" w:hAnsi="Arial"/>
          <w:sz w:val="22"/>
          <w:szCs w:val="22"/>
          <w:i w:val="1"/>
          <w:iCs w:val="1"/>
          <w:color w:val="auto"/>
        </w:rPr>
        <w:t xml:space="preserve"> </w:t>
      </w:r>
      <w:r>
        <w:rPr>
          <w:rFonts w:ascii="Arial" w:cs="Arial" w:eastAsia="Arial" w:hAnsi="Arial"/>
          <w:sz w:val="22"/>
          <w:szCs w:val="22"/>
          <w:color w:val="auto"/>
        </w:rPr>
        <w:t>Departments manage external communications about ScottsMiracle-Gro. When using social media services to communicate about our products and services, we are truthful, respectful of others, and transparent in disclosing our relationship with ScottsMiracle-Gro.</w:t>
      </w:r>
    </w:p>
    <w:p>
      <w:pPr>
        <w:spacing w:after="0" w:line="209" w:lineRule="exact"/>
        <w:rPr>
          <w:sz w:val="20"/>
          <w:szCs w:val="20"/>
          <w:color w:val="auto"/>
        </w:rPr>
      </w:pPr>
    </w:p>
    <w:p>
      <w:pPr>
        <w:jc w:val="both"/>
        <w:spacing w:after="0" w:line="354" w:lineRule="auto"/>
        <w:rPr>
          <w:sz w:val="20"/>
          <w:szCs w:val="20"/>
          <w:color w:val="auto"/>
        </w:rPr>
      </w:pPr>
      <w:r>
        <w:rPr>
          <w:rFonts w:ascii="Arial" w:cs="Arial" w:eastAsia="Arial" w:hAnsi="Arial"/>
          <w:sz w:val="22"/>
          <w:szCs w:val="22"/>
          <w:i w:val="1"/>
          <w:iCs w:val="1"/>
          <w:color w:val="auto"/>
        </w:rPr>
        <w:t xml:space="preserve">Conflicts of Interest: </w:t>
      </w:r>
      <w:r>
        <w:rPr>
          <w:rFonts w:ascii="Arial" w:cs="Arial" w:eastAsia="Arial" w:hAnsi="Arial"/>
          <w:sz w:val="22"/>
          <w:szCs w:val="22"/>
          <w:color w:val="auto"/>
        </w:rPr>
        <w:t>We do not take advantage of an opportunity that belongs to the Company for our own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gain. We appreciate that opportunities that we discover through our work here or as a result of Company property or information belong to ScottsMiracle-Gro. We do not engage in activities that create, or even appear to create, conflict between our personal interests and the interests of ScottsMiracle-Gro.</w:t>
      </w:r>
    </w:p>
    <w:p>
      <w:pPr>
        <w:spacing w:after="0" w:line="209" w:lineRule="exact"/>
        <w:rPr>
          <w:sz w:val="20"/>
          <w:szCs w:val="20"/>
          <w:color w:val="auto"/>
        </w:rPr>
      </w:pPr>
    </w:p>
    <w:p>
      <w:pPr>
        <w:ind w:right="20"/>
        <w:spacing w:after="0" w:line="354" w:lineRule="auto"/>
        <w:rPr>
          <w:sz w:val="20"/>
          <w:szCs w:val="20"/>
          <w:color w:val="auto"/>
        </w:rPr>
      </w:pPr>
      <w:r>
        <w:rPr>
          <w:rFonts w:ascii="Arial" w:cs="Arial" w:eastAsia="Arial" w:hAnsi="Arial"/>
          <w:sz w:val="22"/>
          <w:szCs w:val="22"/>
          <w:i w:val="1"/>
          <w:iCs w:val="1"/>
          <w:color w:val="auto"/>
        </w:rPr>
        <w:t xml:space="preserve">Accuracy in Business Records and Financial Reporting: </w:t>
      </w:r>
      <w:r>
        <w:rPr>
          <w:rFonts w:ascii="Arial" w:cs="Arial" w:eastAsia="Arial" w:hAnsi="Arial"/>
          <w:sz w:val="22"/>
          <w:szCs w:val="22"/>
          <w:color w:val="auto"/>
        </w:rPr>
        <w:t>We are committed to integrity and honesty in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reporting to protect our financial strength and reputation. This includes not only financial accounts, but other records such as quality reports, time records, expense reports, benefits claim forms and employment applications. We do not enable another person’s efforts to evade taxes or local currency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60"/>
          </w:cols>
          <w:pgMar w:left="320" w:top="1173" w:right="419" w:bottom="1440" w:gutter="0" w:footer="0" w:header="0"/>
        </w:sectPr>
      </w:pPr>
    </w:p>
    <w:bookmarkStart w:id="73" w:name="page74"/>
    <w:bookmarkEnd w:id="73"/>
    <w:p>
      <w:pPr>
        <w:ind w:right="200"/>
        <w:spacing w:after="0" w:line="372" w:lineRule="auto"/>
        <w:rPr>
          <w:sz w:val="20"/>
          <w:szCs w:val="20"/>
          <w:color w:val="auto"/>
        </w:rPr>
      </w:pPr>
      <w:r>
        <w:rPr>
          <w:rFonts w:ascii="Arial" w:cs="Arial" w:eastAsia="Arial" w:hAnsi="Arial"/>
          <w:sz w:val="22"/>
          <w:szCs w:val="22"/>
          <w:i w:val="1"/>
          <w:iCs w:val="1"/>
          <w:color w:val="auto"/>
        </w:rPr>
        <w:t xml:space="preserve">Protection of Assets/Use of Business Systems: </w:t>
      </w:r>
      <w:r>
        <w:rPr>
          <w:rFonts w:ascii="Arial" w:cs="Arial" w:eastAsia="Arial" w:hAnsi="Arial"/>
          <w:sz w:val="22"/>
          <w:szCs w:val="22"/>
          <w:color w:val="auto"/>
        </w:rPr>
        <w:t>We use company computers, office equipment and communications</w:t>
      </w:r>
      <w:r>
        <w:rPr>
          <w:rFonts w:ascii="Arial" w:cs="Arial" w:eastAsia="Arial" w:hAnsi="Arial"/>
          <w:sz w:val="22"/>
          <w:szCs w:val="22"/>
          <w:i w:val="1"/>
          <w:iCs w:val="1"/>
          <w:color w:val="auto"/>
        </w:rPr>
        <w:t xml:space="preserve"> </w:t>
      </w:r>
      <w:r>
        <w:rPr>
          <w:rFonts w:ascii="Arial" w:cs="Arial" w:eastAsia="Arial" w:hAnsi="Arial"/>
          <w:sz w:val="22"/>
          <w:szCs w:val="22"/>
          <w:color w:val="auto"/>
        </w:rPr>
        <w:t>devices responsibly and professionally.</w:t>
      </w:r>
    </w:p>
    <w:p>
      <w:pPr>
        <w:spacing w:after="0" w:line="188" w:lineRule="exact"/>
        <w:rPr>
          <w:sz w:val="20"/>
          <w:szCs w:val="20"/>
          <w:color w:val="auto"/>
        </w:rPr>
      </w:pPr>
    </w:p>
    <w:p>
      <w:pPr>
        <w:spacing w:after="0" w:line="359" w:lineRule="auto"/>
        <w:rPr>
          <w:sz w:val="20"/>
          <w:szCs w:val="20"/>
          <w:color w:val="auto"/>
        </w:rPr>
      </w:pPr>
      <w:r>
        <w:rPr>
          <w:rFonts w:ascii="Arial" w:cs="Arial" w:eastAsia="Arial" w:hAnsi="Arial"/>
          <w:sz w:val="22"/>
          <w:szCs w:val="22"/>
          <w:i w:val="1"/>
          <w:iCs w:val="1"/>
          <w:color w:val="auto"/>
        </w:rPr>
        <w:t xml:space="preserve">Use of Company Credit Cards and P-Cards: </w:t>
      </w:r>
      <w:r>
        <w:rPr>
          <w:rFonts w:ascii="Arial" w:cs="Arial" w:eastAsia="Arial" w:hAnsi="Arial"/>
          <w:sz w:val="22"/>
          <w:szCs w:val="22"/>
          <w:color w:val="auto"/>
        </w:rPr>
        <w:t>Corporate credit cards, including P-Cards, are to be used for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only. Misuse of a Company credit card or P-Card is prohibited. See, e.g., the Corporate Travel and Business Expense Reimbursement Policy located on The Garden for more information.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Do You Know . . .</w:t>
      </w:r>
    </w:p>
    <w:p>
      <w:pPr>
        <w:spacing w:after="0" w:line="200" w:lineRule="exact"/>
        <w:rPr>
          <w:sz w:val="20"/>
          <w:szCs w:val="20"/>
          <w:color w:val="auto"/>
        </w:rPr>
      </w:pPr>
    </w:p>
    <w:p>
      <w:pPr>
        <w:spacing w:after="0" w:line="266" w:lineRule="exact"/>
        <w:rPr>
          <w:sz w:val="20"/>
          <w:szCs w:val="20"/>
          <w:color w:val="auto"/>
        </w:rPr>
      </w:pPr>
    </w:p>
    <w:p>
      <w:pPr>
        <w:ind w:right="6580" w:firstLine="8"/>
        <w:spacing w:after="0" w:line="576" w:lineRule="auto"/>
        <w:tabs>
          <w:tab w:leader="none" w:pos="252" w:val="left"/>
        </w:tabs>
        <w:numPr>
          <w:ilvl w:val="0"/>
          <w:numId w:val="51"/>
        </w:numPr>
        <w:rPr>
          <w:rFonts w:ascii="Arial" w:cs="Arial" w:eastAsia="Arial" w:hAnsi="Arial"/>
          <w:sz w:val="18"/>
          <w:szCs w:val="18"/>
          <w:color w:val="auto"/>
        </w:rPr>
      </w:pPr>
      <w:r>
        <w:rPr>
          <w:rFonts w:ascii="Arial" w:cs="Arial" w:eastAsia="Arial" w:hAnsi="Arial"/>
          <w:sz w:val="22"/>
          <w:szCs w:val="22"/>
          <w:color w:val="auto"/>
        </w:rPr>
        <w:t>What inaccurate financial reporting looks like? Inaccurate financial reporting could be:</w:t>
      </w:r>
    </w:p>
    <w:p>
      <w:pPr>
        <w:ind w:left="780" w:hanging="318"/>
        <w:spacing w:after="0"/>
        <w:tabs>
          <w:tab w:leader="none" w:pos="780" w:val="left"/>
        </w:tabs>
        <w:numPr>
          <w:ilvl w:val="1"/>
          <w:numId w:val="51"/>
        </w:numPr>
        <w:rPr>
          <w:rFonts w:ascii="Arial" w:cs="Arial" w:eastAsia="Arial" w:hAnsi="Arial"/>
          <w:sz w:val="18"/>
          <w:szCs w:val="18"/>
          <w:color w:val="auto"/>
        </w:rPr>
      </w:pPr>
      <w:r>
        <w:rPr>
          <w:rFonts w:ascii="Arial" w:cs="Arial" w:eastAsia="Arial" w:hAnsi="Arial"/>
          <w:sz w:val="22"/>
          <w:szCs w:val="22"/>
          <w:color w:val="auto"/>
        </w:rPr>
        <w:t>Manipulating the timing of revenue recognition.</w:t>
      </w:r>
    </w:p>
    <w:p>
      <w:pPr>
        <w:spacing w:after="0" w:line="111" w:lineRule="exact"/>
        <w:rPr>
          <w:rFonts w:ascii="Arial" w:cs="Arial" w:eastAsia="Arial" w:hAnsi="Arial"/>
          <w:sz w:val="18"/>
          <w:szCs w:val="18"/>
          <w:color w:val="auto"/>
        </w:rPr>
      </w:pPr>
    </w:p>
    <w:p>
      <w:pPr>
        <w:ind w:left="780" w:right="200" w:hanging="318"/>
        <w:spacing w:after="0" w:line="345" w:lineRule="auto"/>
        <w:tabs>
          <w:tab w:leader="none" w:pos="776" w:val="left"/>
        </w:tabs>
        <w:numPr>
          <w:ilvl w:val="1"/>
          <w:numId w:val="51"/>
        </w:numPr>
        <w:rPr>
          <w:rFonts w:ascii="Arial" w:cs="Arial" w:eastAsia="Arial" w:hAnsi="Arial"/>
          <w:sz w:val="18"/>
          <w:szCs w:val="18"/>
          <w:color w:val="auto"/>
        </w:rPr>
      </w:pPr>
      <w:r>
        <w:rPr>
          <w:rFonts w:ascii="Arial" w:cs="Arial" w:eastAsia="Arial" w:hAnsi="Arial"/>
          <w:sz w:val="22"/>
          <w:szCs w:val="22"/>
          <w:color w:val="auto"/>
        </w:rPr>
        <w:t>Recording large, unjustified charges in a loss period and building reserves used to “smooth” future earnings for other periods.</w:t>
      </w:r>
    </w:p>
    <w:p>
      <w:pPr>
        <w:spacing w:after="0" w:line="1" w:lineRule="exact"/>
        <w:rPr>
          <w:rFonts w:ascii="Arial" w:cs="Arial" w:eastAsia="Arial" w:hAnsi="Arial"/>
          <w:sz w:val="18"/>
          <w:szCs w:val="18"/>
          <w:color w:val="auto"/>
        </w:rPr>
      </w:pPr>
    </w:p>
    <w:p>
      <w:pPr>
        <w:ind w:left="780" w:right="520" w:hanging="318"/>
        <w:spacing w:after="0" w:line="380" w:lineRule="auto"/>
        <w:tabs>
          <w:tab w:leader="none" w:pos="776" w:val="left"/>
        </w:tabs>
        <w:numPr>
          <w:ilvl w:val="1"/>
          <w:numId w:val="51"/>
        </w:numPr>
        <w:rPr>
          <w:rFonts w:ascii="Arial" w:cs="Arial" w:eastAsia="Arial" w:hAnsi="Arial"/>
          <w:sz w:val="17"/>
          <w:szCs w:val="17"/>
          <w:color w:val="auto"/>
        </w:rPr>
      </w:pPr>
      <w:r>
        <w:rPr>
          <w:rFonts w:ascii="Arial" w:cs="Arial" w:eastAsia="Arial" w:hAnsi="Arial"/>
          <w:sz w:val="21"/>
          <w:szCs w:val="21"/>
          <w:color w:val="auto"/>
        </w:rPr>
        <w:t>Lowering of return reserves solely to increase net sales, margins and income and to achieve a particular target, rather than to reflect objective, historical data suggesting that the reserve was too high.</w:t>
      </w:r>
    </w:p>
    <w:p>
      <w:pPr>
        <w:spacing w:after="0" w:line="207" w:lineRule="exact"/>
        <w:rPr>
          <w:rFonts w:ascii="Arial" w:cs="Arial" w:eastAsia="Arial" w:hAnsi="Arial"/>
          <w:sz w:val="17"/>
          <w:szCs w:val="17"/>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22"/>
          <w:szCs w:val="22"/>
          <w:color w:val="auto"/>
        </w:rPr>
        <w:t>When you should consider information about the Company to be confidential?</w:t>
      </w:r>
    </w:p>
    <w:p>
      <w:pPr>
        <w:spacing w:after="0" w:line="355" w:lineRule="exact"/>
        <w:rPr>
          <w:sz w:val="20"/>
          <w:szCs w:val="20"/>
          <w:color w:val="auto"/>
        </w:rPr>
      </w:pPr>
    </w:p>
    <w:p>
      <w:pPr>
        <w:ind w:right="100"/>
        <w:spacing w:after="0" w:line="347" w:lineRule="auto"/>
        <w:rPr>
          <w:sz w:val="20"/>
          <w:szCs w:val="20"/>
          <w:color w:val="auto"/>
        </w:rPr>
      </w:pPr>
      <w:r>
        <w:rPr>
          <w:rFonts w:ascii="Arial" w:cs="Arial" w:eastAsia="Arial" w:hAnsi="Arial"/>
          <w:sz w:val="22"/>
          <w:szCs w:val="22"/>
          <w:color w:val="auto"/>
        </w:rPr>
        <w:t>As part of your work, you will probably come to know confidential information about the Company. For example, confidential information can be sales figures, financial data, wage and salary information of your fellow associates, projected earnings or areas in which we intend to expand our Company. Before discussing any such information with anyone outside of ScottsMiracle-Gro, ask yourself whether the information is already available to the public through our website, the media or our marketing campaigns. If not, do not discuss it.</w:t>
      </w:r>
    </w:p>
    <w:p>
      <w:pPr>
        <w:spacing w:after="0" w:line="237" w:lineRule="exact"/>
        <w:rPr>
          <w:sz w:val="20"/>
          <w:szCs w:val="20"/>
          <w:color w:val="auto"/>
        </w:rPr>
      </w:pPr>
    </w:p>
    <w:p>
      <w:pPr>
        <w:ind w:right="840"/>
        <w:spacing w:after="0" w:line="351" w:lineRule="auto"/>
        <w:rPr>
          <w:sz w:val="20"/>
          <w:szCs w:val="20"/>
          <w:color w:val="auto"/>
        </w:rPr>
      </w:pPr>
      <w:r>
        <w:rPr>
          <w:rFonts w:ascii="Arial" w:cs="Arial" w:eastAsia="Arial" w:hAnsi="Arial"/>
          <w:sz w:val="22"/>
          <w:szCs w:val="22"/>
          <w:color w:val="auto"/>
        </w:rPr>
        <w:t>Likewise, you should recognize that you might be asked to work on projects for ScottsMiracle-Gro that are so sensitive that they should not be discussed with 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151" w:right="339" w:bottom="1440" w:gutter="0" w:footer="0" w:header="0"/>
        </w:sectPr>
      </w:pPr>
    </w:p>
    <w:bookmarkStart w:id="74" w:name="page75"/>
    <w:bookmarkEnd w:id="74"/>
    <w:p>
      <w:pPr>
        <w:ind w:right="420"/>
        <w:spacing w:after="0" w:line="351" w:lineRule="auto"/>
        <w:rPr>
          <w:sz w:val="20"/>
          <w:szCs w:val="20"/>
          <w:color w:val="auto"/>
        </w:rPr>
      </w:pPr>
      <w:r>
        <w:rPr>
          <w:rFonts w:ascii="Arial" w:cs="Arial" w:eastAsia="Arial" w:hAnsi="Arial"/>
          <w:sz w:val="22"/>
          <w:szCs w:val="22"/>
          <w:color w:val="auto"/>
        </w:rPr>
        <w:t>associate who does not have a need to know. You should always strive to avoid discussing such projects in open areas, hallways or anywhere else you might be overheard.</w:t>
      </w:r>
    </w:p>
    <w:p>
      <w:pPr>
        <w:spacing w:after="0" w:line="232" w:lineRule="exact"/>
        <w:rPr>
          <w:sz w:val="20"/>
          <w:szCs w:val="20"/>
          <w:color w:val="auto"/>
        </w:rPr>
      </w:pPr>
    </w:p>
    <w:p>
      <w:pPr>
        <w:ind w:left="260" w:right="680" w:hanging="252"/>
        <w:spacing w:after="0" w:line="351" w:lineRule="auto"/>
        <w:tabs>
          <w:tab w:leader="none" w:pos="253" w:val="left"/>
        </w:tabs>
        <w:numPr>
          <w:ilvl w:val="0"/>
          <w:numId w:val="52"/>
        </w:numPr>
        <w:rPr>
          <w:rFonts w:ascii="Arial" w:cs="Arial" w:eastAsia="Arial" w:hAnsi="Arial"/>
          <w:sz w:val="18"/>
          <w:szCs w:val="18"/>
          <w:color w:val="auto"/>
        </w:rPr>
      </w:pPr>
      <w:r>
        <w:rPr>
          <w:rFonts w:ascii="Arial" w:cs="Arial" w:eastAsia="Arial" w:hAnsi="Arial"/>
          <w:sz w:val="22"/>
          <w:szCs w:val="22"/>
          <w:color w:val="auto"/>
        </w:rPr>
        <w:t>You could commit insider trading by “tipping” a friend or family member to confidential information about our Company?</w:t>
      </w:r>
    </w:p>
    <w:p>
      <w:pPr>
        <w:spacing w:after="0" w:line="232" w:lineRule="exact"/>
        <w:rPr>
          <w:sz w:val="20"/>
          <w:szCs w:val="20"/>
          <w:color w:val="auto"/>
        </w:rPr>
      </w:pPr>
    </w:p>
    <w:p>
      <w:pPr>
        <w:ind w:right="380"/>
        <w:spacing w:after="0" w:line="380" w:lineRule="auto"/>
        <w:rPr>
          <w:sz w:val="20"/>
          <w:szCs w:val="20"/>
          <w:color w:val="auto"/>
        </w:rPr>
      </w:pPr>
      <w:r>
        <w:rPr>
          <w:rFonts w:ascii="Arial" w:cs="Arial" w:eastAsia="Arial" w:hAnsi="Arial"/>
          <w:sz w:val="21"/>
          <w:szCs w:val="21"/>
          <w:color w:val="auto"/>
        </w:rPr>
        <w:t>Sharing confidential Company information with someone who then buys or sells our stock before the information becomes public is unfair, dishonest and a violation of our Insider Trading policy. It could also be a violation of law.</w:t>
      </w:r>
    </w:p>
    <w:p>
      <w:pPr>
        <w:spacing w:after="0" w:line="20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What a conflict of interest looks like and how to escalate it?</w:t>
      </w:r>
    </w:p>
    <w:p>
      <w:pPr>
        <w:spacing w:after="0" w:line="355" w:lineRule="exact"/>
        <w:rPr>
          <w:sz w:val="20"/>
          <w:szCs w:val="20"/>
          <w:color w:val="auto"/>
        </w:rPr>
      </w:pPr>
    </w:p>
    <w:p>
      <w:pPr>
        <w:spacing w:after="0" w:line="347" w:lineRule="auto"/>
        <w:rPr>
          <w:sz w:val="20"/>
          <w:szCs w:val="20"/>
          <w:color w:val="auto"/>
        </w:rPr>
      </w:pPr>
      <w:r>
        <w:rPr>
          <w:rFonts w:ascii="Arial" w:cs="Arial" w:eastAsia="Arial" w:hAnsi="Arial"/>
          <w:sz w:val="22"/>
          <w:szCs w:val="22"/>
          <w:color w:val="auto"/>
        </w:rPr>
        <w:t>A potential conflict of interest can be any situation in which your personal best interests do not align with the Company’s best interests. For example, it would create at least the appearance of a conflict of interest for you or a member of your family to participate in a business arrangement or investment involving ScottsMiracle-Gro or that you learned of from a competitor, customer, client or supplier of ScottsMiracle-Gro or your position in the Company. You should disclose potential conflicts of interest immediately to your manager or supervisor and the Ethics Department, and take no further action until the situation is resolved.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22: WE STAND</w:t>
      </w:r>
    </w:p>
    <w:p>
      <w:pPr>
        <w:spacing w:after="0" w:line="143" w:lineRule="exact"/>
        <w:rPr>
          <w:sz w:val="20"/>
          <w:szCs w:val="20"/>
          <w:color w:val="auto"/>
        </w:rPr>
      </w:pPr>
    </w:p>
    <w:p>
      <w:pPr>
        <w:ind w:right="5220" w:firstLine="6"/>
        <w:spacing w:after="0" w:line="376" w:lineRule="auto"/>
        <w:rPr>
          <w:sz w:val="20"/>
          <w:szCs w:val="20"/>
          <w:color w:val="auto"/>
        </w:rPr>
      </w:pPr>
      <w:r>
        <w:rPr>
          <w:rFonts w:ascii="Arial" w:cs="Arial" w:eastAsia="Arial" w:hAnsi="Arial"/>
          <w:sz w:val="22"/>
          <w:szCs w:val="22"/>
          <w:b w:val="1"/>
          <w:bCs w:val="1"/>
          <w:color w:val="auto"/>
        </w:rPr>
        <w:t>FOR DOING THE RIGHT THINGS IN THE COUNTRIES AND COMMUNITIES WHERE WE LIVE</w:t>
      </w:r>
    </w:p>
    <w:p>
      <w:pPr>
        <w:spacing w:after="0" w:line="205" w:lineRule="exact"/>
        <w:rPr>
          <w:sz w:val="20"/>
          <w:szCs w:val="20"/>
          <w:color w:val="auto"/>
        </w:rPr>
      </w:pPr>
    </w:p>
    <w:p>
      <w:pPr>
        <w:ind w:left="20" w:right="20"/>
        <w:spacing w:after="0" w:line="347" w:lineRule="auto"/>
        <w:rPr>
          <w:sz w:val="20"/>
          <w:szCs w:val="20"/>
          <w:color w:val="auto"/>
        </w:rPr>
      </w:pPr>
      <w:r>
        <w:rPr>
          <w:rFonts w:ascii="Arial" w:cs="Arial" w:eastAsia="Arial" w:hAnsi="Arial"/>
          <w:sz w:val="22"/>
          <w:szCs w:val="22"/>
          <w:color w:val="auto"/>
        </w:rPr>
        <w:t>We believe we can make a positive and lasting impact on our environment and the countries and communities where we live and work by doing what’s right. Our commitment to doing the right thing shapes how we care for the planet and all that we touch, both inside and outside our company. We develop products in balance with the environment, give back to our communities and nurture a dynamic workforce for our associates. Our culture values honest, integrity, transparency and ethical behavior.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80"/>
          </w:cols>
          <w:pgMar w:left="320" w:top="1173" w:right="399" w:bottom="1440" w:gutter="0" w:footer="0" w:header="0"/>
        </w:sectPr>
      </w:pPr>
    </w:p>
    <w:bookmarkStart w:id="75" w:name="page76"/>
    <w:bookmarkEnd w:id="75"/>
    <w:p>
      <w:pPr>
        <w:ind w:left="20" w:right="500"/>
        <w:spacing w:after="0" w:line="351" w:lineRule="auto"/>
        <w:rPr>
          <w:sz w:val="20"/>
          <w:szCs w:val="20"/>
          <w:color w:val="auto"/>
        </w:rPr>
      </w:pPr>
      <w:r>
        <w:rPr>
          <w:rFonts w:ascii="Arial" w:cs="Arial" w:eastAsia="Arial" w:hAnsi="Arial"/>
          <w:sz w:val="22"/>
          <w:szCs w:val="22"/>
          <w:color w:val="auto"/>
        </w:rPr>
        <w:t>That’s why ScottsMiracle-Gro and our more than 6,000 associates believe we truly are "Dedicated to a Beautiful World."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Here’s how we do it:</w:t>
      </w:r>
    </w:p>
    <w:p>
      <w:pPr>
        <w:spacing w:after="0" w:line="359" w:lineRule="exact"/>
        <w:rPr>
          <w:sz w:val="20"/>
          <w:szCs w:val="20"/>
          <w:color w:val="auto"/>
        </w:rPr>
      </w:pPr>
    </w:p>
    <w:p>
      <w:pPr>
        <w:ind w:right="220"/>
        <w:spacing w:after="0" w:line="354" w:lineRule="auto"/>
        <w:rPr>
          <w:sz w:val="20"/>
          <w:szCs w:val="20"/>
          <w:color w:val="auto"/>
        </w:rPr>
      </w:pPr>
      <w:r>
        <w:rPr>
          <w:rFonts w:ascii="Arial" w:cs="Arial" w:eastAsia="Arial" w:hAnsi="Arial"/>
          <w:sz w:val="22"/>
          <w:szCs w:val="22"/>
          <w:i w:val="1"/>
          <w:iCs w:val="1"/>
          <w:color w:val="auto"/>
        </w:rPr>
        <w:t xml:space="preserve">Commitment to Following All Laws and Regulations: </w:t>
      </w:r>
      <w:r>
        <w:rPr>
          <w:rFonts w:ascii="Arial" w:cs="Arial" w:eastAsia="Arial" w:hAnsi="Arial"/>
          <w:sz w:val="22"/>
          <w:szCs w:val="22"/>
          <w:color w:val="auto"/>
        </w:rPr>
        <w:t>We are in a highly regulated global business. We abide by the</w:t>
      </w:r>
      <w:r>
        <w:rPr>
          <w:rFonts w:ascii="Arial" w:cs="Arial" w:eastAsia="Arial" w:hAnsi="Arial"/>
          <w:sz w:val="22"/>
          <w:szCs w:val="22"/>
          <w:i w:val="1"/>
          <w:iCs w:val="1"/>
          <w:color w:val="auto"/>
        </w:rPr>
        <w:t xml:space="preserve"> </w:t>
      </w:r>
      <w:r>
        <w:rPr>
          <w:rFonts w:ascii="Arial" w:cs="Arial" w:eastAsia="Arial" w:hAnsi="Arial"/>
          <w:sz w:val="22"/>
          <w:szCs w:val="22"/>
          <w:color w:val="auto"/>
        </w:rPr>
        <w:t>letter and spirit of all laws, rules and regulations that apply in all countries and communities where we do business. Each of us is responsible to act in a compliant way, support our compliance efforts, and seek out additional knowledge and expertise if we have questions.</w:t>
      </w:r>
    </w:p>
    <w:p>
      <w:pPr>
        <w:spacing w:after="0" w:line="209" w:lineRule="exact"/>
        <w:rPr>
          <w:sz w:val="20"/>
          <w:szCs w:val="20"/>
          <w:color w:val="auto"/>
        </w:rPr>
      </w:pPr>
    </w:p>
    <w:p>
      <w:pPr>
        <w:ind w:right="400"/>
        <w:spacing w:after="0" w:line="375" w:lineRule="auto"/>
        <w:rPr>
          <w:sz w:val="20"/>
          <w:szCs w:val="20"/>
          <w:color w:val="auto"/>
        </w:rPr>
      </w:pPr>
      <w:r>
        <w:rPr>
          <w:rFonts w:ascii="Arial" w:cs="Arial" w:eastAsia="Arial" w:hAnsi="Arial"/>
          <w:sz w:val="21"/>
          <w:szCs w:val="21"/>
          <w:i w:val="1"/>
          <w:iCs w:val="1"/>
          <w:color w:val="auto"/>
        </w:rPr>
        <w:t xml:space="preserve">Commitment to the Environment: </w:t>
      </w:r>
      <w:r>
        <w:rPr>
          <w:rFonts w:ascii="Arial" w:cs="Arial" w:eastAsia="Arial" w:hAnsi="Arial"/>
          <w:sz w:val="21"/>
          <w:szCs w:val="21"/>
          <w:color w:val="auto"/>
        </w:rPr>
        <w:t>By the very nature of our business, we are committed to the environment. That</w:t>
      </w:r>
      <w:r>
        <w:rPr>
          <w:rFonts w:ascii="Arial" w:cs="Arial" w:eastAsia="Arial" w:hAnsi="Arial"/>
          <w:sz w:val="21"/>
          <w:szCs w:val="21"/>
          <w:i w:val="1"/>
          <w:iCs w:val="1"/>
          <w:color w:val="auto"/>
        </w:rPr>
        <w:t xml:space="preserve"> </w:t>
      </w:r>
      <w:r>
        <w:rPr>
          <w:rFonts w:ascii="Arial" w:cs="Arial" w:eastAsia="Arial" w:hAnsi="Arial"/>
          <w:sz w:val="21"/>
          <w:szCs w:val="21"/>
          <w:color w:val="auto"/>
        </w:rPr>
        <w:t>means consistently advocating the right use of our products, in the right manner and in a way that protects the environment. We are committed to sound stewardship and sustainability best practices, collaboration with environmental advocacy and governmental organizations, and outreach to consumers and stakeholders.</w:t>
      </w:r>
    </w:p>
    <w:p>
      <w:pPr>
        <w:spacing w:after="0" w:line="214" w:lineRule="exact"/>
        <w:rPr>
          <w:sz w:val="20"/>
          <w:szCs w:val="20"/>
          <w:color w:val="auto"/>
        </w:rPr>
      </w:pPr>
    </w:p>
    <w:p>
      <w:pPr>
        <w:spacing w:after="0" w:line="347" w:lineRule="auto"/>
        <w:rPr>
          <w:sz w:val="20"/>
          <w:szCs w:val="20"/>
          <w:color w:val="auto"/>
        </w:rPr>
      </w:pPr>
      <w:r>
        <w:rPr>
          <w:rFonts w:ascii="Arial" w:cs="Arial" w:eastAsia="Arial" w:hAnsi="Arial"/>
          <w:sz w:val="22"/>
          <w:szCs w:val="22"/>
          <w:color w:val="auto"/>
        </w:rPr>
        <w:t>We are proud of the progress we have made to meet the expectations of our retail partners, consumers and communities. We have embraced innovations that help consumers feel good about using our products around their homes and enable them to adhere to their own environmental values. For our associates, our Code affirms this commitment to environmental stewardship and we expect all associates to consider the environment in their decisions, whether working with colleagues at the office or our facilities, advising consumers in a retail partner’s store or even when applying our products in our own yards. Every decision makes a difference.</w:t>
      </w:r>
    </w:p>
    <w:p>
      <w:pPr>
        <w:spacing w:after="0" w:line="214" w:lineRule="exact"/>
        <w:rPr>
          <w:sz w:val="20"/>
          <w:szCs w:val="20"/>
          <w:color w:val="auto"/>
        </w:rPr>
      </w:pPr>
    </w:p>
    <w:p>
      <w:pPr>
        <w:ind w:right="180"/>
        <w:spacing w:after="0" w:line="352" w:lineRule="auto"/>
        <w:rPr>
          <w:sz w:val="20"/>
          <w:szCs w:val="20"/>
          <w:color w:val="auto"/>
        </w:rPr>
      </w:pPr>
      <w:r>
        <w:rPr>
          <w:rFonts w:ascii="Arial" w:cs="Arial" w:eastAsia="Arial" w:hAnsi="Arial"/>
          <w:sz w:val="22"/>
          <w:szCs w:val="22"/>
          <w:i w:val="1"/>
          <w:iCs w:val="1"/>
          <w:color w:val="auto"/>
        </w:rPr>
        <w:t xml:space="preserve">Commitment to Giving Back: </w:t>
      </w:r>
      <w:r>
        <w:rPr>
          <w:rFonts w:ascii="Arial" w:cs="Arial" w:eastAsia="Arial" w:hAnsi="Arial"/>
          <w:sz w:val="22"/>
          <w:szCs w:val="22"/>
          <w:color w:val="auto"/>
        </w:rPr>
        <w:t>We support our communities through our foundation commitments, associate</w:t>
      </w:r>
      <w:r>
        <w:rPr>
          <w:rFonts w:ascii="Arial" w:cs="Arial" w:eastAsia="Arial" w:hAnsi="Arial"/>
          <w:sz w:val="22"/>
          <w:szCs w:val="22"/>
          <w:i w:val="1"/>
          <w:iCs w:val="1"/>
          <w:color w:val="auto"/>
        </w:rPr>
        <w:t xml:space="preserve"> </w:t>
      </w:r>
      <w:r>
        <w:rPr>
          <w:rFonts w:ascii="Arial" w:cs="Arial" w:eastAsia="Arial" w:hAnsi="Arial"/>
          <w:sz w:val="22"/>
          <w:szCs w:val="22"/>
          <w:color w:val="auto"/>
        </w:rPr>
        <w:t>volunteerism and community engagement. These efforts center on the environment, expanding access to gardens and greenspaces and youth empowerment. You may be offered the opportunity to participate in a charitable activity or program that ScottsMiracle-Gro supports. Any such participation is strictly voluntary. No one will place undue influence on you to contribute to charitable activities 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173" w:right="399" w:bottom="1440" w:gutter="0" w:footer="0" w:header="0"/>
        </w:sectPr>
      </w:pPr>
    </w:p>
    <w:bookmarkStart w:id="76" w:name="page77"/>
    <w:bookmarkEnd w:id="76"/>
    <w:p>
      <w:pPr>
        <w:ind w:right="360"/>
        <w:spacing w:after="0" w:line="351" w:lineRule="auto"/>
        <w:rPr>
          <w:sz w:val="20"/>
          <w:szCs w:val="20"/>
          <w:color w:val="auto"/>
        </w:rPr>
      </w:pPr>
      <w:r>
        <w:rPr>
          <w:rFonts w:ascii="Arial" w:cs="Arial" w:eastAsia="Arial" w:hAnsi="Arial"/>
          <w:sz w:val="22"/>
          <w:szCs w:val="22"/>
          <w:color w:val="auto"/>
        </w:rPr>
        <w:t>organizations. You will not be retaliated against for choosing not to participate in a Company-sponsored charitable activity.</w:t>
      </w:r>
    </w:p>
    <w:p>
      <w:pPr>
        <w:spacing w:after="0" w:line="210" w:lineRule="exact"/>
        <w:rPr>
          <w:sz w:val="20"/>
          <w:szCs w:val="20"/>
          <w:color w:val="auto"/>
        </w:rPr>
      </w:pPr>
    </w:p>
    <w:p>
      <w:pPr>
        <w:ind w:right="480"/>
        <w:spacing w:after="0" w:line="359" w:lineRule="auto"/>
        <w:rPr>
          <w:sz w:val="20"/>
          <w:szCs w:val="20"/>
          <w:color w:val="auto"/>
        </w:rPr>
      </w:pPr>
      <w:r>
        <w:rPr>
          <w:rFonts w:ascii="Arial" w:cs="Arial" w:eastAsia="Arial" w:hAnsi="Arial"/>
          <w:sz w:val="22"/>
          <w:szCs w:val="22"/>
          <w:i w:val="1"/>
          <w:iCs w:val="1"/>
          <w:color w:val="auto"/>
        </w:rPr>
        <w:t xml:space="preserve">Adverse Effects Reporting: </w:t>
      </w:r>
      <w:r>
        <w:rPr>
          <w:rFonts w:ascii="Arial" w:cs="Arial" w:eastAsia="Arial" w:hAnsi="Arial"/>
          <w:sz w:val="22"/>
          <w:szCs w:val="22"/>
          <w:color w:val="auto"/>
        </w:rPr>
        <w:t>We are transparent about any unreasonable adverse effects to humans, pets, plants,</w:t>
      </w:r>
      <w:r>
        <w:rPr>
          <w:rFonts w:ascii="Arial" w:cs="Arial" w:eastAsia="Arial" w:hAnsi="Arial"/>
          <w:sz w:val="22"/>
          <w:szCs w:val="22"/>
          <w:i w:val="1"/>
          <w:iCs w:val="1"/>
          <w:color w:val="auto"/>
        </w:rPr>
        <w:t xml:space="preserve"> </w:t>
      </w:r>
      <w:r>
        <w:rPr>
          <w:rFonts w:ascii="Arial" w:cs="Arial" w:eastAsia="Arial" w:hAnsi="Arial"/>
          <w:sz w:val="22"/>
          <w:szCs w:val="22"/>
          <w:color w:val="auto"/>
        </w:rPr>
        <w:t>water or wildlife potentially resulting from the use of our pesticide products, and report such incidents to environmental protection agencies where appropriate.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 23: Do you know …</w:t>
      </w: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How to report an adverse effect?</w:t>
      </w:r>
    </w:p>
    <w:p>
      <w:pPr>
        <w:spacing w:after="0" w:line="354" w:lineRule="exact"/>
        <w:rPr>
          <w:rFonts w:ascii="Arial" w:cs="Arial" w:eastAsia="Arial" w:hAnsi="Arial"/>
          <w:sz w:val="22"/>
          <w:szCs w:val="22"/>
          <w:color w:val="auto"/>
        </w:rPr>
      </w:pPr>
    </w:p>
    <w:p>
      <w:pPr>
        <w:ind w:left="1300" w:hanging="320"/>
        <w:spacing w:after="0" w:line="347" w:lineRule="auto"/>
        <w:tabs>
          <w:tab w:leader="none" w:pos="1296" w:val="left"/>
        </w:tabs>
        <w:numPr>
          <w:ilvl w:val="1"/>
          <w:numId w:val="54"/>
        </w:numPr>
        <w:rPr>
          <w:rFonts w:ascii="Arial" w:cs="Arial" w:eastAsia="Arial" w:hAnsi="Arial"/>
          <w:sz w:val="18"/>
          <w:szCs w:val="18"/>
          <w:color w:val="auto"/>
        </w:rPr>
      </w:pPr>
      <w:r>
        <w:rPr>
          <w:rFonts w:ascii="Arial" w:cs="Arial" w:eastAsia="Arial" w:hAnsi="Arial"/>
          <w:sz w:val="22"/>
          <w:szCs w:val="22"/>
          <w:color w:val="auto"/>
        </w:rPr>
        <w:t>If you become aware of any allegation of an exposure and any allegation of an effect of a pesticide, you must immediately notify the Scotts Consumer Services Help Line or the appropriate country contact. Be prepared to describe the 4 P’s: Person – the name of the person to contact and their contact information; Place – the place where the incident happened; Product – the name of the product involved or the active pesticide ingredient in the product; and Problem – what happened?</w:t>
      </w:r>
    </w:p>
    <w:p>
      <w:pPr>
        <w:spacing w:after="0" w:line="236" w:lineRule="exact"/>
        <w:rPr>
          <w:rFonts w:ascii="Arial" w:cs="Arial" w:eastAsia="Arial" w:hAnsi="Arial"/>
          <w:sz w:val="18"/>
          <w:szCs w:val="18"/>
          <w:color w:val="auto"/>
        </w:rPr>
      </w:pPr>
    </w:p>
    <w:p>
      <w:pPr>
        <w:ind w:left="1300" w:right="240" w:hanging="320"/>
        <w:spacing w:after="0" w:line="351" w:lineRule="auto"/>
        <w:tabs>
          <w:tab w:leader="none" w:pos="1296" w:val="left"/>
        </w:tabs>
        <w:numPr>
          <w:ilvl w:val="1"/>
          <w:numId w:val="54"/>
        </w:numPr>
        <w:rPr>
          <w:rFonts w:ascii="Arial" w:cs="Arial" w:eastAsia="Arial" w:hAnsi="Arial"/>
          <w:sz w:val="18"/>
          <w:szCs w:val="18"/>
          <w:color w:val="auto"/>
        </w:rPr>
      </w:pPr>
      <w:r>
        <w:rPr>
          <w:rFonts w:ascii="Arial" w:cs="Arial" w:eastAsia="Arial" w:hAnsi="Arial"/>
          <w:sz w:val="22"/>
          <w:szCs w:val="22"/>
          <w:color w:val="auto"/>
        </w:rPr>
        <w:t>Call even if you are not sure if there is a pesticide at issue or if the incident is a reportable one. Scotts Consumer Services will record the reported incident and follow up as appropriate.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Pages 24-29: Questions and Answers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Q &amp; A</w:t>
      </w:r>
    </w:p>
    <w:p>
      <w:pPr>
        <w:spacing w:after="0" w:line="355" w:lineRule="exact"/>
        <w:rPr>
          <w:sz w:val="20"/>
          <w:szCs w:val="20"/>
          <w:color w:val="auto"/>
        </w:rPr>
      </w:pPr>
    </w:p>
    <w:p>
      <w:pPr>
        <w:ind w:right="380"/>
        <w:spacing w:after="0" w:line="376"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You are thinking about hiring a consultant to take care of getting all the permits we need from a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The consultant asked for a $50,000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320" w:top="1173" w:right="359" w:bottom="1440" w:gutter="0" w:footer="0" w:header="0"/>
        </w:sectPr>
      </w:pPr>
    </w:p>
    <w:bookmarkStart w:id="77" w:name="page78"/>
    <w:bookmarkEnd w:id="77"/>
    <w:p>
      <w:pPr>
        <w:ind w:right="340"/>
        <w:spacing w:after="0" w:line="351" w:lineRule="auto"/>
        <w:rPr>
          <w:sz w:val="20"/>
          <w:szCs w:val="20"/>
          <w:color w:val="auto"/>
        </w:rPr>
      </w:pPr>
      <w:r>
        <w:rPr>
          <w:rFonts w:ascii="Arial" w:cs="Arial" w:eastAsia="Arial" w:hAnsi="Arial"/>
          <w:sz w:val="22"/>
          <w:szCs w:val="22"/>
          <w:color w:val="auto"/>
        </w:rPr>
        <w:t>retainer, saying that he would use the money to "help move the process along." Since you don't really know where the money is going, do you have to worry about it?</w:t>
      </w:r>
    </w:p>
    <w:p>
      <w:pPr>
        <w:spacing w:after="0" w:line="206" w:lineRule="exact"/>
        <w:rPr>
          <w:sz w:val="20"/>
          <w:szCs w:val="20"/>
          <w:color w:val="auto"/>
        </w:rPr>
      </w:pPr>
    </w:p>
    <w:p>
      <w:pPr>
        <w:ind w:right="240"/>
        <w:spacing w:after="0" w:line="345"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Yes. We will be held responsible for where that money goes and for what purpose it is being used. In fact,</w:t>
      </w:r>
      <w:r>
        <w:rPr>
          <w:rFonts w:ascii="Arial" w:cs="Arial" w:eastAsia="Arial" w:hAnsi="Arial"/>
          <w:sz w:val="22"/>
          <w:szCs w:val="22"/>
          <w:b w:val="1"/>
          <w:bCs w:val="1"/>
          <w:color w:val="auto"/>
        </w:rPr>
        <w:t xml:space="preserve"> </w:t>
      </w:r>
      <w:r>
        <w:rPr>
          <w:rFonts w:ascii="Arial" w:cs="Arial" w:eastAsia="Arial" w:hAnsi="Arial"/>
          <w:sz w:val="22"/>
          <w:szCs w:val="22"/>
          <w:color w:val="auto"/>
        </w:rPr>
        <w:t>we have to take affirmative steps to make sure that the money is not used as a bribe, and account for that money appropriately in our books and records. Seek the advice of the Legal Department immediately.</w:t>
      </w:r>
    </w:p>
    <w:p>
      <w:pPr>
        <w:spacing w:after="0" w:line="3" w:lineRule="exact"/>
        <w:rPr>
          <w:sz w:val="20"/>
          <w:szCs w:val="20"/>
          <w:color w:val="auto"/>
        </w:rPr>
      </w:pPr>
    </w:p>
    <w:p>
      <w:pPr>
        <w:ind w:right="20"/>
        <w:spacing w:after="0" w:line="361"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You attend a conference on technical issues relating to the manufacture of one of our products.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conference, an employee of a competitor asks the attendees about operating costs and the effect of those costs on the product price. What should you do?</w:t>
      </w:r>
    </w:p>
    <w:p>
      <w:pPr>
        <w:spacing w:after="0" w:line="195" w:lineRule="exact"/>
        <w:rPr>
          <w:sz w:val="20"/>
          <w:szCs w:val="20"/>
          <w:color w:val="auto"/>
        </w:rPr>
      </w:pPr>
    </w:p>
    <w:p>
      <w:pPr>
        <w:spacing w:after="0" w:line="345"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You should avoid exchanging information having to do with future prices with a competitor. Giving such</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to a competitor, even orally in an informal setting, could be construed as price fixing. If a competitor asks you for such information, you should decline to answer and ask him/her to drop the subject. If s/he persists, terminate the conversation by leaving the meeting or ending the phone call. Then report the incident to the Legal Department or Ethics Department.</w:t>
      </w:r>
    </w:p>
    <w:p>
      <w:pPr>
        <w:spacing w:after="0" w:line="4" w:lineRule="exact"/>
        <w:rPr>
          <w:sz w:val="20"/>
          <w:szCs w:val="20"/>
          <w:color w:val="auto"/>
        </w:rPr>
      </w:pPr>
    </w:p>
    <w:p>
      <w:pPr>
        <w:ind w:right="400"/>
        <w:spacing w:after="0" w:line="376"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In chatting with your sister, you casually mention that you are working on a deal for Scotts to acquire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Could this create a problem?</w:t>
      </w:r>
    </w:p>
    <w:p>
      <w:pPr>
        <w:spacing w:after="0" w:line="179" w:lineRule="exact"/>
        <w:rPr>
          <w:sz w:val="20"/>
          <w:szCs w:val="20"/>
          <w:color w:val="auto"/>
        </w:rPr>
      </w:pPr>
    </w:p>
    <w:p>
      <w:pPr>
        <w:ind w:right="20"/>
        <w:spacing w:after="0" w:line="345"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Yes, if the possible acquisition of the competitor has not been publicly announced. If you or your sister trade</w:t>
      </w:r>
      <w:r>
        <w:rPr>
          <w:rFonts w:ascii="Arial" w:cs="Arial" w:eastAsia="Arial" w:hAnsi="Arial"/>
          <w:sz w:val="22"/>
          <w:szCs w:val="22"/>
          <w:b w:val="1"/>
          <w:bCs w:val="1"/>
          <w:color w:val="auto"/>
        </w:rPr>
        <w:t xml:space="preserve"> </w:t>
      </w:r>
      <w:r>
        <w:rPr>
          <w:rFonts w:ascii="Arial" w:cs="Arial" w:eastAsia="Arial" w:hAnsi="Arial"/>
          <w:sz w:val="22"/>
          <w:szCs w:val="22"/>
          <w:color w:val="auto"/>
        </w:rPr>
        <w:t>in Scotts stock or the stock of the competitor, both of you could be in violation of the Insider Trading Policy and the law.</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You work outside of the U.S. Do U.S. laws apply to you?</w:t>
      </w:r>
    </w:p>
    <w:p>
      <w:pPr>
        <w:spacing w:after="0" w:line="355" w:lineRule="exact"/>
        <w:rPr>
          <w:sz w:val="20"/>
          <w:szCs w:val="20"/>
          <w:color w:val="auto"/>
        </w:rPr>
      </w:pPr>
    </w:p>
    <w:p>
      <w:pPr>
        <w:ind w:right="260"/>
        <w:spacing w:after="0" w:line="361"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ScottsMiracle-Gro does business around the world, which means you may be subject to laws of countries</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the one in which you live. You must follow those laws that apply to your business duties, wherever you work. Since Scotts is incorporated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20" w:top="1173" w:right="359" w:bottom="1440" w:gutter="0" w:footer="0" w:header="0"/>
        </w:sectPr>
      </w:pPr>
    </w:p>
    <w:bookmarkStart w:id="78" w:name="page79"/>
    <w:bookmarkEnd w:id="78"/>
    <w:p>
      <w:pPr>
        <w:jc w:val="both"/>
        <w:ind w:right="100"/>
        <w:spacing w:after="0" w:line="348" w:lineRule="auto"/>
        <w:rPr>
          <w:sz w:val="20"/>
          <w:szCs w:val="20"/>
          <w:color w:val="auto"/>
        </w:rPr>
      </w:pPr>
      <w:r>
        <w:rPr>
          <w:rFonts w:ascii="Arial" w:cs="Arial" w:eastAsia="Arial" w:hAnsi="Arial"/>
          <w:sz w:val="22"/>
          <w:szCs w:val="22"/>
          <w:color w:val="auto"/>
        </w:rPr>
        <w:t>in the U.S., U.S. laws may apply to certain business activities even if they are conducted outside the U.S. If you have questions about the laws that apply to your business activity, ask your manager, the Legal Department or contact the HelpLine that best applies to you.</w:t>
      </w:r>
    </w:p>
    <w:p>
      <w:pPr>
        <w:spacing w:after="0" w:line="210" w:lineRule="exact"/>
        <w:rPr>
          <w:sz w:val="20"/>
          <w:szCs w:val="20"/>
          <w:color w:val="auto"/>
        </w:rPr>
      </w:pPr>
    </w:p>
    <w:p>
      <w:pPr>
        <w:ind w:right="60"/>
        <w:spacing w:after="0" w:line="361"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A supplier offers you tickets to The Masters golf tournament. Though the face value of the tickets is $49</w:t>
      </w:r>
      <w:r>
        <w:rPr>
          <w:rFonts w:ascii="Arial" w:cs="Arial" w:eastAsia="Arial" w:hAnsi="Arial"/>
          <w:sz w:val="22"/>
          <w:szCs w:val="22"/>
          <w:b w:val="1"/>
          <w:bCs w:val="1"/>
          <w:color w:val="auto"/>
        </w:rPr>
        <w:t xml:space="preserve"> </w:t>
      </w:r>
      <w:r>
        <w:rPr>
          <w:rFonts w:ascii="Arial" w:cs="Arial" w:eastAsia="Arial" w:hAnsi="Arial"/>
          <w:sz w:val="22"/>
          <w:szCs w:val="22"/>
          <w:color w:val="auto"/>
        </w:rPr>
        <w:t>each, you have seen the same tickets for sale for $300-$400 each on the Internet. Can you accept the tickets without the approval the Chief Ethics Officer?</w:t>
      </w:r>
    </w:p>
    <w:p>
      <w:pPr>
        <w:spacing w:after="0" w:line="195" w:lineRule="exact"/>
        <w:rPr>
          <w:sz w:val="20"/>
          <w:szCs w:val="20"/>
          <w:color w:val="auto"/>
        </w:rPr>
      </w:pPr>
    </w:p>
    <w:p>
      <w:pPr>
        <w:ind w:right="300"/>
        <w:spacing w:after="0" w:line="376"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No. When the market value of a gift is over $100 USD, even if the face value of the item is less, you must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still inform your supervisor or manager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get prior approval the Chief Ethics Officer to accept the gift.</w:t>
      </w:r>
    </w:p>
    <w:p>
      <w:pPr>
        <w:spacing w:after="0" w:line="179" w:lineRule="exact"/>
        <w:rPr>
          <w:sz w:val="20"/>
          <w:szCs w:val="20"/>
          <w:color w:val="auto"/>
        </w:rPr>
      </w:pPr>
    </w:p>
    <w:p>
      <w:pPr>
        <w:spacing w:after="0" w:line="361"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You were reviewing your manager’s calendar in Outlook to find a time to meet with her. You notice she has</w:t>
      </w:r>
      <w:r>
        <w:rPr>
          <w:rFonts w:ascii="Arial" w:cs="Arial" w:eastAsia="Arial" w:hAnsi="Arial"/>
          <w:sz w:val="22"/>
          <w:szCs w:val="22"/>
          <w:b w:val="1"/>
          <w:bCs w:val="1"/>
          <w:color w:val="auto"/>
        </w:rPr>
        <w:t xml:space="preserve"> </w:t>
      </w:r>
      <w:r>
        <w:rPr>
          <w:rFonts w:ascii="Arial" w:cs="Arial" w:eastAsia="Arial" w:hAnsi="Arial"/>
          <w:sz w:val="22"/>
          <w:szCs w:val="22"/>
          <w:color w:val="auto"/>
        </w:rPr>
        <w:t>a meeting whose subject appears to relate to promotion decisions within your department. There is a document attached to the meeting notice. What should you do?</w:t>
      </w:r>
    </w:p>
    <w:p>
      <w:pPr>
        <w:spacing w:after="0" w:line="195" w:lineRule="exact"/>
        <w:rPr>
          <w:sz w:val="20"/>
          <w:szCs w:val="20"/>
          <w:color w:val="auto"/>
        </w:rPr>
      </w:pPr>
    </w:p>
    <w:p>
      <w:pPr>
        <w:jc w:val="both"/>
        <w:ind w:right="180"/>
        <w:spacing w:after="0" w:line="361"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You should not open the meeting notice or the document attached to it. You should let your manager know</w:t>
      </w:r>
      <w:r>
        <w:rPr>
          <w:rFonts w:ascii="Arial" w:cs="Arial" w:eastAsia="Arial" w:hAnsi="Arial"/>
          <w:sz w:val="22"/>
          <w:szCs w:val="22"/>
          <w:b w:val="1"/>
          <w:bCs w:val="1"/>
          <w:color w:val="auto"/>
        </w:rPr>
        <w:t xml:space="preserve"> </w:t>
      </w:r>
      <w:r>
        <w:rPr>
          <w:rFonts w:ascii="Arial" w:cs="Arial" w:eastAsia="Arial" w:hAnsi="Arial"/>
          <w:sz w:val="22"/>
          <w:szCs w:val="22"/>
          <w:color w:val="auto"/>
        </w:rPr>
        <w:t>that you saw the meeting on her calendar but did not probe further, and suggest that she (or the meeting organizer) mark it “private.” You also have a duty not to disclose the information you inadvertently learned.</w:t>
      </w:r>
    </w:p>
    <w:p>
      <w:pPr>
        <w:spacing w:after="0" w:line="195" w:lineRule="exact"/>
        <w:rPr>
          <w:sz w:val="20"/>
          <w:szCs w:val="20"/>
          <w:color w:val="auto"/>
        </w:rPr>
      </w:pPr>
    </w:p>
    <w:p>
      <w:pPr>
        <w:ind w:right="100"/>
        <w:spacing w:after="0" w:line="376"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Your uncle’s company is seeking to become one of our suppliers. Does this create a conflict of interest for</w:t>
      </w:r>
      <w:r>
        <w:rPr>
          <w:rFonts w:ascii="Arial" w:cs="Arial" w:eastAsia="Arial" w:hAnsi="Arial"/>
          <w:sz w:val="22"/>
          <w:szCs w:val="22"/>
          <w:b w:val="1"/>
          <w:bCs w:val="1"/>
          <w:color w:val="auto"/>
        </w:rPr>
        <w:t xml:space="preserve"> </w:t>
      </w:r>
      <w:r>
        <w:rPr>
          <w:rFonts w:ascii="Arial" w:cs="Arial" w:eastAsia="Arial" w:hAnsi="Arial"/>
          <w:sz w:val="22"/>
          <w:szCs w:val="22"/>
          <w:color w:val="auto"/>
        </w:rPr>
        <w:t>you?</w:t>
      </w:r>
    </w:p>
    <w:p>
      <w:pPr>
        <w:spacing w:after="0" w:line="179" w:lineRule="exact"/>
        <w:rPr>
          <w:sz w:val="20"/>
          <w:szCs w:val="20"/>
          <w:color w:val="auto"/>
        </w:rPr>
      </w:pPr>
    </w:p>
    <w:p>
      <w:pPr>
        <w:ind w:right="80"/>
        <w:spacing w:after="0" w:line="356"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Maybe. If you have decision-making authority in the process to select suppliers or with your uncle’s</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you have a conflict of interest. Even if you do not have such authority, this relationship could create the appearance of a conflict of interest. You should disclose potential conflicts of interest immediately to your manager or supervisor and the Ethics Department. You should remove yourself from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173"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selection process if you are in any way involved and take no further action until the situation is resolved.</w:t>
      </w:r>
    </w:p>
    <w:p>
      <w:pPr>
        <w:spacing w:after="0" w:line="329" w:lineRule="exact"/>
        <w:rPr>
          <w:sz w:val="20"/>
          <w:szCs w:val="20"/>
          <w:color w:val="auto"/>
        </w:rPr>
      </w:pPr>
    </w:p>
    <w:p>
      <w:pPr>
        <w:spacing w:after="0" w:line="376" w:lineRule="auto"/>
        <w:rPr>
          <w:sz w:val="20"/>
          <w:szCs w:val="20"/>
          <w:color w:val="auto"/>
        </w:rPr>
      </w:pPr>
      <w:r>
        <w:rPr>
          <w:rFonts w:ascii="Arial" w:cs="Arial" w:eastAsia="Arial" w:hAnsi="Arial"/>
          <w:sz w:val="22"/>
          <w:szCs w:val="22"/>
          <w:b w:val="1"/>
          <w:bCs w:val="1"/>
          <w:color w:val="auto"/>
        </w:rPr>
        <w:t xml:space="preserve">Question: </w:t>
      </w:r>
      <w:r>
        <w:rPr>
          <w:rFonts w:ascii="Arial" w:cs="Arial" w:eastAsia="Arial" w:hAnsi="Arial"/>
          <w:sz w:val="22"/>
          <w:szCs w:val="22"/>
          <w:color w:val="auto"/>
        </w:rPr>
        <w:t>I reported a concern to my supervisor. Since reporting my concern, he has stopped including me in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Is this retaliation?</w:t>
      </w:r>
    </w:p>
    <w:p>
      <w:pPr>
        <w:spacing w:after="0" w:line="179" w:lineRule="exact"/>
        <w:rPr>
          <w:sz w:val="20"/>
          <w:szCs w:val="20"/>
          <w:color w:val="auto"/>
        </w:rPr>
      </w:pPr>
    </w:p>
    <w:p>
      <w:pPr>
        <w:spacing w:after="0" w:line="361" w:lineRule="auto"/>
        <w:rPr>
          <w:sz w:val="20"/>
          <w:szCs w:val="20"/>
          <w:color w:val="auto"/>
        </w:rPr>
      </w:pPr>
      <w:r>
        <w:rPr>
          <w:rFonts w:ascii="Arial" w:cs="Arial" w:eastAsia="Arial" w:hAnsi="Arial"/>
          <w:sz w:val="22"/>
          <w:szCs w:val="22"/>
          <w:b w:val="1"/>
          <w:bCs w:val="1"/>
          <w:color w:val="auto"/>
        </w:rPr>
        <w:t xml:space="preserve">Answer: </w:t>
      </w:r>
      <w:r>
        <w:rPr>
          <w:rFonts w:ascii="Arial" w:cs="Arial" w:eastAsia="Arial" w:hAnsi="Arial"/>
          <w:sz w:val="22"/>
          <w:szCs w:val="22"/>
          <w:color w:val="auto"/>
        </w:rPr>
        <w:t>Significant changes in how you are treated after reporting a concern issue can be perceived as retaliation. If</w:t>
      </w:r>
      <w:r>
        <w:rPr>
          <w:rFonts w:ascii="Arial" w:cs="Arial" w:eastAsia="Arial" w:hAnsi="Arial"/>
          <w:sz w:val="22"/>
          <w:szCs w:val="22"/>
          <w:b w:val="1"/>
          <w:bCs w:val="1"/>
          <w:color w:val="auto"/>
        </w:rPr>
        <w:t xml:space="preserve"> </w:t>
      </w:r>
      <w:r>
        <w:rPr>
          <w:rFonts w:ascii="Arial" w:cs="Arial" w:eastAsia="Arial" w:hAnsi="Arial"/>
          <w:sz w:val="22"/>
          <w:szCs w:val="22"/>
          <w:color w:val="auto"/>
        </w:rPr>
        <w:t>you feel you are being treated differently since reporting a concern, you should reach out to your Human Resources representative, the Ethics Department or the Ethics HelpLine.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00"/>
          </w:cols>
          <w:pgMar w:left="320" w:top="1173" w:right="37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Directly owned subsidiaries, as of June 27, 2020, are located at the left margin, each subsidiary tier thereunder is indented. Subsidiaries are listed under the names of their respective parent entities. Unless otherwise noted, the subsidiaries are wholly-owned.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7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97"/>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8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4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Luxembourg SARL</w:t>
            </w:r>
          </w:p>
        </w:tc>
        <w:tc>
          <w:tcPr>
            <w:tcW w:w="24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97"/>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4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84"/>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5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4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5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4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4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5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3"/>
                <w:szCs w:val="23"/>
                <w:color w:val="auto"/>
                <w:vertAlign w:val="superscript"/>
              </w:rPr>
              <w:t>2</w:t>
            </w:r>
          </w:p>
        </w:tc>
        <w:tc>
          <w:tcPr>
            <w:tcW w:w="24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57"/>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1"/>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4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31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76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4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76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76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4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1"/>
        </w:trPr>
        <w:tc>
          <w:tcPr>
            <w:tcW w:w="876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4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310"/>
        </w:trPr>
        <w:tc>
          <w:tcPr>
            <w:tcW w:w="876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46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218" w:lineRule="auto"/>
        <w:tabs>
          <w:tab w:leader="none" w:pos="12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w:t>
      </w:r>
    </w:p>
    <w:p>
      <w:pPr>
        <w:ind w:left="2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240"/>
          </w:cols>
          <w:pgMar w:left="320" w:top="364" w:right="339" w:bottom="1440" w:gutter="0" w:footer="0" w:header="0"/>
        </w:sectPr>
      </w:pPr>
    </w:p>
    <w:bookmarkStart w:id="81" w:name="page82"/>
    <w:bookmarkEnd w:id="81"/>
    <w:p>
      <w:pPr>
        <w:ind w:left="20"/>
        <w:spacing w:after="0"/>
        <w:rPr>
          <w:sz w:val="20"/>
          <w:szCs w:val="20"/>
          <w:color w:val="auto"/>
        </w:rPr>
      </w:pPr>
      <w:r>
        <w:rPr>
          <w:rFonts w:ascii="Arial" w:cs="Arial" w:eastAsia="Arial" w:hAnsi="Arial"/>
          <w:sz w:val="18"/>
          <w:szCs w:val="18"/>
          <w:color w:val="auto"/>
        </w:rPr>
        <w:t>SMGM LLC</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Scotts-Sierra Investments LLC</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Gardening Co., Ltd.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Canada Ltd.</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SMG Germany GmbH</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Holdings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Levington Group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SMG Gardening (UK)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Scotts Company (Manufacturing)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Humax Horticulture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 M Scott International Investments Limited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Scotts Company LLC</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218" w:lineRule="auto"/>
        <w:tabs>
          <w:tab w:leader="none" w:pos="10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3" w:lineRule="auto"/>
        <w:tabs>
          <w:tab w:leader="none" w:pos="10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0"/>
          <w:szCs w:val="20"/>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8040" w:space="720"/>
            <w:col w:w="1359"/>
          </w:cols>
          <w:pgMar w:left="340" w:top="949"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333333"/>
        </w:rPr>
        <w:t>The following subsidiaries of The Scotts Miracle-Gro Company (the "Company") were, as of June 27, 2020, guarantors of the Company's 5.250% Senior Notes due 2026 and 4.500% Senior Notes due 2029:</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7"/>
        </w:trPr>
        <w:tc>
          <w:tcPr>
            <w:tcW w:w="55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37"/>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2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2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2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2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2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3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June 27, 2020;</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60" w:hanging="328"/>
        <w:spacing w:after="0" w:line="308" w:lineRule="auto"/>
        <w:tabs>
          <w:tab w:leader="none" w:pos="5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360" w:val="left"/>
          <w:tab w:leader="none" w:pos="59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31750</wp:posOffset>
            </wp:positionV>
            <wp:extent cx="34290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June 27, 2020;</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60" w:hanging="328"/>
        <w:spacing w:after="0" w:line="308" w:lineRule="auto"/>
        <w:tabs>
          <w:tab w:leader="none" w:pos="51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320" w:val="left"/>
          <w:tab w:leader="none" w:pos="59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31750</wp:posOffset>
            </wp:positionV>
            <wp:extent cx="3454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June 27, 2020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420" w:hanging="652"/>
        <w:spacing w:after="0" w:line="277" w:lineRule="auto"/>
        <w:tabs>
          <w:tab w:leader="none" w:pos="2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/s/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4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Printed Name: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Title: Chief Executive Officer and Chairman of the Board</w:t>
            </w:r>
          </w:p>
        </w:tc>
        <w:tc>
          <w:tcPr>
            <w:tcW w:w="544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73"/>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August 5, 2020</w:t>
            </w:r>
          </w:p>
        </w:tc>
        <w:tc>
          <w:tcPr>
            <w:tcW w:w="5440" w:type="dxa"/>
            <w:vAlign w:val="bottom"/>
          </w:tcPr>
          <w:p>
            <w:pPr>
              <w:ind w:left="360"/>
              <w:spacing w:after="0"/>
              <w:rPr>
                <w:sz w:val="20"/>
                <w:szCs w:val="20"/>
                <w:color w:val="auto"/>
              </w:rPr>
            </w:pPr>
            <w:r>
              <w:rPr>
                <w:rFonts w:ascii="Arial" w:cs="Arial" w:eastAsia="Arial" w:hAnsi="Arial"/>
                <w:sz w:val="18"/>
                <w:szCs w:val="18"/>
                <w:color w:val="auto"/>
              </w:rPr>
              <w:t>August 5, 2020</w:t>
            </w:r>
          </w:p>
        </w:tc>
      </w:tr>
    </w:tbl>
    <w:p>
      <w:pPr>
        <w:spacing w:after="0" w:line="337" w:lineRule="exact"/>
        <w:rPr>
          <w:sz w:val="20"/>
          <w:szCs w:val="20"/>
          <w:color w:val="auto"/>
        </w:rPr>
      </w:pPr>
    </w:p>
    <w:p>
      <w:pPr>
        <w:ind w:left="700" w:right="100" w:hanging="674"/>
        <w:spacing w:after="0" w:line="273"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lowerRoman"/>
      <w:start w:val="5"/>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4"/>
    </w:lvl>
  </w:abstractNum>
  <w:abstractNum w:abstractNumId="21">
    <w:nsid w:val="3855585C"/>
    <w:multiLevelType w:val="hybridMultilevel"/>
    <w:lvl w:ilvl="0">
      <w:lvlJc w:val="left"/>
      <w:lvlText w:val="%1."/>
      <w:numFmt w:val="decimal"/>
      <w:start w:val="5"/>
    </w:lvl>
    <w:lvl w:ilvl="1">
      <w:lvlJc w:val="left"/>
      <w:lvlText w:val="(%2)"/>
      <w:numFmt w:val="lowerLetter"/>
      <w:start w:val="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4"/>
    </w:lvl>
  </w:abstractNum>
  <w:abstractNum w:abstractNumId="24">
    <w:nsid w:val="2A487CB0"/>
    <w:multiLevelType w:val="hybridMultilevel"/>
    <w:lvl w:ilvl="0">
      <w:lvlJc w:val="left"/>
      <w:lvlText w:val="%1."/>
      <w:numFmt w:val="decimal"/>
      <w:start w:val="6"/>
    </w:lvl>
  </w:abstractNum>
  <w:abstractNum w:abstractNumId="25">
    <w:nsid w:val="1D4ED43B"/>
    <w:multiLevelType w:val="hybridMultilevel"/>
    <w:lvl w:ilvl="0">
      <w:lvlJc w:val="left"/>
      <w:lvlText w:val="%1."/>
      <w:numFmt w:val="decimal"/>
      <w:start w:val="7"/>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800"/>
    </w:lvl>
  </w:abstractNum>
  <w:abstractNum w:abstractNumId="37">
    <w:nsid w:val="579478FE"/>
    <w:multiLevelType w:val="hybridMultilevel"/>
    <w:lvl w:ilvl="0">
      <w:lvlJc w:val="left"/>
      <w:lvlText w:val="◦"/>
      <w:numFmt w:val="bullet"/>
      <w:start w:val="1"/>
    </w:lvl>
    <w:lvl w:ilvl="1">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lvl w:ilvl="1">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lvl w:ilvl="1">
      <w:lvlJc w:val="left"/>
      <w:lvlText w:val="◦"/>
      <w:numFmt w:val="bullet"/>
      <w:start w:val="1"/>
    </w:lvl>
  </w:abstractNum>
  <w:abstractNum w:abstractNumId="54">
    <w:nsid w:val="235BA861"/>
    <w:multiLevelType w:val="hybridMultilevel"/>
    <w:lvl w:ilvl="0">
      <w:lvlJc w:val="left"/>
      <w:lvlText w:val="1"/>
      <w:numFmt w:val="bullet"/>
      <w:start w:val="1"/>
    </w:lvl>
  </w:abstractNum>
  <w:abstractNum w:abstractNumId="55">
    <w:nsid w:val="47398C89"/>
    <w:multiLevelType w:val="hybridMultilevel"/>
    <w:lvl w:ilvl="0">
      <w:lvlJc w:val="left"/>
      <w:lvlText w:val="3"/>
      <w:numFmt w:val="bullet"/>
      <w:start w:val="1"/>
    </w:lvl>
  </w:abstractNum>
  <w:abstractNum w:abstractNumId="56">
    <w:nsid w:val="354FE9F9"/>
    <w:multiLevelType w:val="hybridMultilevel"/>
    <w:lvl w:ilvl="0">
      <w:lvlJc w:val="left"/>
      <w:lvlText w:val="4"/>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2020-08-05T15:41:45Z</dcterms:created>
  <dcterms:modified xsi:type="dcterms:W3CDTF">2020-08-05T15:41:45Z</dcterms:modified>
</cp:coreProperties>
</file>