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As filed with the Securities and Exchange Commission on April 29, 2005</w:t>
      </w:r>
    </w:p>
    <w:p>
      <w:pPr>
        <w:spacing w:after="0" w:line="46"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Registration No. 333 -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-19050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305435</wp:posOffset>
            </wp:positionV>
            <wp:extent cx="581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gridSpan w:val="7"/>
          </w:tcPr>
          <w:p>
            <w:pPr>
              <w:jc w:val="center"/>
              <w:ind w:right="284"/>
              <w:spacing w:after="0"/>
              <w:rPr>
                <w:sz w:val="20"/>
                <w:szCs w:val="20"/>
                <w:color w:val="auto"/>
              </w:rPr>
            </w:pPr>
            <w:r>
              <w:rPr>
                <w:rFonts w:ascii="Arial" w:cs="Arial" w:eastAsia="Arial" w:hAnsi="Arial"/>
                <w:sz w:val="18"/>
                <w:szCs w:val="18"/>
                <w:color w:val="auto"/>
                <w:w w:val="90"/>
              </w:rPr>
              <w:t>(Exact name of registrant as specified in its charter)</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820" w:type="dxa"/>
            <w:vAlign w:val="bottom"/>
            <w:tcBorders>
              <w:bottom w:val="single" w:sz="8" w:color="auto"/>
            </w:tcBorders>
            <w:gridSpan w:val="2"/>
          </w:tcPr>
          <w:p>
            <w:pPr>
              <w:jc w:val="center"/>
              <w:ind w:left="1535"/>
              <w:spacing w:after="0"/>
              <w:rPr>
                <w:sz w:val="20"/>
                <w:szCs w:val="20"/>
                <w:color w:val="auto"/>
              </w:rPr>
            </w:pPr>
            <w:r>
              <w:rPr>
                <w:rFonts w:ascii="Arial" w:cs="Arial" w:eastAsia="Arial" w:hAnsi="Arial"/>
                <w:sz w:val="18"/>
                <w:szCs w:val="18"/>
                <w:color w:val="auto"/>
                <w:w w:val="94"/>
              </w:rPr>
              <w:t>Ohio</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color w:val="auto"/>
                <w:w w:val="89"/>
              </w:rPr>
              <w:t>31-1414921</w:t>
            </w: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3820" w:type="dxa"/>
            <w:vAlign w:val="bottom"/>
            <w:gridSpan w:val="2"/>
          </w:tcPr>
          <w:p>
            <w:pPr>
              <w:jc w:val="center"/>
              <w:ind w:left="1535"/>
              <w:spacing w:after="0"/>
              <w:rPr>
                <w:sz w:val="20"/>
                <w:szCs w:val="20"/>
                <w:color w:val="auto"/>
              </w:rPr>
            </w:pPr>
            <w:r>
              <w:rPr>
                <w:rFonts w:ascii="Arial" w:cs="Arial" w:eastAsia="Arial" w:hAnsi="Arial"/>
                <w:sz w:val="18"/>
                <w:szCs w:val="18"/>
                <w:color w:val="auto"/>
                <w:w w:val="92"/>
              </w:rPr>
              <w:t>(State or other jurisdiction of</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gridSpan w:val="4"/>
          </w:tcPr>
          <w:p>
            <w:pPr>
              <w:jc w:val="center"/>
              <w:ind w:right="921"/>
              <w:spacing w:after="0"/>
              <w:rPr>
                <w:sz w:val="20"/>
                <w:szCs w:val="20"/>
                <w:color w:val="auto"/>
              </w:rPr>
            </w:pPr>
            <w:r>
              <w:rPr>
                <w:rFonts w:ascii="Arial" w:cs="Arial" w:eastAsia="Arial" w:hAnsi="Arial"/>
                <w:sz w:val="18"/>
                <w:szCs w:val="18"/>
                <w:color w:val="auto"/>
                <w:w w:val="92"/>
              </w:rPr>
              <w:t>(I.R.S. Employer</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20" w:type="dxa"/>
            <w:vAlign w:val="bottom"/>
            <w:gridSpan w:val="2"/>
          </w:tcPr>
          <w:p>
            <w:pPr>
              <w:jc w:val="center"/>
              <w:ind w:left="1535"/>
              <w:spacing w:after="0"/>
              <w:rPr>
                <w:sz w:val="20"/>
                <w:szCs w:val="20"/>
                <w:color w:val="auto"/>
              </w:rPr>
            </w:pPr>
            <w:r>
              <w:rPr>
                <w:rFonts w:ascii="Arial" w:cs="Arial" w:eastAsia="Arial" w:hAnsi="Arial"/>
                <w:sz w:val="18"/>
                <w:szCs w:val="18"/>
                <w:color w:val="auto"/>
                <w:w w:val="92"/>
              </w:rPr>
              <w:t>incorporation or organization)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80" w:type="dxa"/>
            <w:vAlign w:val="bottom"/>
            <w:gridSpan w:val="5"/>
          </w:tcPr>
          <w:p>
            <w:pPr>
              <w:jc w:val="center"/>
              <w:ind w:right="841"/>
              <w:spacing w:after="0"/>
              <w:rPr>
                <w:sz w:val="20"/>
                <w:szCs w:val="20"/>
                <w:color w:val="auto"/>
              </w:rPr>
            </w:pPr>
            <w:r>
              <w:rPr>
                <w:rFonts w:ascii="Arial" w:cs="Arial" w:eastAsia="Arial" w:hAnsi="Arial"/>
                <w:sz w:val="18"/>
                <w:szCs w:val="18"/>
                <w:color w:val="auto"/>
                <w:w w:val="95"/>
              </w:rPr>
              <w:t>Identification No.)</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14111 Scottslawn Road, Marysville, Ohio</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40" w:type="dxa"/>
            <w:vAlign w:val="bottom"/>
            <w:gridSpan w:val="2"/>
          </w:tcPr>
          <w:p>
            <w:pPr>
              <w:ind w:left="54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r>
        <w:trPr>
          <w:trHeight w:val="390"/>
        </w:trPr>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6"/>
          </w:tcPr>
          <w:p>
            <w:pPr>
              <w:jc w:val="center"/>
              <w:ind w:right="864"/>
              <w:spacing w:after="0"/>
              <w:rPr>
                <w:sz w:val="20"/>
                <w:szCs w:val="20"/>
                <w:color w:val="auto"/>
              </w:rPr>
            </w:pPr>
            <w:r>
              <w:rPr>
                <w:rFonts w:ascii="Arial" w:cs="Arial" w:eastAsia="Arial" w:hAnsi="Arial"/>
                <w:sz w:val="18"/>
                <w:szCs w:val="18"/>
                <w:color w:val="auto"/>
                <w:w w:val="92"/>
              </w:rPr>
              <w:t>The Scotts Miracle-Gro Company</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gridSpan w:val="6"/>
          </w:tcPr>
          <w:p>
            <w:pPr>
              <w:jc w:val="center"/>
              <w:ind w:right="864"/>
              <w:spacing w:after="0"/>
              <w:rPr>
                <w:sz w:val="20"/>
                <w:szCs w:val="20"/>
                <w:color w:val="auto"/>
              </w:rPr>
            </w:pPr>
            <w:r>
              <w:rPr>
                <w:rFonts w:ascii="Arial" w:cs="Arial" w:eastAsia="Arial" w:hAnsi="Arial"/>
                <w:sz w:val="18"/>
                <w:szCs w:val="18"/>
                <w:color w:val="auto"/>
                <w:w w:val="89"/>
              </w:rPr>
              <w:t>Discounted Stock Purchase Plan</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2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gridSpan w:val="5"/>
          </w:tcPr>
          <w:p>
            <w:pPr>
              <w:jc w:val="center"/>
              <w:ind w:right="1064"/>
              <w:spacing w:after="0"/>
              <w:rPr>
                <w:sz w:val="20"/>
                <w:szCs w:val="20"/>
                <w:color w:val="auto"/>
              </w:rPr>
            </w:pPr>
            <w:r>
              <w:rPr>
                <w:rFonts w:ascii="Arial" w:cs="Arial" w:eastAsia="Arial" w:hAnsi="Arial"/>
                <w:sz w:val="18"/>
                <w:szCs w:val="18"/>
                <w:color w:val="auto"/>
                <w:w w:val="94"/>
              </w:rPr>
              <w:t>(Full title of the plan)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ind w:right="64"/>
              <w:spacing w:after="0"/>
              <w:rPr>
                <w:sz w:val="20"/>
                <w:szCs w:val="20"/>
                <w:color w:val="auto"/>
              </w:rPr>
            </w:pPr>
            <w:r>
              <w:rPr>
                <w:rFonts w:ascii="Arial" w:cs="Arial" w:eastAsia="Arial" w:hAnsi="Arial"/>
                <w:sz w:val="18"/>
                <w:szCs w:val="18"/>
                <w:color w:val="auto"/>
              </w:rPr>
              <w:t>Copy to:</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David M. Aronowitz, Esq.</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gridSpan w:val="7"/>
          </w:tcPr>
          <w:p>
            <w:pPr>
              <w:ind w:left="860"/>
              <w:spacing w:after="0"/>
              <w:rPr>
                <w:sz w:val="20"/>
                <w:szCs w:val="20"/>
                <w:color w:val="auto"/>
              </w:rPr>
            </w:pPr>
            <w:r>
              <w:rPr>
                <w:rFonts w:ascii="Arial" w:cs="Arial" w:eastAsia="Arial" w:hAnsi="Arial"/>
                <w:sz w:val="18"/>
                <w:szCs w:val="18"/>
                <w:color w:val="auto"/>
                <w:w w:val="99"/>
              </w:rPr>
              <w:t>Elizabeth Turrell Farrar, Esq.</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The Scotts Miracle-Gro Company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gridSpan w:val="8"/>
          </w:tcPr>
          <w:p>
            <w:pPr>
              <w:ind w:left="860"/>
              <w:spacing w:after="0"/>
              <w:rPr>
                <w:sz w:val="20"/>
                <w:szCs w:val="20"/>
                <w:color w:val="auto"/>
              </w:rPr>
            </w:pPr>
            <w:r>
              <w:rPr>
                <w:rFonts w:ascii="Arial" w:cs="Arial" w:eastAsia="Arial" w:hAnsi="Arial"/>
                <w:sz w:val="18"/>
                <w:szCs w:val="18"/>
                <w:color w:val="auto"/>
              </w:rPr>
              <w:t>Vorys, Sater, Seymour and Pease LLP</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14111 Scottslawn Road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gridSpan w:val="7"/>
          </w:tcPr>
          <w:p>
            <w:pPr>
              <w:ind w:left="860"/>
              <w:spacing w:after="0"/>
              <w:rPr>
                <w:sz w:val="20"/>
                <w:szCs w:val="20"/>
                <w:color w:val="auto"/>
              </w:rPr>
            </w:pPr>
            <w:r>
              <w:rPr>
                <w:rFonts w:ascii="Arial" w:cs="Arial" w:eastAsia="Arial" w:hAnsi="Arial"/>
                <w:sz w:val="18"/>
                <w:szCs w:val="18"/>
                <w:color w:val="auto"/>
              </w:rPr>
              <w:t>52 East Gay Street</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Marysville, Ohio 43041</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gridSpan w:val="3"/>
          </w:tcPr>
          <w:p>
            <w:pPr>
              <w:ind w:left="860"/>
              <w:spacing w:after="0"/>
              <w:rPr>
                <w:sz w:val="20"/>
                <w:szCs w:val="20"/>
                <w:color w:val="auto"/>
              </w:rPr>
            </w:pPr>
            <w:r>
              <w:rPr>
                <w:rFonts w:ascii="Arial" w:cs="Arial" w:eastAsia="Arial" w:hAnsi="Arial"/>
                <w:sz w:val="18"/>
                <w:szCs w:val="18"/>
                <w:color w:val="auto"/>
                <w:w w:val="93"/>
              </w:rPr>
              <w:t>P.O. Box 1008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3820" w:type="dxa"/>
            <w:vAlign w:val="bottom"/>
            <w:gridSpan w:val="2"/>
          </w:tcPr>
          <w:p>
            <w:pPr>
              <w:spacing w:after="0"/>
              <w:rPr>
                <w:sz w:val="20"/>
                <w:szCs w:val="20"/>
                <w:color w:val="auto"/>
              </w:rPr>
            </w:pPr>
            <w:r>
              <w:rPr>
                <w:rFonts w:ascii="Arial" w:cs="Arial" w:eastAsia="Arial" w:hAnsi="Arial"/>
                <w:sz w:val="18"/>
                <w:szCs w:val="18"/>
                <w:color w:val="auto"/>
              </w:rPr>
              <w:t>(Name and address of agent for service)</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80" w:type="dxa"/>
            <w:vAlign w:val="bottom"/>
            <w:gridSpan w:val="7"/>
          </w:tcPr>
          <w:p>
            <w:pPr>
              <w:ind w:left="860"/>
              <w:spacing w:after="0"/>
              <w:rPr>
                <w:sz w:val="20"/>
                <w:szCs w:val="20"/>
                <w:color w:val="auto"/>
              </w:rPr>
            </w:pPr>
            <w:r>
              <w:rPr>
                <w:rFonts w:ascii="Arial" w:cs="Arial" w:eastAsia="Arial" w:hAnsi="Arial"/>
                <w:sz w:val="18"/>
                <w:szCs w:val="18"/>
                <w:color w:val="auto"/>
                <w:w w:val="99"/>
              </w:rPr>
              <w:t>Columbus, Ohio 43216-1008</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1"/>
        </w:trPr>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20" w:type="dxa"/>
            <w:vAlign w:val="bottom"/>
            <w:gridSpan w:val="5"/>
          </w:tcPr>
          <w:p>
            <w:pPr>
              <w:jc w:val="center"/>
              <w:ind w:left="490"/>
              <w:spacing w:after="0"/>
              <w:rPr>
                <w:sz w:val="20"/>
                <w:szCs w:val="20"/>
                <w:color w:val="auto"/>
              </w:rPr>
            </w:pPr>
            <w:r>
              <w:rPr>
                <w:rFonts w:ascii="Arial" w:cs="Arial" w:eastAsia="Arial" w:hAnsi="Arial"/>
                <w:sz w:val="18"/>
                <w:szCs w:val="18"/>
                <w:color w:val="auto"/>
                <w:w w:val="90"/>
              </w:rPr>
              <w:t>(937) 644-0011</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840" w:type="dxa"/>
            <w:vAlign w:val="bottom"/>
          </w:tcPr>
          <w:p>
            <w:pPr>
              <w:spacing w:after="0"/>
              <w:rPr>
                <w:sz w:val="16"/>
                <w:szCs w:val="16"/>
                <w:color w:val="auto"/>
              </w:rPr>
            </w:pPr>
          </w:p>
        </w:tc>
        <w:tc>
          <w:tcPr>
            <w:tcW w:w="4200" w:type="dxa"/>
            <w:vAlign w:val="bottom"/>
            <w:tcBorders>
              <w:bottom w:val="single" w:sz="8" w:color="auto"/>
            </w:tcBorders>
            <w:gridSpan w:val="6"/>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1"/>
        </w:trPr>
        <w:tc>
          <w:tcPr>
            <w:tcW w:w="2840" w:type="dxa"/>
            <w:vAlign w:val="bottom"/>
          </w:tcPr>
          <w:p>
            <w:pPr>
              <w:spacing w:after="0"/>
              <w:rPr>
                <w:sz w:val="24"/>
                <w:szCs w:val="24"/>
                <w:color w:val="auto"/>
              </w:rPr>
            </w:pPr>
          </w:p>
        </w:tc>
        <w:tc>
          <w:tcPr>
            <w:tcW w:w="5140" w:type="dxa"/>
            <w:vAlign w:val="bottom"/>
            <w:gridSpan w:val="8"/>
          </w:tcPr>
          <w:p>
            <w:pPr>
              <w:jc w:val="center"/>
              <w:ind w:left="530"/>
              <w:spacing w:after="0"/>
              <w:rPr>
                <w:sz w:val="20"/>
                <w:szCs w:val="20"/>
                <w:color w:val="auto"/>
              </w:rPr>
            </w:pPr>
            <w:r>
              <w:rPr>
                <w:rFonts w:ascii="Arial" w:cs="Arial" w:eastAsia="Arial" w:hAnsi="Arial"/>
                <w:sz w:val="18"/>
                <w:szCs w:val="18"/>
                <w:color w:val="auto"/>
                <w:w w:val="90"/>
              </w:rPr>
              <w:t>(Telephone number, including area code, of agent for service)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385"/>
        </w:trPr>
        <w:tc>
          <w:tcPr>
            <w:tcW w:w="2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6"/>
          </w:tcPr>
          <w:p>
            <w:pPr>
              <w:jc w:val="center"/>
              <w:ind w:right="844"/>
              <w:spacing w:after="0"/>
              <w:rPr>
                <w:sz w:val="20"/>
                <w:szCs w:val="20"/>
                <w:color w:val="auto"/>
              </w:rPr>
            </w:pPr>
            <w:r>
              <w:rPr>
                <w:rFonts w:ascii="Arial" w:cs="Arial" w:eastAsia="Arial" w:hAnsi="Arial"/>
                <w:sz w:val="18"/>
                <w:szCs w:val="18"/>
                <w:b w:val="1"/>
                <w:bCs w:val="1"/>
                <w:color w:val="auto"/>
                <w:w w:val="90"/>
              </w:rPr>
              <w:t>Calculation of Registration Fee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3"/>
        </w:trPr>
        <w:tc>
          <w:tcPr>
            <w:tcW w:w="2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gridSpan w:val="2"/>
          </w:tcPr>
          <w:p>
            <w:pPr>
              <w:jc w:val="center"/>
              <w:ind w:right="120"/>
              <w:spacing w:after="0" w:line="123" w:lineRule="exact"/>
              <w:rPr>
                <w:sz w:val="20"/>
                <w:szCs w:val="20"/>
                <w:color w:val="auto"/>
              </w:rPr>
            </w:pPr>
            <w:r>
              <w:rPr>
                <w:rFonts w:ascii="Arial" w:cs="Arial" w:eastAsia="Arial" w:hAnsi="Arial"/>
                <w:sz w:val="14"/>
                <w:szCs w:val="14"/>
                <w:color w:val="auto"/>
                <w:w w:val="90"/>
              </w:rPr>
              <w:t>Proposed</w:t>
            </w:r>
          </w:p>
        </w:tc>
        <w:tc>
          <w:tcPr>
            <w:tcW w:w="60" w:type="dxa"/>
            <w:vAlign w:val="bottom"/>
          </w:tcPr>
          <w:p>
            <w:pPr>
              <w:spacing w:after="0"/>
              <w:rPr>
                <w:sz w:val="10"/>
                <w:szCs w:val="10"/>
                <w:color w:val="auto"/>
              </w:rPr>
            </w:pPr>
          </w:p>
        </w:tc>
        <w:tc>
          <w:tcPr>
            <w:tcW w:w="1180" w:type="dxa"/>
            <w:vAlign w:val="bottom"/>
            <w:tcBorders>
              <w:right w:val="single" w:sz="8" w:color="auto"/>
            </w:tcBorders>
          </w:tcPr>
          <w:p>
            <w:pPr>
              <w:jc w:val="center"/>
              <w:ind w:right="101"/>
              <w:spacing w:after="0" w:line="123" w:lineRule="exact"/>
              <w:rPr>
                <w:sz w:val="20"/>
                <w:szCs w:val="20"/>
                <w:color w:val="auto"/>
              </w:rPr>
            </w:pPr>
            <w:r>
              <w:rPr>
                <w:rFonts w:ascii="Arial" w:cs="Arial" w:eastAsia="Arial" w:hAnsi="Arial"/>
                <w:sz w:val="14"/>
                <w:szCs w:val="14"/>
                <w:color w:val="auto"/>
                <w:w w:val="86"/>
              </w:rPr>
              <w:t>Proposed</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3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Title of</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color w:val="auto"/>
                <w:w w:val="95"/>
              </w:rPr>
              <w:t>maximum</w:t>
            </w:r>
          </w:p>
        </w:tc>
        <w:tc>
          <w:tcPr>
            <w:tcW w:w="60" w:type="dxa"/>
            <w:vAlign w:val="bottom"/>
          </w:tcPr>
          <w:p>
            <w:pPr>
              <w:spacing w:after="0"/>
              <w:rPr>
                <w:sz w:val="12"/>
                <w:szCs w:val="12"/>
                <w:color w:val="auto"/>
              </w:rPr>
            </w:pPr>
          </w:p>
        </w:tc>
        <w:tc>
          <w:tcPr>
            <w:tcW w:w="1180" w:type="dxa"/>
            <w:vAlign w:val="bottom"/>
            <w:tcBorders>
              <w:right w:val="single" w:sz="8" w:color="auto"/>
            </w:tcBorders>
          </w:tcPr>
          <w:p>
            <w:pPr>
              <w:jc w:val="center"/>
              <w:ind w:right="121"/>
              <w:spacing w:after="0" w:line="149" w:lineRule="exact"/>
              <w:rPr>
                <w:sz w:val="20"/>
                <w:szCs w:val="20"/>
                <w:color w:val="auto"/>
              </w:rPr>
            </w:pPr>
            <w:r>
              <w:rPr>
                <w:rFonts w:ascii="Arial" w:cs="Arial" w:eastAsia="Arial" w:hAnsi="Arial"/>
                <w:sz w:val="14"/>
                <w:szCs w:val="14"/>
                <w:color w:val="auto"/>
                <w:w w:val="95"/>
              </w:rPr>
              <w:t>maximum</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securities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Amount</w:t>
            </w:r>
          </w:p>
        </w:tc>
        <w:tc>
          <w:tcPr>
            <w:tcW w:w="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color w:val="auto"/>
                <w:w w:val="98"/>
              </w:rPr>
              <w:t>offering</w:t>
            </w:r>
          </w:p>
        </w:tc>
        <w:tc>
          <w:tcPr>
            <w:tcW w:w="60" w:type="dxa"/>
            <w:vAlign w:val="bottom"/>
          </w:tcPr>
          <w:p>
            <w:pPr>
              <w:spacing w:after="0"/>
              <w:rPr>
                <w:sz w:val="12"/>
                <w:szCs w:val="12"/>
                <w:color w:val="auto"/>
              </w:rPr>
            </w:pPr>
          </w:p>
        </w:tc>
        <w:tc>
          <w:tcPr>
            <w:tcW w:w="1180" w:type="dxa"/>
            <w:vAlign w:val="bottom"/>
            <w:tcBorders>
              <w:right w:val="single" w:sz="8" w:color="auto"/>
            </w:tcBorders>
          </w:tcPr>
          <w:p>
            <w:pPr>
              <w:jc w:val="center"/>
              <w:ind w:right="101"/>
              <w:spacing w:after="0" w:line="149" w:lineRule="exact"/>
              <w:rPr>
                <w:sz w:val="20"/>
                <w:szCs w:val="20"/>
                <w:color w:val="auto"/>
              </w:rPr>
            </w:pPr>
            <w:r>
              <w:rPr>
                <w:rFonts w:ascii="Arial" w:cs="Arial" w:eastAsia="Arial" w:hAnsi="Arial"/>
                <w:sz w:val="14"/>
                <w:szCs w:val="14"/>
                <w:color w:val="auto"/>
                <w:w w:val="88"/>
              </w:rPr>
              <w:t>aggregate</w:t>
            </w:r>
          </w:p>
        </w:tc>
        <w:tc>
          <w:tcPr>
            <w:tcW w:w="1060" w:type="dxa"/>
            <w:vAlign w:val="bottom"/>
          </w:tcPr>
          <w:p>
            <w:pPr>
              <w:jc w:val="center"/>
              <w:ind w:right="44"/>
              <w:spacing w:after="0" w:line="149" w:lineRule="exact"/>
              <w:rPr>
                <w:sz w:val="20"/>
                <w:szCs w:val="20"/>
                <w:color w:val="auto"/>
              </w:rPr>
            </w:pPr>
            <w:r>
              <w:rPr>
                <w:rFonts w:ascii="Arial" w:cs="Arial" w:eastAsia="Arial" w:hAnsi="Arial"/>
                <w:sz w:val="14"/>
                <w:szCs w:val="14"/>
                <w:color w:val="auto"/>
                <w:w w:val="97"/>
              </w:rPr>
              <w:t>Amount of</w:t>
            </w:r>
          </w:p>
        </w:tc>
        <w:tc>
          <w:tcPr>
            <w:tcW w:w="20" w:type="dxa"/>
            <w:vAlign w:val="bottom"/>
          </w:tcPr>
          <w:p>
            <w:pPr>
              <w:spacing w:after="0"/>
              <w:rPr>
                <w:sz w:val="12"/>
                <w:szCs w:val="12"/>
                <w:color w:val="auto"/>
              </w:rPr>
            </w:pPr>
          </w:p>
        </w:tc>
      </w:tr>
      <w:tr>
        <w:trPr>
          <w:trHeight w:val="149"/>
        </w:trPr>
        <w:tc>
          <w:tcPr>
            <w:tcW w:w="3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 be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to be</w:t>
            </w:r>
          </w:p>
        </w:tc>
        <w:tc>
          <w:tcPr>
            <w:tcW w:w="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gridSpan w:val="2"/>
          </w:tcPr>
          <w:p>
            <w:pPr>
              <w:jc w:val="center"/>
              <w:ind w:right="120"/>
              <w:spacing w:after="0" w:line="149" w:lineRule="exact"/>
              <w:rPr>
                <w:sz w:val="20"/>
                <w:szCs w:val="20"/>
                <w:color w:val="auto"/>
              </w:rPr>
            </w:pPr>
            <w:r>
              <w:rPr>
                <w:rFonts w:ascii="Arial" w:cs="Arial" w:eastAsia="Arial" w:hAnsi="Arial"/>
                <w:sz w:val="14"/>
                <w:szCs w:val="14"/>
                <w:color w:val="auto"/>
                <w:w w:val="98"/>
              </w:rPr>
              <w:t>price</w:t>
            </w:r>
          </w:p>
        </w:tc>
        <w:tc>
          <w:tcPr>
            <w:tcW w:w="60" w:type="dxa"/>
            <w:vAlign w:val="bottom"/>
          </w:tcPr>
          <w:p>
            <w:pPr>
              <w:spacing w:after="0"/>
              <w:rPr>
                <w:sz w:val="12"/>
                <w:szCs w:val="12"/>
                <w:color w:val="auto"/>
              </w:rPr>
            </w:pPr>
          </w:p>
        </w:tc>
        <w:tc>
          <w:tcPr>
            <w:tcW w:w="1180" w:type="dxa"/>
            <w:vAlign w:val="bottom"/>
            <w:tcBorders>
              <w:right w:val="single" w:sz="8" w:color="auto"/>
            </w:tcBorders>
          </w:tcPr>
          <w:p>
            <w:pPr>
              <w:jc w:val="center"/>
              <w:ind w:right="121"/>
              <w:spacing w:after="0" w:line="149" w:lineRule="exact"/>
              <w:rPr>
                <w:sz w:val="20"/>
                <w:szCs w:val="20"/>
                <w:color w:val="auto"/>
              </w:rPr>
            </w:pPr>
            <w:r>
              <w:rPr>
                <w:rFonts w:ascii="Arial" w:cs="Arial" w:eastAsia="Arial" w:hAnsi="Arial"/>
                <w:sz w:val="14"/>
                <w:szCs w:val="14"/>
                <w:color w:val="auto"/>
                <w:w w:val="98"/>
              </w:rPr>
              <w:t>offering</w:t>
            </w:r>
          </w:p>
        </w:tc>
        <w:tc>
          <w:tcPr>
            <w:tcW w:w="1060" w:type="dxa"/>
            <w:vAlign w:val="bottom"/>
          </w:tcPr>
          <w:p>
            <w:pPr>
              <w:jc w:val="center"/>
              <w:ind w:right="44"/>
              <w:spacing w:after="0" w:line="149" w:lineRule="exact"/>
              <w:rPr>
                <w:sz w:val="20"/>
                <w:szCs w:val="20"/>
                <w:color w:val="auto"/>
              </w:rPr>
            </w:pPr>
            <w:r>
              <w:rPr>
                <w:rFonts w:ascii="Arial" w:cs="Arial" w:eastAsia="Arial" w:hAnsi="Arial"/>
                <w:sz w:val="14"/>
                <w:szCs w:val="14"/>
                <w:color w:val="auto"/>
                <w:w w:val="95"/>
              </w:rPr>
              <w:t>registration</w:t>
            </w:r>
          </w:p>
        </w:tc>
        <w:tc>
          <w:tcPr>
            <w:tcW w:w="20" w:type="dxa"/>
            <w:vAlign w:val="bottom"/>
          </w:tcPr>
          <w:p>
            <w:pPr>
              <w:spacing w:after="0"/>
              <w:rPr>
                <w:sz w:val="12"/>
                <w:szCs w:val="12"/>
                <w:color w:val="auto"/>
              </w:rPr>
            </w:pPr>
          </w:p>
        </w:tc>
      </w:tr>
      <w:tr>
        <w:trPr>
          <w:trHeight w:val="167"/>
        </w:trPr>
        <w:tc>
          <w:tcPr>
            <w:tcW w:w="3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registered</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registered</w:t>
            </w:r>
          </w:p>
        </w:tc>
        <w:tc>
          <w:tcPr>
            <w:tcW w:w="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per share (1)</w:t>
            </w: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4"/>
                <w:szCs w:val="14"/>
                <w:color w:val="auto"/>
                <w:w w:val="93"/>
              </w:rPr>
              <w:t>price (1)</w:t>
            </w: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w w:val="92"/>
              </w:rPr>
              <w:t>fee</w:t>
            </w:r>
          </w:p>
        </w:tc>
        <w:tc>
          <w:tcPr>
            <w:tcW w:w="20" w:type="dxa"/>
            <w:vAlign w:val="bottom"/>
          </w:tcPr>
          <w:p>
            <w:pPr>
              <w:spacing w:after="0"/>
              <w:rPr>
                <w:sz w:val="14"/>
                <w:szCs w:val="14"/>
                <w:color w:val="auto"/>
              </w:rPr>
            </w:pPr>
          </w:p>
        </w:tc>
      </w:tr>
      <w:tr>
        <w:trPr>
          <w:trHeight w:val="210"/>
        </w:trPr>
        <w:tc>
          <w:tcPr>
            <w:tcW w:w="3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Common Shares, without par value</w:t>
            </w:r>
          </w:p>
        </w:tc>
        <w:tc>
          <w:tcPr>
            <w:tcW w:w="3220" w:type="dxa"/>
            <w:vAlign w:val="bottom"/>
            <w:tcBorders>
              <w:bottom w:val="single" w:sz="8" w:color="auto"/>
              <w:right w:val="single" w:sz="8" w:color="auto"/>
            </w:tcBorders>
            <w:gridSpan w:val="5"/>
          </w:tcPr>
          <w:p>
            <w:pPr>
              <w:spacing w:after="0"/>
              <w:rPr>
                <w:sz w:val="18"/>
                <w:szCs w:val="18"/>
                <w:color w:val="auto"/>
              </w:rPr>
            </w:pPr>
          </w:p>
        </w:tc>
        <w:tc>
          <w:tcPr>
            <w:tcW w:w="94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8"/>
                <w:szCs w:val="18"/>
                <w:color w:val="auto"/>
              </w:rPr>
              <w:t>150,000</w:t>
            </w:r>
          </w:p>
        </w:tc>
        <w:tc>
          <w:tcPr>
            <w:tcW w:w="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8"/>
                <w:szCs w:val="18"/>
                <w:color w:val="auto"/>
              </w:rPr>
              <w:t>$   67.37</w:t>
            </w: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ind w:right="101"/>
              <w:spacing w:after="0"/>
              <w:rPr>
                <w:sz w:val="20"/>
                <w:szCs w:val="20"/>
                <w:color w:val="auto"/>
              </w:rPr>
            </w:pPr>
            <w:r>
              <w:rPr>
                <w:rFonts w:ascii="Arial" w:cs="Arial" w:eastAsia="Arial" w:hAnsi="Arial"/>
                <w:sz w:val="18"/>
                <w:szCs w:val="18"/>
                <w:color w:val="auto"/>
                <w:w w:val="87"/>
              </w:rPr>
              <w:t>$ 10,105,500</w:t>
            </w: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8"/>
                <w:szCs w:val="18"/>
                <w:color w:val="auto"/>
                <w:w w:val="86"/>
              </w:rPr>
              <w:t>$ 1,189.42</w:t>
            </w:r>
          </w:p>
        </w:tc>
        <w:tc>
          <w:tcPr>
            <w:tcW w:w="20" w:type="dxa"/>
            <w:vAlign w:val="bottom"/>
          </w:tcPr>
          <w:p>
            <w:pPr>
              <w:spacing w:after="0"/>
              <w:rPr>
                <w:sz w:val="18"/>
                <w:szCs w:val="18"/>
                <w:color w:val="auto"/>
              </w:rPr>
            </w:pPr>
          </w:p>
        </w:tc>
      </w:tr>
    </w:tbl>
    <w:p>
      <w:pPr>
        <w:spacing w:after="0" w:line="215" w:lineRule="exact"/>
        <w:rPr>
          <w:sz w:val="20"/>
          <w:szCs w:val="20"/>
          <w:color w:val="auto"/>
        </w:rPr>
      </w:pPr>
    </w:p>
    <w:p>
      <w:pPr>
        <w:ind w:left="460" w:right="20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aggregate offering price and the registration fee pursuant to Rules 457(c) and 457(h) promulgated under the Securities Act of 1933, as amended, and computed on the basis of $67.37 per share, which is the average of the high and low sales prices of the common shares as reported on the New York Stock Exchange on April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568325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2739" w:hanging="310"/>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 INFORMATION REQUIRED IN THE REGISTRATION STATEMENT</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3. Incorporation of Documents by Reference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INDEX TO EXHIBITS</w:t>
        </w:r>
      </w:hyperlink>
    </w:p>
    <w:p>
      <w:pPr>
        <w:spacing w:after="0" w:line="231" w:lineRule="auto"/>
        <w:rPr>
          <w:sz w:val="20"/>
          <w:szCs w:val="20"/>
          <w:color w:val="auto"/>
        </w:rPr>
      </w:pPr>
      <w:r>
        <w:rPr>
          <w:rFonts w:ascii="Arial" w:cs="Arial" w:eastAsia="Arial" w:hAnsi="Arial"/>
          <w:sz w:val="22"/>
          <w:szCs w:val="22"/>
          <w:u w:val="single" w:color="auto"/>
          <w:color w:val="0000EE"/>
        </w:rPr>
        <w:t>Exhibit 5.1</w:t>
      </w:r>
    </w:p>
    <w:p>
      <w:pPr>
        <w:spacing w:after="0" w:line="230" w:lineRule="auto"/>
        <w:rPr>
          <w:sz w:val="20"/>
          <w:szCs w:val="20"/>
          <w:color w:val="auto"/>
        </w:rPr>
      </w:pPr>
      <w:r>
        <w:rPr>
          <w:rFonts w:ascii="Arial" w:cs="Arial" w:eastAsia="Arial" w:hAnsi="Arial"/>
          <w:sz w:val="22"/>
          <w:szCs w:val="22"/>
          <w:u w:val="single" w:color="auto"/>
          <w:color w:val="0000EE"/>
        </w:rPr>
        <w:t>EX-23.1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w:t>
      </w:r>
    </w:p>
    <w:p>
      <w:pPr>
        <w:spacing w:after="0" w:line="198" w:lineRule="exact"/>
        <w:rPr>
          <w:sz w:val="20"/>
          <w:szCs w:val="20"/>
          <w:color w:val="auto"/>
        </w:rPr>
      </w:pPr>
    </w:p>
    <w:p>
      <w:pPr>
        <w:ind w:right="3080" w:firstLine="3086"/>
        <w:spacing w:after="0" w:line="454" w:lineRule="auto"/>
        <w:rPr>
          <w:sz w:val="20"/>
          <w:szCs w:val="20"/>
          <w:color w:val="auto"/>
        </w:rPr>
      </w:pPr>
      <w:r>
        <w:rPr>
          <w:rFonts w:ascii="Arial" w:cs="Arial" w:eastAsia="Arial" w:hAnsi="Arial"/>
          <w:sz w:val="18"/>
          <w:szCs w:val="18"/>
          <w:color w:val="auto"/>
        </w:rPr>
        <w:t xml:space="preserve">INFORMATION REQUIRED IN THE REGISTRATION STATEMENT </w:t>
      </w:r>
      <w:r>
        <w:rPr>
          <w:rFonts w:ascii="Arial" w:cs="Arial" w:eastAsia="Arial" w:hAnsi="Arial"/>
          <w:sz w:val="18"/>
          <w:szCs w:val="18"/>
          <w:u w:val="single" w:color="auto"/>
          <w:color w:val="auto"/>
        </w:rPr>
        <w:t>Item 3. Incorporation of Documents by Reference</w:t>
      </w:r>
      <w:r>
        <w:rPr>
          <w:rFonts w:ascii="Arial" w:cs="Arial" w:eastAsia="Arial" w:hAnsi="Arial"/>
          <w:sz w:val="18"/>
          <w:szCs w:val="18"/>
          <w:color w:val="auto"/>
        </w:rPr>
        <w:t>.</w:t>
      </w:r>
    </w:p>
    <w:p>
      <w:pPr>
        <w:ind w:right="160" w:firstLine="222"/>
        <w:spacing w:after="0" w:line="264" w:lineRule="auto"/>
        <w:rPr>
          <w:sz w:val="20"/>
          <w:szCs w:val="20"/>
          <w:color w:val="auto"/>
        </w:rPr>
      </w:pPr>
      <w:r>
        <w:rPr>
          <w:rFonts w:ascii="Arial" w:cs="Arial" w:eastAsia="Arial" w:hAnsi="Arial"/>
          <w:sz w:val="18"/>
          <w:szCs w:val="18"/>
          <w:color w:val="auto"/>
        </w:rPr>
        <w:t>The Scotts Miracle-Gro Company (the “Registrant”) hereby incorporates into this Registration Statement on Form S-8 (the “Registration Statement”) the following documents filed by the Registrant and its public company predecessor, The Scotts Company, with the Securities and Exchange Commission (the “Commission”):</w:t>
      </w:r>
    </w:p>
    <w:p>
      <w:pPr>
        <w:spacing w:after="0" w:line="181" w:lineRule="exact"/>
        <w:rPr>
          <w:sz w:val="20"/>
          <w:szCs w:val="20"/>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of The Scotts Company for the fiscal year ended September 30, 2004.</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Quarterly Report on Form 10-Q of The Scotts Company for the quarterly period ended January 1, 2005.</w:t>
      </w:r>
    </w:p>
    <w:p>
      <w:pPr>
        <w:spacing w:after="0" w:line="225" w:lineRule="exact"/>
        <w:rPr>
          <w:rFonts w:ascii="Arial" w:cs="Arial" w:eastAsia="Arial" w:hAnsi="Arial"/>
          <w:sz w:val="18"/>
          <w:szCs w:val="18"/>
          <w:color w:val="auto"/>
        </w:rPr>
      </w:pPr>
    </w:p>
    <w:p>
      <w:pPr>
        <w:ind w:left="1020" w:right="640" w:hanging="445"/>
        <w:spacing w:after="0" w:line="342" w:lineRule="auto"/>
        <w:tabs>
          <w:tab w:leader="none" w:pos="10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Current Reports on Form 8-K filed by The Scotts Company with the Commission on November 19, 2004, December 8, 2004 (as subsequently amended by the Current Report on Form 8-K/A filed with the Commission on December 17, 2004) and February 2, 2005.</w:t>
      </w:r>
    </w:p>
    <w:p>
      <w:pPr>
        <w:spacing w:after="0" w:line="123" w:lineRule="exact"/>
        <w:rPr>
          <w:rFonts w:ascii="Arial" w:cs="Arial" w:eastAsia="Arial" w:hAnsi="Arial"/>
          <w:sz w:val="16"/>
          <w:szCs w:val="16"/>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Report on Form 8-K filed by the Registrant with the Commission on March 24, 2005.</w:t>
      </w:r>
    </w:p>
    <w:p>
      <w:pPr>
        <w:spacing w:after="0" w:line="225" w:lineRule="exact"/>
        <w:rPr>
          <w:rFonts w:ascii="Arial" w:cs="Arial" w:eastAsia="Arial" w:hAnsi="Arial"/>
          <w:sz w:val="18"/>
          <w:szCs w:val="18"/>
          <w:color w:val="auto"/>
        </w:rPr>
      </w:pPr>
    </w:p>
    <w:p>
      <w:pPr>
        <w:ind w:left="1020" w:right="120" w:hanging="445"/>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shares, without par value, contained in the Registrant’s Current Report on Form 8-K filed with the Commission on March 24, 2005.</w:t>
      </w:r>
    </w:p>
    <w:p>
      <w:pPr>
        <w:spacing w:after="0" w:line="170"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Any definitive proxy statement or information statement filed by the Registrant pursuant to Section 14 of the Securities Exchange Act of 1934, as amended (the “Exchange Act”), and all documents which may be filed by the Registrant with the Commission pursuant to Section 13, 14 or 15(d) of the Exchange Act subsequent to the date hereof and prior to the completion of the offering contemplated by The Scotts Miracle-Gro Company Discounted Stock Purchase Plan, shall also be deemed to be incorporated herein by reference and to be made a part hereof from the date of filing of such documents. Information furnished by the Registrant or The Scotts Company under any Current Report on Form 8-K is not incorporated by reference in this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Description of Securities</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Interests of Named Experts and Counsel</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Indemnification of Directors and Officers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Section 10.05 of The Scotts Miracle-Gro Company Discounted Stock Purchase Plan (the “Plan”), provides for indemnification of the Registrant’s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(the “Board”) and the committee appointed by the Board (the “Committee”) to administer the Plan as follows:</w:t>
      </w:r>
    </w:p>
    <w:p>
      <w:pPr>
        <w:spacing w:after="0" w:line="166" w:lineRule="exact"/>
        <w:rPr>
          <w:sz w:val="20"/>
          <w:szCs w:val="20"/>
          <w:color w:val="auto"/>
        </w:rPr>
      </w:pPr>
    </w:p>
    <w:p>
      <w:pPr>
        <w:ind w:left="360" w:firstLine="225"/>
        <w:spacing w:after="0" w:line="270" w:lineRule="auto"/>
        <w:rPr>
          <w:sz w:val="20"/>
          <w:szCs w:val="20"/>
          <w:color w:val="auto"/>
        </w:rPr>
      </w:pPr>
      <w:r>
        <w:rPr>
          <w:rFonts w:ascii="Arial" w:cs="Arial" w:eastAsia="Arial" w:hAnsi="Arial"/>
          <w:sz w:val="17"/>
          <w:szCs w:val="17"/>
          <w:color w:val="auto"/>
        </w:rPr>
        <w:t xml:space="preserve">10.05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Each individual who is or was a member of the Committee or of the Board will be indemnified and held harmless by the Company against and from any loss, cost, liability or expense that may be imposed upon or reasonably incurred by him or her in connection with or resulting from any claim, action, suit or proceeding to which he or she may be made a party or in which he or she may be involved by reason of any action taken or failure to take action under the Plan as a Committee member and against and from any and all amounts paid, with the Company’s approval, by him or her in settlement of any matter related to or arising from the Plan as a Committee member or paid by him or her in satisfaction of any judgment in any action, suit or proceeding relating to or arising from the Plan against him or her as a Committee member, but only if he or she gives the Company an opportunity, at its own expense, to handle and defend the matter before he or she undertakes to handle and defend it in his or her own behalf. The right of indemnification described in this section is not exclusive and is independent of any other rights of indemnification to which the individual may be entitled under the Company’s organizational documents, by contract, as a matter of law or otherwise. The foregoing right of indemnification is not exclusive and is independent of any other rights of indemnification to which the person may be entitled under the Company’s organizational documents, by contract, as a matter of law or otherwise.</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Article Five of the Code of Regulations of the Registrant governs the indemnification of officers and directors of the Registrant. Article Five provides:</w:t>
      </w:r>
    </w:p>
    <w:p>
      <w:pPr>
        <w:spacing w:after="0" w:line="210" w:lineRule="exact"/>
        <w:rPr>
          <w:sz w:val="20"/>
          <w:szCs w:val="20"/>
          <w:color w:val="auto"/>
        </w:rPr>
      </w:pPr>
    </w:p>
    <w:p>
      <w:pPr>
        <w:ind w:left="360" w:right="120" w:firstLine="225"/>
        <w:spacing w:after="0" w:line="290" w:lineRule="auto"/>
        <w:rPr>
          <w:sz w:val="20"/>
          <w:szCs w:val="20"/>
          <w:color w:val="auto"/>
        </w:rPr>
      </w:pPr>
      <w:r>
        <w:rPr>
          <w:rFonts w:ascii="Arial" w:cs="Arial" w:eastAsia="Arial" w:hAnsi="Arial"/>
          <w:sz w:val="16"/>
          <w:szCs w:val="16"/>
          <w:u w:val="single" w:color="auto"/>
          <w:color w:val="auto"/>
        </w:rPr>
        <w:t>Section 5.01. Mandatory Indemnification</w:t>
      </w:r>
      <w:r>
        <w:rPr>
          <w:rFonts w:ascii="Arial" w:cs="Arial" w:eastAsia="Arial" w:hAnsi="Arial"/>
          <w:sz w:val="16"/>
          <w:szCs w:val="16"/>
          <w:color w:val="auto"/>
        </w:rPr>
        <w:t>.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57" w:lineRule="auto"/>
        <w:rPr>
          <w:sz w:val="20"/>
          <w:szCs w:val="20"/>
          <w:color w:val="auto"/>
        </w:rPr>
      </w:pPr>
      <w:r>
        <w:rPr>
          <w:rFonts w:ascii="Arial" w:cs="Arial" w:eastAsia="Arial" w:hAnsi="Arial"/>
          <w:sz w:val="18"/>
          <w:szCs w:val="18"/>
          <w:color w:val="auto"/>
        </w:rPr>
        <w:t>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5.02. Court-Approved Indemnification</w:t>
      </w:r>
      <w:r>
        <w:rPr>
          <w:rFonts w:ascii="Arial" w:cs="Arial" w:eastAsia="Arial" w:hAnsi="Arial"/>
          <w:sz w:val="18"/>
          <w:szCs w:val="18"/>
          <w:color w:val="auto"/>
        </w:rPr>
        <w:t>. Anything contained in the Regulations or elsewhere to the contrary notwithstanding:</w:t>
      </w:r>
    </w:p>
    <w:p>
      <w:pPr>
        <w:spacing w:after="0" w:line="185" w:lineRule="exact"/>
        <w:rPr>
          <w:sz w:val="20"/>
          <w:szCs w:val="20"/>
          <w:color w:val="auto"/>
        </w:rPr>
      </w:pPr>
    </w:p>
    <w:p>
      <w:pPr>
        <w:ind w:left="360" w:right="60" w:firstLine="215"/>
        <w:spacing w:after="0" w:line="270"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141" w:lineRule="exact"/>
        <w:rPr>
          <w:rFonts w:ascii="Arial" w:cs="Arial" w:eastAsia="Arial" w:hAnsi="Arial"/>
          <w:sz w:val="17"/>
          <w:szCs w:val="17"/>
          <w:color w:val="auto"/>
        </w:rPr>
      </w:pPr>
    </w:p>
    <w:p>
      <w:pPr>
        <w:ind w:left="860" w:hanging="285"/>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corporation shall promptly make any such unpaid indemnification as is determined by a court to be proper as contemplated by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5.02.</w:t>
      </w:r>
    </w:p>
    <w:p>
      <w:pPr>
        <w:spacing w:after="0" w:line="184" w:lineRule="exact"/>
        <w:rPr>
          <w:sz w:val="20"/>
          <w:szCs w:val="20"/>
          <w:color w:val="auto"/>
        </w:rPr>
      </w:pPr>
    </w:p>
    <w:p>
      <w:pPr>
        <w:ind w:left="360" w:right="80" w:firstLine="225"/>
        <w:spacing w:after="0" w:line="291" w:lineRule="auto"/>
        <w:rPr>
          <w:sz w:val="20"/>
          <w:szCs w:val="20"/>
          <w:color w:val="auto"/>
        </w:rPr>
      </w:pPr>
      <w:r>
        <w:rPr>
          <w:rFonts w:ascii="Arial" w:cs="Arial" w:eastAsia="Arial" w:hAnsi="Arial"/>
          <w:sz w:val="16"/>
          <w:szCs w:val="16"/>
          <w:u w:val="single" w:color="auto"/>
          <w:color w:val="auto"/>
        </w:rPr>
        <w:t>Section 5.03. Indemnification for Expenses</w:t>
      </w:r>
      <w:r>
        <w:rPr>
          <w:rFonts w:ascii="Arial" w:cs="Arial" w:eastAsia="Arial" w:hAnsi="Arial"/>
          <w:sz w:val="16"/>
          <w:szCs w:val="16"/>
          <w:color w:val="auto"/>
        </w:rPr>
        <w:t>. Anything contained in the Regulations or elsewhere to the contrary notwithstanding, to the extent that an officer or director of the corporation has been successful on the merits or otherwise in defense of any action, suit or proceeding referred to in</w:t>
      </w:r>
    </w:p>
    <w:p>
      <w:pPr>
        <w:ind w:left="360" w:right="60"/>
        <w:spacing w:after="0" w:line="323" w:lineRule="auto"/>
        <w:rPr>
          <w:sz w:val="20"/>
          <w:szCs w:val="20"/>
          <w:color w:val="auto"/>
        </w:rPr>
      </w:pPr>
      <w:r>
        <w:rPr>
          <w:rFonts w:ascii="Arial" w:cs="Arial" w:eastAsia="Arial" w:hAnsi="Arial"/>
          <w:sz w:val="16"/>
          <w:szCs w:val="16"/>
          <w:color w:val="auto"/>
        </w:rPr>
        <w:t>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98" w:lineRule="exact"/>
        <w:rPr>
          <w:sz w:val="20"/>
          <w:szCs w:val="20"/>
          <w:color w:val="auto"/>
        </w:rPr>
      </w:pPr>
    </w:p>
    <w:p>
      <w:pPr>
        <w:ind w:left="360" w:right="220" w:firstLine="225"/>
        <w:spacing w:after="0" w:line="277" w:lineRule="auto"/>
        <w:rPr>
          <w:sz w:val="20"/>
          <w:szCs w:val="20"/>
          <w:color w:val="auto"/>
        </w:rPr>
      </w:pPr>
      <w:r>
        <w:rPr>
          <w:rFonts w:ascii="Arial" w:cs="Arial" w:eastAsia="Arial" w:hAnsi="Arial"/>
          <w:sz w:val="18"/>
          <w:szCs w:val="18"/>
          <w:u w:val="single" w:color="auto"/>
          <w:color w:val="auto"/>
        </w:rPr>
        <w:t>Section 5.04. Determination Required</w:t>
      </w:r>
      <w:r>
        <w:rPr>
          <w:rFonts w:ascii="Arial" w:cs="Arial" w:eastAsia="Arial" w:hAnsi="Arial"/>
          <w:sz w:val="18"/>
          <w:szCs w:val="18"/>
          <w:color w:val="auto"/>
        </w:rPr>
        <w:t>. Any indemnification required under Section 5.01 and not precluded under Section 5.02 shall be made by the corporation only upon a determination that such indemnification of the officer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20"/>
        <w:spacing w:after="0" w:line="283" w:lineRule="auto"/>
        <w:rPr>
          <w:sz w:val="20"/>
          <w:szCs w:val="20"/>
          <w:color w:val="auto"/>
        </w:rPr>
      </w:pPr>
      <w:r>
        <w:rPr>
          <w:rFonts w:ascii="Arial" w:cs="Arial" w:eastAsia="Arial" w:hAnsi="Arial"/>
          <w:sz w:val="16"/>
          <w:szCs w:val="16"/>
          <w:color w:val="auto"/>
        </w:rPr>
        <w:t>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w:t>
      </w:r>
    </w:p>
    <w:p>
      <w:pPr>
        <w:spacing w:after="0" w:line="6" w:lineRule="exact"/>
        <w:rPr>
          <w:sz w:val="20"/>
          <w:szCs w:val="20"/>
          <w:color w:val="auto"/>
        </w:rPr>
      </w:pPr>
    </w:p>
    <w:p>
      <w:pPr>
        <w:ind w:left="360" w:right="100" w:hanging="10"/>
        <w:spacing w:after="0" w:line="270"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152"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5.05. Advances for Expenses</w:t>
      </w:r>
      <w:r>
        <w:rPr>
          <w:rFonts w:ascii="Arial" w:cs="Arial" w:eastAsia="Arial" w:hAnsi="Arial"/>
          <w:sz w:val="18"/>
          <w:szCs w:val="18"/>
          <w:color w:val="auto"/>
        </w:rPr>
        <w:t>.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48" w:lineRule="exact"/>
        <w:rPr>
          <w:sz w:val="20"/>
          <w:szCs w:val="20"/>
          <w:color w:val="auto"/>
        </w:rPr>
      </w:pPr>
    </w:p>
    <w:p>
      <w:pPr>
        <w:ind w:left="360" w:right="480" w:firstLine="215"/>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it shall ultimately be determined as provided in Section 5.04 that he is not entitled to be indemnified by the corporation as provided under Section 5.01;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80" w:firstLine="215"/>
        <w:spacing w:after="0" w:line="257" w:lineRule="auto"/>
        <w:tabs>
          <w:tab w:leader="none" w:pos="87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161" w:lineRule="exact"/>
        <w:rPr>
          <w:sz w:val="20"/>
          <w:szCs w:val="20"/>
          <w:color w:val="auto"/>
        </w:rPr>
      </w:pPr>
    </w:p>
    <w:p>
      <w:pPr>
        <w:ind w:left="360" w:firstLine="225"/>
        <w:spacing w:after="0" w:line="257" w:lineRule="auto"/>
        <w:rPr>
          <w:sz w:val="20"/>
          <w:szCs w:val="20"/>
          <w:color w:val="auto"/>
        </w:rPr>
      </w:pPr>
      <w:r>
        <w:rPr>
          <w:rFonts w:ascii="Arial" w:cs="Arial" w:eastAsia="Arial" w:hAnsi="Arial"/>
          <w:sz w:val="18"/>
          <w:szCs w:val="18"/>
          <w:u w:val="single" w:color="auto"/>
          <w:color w:val="auto"/>
        </w:rPr>
        <w:t>Section 5.06. Article FIVE Not Exclusive</w:t>
      </w:r>
      <w:r>
        <w:rPr>
          <w:rFonts w:ascii="Arial" w:cs="Arial" w:eastAsia="Arial" w:hAnsi="Arial"/>
          <w:sz w:val="18"/>
          <w:szCs w:val="18"/>
          <w:color w:val="auto"/>
        </w:rPr>
        <w:t>.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48" w:lineRule="exact"/>
        <w:rPr>
          <w:sz w:val="20"/>
          <w:szCs w:val="20"/>
          <w:color w:val="auto"/>
        </w:rPr>
      </w:pPr>
    </w:p>
    <w:p>
      <w:pPr>
        <w:ind w:left="360" w:right="40" w:firstLine="225"/>
        <w:spacing w:after="0" w:line="255" w:lineRule="auto"/>
        <w:rPr>
          <w:sz w:val="20"/>
          <w:szCs w:val="20"/>
          <w:color w:val="auto"/>
        </w:rPr>
      </w:pPr>
      <w:r>
        <w:rPr>
          <w:rFonts w:ascii="Arial" w:cs="Arial" w:eastAsia="Arial" w:hAnsi="Arial"/>
          <w:sz w:val="18"/>
          <w:szCs w:val="18"/>
          <w:u w:val="single" w:color="auto"/>
          <w:color w:val="auto"/>
        </w:rPr>
        <w:t>Section 5.07. Insurance</w:t>
      </w:r>
      <w:r>
        <w:rPr>
          <w:rFonts w:ascii="Arial" w:cs="Arial" w:eastAsia="Arial" w:hAnsi="Arial"/>
          <w:sz w:val="18"/>
          <w:szCs w:val="18"/>
          <w:color w:val="auto"/>
        </w:rPr>
        <w:t>.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Section 5.08. Certain Definitions</w:t>
      </w:r>
      <w:r>
        <w:rPr>
          <w:rFonts w:ascii="Arial" w:cs="Arial" w:eastAsia="Arial" w:hAnsi="Arial"/>
          <w:sz w:val="18"/>
          <w:szCs w:val="18"/>
          <w:color w:val="auto"/>
        </w:rPr>
        <w:t>. For purposes of this Article FIVE, and as examples and not by way of limitation:</w:t>
      </w:r>
    </w:p>
    <w:p>
      <w:pPr>
        <w:spacing w:after="0" w:line="198" w:lineRule="exact"/>
        <w:rPr>
          <w:sz w:val="20"/>
          <w:szCs w:val="20"/>
          <w:color w:val="auto"/>
        </w:rPr>
      </w:pPr>
    </w:p>
    <w:p>
      <w:pPr>
        <w:ind w:left="360" w:right="120" w:firstLine="215"/>
        <w:spacing w:after="0" w:line="297"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firstLine="215"/>
        <w:spacing w:after="0" w:line="273" w:lineRule="auto"/>
        <w:tabs>
          <w:tab w:leader="none" w:pos="87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51" w:lineRule="exact"/>
        <w:rPr>
          <w:sz w:val="20"/>
          <w:szCs w:val="20"/>
          <w:color w:val="auto"/>
        </w:rPr>
      </w:pPr>
    </w:p>
    <w:p>
      <w:pPr>
        <w:ind w:left="360" w:right="240" w:firstLine="225"/>
        <w:spacing w:after="0" w:line="259" w:lineRule="auto"/>
        <w:rPr>
          <w:sz w:val="20"/>
          <w:szCs w:val="20"/>
          <w:color w:val="auto"/>
        </w:rPr>
      </w:pPr>
      <w:r>
        <w:rPr>
          <w:rFonts w:ascii="Arial" w:cs="Arial" w:eastAsia="Arial" w:hAnsi="Arial"/>
          <w:sz w:val="18"/>
          <w:szCs w:val="18"/>
          <w:u w:val="single" w:color="auto"/>
          <w:color w:val="auto"/>
        </w:rPr>
        <w:t>Section 5.09. Venue</w:t>
      </w:r>
      <w:r>
        <w:rPr>
          <w:rFonts w:ascii="Arial" w:cs="Arial" w:eastAsia="Arial" w:hAnsi="Arial"/>
          <w:sz w:val="18"/>
          <w:szCs w:val="18"/>
          <w:color w:val="auto"/>
        </w:rPr>
        <w:t>.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Division (E) of Section 1701.13 of the Ohio Revised Code addresses indemnification by an Ohio corporation and provides as follows:</w:t>
      </w:r>
    </w:p>
    <w:p>
      <w:pPr>
        <w:spacing w:after="0" w:line="185" w:lineRule="exact"/>
        <w:rPr>
          <w:sz w:val="20"/>
          <w:szCs w:val="20"/>
          <w:color w:val="auto"/>
        </w:rPr>
      </w:pPr>
    </w:p>
    <w:p>
      <w:pPr>
        <w:ind w:left="360" w:right="80" w:firstLine="225"/>
        <w:spacing w:after="0" w:line="269" w:lineRule="auto"/>
        <w:rPr>
          <w:sz w:val="20"/>
          <w:szCs w:val="20"/>
          <w:color w:val="auto"/>
        </w:rPr>
      </w:pPr>
      <w:r>
        <w:rPr>
          <w:rFonts w:ascii="Arial" w:cs="Arial" w:eastAsia="Arial" w:hAnsi="Arial"/>
          <w:sz w:val="17"/>
          <w:szCs w:val="17"/>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56" w:lineRule="exact"/>
        <w:rPr>
          <w:sz w:val="20"/>
          <w:szCs w:val="20"/>
          <w:color w:val="auto"/>
        </w:rPr>
      </w:pPr>
    </w:p>
    <w:p>
      <w:pPr>
        <w:jc w:val="center"/>
        <w:ind w:left="5600" w:right="500" w:hanging="5025"/>
        <w:spacing w:after="0" w:line="481" w:lineRule="auto"/>
        <w:tabs>
          <w:tab w:leader="none" w:pos="821"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may indemnify or agree to indemnify any person who was or is a party, or is threatened to be made a party, to any threatened,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66" w:lineRule="exact"/>
        <w:rPr>
          <w:sz w:val="20"/>
          <w:szCs w:val="20"/>
          <w:color w:val="auto"/>
        </w:rPr>
      </w:pPr>
    </w:p>
    <w:p>
      <w:pPr>
        <w:ind w:left="360" w:right="360" w:firstLine="215"/>
        <w:spacing w:after="0" w:line="279" w:lineRule="auto"/>
        <w:tabs>
          <w:tab w:leader="none" w:pos="8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30" w:lineRule="exact"/>
        <w:rPr>
          <w:rFonts w:ascii="Arial" w:cs="Arial" w:eastAsia="Arial" w:hAnsi="Arial"/>
          <w:sz w:val="17"/>
          <w:szCs w:val="17"/>
          <w:color w:val="auto"/>
        </w:rPr>
      </w:pPr>
    </w:p>
    <w:p>
      <w:pPr>
        <w:ind w:left="840" w:hanging="265"/>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or suit in which the only liability asserted against a director is pursuant to section 1701.95 of the Revised Code.</w:t>
      </w:r>
    </w:p>
    <w:p>
      <w:pPr>
        <w:spacing w:after="0" w:line="185" w:lineRule="exact"/>
        <w:rPr>
          <w:sz w:val="20"/>
          <w:szCs w:val="20"/>
          <w:color w:val="auto"/>
        </w:rPr>
      </w:pPr>
    </w:p>
    <w:p>
      <w:pPr>
        <w:ind w:left="360" w:right="300" w:firstLine="215"/>
        <w:spacing w:after="0" w:line="312"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19" w:lineRule="exact"/>
        <w:rPr>
          <w:rFonts w:ascii="Arial" w:cs="Arial" w:eastAsia="Arial" w:hAnsi="Arial"/>
          <w:sz w:val="16"/>
          <w:szCs w:val="16"/>
          <w:color w:val="auto"/>
        </w:rPr>
      </w:pPr>
    </w:p>
    <w:p>
      <w:pPr>
        <w:ind w:left="360" w:right="140" w:firstLine="215"/>
        <w:spacing w:after="0" w:line="259"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146" w:lineRule="exact"/>
        <w:rPr>
          <w:sz w:val="20"/>
          <w:szCs w:val="20"/>
          <w:color w:val="auto"/>
        </w:rPr>
      </w:pPr>
    </w:p>
    <w:p>
      <w:pPr>
        <w:ind w:left="360" w:right="140" w:firstLine="215"/>
        <w:spacing w:after="0" w:line="277" w:lineRule="auto"/>
        <w:tabs>
          <w:tab w:leader="none" w:pos="8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129" w:lineRule="exact"/>
        <w:rPr>
          <w:rFonts w:ascii="Arial" w:cs="Arial" w:eastAsia="Arial" w:hAnsi="Arial"/>
          <w:sz w:val="18"/>
          <w:szCs w:val="18"/>
          <w:color w:val="auto"/>
        </w:rPr>
      </w:pPr>
    </w:p>
    <w:p>
      <w:pPr>
        <w:jc w:val="both"/>
        <w:ind w:left="360" w:right="60" w:firstLine="215"/>
        <w:spacing w:after="0" w:line="264"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performed services for the corporation or any person to be indemnified within the past five years;</w:t>
      </w:r>
    </w:p>
    <w:p>
      <w:pPr>
        <w:spacing w:after="0" w:line="198" w:lineRule="exact"/>
        <w:rPr>
          <w:sz w:val="20"/>
          <w:szCs w:val="20"/>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184" w:lineRule="exact"/>
        <w:rPr>
          <w:rFonts w:ascii="Arial" w:cs="Arial" w:eastAsia="Arial" w:hAnsi="Arial"/>
          <w:sz w:val="18"/>
          <w:szCs w:val="18"/>
          <w:color w:val="auto"/>
        </w:rPr>
      </w:pPr>
    </w:p>
    <w:p>
      <w:pPr>
        <w:ind w:left="840" w:hanging="265"/>
        <w:spacing w:after="0"/>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the court of common pleas or the court in which the action, suit, or proceeding referred to in division (E)(1) or (2) of this section was brought.</w:t>
      </w:r>
    </w:p>
    <w:p>
      <w:pPr>
        <w:spacing w:after="0" w:line="208" w:lineRule="exact"/>
        <w:rPr>
          <w:sz w:val="20"/>
          <w:szCs w:val="20"/>
          <w:color w:val="auto"/>
        </w:rPr>
      </w:pPr>
    </w:p>
    <w:p>
      <w:pPr>
        <w:jc w:val="both"/>
        <w:ind w:left="360" w:right="100"/>
        <w:spacing w:after="0" w:line="279" w:lineRule="auto"/>
        <w:rPr>
          <w:sz w:val="20"/>
          <w:szCs w:val="20"/>
          <w:color w:val="auto"/>
        </w:rPr>
      </w:pPr>
      <w:r>
        <w:rPr>
          <w:rFonts w:ascii="Arial" w:cs="Arial" w:eastAsia="Arial" w:hAnsi="Arial"/>
          <w:sz w:val="17"/>
          <w:szCs w:val="17"/>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44" w:lineRule="exact"/>
        <w:rPr>
          <w:sz w:val="20"/>
          <w:szCs w:val="20"/>
          <w:color w:val="auto"/>
        </w:rPr>
      </w:pPr>
    </w:p>
    <w:p>
      <w:pPr>
        <w:jc w:val="both"/>
        <w:ind w:left="360" w:right="40" w:firstLine="225"/>
        <w:spacing w:after="0" w:line="273" w:lineRule="auto"/>
        <w:rPr>
          <w:sz w:val="20"/>
          <w:szCs w:val="20"/>
          <w:color w:val="auto"/>
        </w:rPr>
      </w:pPr>
      <w:r>
        <w:rPr>
          <w:rFonts w:ascii="Arial" w:cs="Arial" w:eastAsia="Arial" w:hAnsi="Arial"/>
          <w:sz w:val="17"/>
          <w:szCs w:val="17"/>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138" w:lineRule="exact"/>
        <w:rPr>
          <w:sz w:val="20"/>
          <w:szCs w:val="20"/>
          <w:color w:val="auto"/>
        </w:rPr>
      </w:pPr>
    </w:p>
    <w:p>
      <w:pPr>
        <w:ind w:left="360" w:firstLine="215"/>
        <w:spacing w:after="0" w:line="264"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140" w:lineRule="exact"/>
        <w:rPr>
          <w:rFonts w:ascii="Arial" w:cs="Arial" w:eastAsia="Arial" w:hAnsi="Arial"/>
          <w:sz w:val="18"/>
          <w:szCs w:val="18"/>
          <w:color w:val="auto"/>
        </w:rPr>
      </w:pPr>
    </w:p>
    <w:p>
      <w:pPr>
        <w:ind w:left="840" w:hanging="265"/>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Reasonably cooperate with the corporation concerning the action, suit, or proceeding.</w:t>
      </w:r>
    </w:p>
    <w:p>
      <w:pPr>
        <w:spacing w:after="0" w:line="198" w:lineRule="exact"/>
        <w:rPr>
          <w:sz w:val="20"/>
          <w:szCs w:val="20"/>
          <w:color w:val="auto"/>
        </w:rPr>
      </w:pPr>
    </w:p>
    <w:p>
      <w:pPr>
        <w:ind w:left="360" w:right="40" w:firstLine="215"/>
        <w:spacing w:after="0" w:line="25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firstLine="215"/>
        <w:spacing w:after="0" w:line="302"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27" w:lineRule="exact"/>
        <w:rPr>
          <w:rFonts w:ascii="Arial" w:cs="Arial" w:eastAsia="Arial" w:hAnsi="Arial"/>
          <w:sz w:val="16"/>
          <w:szCs w:val="16"/>
          <w:color w:val="auto"/>
        </w:rPr>
      </w:pPr>
    </w:p>
    <w:p>
      <w:pPr>
        <w:ind w:left="360" w:firstLine="215"/>
        <w:spacing w:after="0" w:line="293"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24" w:lineRule="exact"/>
        <w:rPr>
          <w:rFonts w:ascii="Arial" w:cs="Arial" w:eastAsia="Arial" w:hAnsi="Arial"/>
          <w:sz w:val="16"/>
          <w:szCs w:val="16"/>
          <w:color w:val="auto"/>
        </w:rPr>
      </w:pPr>
    </w:p>
    <w:p>
      <w:pPr>
        <w:ind w:left="360" w:right="60" w:firstLine="215"/>
        <w:spacing w:after="0" w:line="312"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106" w:lineRule="exact"/>
        <w:rPr>
          <w:rFonts w:ascii="Arial" w:cs="Arial" w:eastAsia="Arial" w:hAnsi="Arial"/>
          <w:sz w:val="16"/>
          <w:szCs w:val="16"/>
          <w:color w:val="auto"/>
        </w:rPr>
      </w:pPr>
    </w:p>
    <w:p>
      <w:pPr>
        <w:ind w:left="360" w:firstLine="215"/>
        <w:spacing w:after="0" w:line="255"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66"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Registrant has purchased insurance coverage under a policy which insures directors and officers against certain liabilities which might be incurred by them in such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Exemption from Registration Claimed</w:t>
      </w:r>
      <w:r>
        <w:rPr>
          <w:rFonts w:ascii="Arial" w:cs="Arial" w:eastAsia="Arial" w:hAnsi="Arial"/>
          <w:sz w:val="18"/>
          <w:szCs w:val="18"/>
          <w:color w:val="auto"/>
        </w:rPr>
        <w: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Exhibits</w:t>
      </w:r>
      <w:r>
        <w:rPr>
          <w:rFonts w:ascii="Arial" w:cs="Arial" w:eastAsia="Arial" w:hAnsi="Arial"/>
          <w:sz w:val="18"/>
          <w:szCs w:val="18"/>
          <w:color w:val="auto"/>
        </w:rPr>
        <w: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Index to Exhibits attached hereto and beginning at page 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Undertakings</w:t>
      </w:r>
      <w:r>
        <w:rPr>
          <w:rFonts w:ascii="Arial" w:cs="Arial" w:eastAsia="Arial" w:hAnsi="Arial"/>
          <w:sz w:val="18"/>
          <w:szCs w:val="18"/>
          <w:color w:val="auto"/>
        </w:rPr>
        <w:t>.</w:t>
      </w:r>
    </w:p>
    <w:p>
      <w:pPr>
        <w:spacing w:after="0" w:line="22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360" w:hanging="447"/>
        <w:spacing w:after="0" w:line="272" w:lineRule="auto"/>
        <w:tabs>
          <w:tab w:leader="none" w:pos="13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60" w:right="220" w:hanging="447"/>
        <w:spacing w:after="0" w:line="277" w:lineRule="auto"/>
        <w:tabs>
          <w:tab w:leader="none" w:pos="1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900" w:right="80"/>
        <w:spacing w:after="0" w:line="286" w:lineRule="auto"/>
        <w:rPr>
          <w:sz w:val="20"/>
          <w:szCs w:val="20"/>
          <w:color w:val="auto"/>
        </w:rPr>
      </w:pPr>
      <w:r>
        <w:rPr>
          <w:rFonts w:ascii="Arial" w:cs="Arial" w:eastAsia="Arial" w:hAnsi="Arial"/>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9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40" w:hanging="446"/>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ind w:left="460" w:hanging="452"/>
        <w:spacing w:after="0" w:line="271"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98"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29</w:t>
      </w:r>
      <w:r>
        <w:rPr>
          <w:rFonts w:ascii="Arial" w:cs="Arial" w:eastAsia="Arial" w:hAnsi="Arial"/>
          <w:sz w:val="15"/>
          <w:szCs w:val="15"/>
          <w:color w:val="auto"/>
        </w:rPr>
        <w:t>th</w:t>
      </w:r>
      <w:r>
        <w:rPr>
          <w:rFonts w:ascii="Arial" w:cs="Arial" w:eastAsia="Arial" w:hAnsi="Arial"/>
          <w:sz w:val="18"/>
          <w:szCs w:val="18"/>
          <w:color w:val="auto"/>
        </w:rPr>
        <w:t xml:space="preserve"> day of April, 2005.</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Christopher L. Nagel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Christopher L. Nagel,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Financial Officer (Principal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Principal Accounting Officer)</w:t>
      </w:r>
    </w:p>
    <w:p>
      <w:pPr>
        <w:spacing w:after="0" w:line="38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April 29, 2005.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22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/s/ *Mark R. Baker</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0"/>
                <w:szCs w:val="20"/>
                <w:color w:val="auto"/>
              </w:rPr>
            </w:pPr>
            <w:r>
              <w:rPr>
                <w:rFonts w:ascii="Arial" w:cs="Arial" w:eastAsia="Arial" w:hAnsi="Arial"/>
                <w:sz w:val="18"/>
                <w:szCs w:val="18"/>
                <w:color w:val="auto"/>
              </w:rPr>
              <w:t>Mark R. Baker</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*Lynn J. Beasley</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0"/>
                <w:szCs w:val="20"/>
                <w:color w:val="auto"/>
              </w:rPr>
            </w:pPr>
            <w:r>
              <w:rPr>
                <w:rFonts w:ascii="Arial" w:cs="Arial" w:eastAsia="Arial" w:hAnsi="Arial"/>
                <w:sz w:val="18"/>
                <w:szCs w:val="18"/>
                <w:color w:val="auto"/>
              </w:rPr>
              <w:t>Lynn J. Beasley</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*Gordon F. Brunner</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0"/>
                <w:szCs w:val="20"/>
                <w:color w:val="auto"/>
              </w:rPr>
            </w:pPr>
            <w:r>
              <w:rPr>
                <w:rFonts w:ascii="Arial" w:cs="Arial" w:eastAsia="Arial" w:hAnsi="Arial"/>
                <w:sz w:val="18"/>
                <w:szCs w:val="18"/>
                <w:color w:val="auto"/>
              </w:rPr>
              <w:t>Gordon F. Brunner</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*Arnold W. Donald</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0"/>
                <w:szCs w:val="20"/>
                <w:color w:val="auto"/>
              </w:rPr>
            </w:pPr>
            <w:r>
              <w:rPr>
                <w:rFonts w:ascii="Arial" w:cs="Arial" w:eastAsia="Arial" w:hAnsi="Arial"/>
                <w:sz w:val="18"/>
                <w:szCs w:val="18"/>
                <w:color w:val="auto"/>
              </w:rPr>
              <w:t>Arnold W. Donald</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*Joseph P. Flannery</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0"/>
                <w:szCs w:val="20"/>
                <w:color w:val="auto"/>
              </w:rPr>
            </w:pPr>
            <w:r>
              <w:rPr>
                <w:rFonts w:ascii="Arial" w:cs="Arial" w:eastAsia="Arial" w:hAnsi="Arial"/>
                <w:sz w:val="18"/>
                <w:szCs w:val="18"/>
                <w:color w:val="auto"/>
              </w:rPr>
              <w:t>Joseph P. Flannery</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 *James Hagedorn</w:t>
            </w: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3"/>
              </w:rPr>
              <w:t>President, Chief Executive Officer and Chairman of</w:t>
            </w:r>
          </w:p>
        </w:tc>
        <w:tc>
          <w:tcPr>
            <w:tcW w:w="0" w:type="dxa"/>
            <w:vAlign w:val="bottom"/>
          </w:tcPr>
          <w:p>
            <w:pPr>
              <w:spacing w:after="0"/>
              <w:rPr>
                <w:sz w:val="1"/>
                <w:szCs w:val="1"/>
                <w:color w:val="auto"/>
              </w:rPr>
            </w:pPr>
          </w:p>
        </w:tc>
      </w:tr>
      <w:tr>
        <w:trPr>
          <w:trHeight w:val="109"/>
        </w:trPr>
        <w:tc>
          <w:tcPr>
            <w:tcW w:w="406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3820" w:type="dxa"/>
            <w:vAlign w:val="bottom"/>
            <w:vMerge w:val="restart"/>
          </w:tcPr>
          <w:p>
            <w:pPr>
              <w:spacing w:after="0"/>
              <w:rPr>
                <w:sz w:val="20"/>
                <w:szCs w:val="20"/>
                <w:color w:val="auto"/>
              </w:rPr>
            </w:pPr>
            <w:r>
              <w:rPr>
                <w:rFonts w:ascii="Arial" w:cs="Arial" w:eastAsia="Arial" w:hAnsi="Arial"/>
                <w:sz w:val="18"/>
                <w:szCs w:val="18"/>
                <w:color w:val="auto"/>
                <w:w w:val="93"/>
              </w:rPr>
              <w:t>the Board (Principal Executive Officer) and Director</w:t>
            </w:r>
          </w:p>
        </w:tc>
        <w:tc>
          <w:tcPr>
            <w:tcW w:w="0" w:type="dxa"/>
            <w:vAlign w:val="bottom"/>
          </w:tcPr>
          <w:p>
            <w:pPr>
              <w:spacing w:after="0"/>
              <w:rPr>
                <w:sz w:val="1"/>
                <w:szCs w:val="1"/>
                <w:color w:val="auto"/>
              </w:rPr>
            </w:pPr>
          </w:p>
        </w:tc>
      </w:tr>
      <w:tr>
        <w:trPr>
          <w:trHeight w:val="102"/>
        </w:trPr>
        <w:tc>
          <w:tcPr>
            <w:tcW w:w="4060" w:type="dxa"/>
            <w:vAlign w:val="bottom"/>
            <w:vMerge w:val="restart"/>
          </w:tcPr>
          <w:p>
            <w:pPr>
              <w:spacing w:after="0"/>
              <w:rPr>
                <w:sz w:val="20"/>
                <w:szCs w:val="20"/>
                <w:color w:val="auto"/>
              </w:rPr>
            </w:pPr>
            <w:r>
              <w:rPr>
                <w:rFonts w:ascii="Arial" w:cs="Arial" w:eastAsia="Arial" w:hAnsi="Arial"/>
                <w:sz w:val="18"/>
                <w:szCs w:val="18"/>
                <w:color w:val="auto"/>
              </w:rPr>
              <w:t>James Hagedorn</w:t>
            </w:r>
          </w:p>
        </w:tc>
        <w:tc>
          <w:tcPr>
            <w:tcW w:w="2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6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*Katherine Hagedorn Littlefield</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0"/>
                <w:szCs w:val="20"/>
                <w:color w:val="auto"/>
              </w:rPr>
            </w:pPr>
            <w:r>
              <w:rPr>
                <w:rFonts w:ascii="Arial" w:cs="Arial" w:eastAsia="Arial" w:hAnsi="Arial"/>
                <w:sz w:val="18"/>
                <w:szCs w:val="18"/>
                <w:color w:val="auto"/>
              </w:rPr>
              <w:t>Katherine Hagedorn Littlefield</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 *Karen G. Mills</w:t>
            </w:r>
          </w:p>
        </w:tc>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406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060" w:type="dxa"/>
            <w:vAlign w:val="bottom"/>
          </w:tcPr>
          <w:p>
            <w:pPr>
              <w:spacing w:after="0"/>
              <w:rPr>
                <w:sz w:val="20"/>
                <w:szCs w:val="20"/>
                <w:color w:val="auto"/>
              </w:rPr>
            </w:pPr>
            <w:r>
              <w:rPr>
                <w:rFonts w:ascii="Arial" w:cs="Arial" w:eastAsia="Arial" w:hAnsi="Arial"/>
                <w:sz w:val="18"/>
                <w:szCs w:val="18"/>
                <w:color w:val="auto"/>
              </w:rPr>
              <w:t>Karen G. Mills</w:t>
            </w:r>
          </w:p>
        </w:tc>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Signature</w:t>
            </w:r>
          </w:p>
        </w:tc>
        <w:tc>
          <w:tcPr>
            <w:tcW w:w="1260" w:type="dxa"/>
            <w:vAlign w:val="bottom"/>
          </w:tcPr>
          <w:p>
            <w:pPr>
              <w:spacing w:after="0"/>
              <w:rPr>
                <w:sz w:val="14"/>
                <w:szCs w:val="1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Title</w:t>
            </w:r>
          </w:p>
        </w:tc>
        <w:tc>
          <w:tcPr>
            <w:tcW w:w="0" w:type="dxa"/>
            <w:vAlign w:val="bottom"/>
          </w:tcPr>
          <w:p>
            <w:pPr>
              <w:spacing w:after="0"/>
              <w:rPr>
                <w:sz w:val="1"/>
                <w:szCs w:val="1"/>
                <w:color w:val="auto"/>
              </w:rPr>
            </w:pPr>
          </w:p>
        </w:tc>
      </w:tr>
      <w:tr>
        <w:trPr>
          <w:trHeight w:val="195"/>
        </w:trPr>
        <w:tc>
          <w:tcPr>
            <w:tcW w:w="6340" w:type="dxa"/>
            <w:vAlign w:val="bottom"/>
          </w:tcPr>
          <w:p>
            <w:pPr>
              <w:spacing w:after="0" w:line="195" w:lineRule="exact"/>
              <w:rPr>
                <w:sz w:val="20"/>
                <w:szCs w:val="20"/>
                <w:color w:val="auto"/>
              </w:rPr>
            </w:pPr>
            <w:r>
              <w:rPr>
                <w:rFonts w:ascii="Arial" w:cs="Arial" w:eastAsia="Arial" w:hAnsi="Arial"/>
                <w:sz w:val="18"/>
                <w:szCs w:val="18"/>
                <w:color w:val="auto"/>
              </w:rPr>
              <w:t>/s/ Christopher L. Nagel</w:t>
            </w:r>
          </w:p>
        </w:tc>
        <w:tc>
          <w:tcPr>
            <w:tcW w:w="1260" w:type="dxa"/>
            <w:vAlign w:val="bottom"/>
          </w:tcPr>
          <w:p>
            <w:pPr>
              <w:spacing w:after="0"/>
              <w:rPr>
                <w:sz w:val="16"/>
                <w:szCs w:val="16"/>
                <w:color w:val="auto"/>
              </w:rPr>
            </w:pPr>
          </w:p>
        </w:tc>
        <w:tc>
          <w:tcPr>
            <w:tcW w:w="3820" w:type="dxa"/>
            <w:vAlign w:val="bottom"/>
          </w:tcPr>
          <w:p>
            <w:pPr>
              <w:spacing w:after="0" w:line="195" w:lineRule="exact"/>
              <w:rPr>
                <w:sz w:val="20"/>
                <w:szCs w:val="20"/>
                <w:color w:val="auto"/>
              </w:rPr>
            </w:pPr>
            <w:r>
              <w:rPr>
                <w:rFonts w:ascii="Arial" w:cs="Arial" w:eastAsia="Arial" w:hAnsi="Arial"/>
                <w:sz w:val="18"/>
                <w:szCs w:val="18"/>
                <w:color w:val="auto"/>
              </w:rPr>
              <w:t>Executive Vice President and Chief Financial</w:t>
            </w:r>
          </w:p>
        </w:tc>
        <w:tc>
          <w:tcPr>
            <w:tcW w:w="0" w:type="dxa"/>
            <w:vAlign w:val="bottom"/>
          </w:tcPr>
          <w:p>
            <w:pPr>
              <w:spacing w:after="0"/>
              <w:rPr>
                <w:sz w:val="1"/>
                <w:szCs w:val="1"/>
                <w:color w:val="auto"/>
              </w:rPr>
            </w:pPr>
          </w:p>
        </w:tc>
      </w:tr>
      <w:tr>
        <w:trPr>
          <w:trHeight w:val="109"/>
        </w:trPr>
        <w:tc>
          <w:tcPr>
            <w:tcW w:w="634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3820" w:type="dxa"/>
            <w:vAlign w:val="bottom"/>
            <w:vMerge w:val="restart"/>
          </w:tcPr>
          <w:p>
            <w:pPr>
              <w:spacing w:after="0"/>
              <w:rPr>
                <w:sz w:val="20"/>
                <w:szCs w:val="20"/>
                <w:color w:val="auto"/>
              </w:rPr>
            </w:pPr>
            <w:r>
              <w:rPr>
                <w:rFonts w:ascii="Arial" w:cs="Arial" w:eastAsia="Arial" w:hAnsi="Arial"/>
                <w:sz w:val="18"/>
                <w:szCs w:val="18"/>
                <w:color w:val="auto"/>
              </w:rPr>
              <w:t>Officer (Principal Financial Officer and Principal</w:t>
            </w:r>
          </w:p>
        </w:tc>
        <w:tc>
          <w:tcPr>
            <w:tcW w:w="0" w:type="dxa"/>
            <w:vAlign w:val="bottom"/>
          </w:tcPr>
          <w:p>
            <w:pPr>
              <w:spacing w:after="0"/>
              <w:rPr>
                <w:sz w:val="1"/>
                <w:szCs w:val="1"/>
                <w:color w:val="auto"/>
              </w:rPr>
            </w:pPr>
          </w:p>
        </w:tc>
      </w:tr>
      <w:tr>
        <w:trPr>
          <w:trHeight w:val="87"/>
        </w:trPr>
        <w:tc>
          <w:tcPr>
            <w:tcW w:w="6340" w:type="dxa"/>
            <w:vAlign w:val="bottom"/>
            <w:vMerge w:val="restart"/>
          </w:tcPr>
          <w:p>
            <w:pPr>
              <w:spacing w:after="0"/>
              <w:rPr>
                <w:sz w:val="20"/>
                <w:szCs w:val="20"/>
                <w:color w:val="auto"/>
              </w:rPr>
            </w:pPr>
            <w:r>
              <w:rPr>
                <w:rFonts w:ascii="Arial" w:cs="Arial" w:eastAsia="Arial" w:hAnsi="Arial"/>
                <w:sz w:val="18"/>
                <w:szCs w:val="18"/>
                <w:color w:val="auto"/>
              </w:rPr>
              <w:t>Christopher L. Nagel</w:t>
            </w:r>
          </w:p>
        </w:tc>
        <w:tc>
          <w:tcPr>
            <w:tcW w:w="126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34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/s/ *Patrick J. Norton</w:t>
            </w:r>
          </w:p>
        </w:tc>
        <w:tc>
          <w:tcPr>
            <w:tcW w:w="126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634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6340" w:type="dxa"/>
            <w:vAlign w:val="bottom"/>
          </w:tcPr>
          <w:p>
            <w:pPr>
              <w:spacing w:after="0"/>
              <w:rPr>
                <w:sz w:val="20"/>
                <w:szCs w:val="20"/>
                <w:color w:val="auto"/>
              </w:rPr>
            </w:pPr>
            <w:r>
              <w:rPr>
                <w:rFonts w:ascii="Arial" w:cs="Arial" w:eastAsia="Arial" w:hAnsi="Arial"/>
                <w:sz w:val="18"/>
                <w:szCs w:val="18"/>
                <w:color w:val="auto"/>
              </w:rPr>
              <w:t>Patrick J. Norton</w:t>
            </w: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/s/ *Stephanie M. Shern</w:t>
            </w: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63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340" w:type="dxa"/>
            <w:vAlign w:val="bottom"/>
          </w:tcPr>
          <w:p>
            <w:pPr>
              <w:spacing w:after="0"/>
              <w:rPr>
                <w:sz w:val="20"/>
                <w:szCs w:val="20"/>
                <w:color w:val="auto"/>
              </w:rPr>
            </w:pPr>
            <w:r>
              <w:rPr>
                <w:rFonts w:ascii="Arial" w:cs="Arial" w:eastAsia="Arial" w:hAnsi="Arial"/>
                <w:sz w:val="18"/>
                <w:szCs w:val="18"/>
                <w:color w:val="auto"/>
              </w:rPr>
              <w:t>Stephanie M. Shern</w:t>
            </w: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/s/ *John M. Sullivan</w:t>
            </w: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63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340" w:type="dxa"/>
            <w:vAlign w:val="bottom"/>
          </w:tcPr>
          <w:p>
            <w:pPr>
              <w:spacing w:after="0"/>
              <w:rPr>
                <w:sz w:val="20"/>
                <w:szCs w:val="20"/>
                <w:color w:val="auto"/>
              </w:rPr>
            </w:pPr>
            <w:r>
              <w:rPr>
                <w:rFonts w:ascii="Arial" w:cs="Arial" w:eastAsia="Arial" w:hAnsi="Arial"/>
                <w:sz w:val="18"/>
                <w:szCs w:val="18"/>
                <w:color w:val="auto"/>
              </w:rPr>
              <w:t>John M. Sullivan</w:t>
            </w: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/s/ *John Walker, Ph.D.</w:t>
            </w:r>
          </w:p>
        </w:tc>
        <w:tc>
          <w:tcPr>
            <w:tcW w:w="126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5"/>
        </w:trPr>
        <w:tc>
          <w:tcPr>
            <w:tcW w:w="634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340" w:type="dxa"/>
            <w:vAlign w:val="bottom"/>
          </w:tcPr>
          <w:p>
            <w:pPr>
              <w:spacing w:after="0"/>
              <w:rPr>
                <w:sz w:val="20"/>
                <w:szCs w:val="20"/>
                <w:color w:val="auto"/>
              </w:rPr>
            </w:pPr>
            <w:r>
              <w:rPr>
                <w:rFonts w:ascii="Arial" w:cs="Arial" w:eastAsia="Arial" w:hAnsi="Arial"/>
                <w:sz w:val="18"/>
                <w:szCs w:val="18"/>
                <w:color w:val="auto"/>
              </w:rPr>
              <w:t>John Walker, Ph.D.</w:t>
            </w:r>
          </w:p>
        </w:tc>
        <w:tc>
          <w:tcPr>
            <w:tcW w:w="1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*By Christopher L. Nagel pursuant to Powers of Attorney executed by the directors and executive officers identified above, which Powers of Attorney have been filed with the Securities and Exchange Commission as exhibits to this Registration Statement on Form S-8.</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Christopher L. Nagel,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3679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7"/>
          <w:szCs w:val="17"/>
          <w:u w:val="single" w:color="auto"/>
          <w:color w:val="auto"/>
        </w:rPr>
        <w:t>INDEX TO EXHIBITS</w:t>
      </w:r>
    </w:p>
    <w:p>
      <w:pPr>
        <w:sectPr>
          <w:pgSz w:w="11900" w:h="16838" w:orient="portrait"/>
          <w:cols w:equalWidth="0" w:num="1">
            <w:col w:w="11280"/>
          </w:cols>
          <w:pgMar w:left="240" w:top="419" w:right="379"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60" w:type="dxa"/>
            <w:vAlign w:val="bottom"/>
          </w:tcPr>
          <w:p>
            <w:pPr>
              <w:spacing w:after="0"/>
              <w:rPr>
                <w:sz w:val="14"/>
                <w:szCs w:val="14"/>
                <w:color w:val="auto"/>
              </w:rPr>
            </w:pPr>
          </w:p>
        </w:tc>
        <w:tc>
          <w:tcPr>
            <w:tcW w:w="490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Initial Articles of Incorporation of The Scotts Miracle-Gro</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Company as filed with the Ohio Secretary of State 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November 22, 2004</w:t>
            </w:r>
          </w:p>
        </w:tc>
      </w:tr>
      <w:tr>
        <w:trPr>
          <w:trHeight w:val="850"/>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Certificate of Amendment by Shareholders to Articles of</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2"/>
              </w:rPr>
              <w:t>Incorporation of The Scotts Miracle-Gro Company as filed with the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Ohio Secretary of State on March 18, 2005</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Code of Regulations of The Scotts Miracle-Gro Company</w:t>
            </w:r>
          </w:p>
        </w:tc>
      </w:tr>
      <w:tr>
        <w:trPr>
          <w:trHeight w:val="648"/>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0"/>
              </w:rPr>
              <w:t>Opinion of Vorys, Sater, Seymour and Pease LLP regarding legality</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1"/>
              </w:rPr>
              <w:t>The Scotts Miracle-Gro Company Discounted Stock Purchase Plan</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2"/>
              </w:rPr>
              <w:t>Consent of PricewaterhouseCoopers LLP, independent registered</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public accounting firm</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Consent of Vorys, Sater, Seymour and Pease LLP</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Powers of Attorney of Executive Officers and Directors of The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Scotts Miracle-Gro Company</w:t>
            </w:r>
          </w:p>
        </w:tc>
      </w:tr>
      <w:tr>
        <w:trPr>
          <w:trHeight w:val="392"/>
        </w:trPr>
        <w:tc>
          <w:tcPr>
            <w:tcW w:w="920" w:type="dxa"/>
            <w:vAlign w:val="bottom"/>
          </w:tcPr>
          <w:p>
            <w:pPr>
              <w:spacing w:after="0"/>
              <w:rPr>
                <w:sz w:val="24"/>
                <w:szCs w:val="24"/>
                <w:color w:val="auto"/>
              </w:rPr>
            </w:pPr>
          </w:p>
        </w:tc>
        <w:tc>
          <w:tcPr>
            <w:tcW w:w="5260" w:type="dxa"/>
            <w:vAlign w:val="bottom"/>
            <w:gridSpan w:val="2"/>
          </w:tcPr>
          <w:p>
            <w:pPr>
              <w:jc w:val="right"/>
              <w:ind w:right="231"/>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2200"/>
        <w:spacing w:after="0"/>
        <w:rPr>
          <w:sz w:val="20"/>
          <w:szCs w:val="20"/>
          <w:color w:val="auto"/>
        </w:rPr>
      </w:pPr>
      <w:r>
        <w:rPr>
          <w:rFonts w:ascii="Arial" w:cs="Arial" w:eastAsia="Arial" w:hAnsi="Arial"/>
          <w:sz w:val="14"/>
          <w:szCs w:val="14"/>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Incorporated herein by reference to Exhibit 3.1 to the Current Report on Form 8-K of The Scotts Miracle-Gro Company, dated and filed with the Securities and Exchange Commission on March 24, 2005 (File No. 1-13292) (the “March 24, 2005 Form 8-K”)</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Incorporated herein by reference to Exhibit 3.2 to the March 24, 2005 Form 8-K of The Scotts Miracle-Gro Company</w:t>
      </w:r>
    </w:p>
    <w:p>
      <w:pPr>
        <w:spacing w:after="0" w:line="36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Incorporated herein by reference to Exhibit 3.3 to the March 24, 2005 Form 8-K of The Scotts Miracle-Gro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Incorporated herein by reference to Exhibit 10.5 to the March 24, 2005 Form 8-K of The Scotts Miracle-Gro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as part of Exhibit 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180" w:space="340"/>
            <w:col w:w="4760"/>
          </w:cols>
          <w:pgMar w:left="240" w:top="419" w:right="3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5.1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Vorys, Sater, Seymour and Pease LLP]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29, 2005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 43041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have acted as counsel to The Scotts Miracle-Gro Company, an Ohio corporation (the “Company”), in connection with the Company’s Registration Statement on Form S-8 (the “Registration Statement”) filed with the Securities and Exchange Commission on the date hereof in order to register 150,000 common shares, without par value (the “Common Shares”), under the provisions of the Securities Act of 1933, as amended (the “Securities Act”), and the rules and regulations promulgated thereunder (the “Rules and Regulations”), for issuance under The Scotts Miracle-Gro Company Discounted Stock Purchase Plan (the “Plan”).</w:t>
      </w:r>
    </w:p>
    <w:p>
      <w:pPr>
        <w:spacing w:after="0" w:line="148"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connection with rendering this opinion, we have examined, to the extent deemed necessary, originals or copies, the authenticity of which has been established to our satisfaction, of (a) the Registration Statement; (b) the Plan; (c) the Company’s Initial Articles of Incorporation, as amended (the “Articles”);</w:t>
      </w:r>
    </w:p>
    <w:p>
      <w:pPr>
        <w:ind w:right="100" w:firstLine="8"/>
        <w:spacing w:after="0" w:line="253"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Code of Regulations (the “Regulations”); (e) certain corporate records of each of the Company and its public company predecessor, The Scotts Company, an Ohio corporation (“Scotts”), including resolutions adopted by the directors and the shareholders of Scotts and resolutions adopted by the directors of the Company; and (f) the Agreement and Plan of Merger, dated as of December 13, 2004, by and among Scotts, The Scotts Company LLC and the Company (the “Merger Agreement”). We have also relied upon such representations of the officers of the Company and Scotts and examined such authorities of law as we have deemed relevant as a basis for this opinion.</w:t>
      </w:r>
    </w:p>
    <w:p>
      <w:pPr>
        <w:spacing w:after="0" w:line="164"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In our examination of the aforesaid documents, we have assumed, without independent investigation, the genuineness of all signatures, the legal capacity of all individuals who have executed any of the aforesaid documents, the authenticity of all documents submitted to us as originals, the conformity with originals of all documents submitted to us as copies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authenticity of the originals of such copies), and the accuracy and completeness of all public records reviewed by us.</w:t>
      </w:r>
    </w:p>
    <w:p>
      <w:pPr>
        <w:spacing w:after="0" w:line="185"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have relied solely upon the examinations and inquiries recited herein and, except for the examinations and inquiries recited herein, we have not undertaken any independent investigation to determine the existence or absence of any facts, and no inference as to our knowledge concerning such facts should be drawn.</w:t>
      </w:r>
    </w:p>
    <w:p>
      <w:pPr>
        <w:spacing w:after="0" w:line="141"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As used herein, the phrase “validly issued” means that particular action has been authorized by all necessary corporate action of the Company and that the Company has the corporate authority to take such action under Chapter 1701 of the Ohio Revised Code (the “Ohio General Corporation Law”) and the Company’s Articles and Regulations.</w:t>
      </w:r>
    </w:p>
    <w:p>
      <w:pPr>
        <w:spacing w:after="0" w:line="154"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Based upon and subject to the foregoing and subject to the qualifications and limitations set forth below, as of the date hereof, we are of the opinion that after the 150,000 Common Shares to be registered under the Registration Statement have been issued and delivered by the Company against payment therefor in accordance with the terms and conditions of the Plan and any agreements entered into by participants in the Plan with the Company as contemplated by the Plan, said 150,000 Common Shares will be validly issued, fully paid and non-assessable, assuming compliance with applicable securities laws.</w:t>
      </w:r>
    </w:p>
    <w:p>
      <w:pPr>
        <w:spacing w:after="0" w:line="114" w:lineRule="exact"/>
        <w:rPr>
          <w:sz w:val="20"/>
          <w:szCs w:val="20"/>
          <w:color w:val="auto"/>
        </w:rPr>
      </w:pPr>
    </w:p>
    <w:p>
      <w:pPr>
        <w:jc w:val="both"/>
        <w:ind w:right="300" w:firstLine="222"/>
        <w:spacing w:after="0" w:line="342" w:lineRule="auto"/>
        <w:rPr>
          <w:sz w:val="20"/>
          <w:szCs w:val="20"/>
          <w:color w:val="auto"/>
        </w:rPr>
      </w:pPr>
      <w:r>
        <w:rPr>
          <w:rFonts w:ascii="Arial" w:cs="Arial" w:eastAsia="Arial" w:hAnsi="Arial"/>
          <w:sz w:val="16"/>
          <w:szCs w:val="16"/>
          <w:color w:val="auto"/>
        </w:rPr>
        <w:t>We are members of the Bar of the State of Ohio and do not purport to be experts in the laws of any jurisdiction other than the laws of the State of Ohio, including the applicable provisions of the Ohio Constitution and the reported judicial decisions interpreting those laws, and the United States of America.</w:t>
      </w:r>
    </w:p>
    <w:p>
      <w:pPr>
        <w:spacing w:after="0" w:line="83"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opinion is based upon the laws and legal interpretations in effect, and the facts and circumstances existing, on the date hereof, and we assume no obligation to revise or supplement this opinion should any such law or legal interpretation be changed by legislative action, judicial interpretation or otherwise or should there be any change in such facts or circumstances.</w:t>
      </w:r>
    </w:p>
    <w:p>
      <w:pPr>
        <w:spacing w:after="0" w:line="154"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This opinion is furnished by us solely for the benefit of the Company in connection with the offering of the 150,000 Common Shares covered by the Registration Statement pursuant to the Plan and the filing of the Registration Statement and any amendments thereto and may not be relied upon for any other purpose.</w:t>
      </w:r>
    </w:p>
    <w:p>
      <w:pPr>
        <w:spacing w:after="0" w:line="141" w:lineRule="exact"/>
        <w:rPr>
          <w:sz w:val="20"/>
          <w:szCs w:val="20"/>
          <w:color w:val="auto"/>
        </w:rPr>
      </w:pPr>
    </w:p>
    <w:p>
      <w:pPr>
        <w:jc w:val="both"/>
        <w:ind w:right="100" w:firstLine="222"/>
        <w:spacing w:after="0" w:line="34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us therein. In giving such consent, we do not thereby admit that we come within the category of persons whose consent is required under Section 7 of the Securities Act or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Except in connection with the Registration Statement as aforesaid, no portion of this opinion may be quoted or otherwise used by any person without our prior written consent.</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VORYS, SATER, SEYMOUR AND PEASE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ETF/i</w:t>
      </w:r>
    </w:p>
    <w:p>
      <w:pPr>
        <w:sectPr>
          <w:pgSz w:w="11900" w:h="16838" w:orient="portrait"/>
          <w:cols w:equalWidth="0" w:num="1">
            <w:col w:w="11260"/>
          </w:cols>
          <w:pgMar w:left="240" w:top="935" w:right="3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November 22, 2004 relating to the financial statements, which appears in The Scotts Company’s Annual Report on Form 10-K for the fiscal year ended September 30, 2004. We also consent to the incorporation by reference of our report dated November 22, 2004 related to the financial statement schedule, which appears in such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2005</w:t>
      </w:r>
    </w:p>
    <w:p>
      <w:pPr>
        <w:sectPr>
          <w:pgSz w:w="11900" w:h="16838" w:orient="portrait"/>
          <w:cols w:equalWidth="0" w:num="1">
            <w:col w:w="11420"/>
          </w:cols>
          <w:pgMar w:left="240" w:top="935"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u w:val="single" w:color="auto"/>
          <w:color w:val="auto"/>
        </w:rPr>
        <w:t>EXHIBIT 24.1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413385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25th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R. Baker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R.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29th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Lynn J. Beasley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Lynn J.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28th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Gordon F. Brunner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Gordon F. Brunner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29th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Arnold W. Donald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Arnold W. 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25th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P. Flannery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and director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Registration Statement on Form S-8</w:t>
      </w:r>
      <w:r>
        <w:rPr>
          <w:rFonts w:ascii="Arial" w:cs="Arial" w:eastAsia="Arial" w:hAnsi="Arial"/>
          <w:sz w:val="17"/>
          <w:szCs w:val="17"/>
          <w:color w:val="auto"/>
        </w:rPr>
        <w:t xml:space="preserve"> for the registration of certain of its common shares for offering and sale pursuant to </w:t>
      </w:r>
      <w:r>
        <w:rPr>
          <w:rFonts w:ascii="Arial" w:cs="Arial" w:eastAsia="Arial" w:hAnsi="Arial"/>
          <w:sz w:val="17"/>
          <w:szCs w:val="17"/>
          <w:b w:val="1"/>
          <w:bCs w:val="1"/>
          <w:color w:val="auto"/>
        </w:rPr>
        <w:t>The Scotts Miracle-Gro Company Discounted Stock Purchase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David M. Aronowitz </w:t>
      </w:r>
      <w:r>
        <w:rPr>
          <w:rFonts w:ascii="Arial" w:cs="Arial" w:eastAsia="Arial" w:hAnsi="Arial"/>
          <w:sz w:val="17"/>
          <w:szCs w:val="17"/>
          <w:color w:val="auto"/>
        </w:rPr>
        <w:t>and</w:t>
      </w:r>
      <w:r>
        <w:rPr>
          <w:rFonts w:ascii="Arial" w:cs="Arial" w:eastAsia="Arial" w:hAnsi="Arial"/>
          <w:sz w:val="17"/>
          <w:szCs w:val="17"/>
          <w:b w:val="1"/>
          <w:bCs w:val="1"/>
          <w:color w:val="auto"/>
        </w:rPr>
        <w:t xml:space="preserve"> Christopher L. Nagel</w:t>
      </w:r>
      <w:r>
        <w:rPr>
          <w:rFonts w:ascii="Arial" w:cs="Arial" w:eastAsia="Arial" w:hAnsi="Arial"/>
          <w:sz w:val="17"/>
          <w:szCs w:val="17"/>
          <w:color w:val="auto"/>
        </w:rPr>
        <w:t>, and each of them, as his</w:t>
      </w:r>
      <w:r>
        <w:rPr>
          <w:rFonts w:ascii="Arial" w:cs="Arial" w:eastAsia="Arial" w:hAnsi="Arial"/>
          <w:sz w:val="17"/>
          <w:szCs w:val="17"/>
          <w:b w:val="1"/>
          <w:bCs w:val="1"/>
          <w:color w:val="auto"/>
        </w:rPr>
        <w:t xml:space="preserve"> </w:t>
      </w:r>
      <w:r>
        <w:rPr>
          <w:rFonts w:ascii="Arial" w:cs="Arial" w:eastAsia="Arial" w:hAnsi="Arial"/>
          <w:sz w:val="17"/>
          <w:szCs w:val="17"/>
          <w:color w:val="auto"/>
        </w:rPr>
        <w:t>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said attorneys-in-fact and agents, or his or their substitute or substitutes, may lawfully do or cause to be done by virtue hereof.</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28th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Hagedorn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28th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Katherine Hagedorn Littlefield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26th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Karen G. Mills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Karen G.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KNOW ALL MEN BY THESE PRESENTS</w:t>
      </w:r>
      <w:r>
        <w:rPr>
          <w:rFonts w:ascii="Arial" w:cs="Arial" w:eastAsia="Arial" w:hAnsi="Arial"/>
          <w:sz w:val="17"/>
          <w:szCs w:val="17"/>
          <w:color w:val="auto"/>
        </w:rPr>
        <w:t>, that the undersigned officer of</w:t>
      </w:r>
      <w:r>
        <w:rPr>
          <w:rFonts w:ascii="Arial" w:cs="Arial" w:eastAsia="Arial" w:hAnsi="Arial"/>
          <w:sz w:val="17"/>
          <w:szCs w:val="17"/>
          <w:b w:val="1"/>
          <w:bCs w:val="1"/>
          <w:color w:val="auto"/>
        </w:rPr>
        <w:t xml:space="preserve"> THE SCOTTS MIRACLE-GRO COMPANY</w:t>
      </w:r>
      <w:r>
        <w:rPr>
          <w:rFonts w:ascii="Arial" w:cs="Arial" w:eastAsia="Arial" w:hAnsi="Arial"/>
          <w:sz w:val="17"/>
          <w:szCs w:val="17"/>
          <w:color w:val="auto"/>
        </w:rPr>
        <w:t>, an Ohio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is about to file with the Securities and Exchange Commission, Washington, D.C., under the provisions of the Securities Act of 1933, as amended, a </w:t>
      </w:r>
      <w:r>
        <w:rPr>
          <w:rFonts w:ascii="Arial" w:cs="Arial" w:eastAsia="Arial" w:hAnsi="Arial"/>
          <w:sz w:val="17"/>
          <w:szCs w:val="17"/>
          <w:b w:val="1"/>
          <w:bCs w:val="1"/>
          <w:color w:val="auto"/>
        </w:rPr>
        <w:t xml:space="preserve">Registration Statement on Form S-8 </w:t>
      </w:r>
      <w:r>
        <w:rPr>
          <w:rFonts w:ascii="Arial" w:cs="Arial" w:eastAsia="Arial" w:hAnsi="Arial"/>
          <w:sz w:val="17"/>
          <w:szCs w:val="17"/>
          <w:color w:val="auto"/>
        </w:rPr>
        <w:t>for the registration of certain of its common shares for offering and sale pursuant to</w:t>
      </w:r>
      <w:r>
        <w:rPr>
          <w:rFonts w:ascii="Arial" w:cs="Arial" w:eastAsia="Arial" w:hAnsi="Arial"/>
          <w:sz w:val="17"/>
          <w:szCs w:val="17"/>
          <w:b w:val="1"/>
          <w:bCs w:val="1"/>
          <w:color w:val="auto"/>
        </w:rPr>
        <w:t xml:space="preserve"> The Scotts Miracle-Gro Company Discounted Stock Purchase Plan</w:t>
      </w:r>
      <w:r>
        <w:rPr>
          <w:rFonts w:ascii="Arial" w:cs="Arial" w:eastAsia="Arial" w:hAnsi="Arial"/>
          <w:sz w:val="17"/>
          <w:szCs w:val="17"/>
          <w:color w:val="auto"/>
        </w:rPr>
        <w:t>, hereby constitutes and appoints</w:t>
      </w:r>
      <w:r>
        <w:rPr>
          <w:rFonts w:ascii="Arial" w:cs="Arial" w:eastAsia="Arial" w:hAnsi="Arial"/>
          <w:sz w:val="17"/>
          <w:szCs w:val="17"/>
          <w:b w:val="1"/>
          <w:bCs w:val="1"/>
          <w:color w:val="auto"/>
        </w:rPr>
        <w:t xml:space="preserve"> James Hagedorn </w:t>
      </w:r>
      <w:r>
        <w:rPr>
          <w:rFonts w:ascii="Arial" w:cs="Arial" w:eastAsia="Arial" w:hAnsi="Arial"/>
          <w:sz w:val="17"/>
          <w:szCs w:val="17"/>
          <w:color w:val="auto"/>
        </w:rPr>
        <w:t>and</w:t>
      </w:r>
      <w:r>
        <w:rPr>
          <w:rFonts w:ascii="Arial" w:cs="Arial" w:eastAsia="Arial" w:hAnsi="Arial"/>
          <w:sz w:val="17"/>
          <w:szCs w:val="17"/>
          <w:b w:val="1"/>
          <w:bCs w:val="1"/>
          <w:color w:val="auto"/>
        </w:rPr>
        <w:t xml:space="preserve"> David M. Aronowitz</w:t>
      </w:r>
      <w:r>
        <w:rPr>
          <w:rFonts w:ascii="Arial" w:cs="Arial" w:eastAsia="Arial" w:hAnsi="Arial"/>
          <w:sz w:val="17"/>
          <w:szCs w:val="17"/>
          <w:color w:val="auto"/>
        </w:rPr>
        <w:t>, and each of them, as his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28th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 Nagel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28th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Patrick J. Norton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Patrick J. Norton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her hand this 29</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2005.</w:t>
      </w:r>
    </w:p>
    <w:p>
      <w:pPr>
        <w:spacing w:after="0" w:line="3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Stephanie M. Shern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25th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M. Sullivan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98"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the undersigned director of</w:t>
      </w:r>
      <w:r>
        <w:rPr>
          <w:rFonts w:ascii="Arial" w:cs="Arial" w:eastAsia="Arial" w:hAnsi="Arial"/>
          <w:sz w:val="16"/>
          <w:szCs w:val="16"/>
          <w:b w:val="1"/>
          <w:bCs w:val="1"/>
          <w:color w:val="auto"/>
        </w:rPr>
        <w:t xml:space="preserve"> THE SCOTTS MIRACLE-GRO COMPANY</w:t>
      </w:r>
      <w:r>
        <w:rPr>
          <w:rFonts w:ascii="Arial" w:cs="Arial" w:eastAsia="Arial" w:hAnsi="Arial"/>
          <w:sz w:val="16"/>
          <w:szCs w:val="16"/>
          <w:color w:val="auto"/>
        </w:rPr>
        <w:t>, an Ohio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is about to file with the Securities and Exchange Commission, Washington, D.C., under the provisions of the Securities Act of 1933, as amended, a </w:t>
      </w:r>
      <w:r>
        <w:rPr>
          <w:rFonts w:ascii="Arial" w:cs="Arial" w:eastAsia="Arial" w:hAnsi="Arial"/>
          <w:sz w:val="16"/>
          <w:szCs w:val="16"/>
          <w:b w:val="1"/>
          <w:bCs w:val="1"/>
          <w:color w:val="auto"/>
        </w:rPr>
        <w:t xml:space="preserve">Registration Statement on Form S-8 </w:t>
      </w:r>
      <w:r>
        <w:rPr>
          <w:rFonts w:ascii="Arial" w:cs="Arial" w:eastAsia="Arial" w:hAnsi="Arial"/>
          <w:sz w:val="16"/>
          <w:szCs w:val="16"/>
          <w:color w:val="auto"/>
        </w:rPr>
        <w:t>for the registration of certain of its common shares for offering and sale pursuant to</w:t>
      </w:r>
      <w:r>
        <w:rPr>
          <w:rFonts w:ascii="Arial" w:cs="Arial" w:eastAsia="Arial" w:hAnsi="Arial"/>
          <w:sz w:val="16"/>
          <w:szCs w:val="16"/>
          <w:b w:val="1"/>
          <w:bCs w:val="1"/>
          <w:color w:val="auto"/>
        </w:rPr>
        <w:t xml:space="preserve"> The Scotts Miracle-Gro Company Discounted Stock Purchase Plan</w:t>
      </w:r>
      <w:r>
        <w:rPr>
          <w:rFonts w:ascii="Arial" w:cs="Arial" w:eastAsia="Arial" w:hAnsi="Arial"/>
          <w:sz w:val="16"/>
          <w:szCs w:val="16"/>
          <w:color w:val="auto"/>
        </w:rPr>
        <w:t>, hereby constitutes and appoints</w:t>
      </w:r>
      <w:r>
        <w:rPr>
          <w:rFonts w:ascii="Arial" w:cs="Arial" w:eastAsia="Arial" w:hAnsi="Arial"/>
          <w:sz w:val="16"/>
          <w:szCs w:val="16"/>
          <w:b w:val="1"/>
          <w:bCs w:val="1"/>
          <w:color w:val="auto"/>
        </w:rPr>
        <w:t xml:space="preserve"> James Hagedorn</w:t>
      </w:r>
      <w:r>
        <w:rPr>
          <w:rFonts w:ascii="Arial" w:cs="Arial" w:eastAsia="Arial" w:hAnsi="Arial"/>
          <w:sz w:val="16"/>
          <w:szCs w:val="16"/>
          <w:color w:val="auto"/>
        </w:rPr>
        <w:t>,</w:t>
      </w:r>
      <w:r>
        <w:rPr>
          <w:rFonts w:ascii="Arial" w:cs="Arial" w:eastAsia="Arial" w:hAnsi="Arial"/>
          <w:sz w:val="16"/>
          <w:szCs w:val="16"/>
          <w:b w:val="1"/>
          <w:bCs w:val="1"/>
          <w:color w:val="auto"/>
        </w:rPr>
        <w:t xml:space="preserve"> David M. Aronowitz </w:t>
      </w:r>
      <w:r>
        <w:rPr>
          <w:rFonts w:ascii="Arial" w:cs="Arial" w:eastAsia="Arial" w:hAnsi="Arial"/>
          <w:sz w:val="16"/>
          <w:szCs w:val="16"/>
          <w:color w:val="auto"/>
        </w:rPr>
        <w:t>and</w:t>
      </w:r>
      <w:r>
        <w:rPr>
          <w:rFonts w:ascii="Arial" w:cs="Arial" w:eastAsia="Arial" w:hAnsi="Arial"/>
          <w:sz w:val="16"/>
          <w:szCs w:val="16"/>
          <w:b w:val="1"/>
          <w:bCs w:val="1"/>
          <w:color w:val="auto"/>
        </w:rPr>
        <w:t xml:space="preserve"> Christopher L. Nagel</w:t>
      </w:r>
      <w:r>
        <w:rPr>
          <w:rFonts w:ascii="Arial" w:cs="Arial" w:eastAsia="Arial" w:hAnsi="Arial"/>
          <w:sz w:val="16"/>
          <w:szCs w:val="16"/>
          <w:color w:val="auto"/>
        </w:rPr>
        <w: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this 26th day of March, 2005.</w:t>
      </w: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John Walker, Ph.D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John Walker,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sectPr>
      <w:pgSz w:w="11900" w:h="16838" w:orient="portrait"/>
      <w:cols w:equalWidth="0" w:num="1">
        <w:col w:w="11400"/>
      </w:cols>
      <w:pgMar w:left="240" w:top="9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1"/>
    </w:lvl>
  </w:abstractNum>
  <w:abstractNum w:abstractNumId="5">
    <w:nsid w:val="109CF92E"/>
    <w:multiLevelType w:val="hybridMultilevel"/>
    <w:lvl w:ilvl="0">
      <w:lvlJc w:val="left"/>
      <w:lvlText w:val="(%1)"/>
      <w:numFmt w:val="upperLetter"/>
      <w:start w:val="2"/>
    </w:lvl>
  </w:abstractNum>
  <w:abstractNum w:abstractNumId="6">
    <w:nsid w:val="DED7263"/>
    <w:multiLevelType w:val="hybridMultilevel"/>
    <w:lvl w:ilvl="0">
      <w:lvlJc w:val="left"/>
      <w:lvlText w:val="(%1)"/>
      <w:numFmt w:val="upperLetter"/>
      <w:start w:val="1"/>
    </w:lvl>
  </w:abstractNum>
  <w:abstractNum w:abstractNumId="7">
    <w:nsid w:val="7FDCC233"/>
    <w:multiLevelType w:val="hybridMultilevel"/>
    <w:lvl w:ilvl="0">
      <w:lvlJc w:val="left"/>
      <w:lvlText w:val="(%1)"/>
      <w:numFmt w:val="upperLetter"/>
      <w:start w:val="2"/>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3"/>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3"/>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decimal"/>
      <w:start w:val="6"/>
    </w:lvl>
  </w:abstractNum>
  <w:abstractNum w:abstractNumId="16">
    <w:nsid w:val="7C83E458"/>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upperLetter"/>
      <w:start w:val="1"/>
    </w:lvl>
    <w:lvl w:ilvl="1">
      <w:lvlJc w:val="left"/>
      <w:lvlText w:val="(%2)"/>
      <w:numFmt w:val="decimal"/>
      <w:start w:val="3"/>
    </w:lvl>
  </w:abstractNum>
  <w:abstractNum w:abstractNumId="19">
    <w:nsid w:val="436C6125"/>
    <w:multiLevelType w:val="hybridMultilevel"/>
    <w:lvl w:ilvl="0">
      <w:lvlJc w:val="left"/>
      <w:lvlText w:val="%1."/>
      <w:numFmt w:val="upperLetter"/>
      <w:start w:val="2"/>
    </w:lvl>
    <w:lvl w:ilvl="1">
      <w:lvlJc w:val="left"/>
      <w:lvlText w:val="%2"/>
      <w:numFmt w:val="decimal"/>
      <w:start w:val="1"/>
    </w:lvl>
  </w:abstractNum>
  <w:abstractNum w:abstractNumId="20">
    <w:nsid w:val="628C895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2019-12-20T06:22:04Z</dcterms:created>
  <dcterms:modified xsi:type="dcterms:W3CDTF">2019-12-20T06:22:04Z</dcterms:modified>
</cp:coreProperties>
</file>