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0"/>
          <w:szCs w:val="20"/>
          <w:color w:val="auto"/>
        </w:rPr>
      </w:pPr>
    </w:p>
    <w:p>
      <w:pPr>
        <w:ind w:left="1160" w:right="819" w:hanging="943"/>
        <w:spacing w:after="0" w:line="501" w:lineRule="auto"/>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2006</w:t>
      </w:r>
    </w:p>
    <w:p>
      <w:pPr>
        <w:ind w:left="6160"/>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1160" w:hanging="907"/>
        <w:spacing w:after="0"/>
        <w:tabs>
          <w:tab w:leader="none" w:pos="11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15(d) OF THE SECURITIES EXCHANGE ACT OF 1934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ind w:left="1160"/>
              <w:spacing w:after="0"/>
              <w:rPr>
                <w:sz w:val="20"/>
                <w:szCs w:val="20"/>
                <w:color w:val="auto"/>
              </w:rPr>
            </w:pPr>
            <w:r>
              <w:rPr>
                <w:rFonts w:ascii="Arial" w:cs="Arial" w:eastAsia="Arial" w:hAnsi="Arial"/>
                <w:sz w:val="18"/>
                <w:szCs w:val="18"/>
                <w:b w:val="1"/>
                <w:bCs w:val="1"/>
                <w:color w:val="auto"/>
              </w:rPr>
              <w:t>FOR THE TRANSITION PERIOD FROM</w:t>
            </w:r>
          </w:p>
        </w:tc>
        <w:tc>
          <w:tcPr>
            <w:tcW w:w="4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453"/>
        </w:trPr>
        <w:tc>
          <w:tcPr>
            <w:tcW w:w="4540" w:type="dxa"/>
            <w:vAlign w:val="bottom"/>
          </w:tcPr>
          <w:p>
            <w:pPr>
              <w:spacing w:after="0"/>
              <w:rPr>
                <w:sz w:val="20"/>
                <w:szCs w:val="20"/>
                <w:color w:val="auto"/>
              </w:rPr>
            </w:pPr>
            <w:r>
              <w:rPr>
                <w:rFonts w:ascii="Arial" w:cs="Arial" w:eastAsia="Arial" w:hAnsi="Arial"/>
                <w:sz w:val="18"/>
                <w:szCs w:val="18"/>
                <w:b w:val="1"/>
                <w:bCs w:val="1"/>
                <w:color w:val="auto"/>
              </w:rPr>
              <w:t>COMMISSION FILE NUMBER 033-47073</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-299720</wp:posOffset>
            </wp:positionV>
            <wp:extent cx="285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74"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33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The Scotts Company LLC Retirement Savings Plan</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(public company successor to The Scotts Company)</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Marysville, Ohio 43041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REQUIRED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financial statements and supplemental schedule for The Scotts Company LLC Retirement Savings Plan are being filed herewith: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Audited Financial Statements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Statement of Net Assets Available for Benefits as of December 31, 2006 and 2005</w:t>
      </w:r>
    </w:p>
    <w:p>
      <w:pPr>
        <w:spacing w:after="0" w:line="117" w:lineRule="exact"/>
        <w:rPr>
          <w:sz w:val="20"/>
          <w:szCs w:val="20"/>
          <w:color w:val="auto"/>
        </w:rPr>
      </w:pPr>
    </w:p>
    <w:p>
      <w:pPr>
        <w:ind w:left="700" w:right="2220"/>
        <w:spacing w:after="0" w:line="375" w:lineRule="auto"/>
        <w:rPr>
          <w:sz w:val="20"/>
          <w:szCs w:val="20"/>
          <w:color w:val="auto"/>
        </w:rPr>
      </w:pPr>
      <w:r>
        <w:rPr>
          <w:rFonts w:ascii="Arial" w:cs="Arial" w:eastAsia="Arial" w:hAnsi="Arial"/>
          <w:sz w:val="18"/>
          <w:szCs w:val="18"/>
          <w:color w:val="auto"/>
        </w:rPr>
        <w:t>Statement of Changes in Net Assets Available for Benefits for the Years Ended December 31, 2006 and 2005 Notes to Financial Statements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Schedule: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Schedule of Assets Held for Investment Purposes at End of Year</w:t>
      </w:r>
    </w:p>
    <w:p>
      <w:pPr>
        <w:spacing w:after="0" w:line="117"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Note: Other supplemental schedules required by Section 252.103-10 of the Department of Labor’s Rules and Regulations for Reporting and Disclosure under ERISA have been omitted because they are not applicable.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herewith:</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u w:val="single" w:color="auto"/>
          <w:color w:val="auto"/>
        </w:rPr>
        <w:t>Description</w:t>
      </w:r>
    </w:p>
    <w:p>
      <w:pPr>
        <w:spacing w:after="0" w:line="2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 — Meaden &amp; Moore, Ltd.</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560" w:val="left"/>
          <w:tab w:leader="none" w:pos="6060" w:val="left"/>
        </w:tabs>
        <w:rPr>
          <w:sz w:val="20"/>
          <w:szCs w:val="20"/>
          <w:color w:val="auto"/>
        </w:rPr>
      </w:pPr>
      <w:r>
        <w:rPr>
          <w:rFonts w:ascii="Arial" w:cs="Arial" w:eastAsia="Arial" w:hAnsi="Arial"/>
          <w:sz w:val="18"/>
          <w:szCs w:val="18"/>
          <w:color w:val="auto"/>
        </w:rPr>
        <w:t>Date: June 27,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Printed Name: David C. Evans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Executive Vice President and Chief</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Financial Officer of The Scotts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Miracle-Gro Company</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ind w:left="3280"/>
        <w:spacing w:after="0"/>
        <w:rPr>
          <w:sz w:val="20"/>
          <w:szCs w:val="20"/>
          <w:color w:val="auto"/>
        </w:rPr>
      </w:pPr>
      <w:r>
        <w:rPr>
          <w:rFonts w:ascii="Arial" w:cs="Arial" w:eastAsia="Arial" w:hAnsi="Arial"/>
          <w:sz w:val="18"/>
          <w:szCs w:val="18"/>
          <w:color w:val="auto"/>
        </w:rPr>
        <w:t>THE SCOTTS COMPANY LLC RETIREMENT SAVINGS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INDEX TO THE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and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80" w:type="dxa"/>
            <w:vAlign w:val="bottom"/>
            <w:gridSpan w:val="3"/>
          </w:tcPr>
          <w:p>
            <w:pPr>
              <w:ind w:left="29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20" w:type="dxa"/>
            <w:vAlign w:val="bottom"/>
            <w:gridSpan w:val="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Report of Independent Registered Public Accounting Firm</w:t>
              </w:r>
            </w:hyperlink>
          </w:p>
        </w:tc>
        <w:tc>
          <w:tcPr>
            <w:tcW w:w="3580" w:type="dxa"/>
            <w:vAlign w:val="bottom"/>
            <w:gridSpan w:val="2"/>
            <w:shd w:val="clear" w:color="auto" w:fill="CCEEFF"/>
          </w:tcPr>
          <w:p>
            <w:pPr>
              <w:jc w:val="center"/>
              <w:ind w:left="2913"/>
              <w:spacing w:after="0" w:line="176" w:lineRule="exact"/>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740" w:type="dxa"/>
            <w:vAlign w:val="bottom"/>
            <w:gridSpan w:val="10"/>
          </w:tcPr>
          <w:p>
            <w:pPr>
              <w:spacing w:after="0"/>
              <w:rPr>
                <w:sz w:val="20"/>
                <w:szCs w:val="20"/>
                <w:color w:val="auto"/>
              </w:rPr>
            </w:pPr>
            <w:r>
              <w:rPr>
                <w:rFonts w:ascii="Arial" w:cs="Arial" w:eastAsia="Arial" w:hAnsi="Arial"/>
                <w:sz w:val="18"/>
                <w:szCs w:val="18"/>
                <w:color w:val="auto"/>
              </w:rPr>
              <w:t>Financial Statements:</w:t>
            </w:r>
          </w:p>
        </w:tc>
        <w:tc>
          <w:tcPr>
            <w:tcW w:w="2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Statement of Net Assets Available for Benefits</w:t>
              </w:r>
            </w:hyperlink>
          </w:p>
        </w:tc>
        <w:tc>
          <w:tcPr>
            <w:tcW w:w="3580" w:type="dxa"/>
            <w:vAlign w:val="bottom"/>
            <w:gridSpan w:val="2"/>
            <w:shd w:val="clear" w:color="auto" w:fill="CCEEFF"/>
          </w:tcPr>
          <w:p>
            <w:pPr>
              <w:jc w:val="center"/>
              <w:ind w:left="2913"/>
              <w:spacing w:after="0" w:line="176" w:lineRule="exact"/>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80" w:type="dxa"/>
            <w:vAlign w:val="bottom"/>
            <w:gridSpan w:val="8"/>
          </w:tcPr>
          <w:p>
            <w:pPr>
              <w:ind w:left="1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Statement of Changes in Net Assets Available for Benefits</w:t>
              </w:r>
            </w:hyperlink>
          </w:p>
        </w:tc>
        <w:tc>
          <w:tcPr>
            <w:tcW w:w="3580" w:type="dxa"/>
            <w:vAlign w:val="bottom"/>
            <w:gridSpan w:val="2"/>
          </w:tcPr>
          <w:p>
            <w:pPr>
              <w:jc w:val="center"/>
              <w:ind w:left="2913"/>
              <w:spacing w:after="0" w:line="176" w:lineRule="exact"/>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w:t>
              </w:r>
            </w:hyperlink>
          </w:p>
        </w:tc>
        <w:tc>
          <w:tcPr>
            <w:tcW w:w="3580" w:type="dxa"/>
            <w:vAlign w:val="bottom"/>
            <w:gridSpan w:val="2"/>
            <w:shd w:val="clear" w:color="auto" w:fill="CCEEFF"/>
          </w:tcPr>
          <w:p>
            <w:pPr>
              <w:jc w:val="center"/>
              <w:ind w:left="2913"/>
              <w:spacing w:after="0" w:line="176" w:lineRule="exact"/>
              <w:rPr>
                <w:sz w:val="20"/>
                <w:szCs w:val="20"/>
                <w:color w:val="auto"/>
              </w:rPr>
            </w:pPr>
            <w:r>
              <w:rPr>
                <w:rFonts w:ascii="Arial" w:cs="Arial" w:eastAsia="Arial" w:hAnsi="Arial"/>
                <w:sz w:val="18"/>
                <w:szCs w:val="18"/>
                <w:color w:val="auto"/>
                <w:w w:val="91"/>
              </w:rPr>
              <w:t>8 - 17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740" w:type="dxa"/>
            <w:vAlign w:val="bottom"/>
            <w:gridSpan w:val="10"/>
          </w:tcPr>
          <w:p>
            <w:pPr>
              <w:spacing w:after="0"/>
              <w:rPr>
                <w:sz w:val="20"/>
                <w:szCs w:val="20"/>
                <w:color w:val="auto"/>
              </w:rPr>
            </w:pPr>
            <w:r>
              <w:rPr>
                <w:rFonts w:ascii="Arial" w:cs="Arial" w:eastAsia="Arial" w:hAnsi="Arial"/>
                <w:sz w:val="18"/>
                <w:szCs w:val="18"/>
                <w:color w:val="auto"/>
              </w:rPr>
              <w:t>Supplemental Schedule</w:t>
            </w:r>
          </w:p>
        </w:tc>
        <w:tc>
          <w:tcPr>
            <w:tcW w:w="2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Schedule of Assets Held for Investment Purposes at End of Year</w:t>
              </w:r>
            </w:hyperlink>
          </w:p>
        </w:tc>
        <w:tc>
          <w:tcPr>
            <w:tcW w:w="3580" w:type="dxa"/>
            <w:vAlign w:val="bottom"/>
            <w:gridSpan w:val="2"/>
            <w:shd w:val="clear" w:color="auto" w:fill="CCEEFF"/>
          </w:tcPr>
          <w:p>
            <w:pPr>
              <w:jc w:val="center"/>
              <w:ind w:left="2913"/>
              <w:spacing w:after="0" w:line="176" w:lineRule="exact"/>
              <w:rPr>
                <w:sz w:val="20"/>
                <w:szCs w:val="20"/>
                <w:color w:val="auto"/>
              </w:rPr>
            </w:pPr>
            <w:r>
              <w:rPr>
                <w:rFonts w:ascii="Arial" w:cs="Arial" w:eastAsia="Arial" w:hAnsi="Arial"/>
                <w:sz w:val="18"/>
                <w:szCs w:val="18"/>
                <w:color w:val="auto"/>
                <w:w w:val="89"/>
              </w:rPr>
              <w:t>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80" w:type="dxa"/>
            <w:vAlign w:val="bottom"/>
            <w:gridSpan w:val="8"/>
          </w:tcPr>
          <w:p>
            <w:pPr>
              <w:spacing w:after="0" w:line="176" w:lineRule="exact"/>
              <w:rPr>
                <w:sz w:val="20"/>
                <w:szCs w:val="20"/>
                <w:color w:val="auto"/>
              </w:rPr>
            </w:pPr>
            <w:r>
              <w:rPr>
                <w:rFonts w:ascii="Arial" w:cs="Arial" w:eastAsia="Arial" w:hAnsi="Arial"/>
                <w:sz w:val="18"/>
                <w:szCs w:val="18"/>
                <w:color w:val="0000EE"/>
              </w:rPr>
              <w:t>Exhibit 23.1</w:t>
            </w:r>
          </w:p>
        </w:tc>
        <w:tc>
          <w:tcPr>
            <w:tcW w:w="2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60" w:right="14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Other supplement schedules required by Section 252.103-10 of the Department of Labor’s Rules and Regulations for Reporting and Disclosure and ERISA have been omitted because they are not applicable.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audited the accompanying Statement of Net Assets Available for Benefits of THE SCOTTS COMPANY LLC RETIREMENT SAVINGS PLAN and the related Statement of Changes in Net Assets Available for Benefits for the years ended December 31, 2006 and 2005. These financial statements are the responsibility of the Plan’s management. Our responsibility is to express an opinion on these financial statements based on our audit.</w:t>
      </w:r>
    </w:p>
    <w:p>
      <w:pPr>
        <w:spacing w:after="0" w:line="3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7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During 2006, the Plan adopted FSP AAG INV-1 and SOP 94-4-1, Reporting of Fully Benefit-Responsive Investment Contracts Held by Certain Investment Companies Subject to the AICPA Investment Company Guide and Defined-Contribution Health and Welfare and Pension Plans.</w:t>
      </w:r>
    </w:p>
    <w:p>
      <w:pPr>
        <w:spacing w:after="0" w:line="3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Scotts Company LLC Retirement Savings Plan as of December 31, 2006 and 2005 and the changes in its net assets available for benefits for the years then ended, in conformity with accounting principles generally accepted in the United States of America.</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at end of year) as of December 31, 2006, is presented for the purposes of additional analysis and is not a required part of the financial statements but is supplemental information required by the Department of Labor’s Rules and Regulations for Reporting and Disclosure under the Employee Retirement Income Security Act of 1974. The supplemental schedule is the responsibility of the Plan’s management. The supplemental information has been subjected to the auditing procedures applied in our audit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MEADEN &amp; MOORE,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June 1,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NET ASSETS AVAILABLE FOR BENEFITS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color w:val="auto"/>
              </w:rPr>
              <w:t>December 31</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953,912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Employer contribution receivable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1,873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contribution receivable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Other receivable</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41,688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44,704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671,251</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CRM Small Cap Value Fund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3,094,157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Dodge and Cox Stock Fund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15,501,108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11,428,442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EuroPacific Growth Fund-Class 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14,143,510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Fidelity Blue Chip Fund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21,493,816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21,956,209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Contrafund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21,571,540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19,167,892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Fidelity Freedom Income Fund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819,344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Freedom 2000 Fund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1,136,651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Fidelity Freedom 2010 Fund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4,489,628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4,626,298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Freedom 2020 Fund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9,589,363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Fidelity Freedom 2030 Fund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5,735,821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4,686,028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Freedom 2040 Fund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1,328,362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Fidelity Low Price Stock Fund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6,889,830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6,191,564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Managed Income Portfolio</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27,211,156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22,850,956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Fidelity Puritan Fund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24,388,839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22,736,223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Managers Special Equity Fund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13,559,000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13,415,950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PIMCO Total Return Fund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5,035,844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5,449,207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Spartan U.S. Equity Index Fund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20,253,923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18,744,516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The Scotts Miracle-Gro Company Common Shares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16,686,541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13,850,226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Loans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5,190,321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Total Investments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218,118,754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192,148,012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218,163,458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193,773,175</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Assets Available for Benefits at Fair Value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218,163,458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193,773,175</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273,491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259,419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218,436,949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194,032,594</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00" w:type="dxa"/>
            <w:vAlign w:val="bottom"/>
            <w:gridSpan w:val="2"/>
          </w:tcPr>
          <w:p>
            <w:pPr>
              <w:ind w:left="5560"/>
              <w:spacing w:after="0"/>
              <w:rPr>
                <w:sz w:val="20"/>
                <w:szCs w:val="20"/>
                <w:color w:val="auto"/>
              </w:rPr>
            </w:pPr>
            <w:r>
              <w:rPr>
                <w:rFonts w:ascii="Arial" w:cs="Arial" w:eastAsia="Arial" w:hAnsi="Arial"/>
                <w:sz w:val="18"/>
                <w:szCs w:val="18"/>
                <w:color w:val="auto"/>
              </w:rPr>
              <w:t>- 6 -</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ind w:left="50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10,258,531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10,525,261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Participant</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10,752,334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10,266,612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Rollovers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1,023,783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877,808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22,034,648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21,669,681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participant loans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321,102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Interest income and dividends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11,897,580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6,128,670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appreciation of investments</w:t>
            </w:r>
          </w:p>
        </w:tc>
        <w:tc>
          <w:tcPr>
            <w:tcW w:w="4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10,714,247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Total Additions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44,967,577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35,836,879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22,096,699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33,448,728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37,498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Total Deductions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22,134,197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33,488,933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Increase before Plan Transfer</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22,833,380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2,347,946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Plan Transfer</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1,570,975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3,205,516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194,032,594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188,479,132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218,436,949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194,032,594</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2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320" w:type="dxa"/>
            <w:vAlign w:val="bottom"/>
          </w:tcPr>
          <w:p>
            <w:pPr>
              <w:jc w:val="right"/>
              <w:ind w:right="2690"/>
              <w:spacing w:after="0"/>
              <w:rPr>
                <w:sz w:val="20"/>
                <w:szCs w:val="20"/>
                <w:color w:val="auto"/>
              </w:rPr>
            </w:pPr>
            <w:r>
              <w:rPr>
                <w:rFonts w:ascii="Arial" w:cs="Arial" w:eastAsia="Arial" w:hAnsi="Arial"/>
                <w:sz w:val="18"/>
                <w:szCs w:val="18"/>
                <w:color w:val="auto"/>
              </w:rPr>
              <w:t>- 7 -</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description of The Scotts Company LLC Retirement Savings Plan (the “Plan”) provides only general information. Participants should refer to the Plan document for a complete description of the Plan’s provisions, such as eligibility, vesting, allocation and funding.</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March 18, 2005 (the “Effective Time”), The Scotts Company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The Scotts Miracle-Gro Company (“Scotts Miracle-Gro”). This merger is referred to as the “Restructuring Merger.”</w:t>
      </w:r>
    </w:p>
    <w:p>
      <w:pPr>
        <w:spacing w:after="0" w:line="79"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became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85" w:lineRule="exact"/>
        <w:rPr>
          <w:sz w:val="20"/>
          <w:szCs w:val="20"/>
          <w:color w:val="auto"/>
        </w:rPr>
      </w:pPr>
    </w:p>
    <w:p>
      <w:pPr>
        <w:ind w:right="360" w:firstLine="215"/>
        <w:spacing w:after="0" w:line="276" w:lineRule="auto"/>
        <w:rPr>
          <w:sz w:val="20"/>
          <w:szCs w:val="20"/>
          <w:color w:val="auto"/>
        </w:rPr>
      </w:pPr>
      <w:r>
        <w:rPr>
          <w:rFonts w:ascii="Arial" w:cs="Arial" w:eastAsia="Arial" w:hAnsi="Arial"/>
          <w:sz w:val="17"/>
          <w:szCs w:val="17"/>
          <w:color w:val="auto"/>
        </w:rPr>
        <w:t>As of the Effective Time, Scotts maintained The Scotts Company Retirement Savings Plan (the “Retirement Savings Plan”). As of the Effective Time, Scotts LLC assumed the obligations of Scotts under the Retirement Savings Plan. The Scotts Common Shares attributable to the accounts of participants under the Retirement Savings Plan relating to common share units immediately prior to the Effective Time were, by virtue of the Restructuring Merger, converted into the same number of Scotts Miracle-Gro Common Shares and those Scotts Miracle-Gro Common Shares are attributable to the accounts of those participants upon the same terms and subject to the same conditions as were in effect at the Effective Time.</w:t>
      </w:r>
    </w:p>
    <w:p>
      <w:pPr>
        <w:spacing w:after="0" w:line="64"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All provisions of the Retirement Savings Plan remain the same following the Restructuring Merger, except that the Retirement Savings Plan has been amended to change the name of the Retirement Savings Plan from “The Scotts Company Retirement Savings Plan” to “The Scotts Company LLC Retirement Savings Plan” and to revise certain definitions and other provisions of the Retirement Savings Plan to reflect the assumption of the Retirement Savings Plan by Scotts LLC and the ability to invest in Scotts Miracle-Gro Common Shares instead of Scotts Common Shares under the Retirement Savings Plan. From and after the Effective Time, all amounts contributed to the Retirement Savings Plan’s “Scotts Miracle-Gro Stock Fund” will be invested in securities of Scotts Miracle-Gro.</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Plan is a defined contribution plan covering all eligible employees of The Scotts Company LLC (the “Company”) who meet the eligibility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is subject to the provisions of the Employee Retirement Income Security Act of 1974 (ERISA).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Regular domestic employees of the Company are eligible to participate in the Plan on the first day of the month immediately following their date of employment. Regular employees of EG Systems, Inc. doing business as Scotts LawnService</w:t>
      </w:r>
      <w:r>
        <w:rPr>
          <w:rFonts w:ascii="Arial" w:cs="Arial" w:eastAsia="Arial" w:hAnsi="Arial"/>
          <w:sz w:val="15"/>
          <w:szCs w:val="15"/>
          <w:color w:val="auto"/>
        </w:rPr>
        <w:t>®</w:t>
      </w:r>
      <w:r>
        <w:rPr>
          <w:rFonts w:ascii="Arial" w:cs="Arial" w:eastAsia="Arial" w:hAnsi="Arial"/>
          <w:sz w:val="18"/>
          <w:szCs w:val="18"/>
          <w:color w:val="auto"/>
        </w:rPr>
        <w:t>, a subsidiary of the Company, are eligible to receive base retirement contributions on the first day of the month after completing one year of eligibility service and are eligible to make contributions and receive matching contributions on the first day of the month after completing 60 days of service. Effective January 1, 2003, temporary employees are not eligible to participate in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Contributions: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Plan provides for a participant to make pre-tax or after-tax contributions up to 75% of eligible wages, not to exceed the annual Internal Revenue Service (“IRS”) maximum deferral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Employer Contributions: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pre-tax contributions dollar for dollar for the first 3% of pay and matches $0.50 on the dollar for the next 2% of participant pre-tax contributions. Additionally, the Company remitted transitional contributions for 1998 to 2002 to certain participants who were also participants of certain retirement plans previously sponsored by The Scotts Company or its subsidiaries.</w:t>
      </w:r>
    </w:p>
    <w:p>
      <w:pPr>
        <w:spacing w:after="0" w:line="8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Contributions are subject to limitations on annual additions and other limitations imposed by the Internal Revenue Code as defined in the Plan agreement.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Accounts: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401(k) Accounts — Each participant’s account is credited with the participant’s elective contributions, employer matching contributions, earnings and losses thereon.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Rollover contributions from other Plans are also accepted, providing certain specified conditions are met.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All participants are immediately vested in their contributions plus actual earnings thereon. Matching and transition contributions made by the Company vest immediately. However, base contributions made by the Company vest after three years of service or immediately upon death or disability.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nonvested portions of participant account balances are forfeitable and used to reduce employer contributions to the Plan. Plan forfeitures used totaled $411,470 and $10,717 for the years ended December 31, 2006 and 2005,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Loans are available to participants from their individual accounts subject to the terms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 Provisions: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Normal retirement age is 65, however, a participant may elect early retirement on or after age 55 and completing five years of vested service. The Plan also provides for in-service withdrawals for active employees under certain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Participants are eligible to receive benefit payments upon termination, retirement, death or disability equal to the vested balance of the participant’s account as of the business day the trustee processes the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Hardship Withdrawals: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Hardship withdrawals are permitted in accordance with Internal Revenue Service guidelines.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Upon enrollment in the Plan, a participant may direct his or her contributions in any or all of the investment options under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of the Plan have been prepared on the accrual basis of accounting in accordance with generally accepted accounting principles.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Plan’s investments are stated at fair value. Quoted market prices are used to value investments. Shares of mutual funds are valued at the net asset value of shares held by the Plan at year end.</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described in Financial Accounting Standards Board Staff Position, FSP AAG INV-1 and SOP 94-4-1, “Reporting of Fully Benefit-Responsive Investment Contracts Held by Certain Investment Companies Subject to the AICPA Investment Company Guide and Defined-Contribution Health and Welfare and Pension Plans” (the FSP), investment contracts held by a defined-contribution plan are required to be reported at fair value. However, contract value is the relevant measurement attribute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As required by the FSP,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 The fair value of the wrapper investment is calculated by discounting the related cash flows based on current yields of similar instruments with comparable durations.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Participants’ loans are valued at their outstanding balances, which approximates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investments with original term to maturity of 90 days or less. Cost approximates fair value.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Continued:</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presents in the statements of changes in net assets available for benefits the net appreciation (depreciation) in the fair value of its investments, which consists of the realized gains or losses and the unrealized appreciation (depreciation) on those investments. Gains and losses on sales of investments are based on the average cost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for all administrative fees except those that are participant specific, such as loan establishment and maintenance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fair values of the investments individually represent 5% or more of net assets available for benefits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2005</w:t>
            </w:r>
          </w:p>
        </w:tc>
        <w:tc>
          <w:tcPr>
            <w:tcW w:w="100" w:type="dxa"/>
            <w:vAlign w:val="bottom"/>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Dodge and Cox Stock Fund</w:t>
            </w:r>
          </w:p>
        </w:tc>
        <w:tc>
          <w:tcPr>
            <w:tcW w:w="414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b w:val="1"/>
                <w:bCs w:val="1"/>
                <w:color w:val="auto"/>
                <w:w w:val="91"/>
              </w:rPr>
              <w:t>$15,501,108</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$ 11,428,442</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EuroPacific Growth Fund-Class A</w:t>
            </w:r>
          </w:p>
        </w:tc>
        <w:tc>
          <w:tcPr>
            <w:tcW w:w="414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91"/>
              </w:rPr>
              <w:t>$14,143,510</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Fidelity Blue Chip Fund</w:t>
            </w:r>
          </w:p>
        </w:tc>
        <w:tc>
          <w:tcPr>
            <w:tcW w:w="414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b w:val="1"/>
                <w:bCs w:val="1"/>
                <w:color w:val="auto"/>
                <w:w w:val="91"/>
              </w:rPr>
              <w:t>$21,493,816</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$21,956,209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Fidelity Contrafund</w:t>
            </w:r>
          </w:p>
        </w:tc>
        <w:tc>
          <w:tcPr>
            <w:tcW w:w="414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91"/>
              </w:rPr>
              <w:t>$21,571,540</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$19,167,892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Fidelity Managed Income Portfolio</w:t>
            </w:r>
          </w:p>
        </w:tc>
        <w:tc>
          <w:tcPr>
            <w:tcW w:w="414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b w:val="1"/>
                <w:bCs w:val="1"/>
                <w:color w:val="auto"/>
                <w:w w:val="87"/>
              </w:rPr>
              <w:t>$ 27,211,156</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$22,850,956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Fidelity Puritan Fund</w:t>
            </w:r>
          </w:p>
        </w:tc>
        <w:tc>
          <w:tcPr>
            <w:tcW w:w="414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91"/>
              </w:rPr>
              <w:t>$24,388,839</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$22,736,223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Managers Special Equity Fund</w:t>
            </w:r>
          </w:p>
        </w:tc>
        <w:tc>
          <w:tcPr>
            <w:tcW w:w="414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b w:val="1"/>
                <w:bCs w:val="1"/>
                <w:color w:val="auto"/>
                <w:w w:val="91"/>
              </w:rPr>
              <w:t>$13,559,000</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$13,415,950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Spartan U.S. Equity Index Fund</w:t>
            </w:r>
          </w:p>
        </w:tc>
        <w:tc>
          <w:tcPr>
            <w:tcW w:w="414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91"/>
              </w:rPr>
              <w:t>$20,253,923</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$18,744,516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The Scotts Miracle-Gro Company Common Shares</w:t>
            </w:r>
          </w:p>
        </w:tc>
        <w:tc>
          <w:tcPr>
            <w:tcW w:w="4140" w:type="dxa"/>
            <w:vAlign w:val="bottom"/>
            <w:gridSpan w:val="3"/>
            <w:shd w:val="clear" w:color="auto" w:fill="CCEEFF"/>
          </w:tcPr>
          <w:p>
            <w:pPr>
              <w:jc w:val="center"/>
              <w:ind w:left="1810"/>
              <w:spacing w:after="0"/>
              <w:rPr>
                <w:sz w:val="20"/>
                <w:szCs w:val="20"/>
                <w:color w:val="auto"/>
              </w:rPr>
            </w:pPr>
            <w:r>
              <w:rPr>
                <w:rFonts w:ascii="Arial" w:cs="Arial" w:eastAsia="Arial" w:hAnsi="Arial"/>
                <w:sz w:val="18"/>
                <w:szCs w:val="18"/>
                <w:b w:val="1"/>
                <w:bCs w:val="1"/>
                <w:color w:val="auto"/>
                <w:w w:val="91"/>
              </w:rPr>
              <w:t>$16,686,541</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$13,850,226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 Did not meet 5% threshold for the year ended December 31, 2005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 with Fidelity Trust Company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Plan holds a stable value investment contract, Fidelity Managed Income Portfolio, (the “Portfolio”) with Fidelity Investments, the trustee. The Portfolio is an open-end commingled pool dedicated exclusively to the management of assets of defined contribution plans. The Portfolio invests in underlying assets (typically fixed-income securities or bond funds and may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Portfolio an amount sufficient to cover unitholder redemptions and certain other payments (such as portfolio expenses), provided all the terms of the wrap contract have been met. Wrappers are normally purchased from issuers rated in the top three long-term rating categories (A- or the equivalent and above).</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described in Note 2, because the stable value investment contract is fully benefit-responsive, contract value is the relevant measurement attribute for that portion of the net assets available for benefits attributable to the stable value investment contract. Contract value, as reported by Fidelity, represents contributions made under the contract, plus earnings, less participant withdrawals and administrative expenses. Participants may ordinarily direct the withdrawal or transfer of all or a portion of their investment at contract value.</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are no reserves against contract value for credit risk of the contract issuer or otherwise. The crediting interest rate is based on a formula agreed upon with the issuer. Such interest rates are reviewed on a quarterly basis for resetting.</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events limit the ability of the Plan to transact at contract value with the issuer. Such events include the following: (1) amendments to the Plan documents (including complete or partial plan termination or merger with another plan), (2) changes to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Employee Retirement Income Security Act of 1974. The Plan administrator does not believe that the occurrence of any such value event, which would limit the Plan’s ability to transact at contract value with participants, is probable.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guaranteed bank investment contract does not permit Fidelity to terminate the agreement prior to the scheduled maturity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 with Fidelity Trust Company,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average yields for the guaranteed bank investment contract for 2006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60" w:type="dxa"/>
            <w:vAlign w:val="bottom"/>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2006</w:t>
            </w:r>
          </w:p>
        </w:tc>
        <w:tc>
          <w:tcPr>
            <w:tcW w:w="7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2005</w:t>
            </w:r>
          </w:p>
        </w:tc>
        <w:tc>
          <w:tcPr>
            <w:tcW w:w="160" w:type="dxa"/>
            <w:vAlign w:val="bottom"/>
          </w:tcPr>
          <w:p>
            <w:pPr>
              <w:spacing w:after="0"/>
              <w:rPr>
                <w:sz w:val="14"/>
                <w:szCs w:val="14"/>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Average Yields:</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Based on actual earnings</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3.90%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Based on interest rates credited to participants</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4.27%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 Status</w:t>
      </w:r>
    </w:p>
    <w:p>
      <w:pPr>
        <w:spacing w:after="0" w:line="12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Plan obtained a determination letter dated September 24, 2003, in which the Internal Revenue Service stated that the Plan, as amended through February 4, 2002, was in compliance with the applicable requirements of the Internal Revenue Code. The Plan administrator, the Company and the Plan’s legal counsel believe that the Plan is designed and has been operated in compliance with the applicable requirements of the Internal Revenue Code. On January 31, 2007, the Company applied for a new determination letter to cover all amendments to the Plan subsequent to February 4, 2002.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Although it has not expressed any intent to do so, the Company has the right under the Plan to terminate the Plan or its contributions subject to the provisions of ERISA. In the event the Plan is terminated, participants will become fully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Form 5500: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8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2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$ 218,436,949</w:t>
            </w: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9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(273,491)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Rounding</w:t>
            </w:r>
          </w:p>
        </w:tc>
        <w:tc>
          <w:tcPr>
            <w:tcW w:w="17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85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520" w:type="dxa"/>
            <w:vAlign w:val="bottom"/>
            <w:gridSpan w:val="2"/>
          </w:tcPr>
          <w:p>
            <w:pPr>
              <w:spacing w:after="0"/>
              <w:rPr>
                <w:sz w:val="20"/>
                <w:szCs w:val="20"/>
                <w:color w:val="auto"/>
              </w:rPr>
            </w:pPr>
            <w:r>
              <w:rPr>
                <w:rFonts w:ascii="Arial" w:cs="Arial" w:eastAsia="Arial" w:hAnsi="Arial"/>
                <w:sz w:val="18"/>
                <w:szCs w:val="18"/>
                <w:color w:val="auto"/>
              </w:rPr>
              <w:t>Net assets available for benefits per the Form 5500</w:t>
            </w:r>
          </w:p>
        </w:tc>
        <w:tc>
          <w:tcPr>
            <w:tcW w:w="2900" w:type="dxa"/>
            <w:vAlign w:val="bottom"/>
            <w:gridSpan w:val="3"/>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218,163,455</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jc w:val="right"/>
              <w:ind w:right="2570"/>
              <w:spacing w:after="0"/>
              <w:rPr>
                <w:sz w:val="20"/>
                <w:szCs w:val="20"/>
                <w:color w:val="auto"/>
              </w:rPr>
            </w:pPr>
            <w:r>
              <w:rPr>
                <w:rFonts w:ascii="Arial" w:cs="Arial" w:eastAsia="Arial" w:hAnsi="Arial"/>
                <w:sz w:val="18"/>
                <w:szCs w:val="18"/>
                <w:color w:val="auto"/>
              </w:rPr>
              <w:t>-15-</w:t>
            </w:r>
          </w:p>
        </w:tc>
        <w:tc>
          <w:tcPr>
            <w:tcW w:w="1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2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0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 Continued</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a reconciliation of investment income per the financial statements to the Form 5500. Form 5500 does not report on a comparative basis, therefore, December 31, 2005 does not change.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per the financial statements</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22,932,929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40" w:type="dxa"/>
            <w:vAlign w:val="bottom"/>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36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(273,491)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Rounding</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439"/>
        </w:trPr>
        <w:tc>
          <w:tcPr>
            <w:tcW w:w="9760" w:type="dxa"/>
            <w:vAlign w:val="bottom"/>
            <w:gridSpan w:val="2"/>
          </w:tcPr>
          <w:p>
            <w:pPr>
              <w:spacing w:after="0"/>
              <w:rPr>
                <w:sz w:val="20"/>
                <w:szCs w:val="20"/>
                <w:color w:val="auto"/>
              </w:rPr>
            </w:pPr>
            <w:r>
              <w:rPr>
                <w:rFonts w:ascii="Arial" w:cs="Arial" w:eastAsia="Arial" w:hAnsi="Arial"/>
                <w:sz w:val="18"/>
                <w:szCs w:val="18"/>
                <w:color w:val="auto"/>
              </w:rPr>
              <w:t>Net investment income per the Form 5500</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22,659,434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Party-in-Interest Transactions</w:t>
      </w:r>
    </w:p>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Certain Plan investments are shares of mutual funds managed by Fidelity, the Trustee as defined by the Plan and therefore, these transactions qualify as party-in-interest. Usual and customary fees were paid by the mutual fund for the investment management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Transfers into the Plan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June 1, 2006, the Morning Song Wild Bird Food 401(k) Savings Retirement Plan (“Morning Song Plan”) transferred its net assets into the Plan in the amount of $1,570,975. Prior to the merger, the Morning Song Plan covered eligible employees of Gutwein &amp; Co., Inc. Also, the Plan was amended so that the participants of the Morning Song Plan could immediately participant in the Plan. On December 30, 2005, the Rod McLellan Company 401(k) Plan (“RMC Plan”) transferred its net assets into the Plan in the amount of $3,205,516. Prior to the merger, the RMC Plan covered eligible employees of the Rod McLellan Company. Also, the Plan was amended so that the participants of the RMC Plan could immediately participate in the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33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2006, the Financial Accounting Standards Board issued SFAS 157, “Fair Value Measurements.” SFAS 157 defines fair value, establishes a framework for measuring fair value, and expands disclosures about fair value measurements. The Plan will be required to adopt SFAS 157 no later than January 1, 2008. The effect of this pronouncement on these financial statements has not been determined.</w:t>
      </w:r>
    </w:p>
    <w:p>
      <w:pPr>
        <w:spacing w:after="0" w:line="13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ASSETS HELD FOR INVESTMENT PURPOSES AT END OF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5500, Schedule H, Part IV, Line 4i</w:t>
      </w:r>
    </w:p>
    <w:p>
      <w:pPr>
        <w:spacing w:after="0" w:line="31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31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EIN 31-1414921</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Plan Number 001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2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(b) Identity of Issue,</w:t>
            </w:r>
          </w:p>
        </w:tc>
        <w:tc>
          <w:tcPr>
            <w:tcW w:w="280" w:type="dxa"/>
            <w:vAlign w:val="bottom"/>
          </w:tcPr>
          <w:p>
            <w:pPr>
              <w:spacing w:after="0"/>
              <w:rPr>
                <w:sz w:val="14"/>
                <w:szCs w:val="14"/>
                <w:color w:val="auto"/>
              </w:rPr>
            </w:pPr>
          </w:p>
        </w:tc>
        <w:tc>
          <w:tcPr>
            <w:tcW w:w="4160" w:type="dxa"/>
            <w:vAlign w:val="bottom"/>
          </w:tcPr>
          <w:p>
            <w:pPr>
              <w:jc w:val="center"/>
              <w:spacing w:after="0"/>
              <w:rPr>
                <w:sz w:val="20"/>
                <w:szCs w:val="20"/>
                <w:color w:val="auto"/>
              </w:rPr>
            </w:pPr>
            <w:r>
              <w:rPr>
                <w:rFonts w:ascii="Arial" w:cs="Arial" w:eastAsia="Arial" w:hAnsi="Arial"/>
                <w:sz w:val="14"/>
                <w:szCs w:val="14"/>
                <w:color w:val="auto"/>
                <w:w w:val="95"/>
              </w:rPr>
              <w:t>(c) Description of Investment Including</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(e)</w:t>
            </w:r>
          </w:p>
        </w:tc>
      </w:tr>
      <w:tr>
        <w:trPr>
          <w:trHeight w:val="149"/>
        </w:trPr>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2"/>
              </w:rPr>
              <w:t>Borrower, Lessor,</w:t>
            </w:r>
          </w:p>
        </w:tc>
        <w:tc>
          <w:tcPr>
            <w:tcW w:w="280" w:type="dxa"/>
            <w:vAlign w:val="bottom"/>
          </w:tcPr>
          <w:p>
            <w:pPr>
              <w:spacing w:after="0"/>
              <w:rPr>
                <w:sz w:val="12"/>
                <w:szCs w:val="12"/>
                <w:color w:val="auto"/>
              </w:rPr>
            </w:pPr>
          </w:p>
        </w:tc>
        <w:tc>
          <w:tcPr>
            <w:tcW w:w="4160" w:type="dxa"/>
            <w:vAlign w:val="bottom"/>
          </w:tcPr>
          <w:p>
            <w:pPr>
              <w:jc w:val="center"/>
              <w:spacing w:after="0" w:line="149" w:lineRule="exact"/>
              <w:rPr>
                <w:sz w:val="20"/>
                <w:szCs w:val="20"/>
                <w:color w:val="auto"/>
              </w:rPr>
            </w:pPr>
            <w:r>
              <w:rPr>
                <w:rFonts w:ascii="Arial" w:cs="Arial" w:eastAsia="Arial" w:hAnsi="Arial"/>
                <w:sz w:val="14"/>
                <w:szCs w:val="14"/>
                <w:color w:val="auto"/>
                <w:w w:val="94"/>
              </w:rPr>
              <w:t>Maturity Date, Rate of Interest,</w:t>
            </w: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3"/>
              </w:rPr>
              <w:t>(d)</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Current</w:t>
            </w:r>
          </w:p>
        </w:tc>
      </w:tr>
      <w:tr>
        <w:trPr>
          <w:trHeight w:val="167"/>
        </w:trPr>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280" w:type="dxa"/>
            <w:vAlign w:val="bottom"/>
          </w:tcPr>
          <w:p>
            <w:pPr>
              <w:spacing w:after="0"/>
              <w:rPr>
                <w:sz w:val="14"/>
                <w:szCs w:val="14"/>
                <w:color w:val="auto"/>
              </w:rPr>
            </w:pPr>
          </w:p>
        </w:tc>
        <w:tc>
          <w:tcPr>
            <w:tcW w:w="3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or Similar Party</w:t>
            </w:r>
          </w:p>
        </w:tc>
        <w:tc>
          <w:tcPr>
            <w:tcW w:w="280" w:type="dxa"/>
            <w:vAlign w:val="bottom"/>
          </w:tcPr>
          <w:p>
            <w:pPr>
              <w:spacing w:after="0"/>
              <w:rPr>
                <w:sz w:val="14"/>
                <w:szCs w:val="14"/>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Collateral, Par or Maturity Value</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Cost</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9"/>
              </w:rPr>
              <w:t>Value</w:t>
            </w:r>
          </w:p>
        </w:tc>
      </w:tr>
      <w:tr>
        <w:trPr>
          <w:trHeight w:val="210"/>
        </w:trPr>
        <w:tc>
          <w:tcPr>
            <w:tcW w:w="22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CRM Small Cap Value Fund</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3,094,157</w:t>
            </w:r>
          </w:p>
        </w:tc>
      </w:tr>
      <w:tr>
        <w:trPr>
          <w:trHeight w:val="216"/>
        </w:trPr>
        <w:tc>
          <w:tcPr>
            <w:tcW w:w="220" w:type="dxa"/>
            <w:vAlign w:val="bottom"/>
          </w:tcPr>
          <w:p>
            <w:pPr>
              <w:spacing w:after="0"/>
              <w:rPr>
                <w:sz w:val="18"/>
                <w:szCs w:val="18"/>
                <w:color w:val="auto"/>
              </w:rPr>
            </w:pP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Dodge and Cox Stock Fund</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15,501,108</w:t>
            </w:r>
          </w:p>
        </w:tc>
      </w:tr>
      <w:tr>
        <w:trPr>
          <w:trHeight w:val="216"/>
        </w:trPr>
        <w:tc>
          <w:tcPr>
            <w:tcW w:w="22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EuroPacific Growth Fund-Class A</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14,143,510</w:t>
            </w:r>
          </w:p>
        </w:tc>
      </w:tr>
      <w:tr>
        <w:trPr>
          <w:trHeight w:val="216"/>
        </w:trPr>
        <w:tc>
          <w:tcPr>
            <w:tcW w:w="220" w:type="dxa"/>
            <w:vAlign w:val="bottom"/>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Fidelity Blue Chip Fund</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21,493,816</w:t>
            </w:r>
          </w:p>
        </w:tc>
      </w:tr>
      <w:tr>
        <w:trPr>
          <w:trHeight w:val="216"/>
        </w:trPr>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Fidelity Contrafund</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21,571,540</w:t>
            </w:r>
          </w:p>
        </w:tc>
      </w:tr>
      <w:tr>
        <w:trPr>
          <w:trHeight w:val="216"/>
        </w:trPr>
        <w:tc>
          <w:tcPr>
            <w:tcW w:w="220" w:type="dxa"/>
            <w:vAlign w:val="bottom"/>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Fidelity Freedom Income Fund</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819,344</w:t>
            </w:r>
          </w:p>
        </w:tc>
      </w:tr>
      <w:tr>
        <w:trPr>
          <w:trHeight w:val="216"/>
        </w:trPr>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Fidelity Freedom 2000 Fund</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1,136,651</w:t>
            </w:r>
          </w:p>
        </w:tc>
      </w:tr>
      <w:tr>
        <w:trPr>
          <w:trHeight w:val="216"/>
        </w:trPr>
        <w:tc>
          <w:tcPr>
            <w:tcW w:w="220" w:type="dxa"/>
            <w:vAlign w:val="bottom"/>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Fidelity Freedom 2010 Fund</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4,489,628</w:t>
            </w:r>
          </w:p>
        </w:tc>
      </w:tr>
      <w:tr>
        <w:trPr>
          <w:trHeight w:val="216"/>
        </w:trPr>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Fidelity Freedom 2020 Fund</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9,589,363</w:t>
            </w:r>
          </w:p>
        </w:tc>
      </w:tr>
      <w:tr>
        <w:trPr>
          <w:trHeight w:val="216"/>
        </w:trPr>
        <w:tc>
          <w:tcPr>
            <w:tcW w:w="220" w:type="dxa"/>
            <w:vAlign w:val="bottom"/>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Fidelity Freedom 2030 Fund</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5,735,821</w:t>
            </w:r>
          </w:p>
        </w:tc>
      </w:tr>
      <w:tr>
        <w:trPr>
          <w:trHeight w:val="216"/>
        </w:trPr>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Fidelity Freedom 2040 Fund</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1,328,362</w:t>
            </w:r>
          </w:p>
        </w:tc>
      </w:tr>
      <w:tr>
        <w:trPr>
          <w:trHeight w:val="216"/>
        </w:trPr>
        <w:tc>
          <w:tcPr>
            <w:tcW w:w="220" w:type="dxa"/>
            <w:vAlign w:val="bottom"/>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Fidelity Low Price Stock Fund</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6,889,830</w:t>
            </w:r>
          </w:p>
        </w:tc>
      </w:tr>
      <w:tr>
        <w:trPr>
          <w:trHeight w:val="216"/>
        </w:trPr>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Fidelity Managed Income Portfolio</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Common Collective Trust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27,211,156</w:t>
            </w:r>
          </w:p>
        </w:tc>
      </w:tr>
      <w:tr>
        <w:trPr>
          <w:trHeight w:val="216"/>
        </w:trPr>
        <w:tc>
          <w:tcPr>
            <w:tcW w:w="220" w:type="dxa"/>
            <w:vAlign w:val="bottom"/>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Fidelity Puritan Fund</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24,388,839</w:t>
            </w:r>
          </w:p>
        </w:tc>
      </w:tr>
      <w:tr>
        <w:trPr>
          <w:trHeight w:val="216"/>
        </w:trPr>
        <w:tc>
          <w:tcPr>
            <w:tcW w:w="22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Managers Special Equity Fund</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13,559,000</w:t>
            </w:r>
          </w:p>
        </w:tc>
      </w:tr>
      <w:tr>
        <w:trPr>
          <w:trHeight w:val="216"/>
        </w:trPr>
        <w:tc>
          <w:tcPr>
            <w:tcW w:w="220" w:type="dxa"/>
            <w:vAlign w:val="bottom"/>
          </w:tcPr>
          <w:p>
            <w:pPr>
              <w:spacing w:after="0"/>
              <w:rPr>
                <w:sz w:val="18"/>
                <w:szCs w:val="18"/>
                <w:color w:val="auto"/>
              </w:rPr>
            </w:pP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PIMCO Total Return Fund</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5,035,844</w:t>
            </w:r>
          </w:p>
        </w:tc>
      </w:tr>
      <w:tr>
        <w:trPr>
          <w:trHeight w:val="216"/>
        </w:trPr>
        <w:tc>
          <w:tcPr>
            <w:tcW w:w="22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Spartan U.S. Equity Index Fund</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20,253,923</w:t>
            </w:r>
          </w:p>
        </w:tc>
      </w:tr>
      <w:tr>
        <w:trPr>
          <w:trHeight w:val="216"/>
        </w:trPr>
        <w:tc>
          <w:tcPr>
            <w:tcW w:w="220" w:type="dxa"/>
            <w:vAlign w:val="bottom"/>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w w:val="95"/>
              </w:rPr>
              <w:t>The Scotts Miracle-Gro Company Common Shares</w:t>
            </w: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Employer Securities</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16,686,541</w:t>
            </w:r>
          </w:p>
        </w:tc>
      </w:tr>
      <w:tr>
        <w:trPr>
          <w:trHeight w:val="216"/>
        </w:trPr>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Participant Loans</w:t>
            </w:r>
          </w:p>
        </w:tc>
        <w:tc>
          <w:tcPr>
            <w:tcW w:w="4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Notes receivable (interest at rates ranging from 5.0% to</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5,190,321</w:t>
            </w:r>
          </w:p>
        </w:tc>
      </w:tr>
      <w:tr>
        <w:trPr>
          <w:trHeight w:val="223"/>
        </w:trPr>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440" w:type="dxa"/>
            <w:vAlign w:val="bottom"/>
            <w:gridSpan w:val="2"/>
          </w:tcPr>
          <w:p>
            <w:pPr>
              <w:ind w:left="280"/>
              <w:spacing w:after="0"/>
              <w:rPr>
                <w:sz w:val="20"/>
                <w:szCs w:val="20"/>
                <w:color w:val="auto"/>
              </w:rPr>
            </w:pPr>
            <w:r>
              <w:rPr>
                <w:rFonts w:ascii="Arial" w:cs="Arial" w:eastAsia="Arial" w:hAnsi="Arial"/>
                <w:sz w:val="18"/>
                <w:szCs w:val="18"/>
                <w:color w:val="auto"/>
              </w:rPr>
              <w:t>10% due through June 11, 2012)</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218,118,754</w:t>
            </w:r>
          </w:p>
        </w:tc>
        <w:tc>
          <w:tcPr>
            <w:tcW w:w="6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7"/>
        </w:trPr>
        <w:tc>
          <w:tcPr>
            <w:tcW w:w="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Party-in-interest to the Plan.</w:t>
            </w:r>
          </w:p>
        </w:tc>
        <w:tc>
          <w:tcPr>
            <w:tcW w:w="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40" w:type="dxa"/>
            <w:vAlign w:val="bottom"/>
            <w:gridSpan w:val="2"/>
          </w:tcPr>
          <w:p>
            <w:pPr>
              <w:jc w:val="right"/>
              <w:ind w:right="2888"/>
              <w:spacing w:after="0"/>
              <w:rPr>
                <w:sz w:val="20"/>
                <w:szCs w:val="20"/>
                <w:color w:val="auto"/>
              </w:rPr>
            </w:pPr>
            <w:r>
              <w:rPr>
                <w:rFonts w:ascii="Arial" w:cs="Arial" w:eastAsia="Arial" w:hAnsi="Arial"/>
                <w:sz w:val="18"/>
                <w:szCs w:val="18"/>
                <w:color w:val="auto"/>
              </w:rPr>
              <w:t>- 18 -</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THE SCOTTS COMPANY LLC RETIREMENT SAVINGS PLAN</w:t>
      </w:r>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ANNUAL REPORT ON FORM 11-K</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FOR FISCAL YEAR ENDED DECEMBER 31, 2006</w:t>
      </w:r>
    </w:p>
    <w:p>
      <w:pPr>
        <w:spacing w:after="0" w:line="3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INDEX TO EXHIBITS</w:t>
      </w:r>
    </w:p>
    <w:p>
      <w:pPr>
        <w:spacing w:after="0" w:line="217" w:lineRule="exact"/>
        <w:rPr>
          <w:sz w:val="20"/>
          <w:szCs w:val="20"/>
          <w:color w:val="auto"/>
        </w:rPr>
      </w:pPr>
    </w:p>
    <w:p>
      <w:pPr>
        <w:ind w:left="140"/>
        <w:spacing w:after="0"/>
        <w:tabs>
          <w:tab w:leader="none" w:pos="1240" w:val="left"/>
        </w:tabs>
        <w:rPr>
          <w:sz w:val="20"/>
          <w:szCs w:val="20"/>
          <w:color w:val="auto"/>
        </w:rPr>
      </w:pPr>
      <w:r>
        <w:rPr>
          <w:rFonts w:ascii="Arial" w:cs="Arial" w:eastAsia="Arial" w:hAnsi="Arial"/>
          <w:sz w:val="14"/>
          <w:szCs w:val="14"/>
          <w:b w:val="1"/>
          <w:bCs w:val="1"/>
          <w:u w:val="single" w:color="auto"/>
          <w:color w:val="auto"/>
        </w:rPr>
        <w:t>EXHIBIT NO.</w:t>
        <w:tab/>
        <w:t>DESCRIPTION</w:t>
      </w:r>
    </w:p>
    <w:p>
      <w:pPr>
        <w:spacing w:after="0" w:line="212"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Firm — Meaden &amp; Moore, Ltd.</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19"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033-47073) of The Scotts Miracle-Gro Company of our report dated June 1, 2007 relating to the financial statements and supplemental schedule of The Scotts Company LLC Retirement Savings Plan as of and for the years ended December 31, 2006 and 2005, which appears in this Form 11-K.</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Meaden &amp; Moore, Ltd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2007</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1."/>
      <w:numFmt w:val="upperLetter"/>
      <w:start w:val="1"/>
    </w:lvl>
  </w:abstractNum>
  <w:abstractNum w:abstractNumId="3">
    <w:nsid w:val="625558E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2019-12-20T06:23:24Z</dcterms:created>
  <dcterms:modified xsi:type="dcterms:W3CDTF">2019-12-20T06:23:24Z</dcterms:modified>
</cp:coreProperties>
</file>