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20" w:hanging="405"/>
        <w:spacing w:after="0" w:line="308" w:lineRule="auto"/>
        <w:tabs>
          <w:tab w:leader="none" w:pos="4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2015</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3"/>
        </w:trPr>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91"/>
              </w:rPr>
              <w:t>Commission file number 1-11593</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65"/>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60" w:type="dxa"/>
            <w:vAlign w:val="bottom"/>
            <w:gridSpan w:val="5"/>
          </w:tcPr>
          <w:p>
            <w:pPr>
              <w:jc w:val="right"/>
              <w:ind w:right="421"/>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5"/>
          </w:tcPr>
          <w:p>
            <w:pPr>
              <w:jc w:val="center"/>
              <w:ind w:left="16"/>
              <w:spacing w:after="0"/>
              <w:rPr>
                <w:sz w:val="20"/>
                <w:szCs w:val="20"/>
                <w:color w:val="auto"/>
              </w:rPr>
            </w:pPr>
            <w:r>
              <w:rPr>
                <w:rFonts w:ascii="Arial" w:cs="Arial" w:eastAsia="Arial" w:hAnsi="Arial"/>
                <w:sz w:val="40"/>
                <w:szCs w:val="40"/>
                <w:b w:val="1"/>
                <w:bCs w:val="1"/>
                <w:color w:val="auto"/>
                <w:w w:val="90"/>
              </w:rPr>
              <w:t>The Scotts Miracle-Gro Company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4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51"/>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w w:val="93"/>
              </w:rPr>
              <w:t>Ohio</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31-1414921</w:t>
            </w:r>
          </w:p>
        </w:tc>
        <w:tc>
          <w:tcPr>
            <w:tcW w:w="980" w:type="dxa"/>
            <w:vAlign w:val="bottom"/>
          </w:tcPr>
          <w:p>
            <w:pPr>
              <w:spacing w:after="0"/>
              <w:rPr>
                <w:sz w:val="24"/>
                <w:szCs w:val="24"/>
                <w:color w:val="auto"/>
              </w:rPr>
            </w:pP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402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8"/>
              </w:rPr>
              <w:t>14111 Scottslawn Road,</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4020" w:type="dxa"/>
            <w:vAlign w:val="bottom"/>
            <w:gridSpan w:val="4"/>
          </w:tcPr>
          <w:p>
            <w:pPr>
              <w:jc w:val="center"/>
              <w:ind w:left="941"/>
              <w:spacing w:after="0"/>
              <w:rPr>
                <w:sz w:val="20"/>
                <w:szCs w:val="20"/>
                <w:color w:val="auto"/>
              </w:rPr>
            </w:pPr>
            <w:r>
              <w:rPr>
                <w:rFonts w:ascii="Arial" w:cs="Arial" w:eastAsia="Arial" w:hAnsi="Arial"/>
                <w:sz w:val="16"/>
                <w:szCs w:val="16"/>
                <w:b w:val="1"/>
                <w:bCs w:val="1"/>
                <w:color w:val="auto"/>
                <w:w w:val="94"/>
              </w:rPr>
              <w:t>Marysville, Ohio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43041</w:t>
            </w:r>
          </w:p>
        </w:tc>
        <w:tc>
          <w:tcPr>
            <w:tcW w:w="980" w:type="dxa"/>
            <w:vAlign w:val="bottom"/>
          </w:tcPr>
          <w:p>
            <w:pPr>
              <w:spacing w:after="0"/>
              <w:rPr>
                <w:sz w:val="18"/>
                <w:szCs w:val="18"/>
                <w:color w:val="auto"/>
              </w:rPr>
            </w:pPr>
          </w:p>
        </w:tc>
      </w:tr>
      <w:tr>
        <w:trPr>
          <w:trHeight w:val="222"/>
        </w:trPr>
        <w:tc>
          <w:tcPr>
            <w:tcW w:w="4020" w:type="dxa"/>
            <w:vAlign w:val="bottom"/>
            <w:gridSpan w:val="4"/>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980" w:type="dxa"/>
            <w:vAlign w:val="bottom"/>
          </w:tcPr>
          <w:p>
            <w:pPr>
              <w:spacing w:after="0"/>
              <w:rPr>
                <w:sz w:val="19"/>
                <w:szCs w:val="19"/>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937-644-0011</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0"/>
        </w:trPr>
        <w:tc>
          <w:tcPr>
            <w:tcW w:w="1940" w:type="dxa"/>
            <w:vAlign w:val="bottom"/>
          </w:tcPr>
          <w:p>
            <w:pPr>
              <w:spacing w:after="0"/>
              <w:rPr>
                <w:sz w:val="24"/>
                <w:szCs w:val="24"/>
                <w:color w:val="auto"/>
              </w:rPr>
            </w:pPr>
          </w:p>
        </w:tc>
        <w:tc>
          <w:tcPr>
            <w:tcW w:w="208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3"/>
              </w:rPr>
              <w:t>Title of Each Class</w:t>
            </w:r>
          </w:p>
        </w:tc>
        <w:tc>
          <w:tcPr>
            <w:tcW w:w="2800" w:type="dxa"/>
            <w:vAlign w:val="bottom"/>
          </w:tcPr>
          <w:p>
            <w:pPr>
              <w:spacing w:after="0"/>
              <w:rPr>
                <w:sz w:val="24"/>
                <w:szCs w:val="24"/>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20" w:type="dxa"/>
            <w:vAlign w:val="bottom"/>
            <w:gridSpan w:val="4"/>
            <w:shd w:val="clear" w:color="auto" w:fill="000000"/>
          </w:tcPr>
          <w:p>
            <w:pPr>
              <w:spacing w:after="0" w:line="20" w:lineRule="exact"/>
              <w:rPr>
                <w:sz w:val="1"/>
                <w:szCs w:val="1"/>
                <w:color w:val="auto"/>
              </w:rPr>
            </w:pPr>
          </w:p>
        </w:tc>
      </w:tr>
      <w:tr>
        <w:trPr>
          <w:trHeight w:val="264"/>
        </w:trPr>
        <w:tc>
          <w:tcPr>
            <w:tcW w:w="4020" w:type="dxa"/>
            <w:vAlign w:val="bottom"/>
            <w:gridSpan w:val="4"/>
          </w:tcPr>
          <w:p>
            <w:pPr>
              <w:jc w:val="center"/>
              <w:ind w:left="961"/>
              <w:spacing w:after="0"/>
              <w:rPr>
                <w:sz w:val="20"/>
                <w:szCs w:val="20"/>
                <w:color w:val="auto"/>
              </w:rPr>
            </w:pPr>
            <w:r>
              <w:rPr>
                <w:rFonts w:ascii="Arial" w:cs="Arial" w:eastAsia="Arial" w:hAnsi="Arial"/>
                <w:sz w:val="18"/>
                <w:szCs w:val="18"/>
                <w:color w:val="auto"/>
                <w:w w:val="90"/>
              </w:rPr>
              <w:t>Common Shares, without par value</w:t>
            </w:r>
          </w:p>
        </w:tc>
        <w:tc>
          <w:tcPr>
            <w:tcW w:w="2800" w:type="dxa"/>
            <w:vAlign w:val="bottom"/>
          </w:tcPr>
          <w:p>
            <w:pPr>
              <w:spacing w:after="0"/>
              <w:rPr>
                <w:sz w:val="22"/>
                <w:szCs w:val="22"/>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3"/>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89"/>
              </w:rPr>
              <w:t>None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6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80" w:type="dxa"/>
            <w:vAlign w:val="bottom"/>
          </w:tcPr>
          <w:p>
            <w:pPr>
              <w:jc w:val="right"/>
              <w:ind w:right="41"/>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No</w:t>
            </w:r>
          </w:p>
        </w:tc>
        <w:tc>
          <w:tcPr>
            <w:tcW w:w="980" w:type="dxa"/>
            <w:vAlign w:val="bottom"/>
          </w:tcPr>
          <w:p>
            <w:pPr>
              <w:spacing w:after="0"/>
              <w:rPr>
                <w:sz w:val="20"/>
                <w:szCs w:val="20"/>
                <w:color w:val="auto"/>
              </w:rPr>
            </w:pPr>
            <w:r>
              <w:rPr>
                <w:rFonts w:ascii="Arial" w:cs="Arial" w:eastAsia="Arial" w:hAnsi="Arial"/>
                <w:sz w:val="16"/>
                <w:szCs w:val="16"/>
                <w:color w:val="auto"/>
              </w:rPr>
              <w:t>o</w:t>
            </w: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580" w:type="dxa"/>
            <w:vAlign w:val="bottom"/>
          </w:tcPr>
          <w:p>
            <w:pPr>
              <w:jc w:val="right"/>
              <w:spacing w:after="0"/>
              <w:rPr>
                <w:sz w:val="20"/>
                <w:szCs w:val="20"/>
                <w:color w:val="auto"/>
              </w:rPr>
            </w:pPr>
            <w:r>
              <w:rPr>
                <w:rFonts w:ascii="Arial" w:cs="Arial" w:eastAsia="Arial" w:hAnsi="Arial"/>
                <w:sz w:val="16"/>
                <w:szCs w:val="16"/>
                <w:color w:val="auto"/>
              </w:rPr>
              <w:t>Yes o</w:t>
            </w:r>
          </w:p>
        </w:tc>
        <w:tc>
          <w:tcPr>
            <w:tcW w:w="320" w:type="dxa"/>
            <w:vAlign w:val="bottom"/>
          </w:tcPr>
          <w:p>
            <w:pPr>
              <w:ind w:left="120"/>
              <w:spacing w:after="0"/>
              <w:rPr>
                <w:sz w:val="20"/>
                <w:szCs w:val="20"/>
                <w:color w:val="auto"/>
              </w:rPr>
            </w:pPr>
            <w:r>
              <w:rPr>
                <w:rFonts w:ascii="Arial" w:cs="Arial" w:eastAsia="Arial" w:hAnsi="Arial"/>
                <w:sz w:val="16"/>
                <w:szCs w:val="16"/>
                <w:color w:val="auto"/>
                <w:w w:val="87"/>
              </w:rPr>
              <w:t>No</w:t>
            </w:r>
          </w:p>
        </w:tc>
        <w:tc>
          <w:tcPr>
            <w:tcW w:w="9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5"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54"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2180" w:space="720"/>
            <w:col w:w="3960" w:space="720"/>
            <w:col w:w="3020" w:space="720"/>
            <w:col w:w="100"/>
          </w:cols>
          <w:pgMar w:left="240" w:top="954"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2" w:lineRule="exact"/>
        <w:rPr>
          <w:sz w:val="24"/>
          <w:szCs w:val="24"/>
          <w:color w:val="auto"/>
        </w:rPr>
      </w:pPr>
    </w:p>
    <w:p>
      <w:pPr>
        <w:sectPr>
          <w:pgSz w:w="11900" w:h="16838" w:orient="portrait"/>
          <w:cols w:equalWidth="0" w:num="4">
            <w:col w:w="2180" w:space="720"/>
            <w:col w:w="3960" w:space="720"/>
            <w:col w:w="3020" w:space="720"/>
            <w:col w:w="100"/>
          </w:cols>
          <w:pgMar w:left="240" w:top="954"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4">
            <w:col w:w="7020" w:space="160"/>
            <w:col w:w="380" w:space="180"/>
            <w:col w:w="180" w:space="80"/>
            <w:col w:w="3420"/>
          </w:cols>
          <w:pgMar w:left="240" w:top="954" w:right="239" w:bottom="1440" w:gutter="0" w:footer="0" w:header="0"/>
          <w:type w:val="continuous"/>
        </w:sectPr>
      </w:pPr>
    </w:p>
    <w:p>
      <w:pPr>
        <w:ind w:firstLine="324"/>
        <w:spacing w:after="0" w:line="310" w:lineRule="auto"/>
        <w:rPr>
          <w:sz w:val="20"/>
          <w:szCs w:val="20"/>
          <w:color w:val="auto"/>
        </w:rPr>
      </w:pPr>
      <w:r>
        <w:rPr>
          <w:rFonts w:ascii="Arial" w:cs="Arial" w:eastAsia="Arial" w:hAnsi="Arial"/>
          <w:sz w:val="15"/>
          <w:szCs w:val="15"/>
          <w:color w:val="auto"/>
        </w:rPr>
        <w:t>The aggregate market value of Common Shares (the only common equity of the registrant) held by non-affiliates (for this purpose, executive officers and directors of the registrant are considered affiliates) as of March 27, 2015 (the last business day of the most recently completed second quarter) was approximately $2,955,960,511.</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61,512,876 Common Shares of the registrant outstanding as of November 16, 2015.</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Portions of the definitive Proxy Statement for the registrant’s 2016 Annual Meeting of Shareholders are incorporated by reference into Part III of this Annual Report on Form 10-K. Such Proxy Statement will be filed with the Securities and Exchange Commission within 120 days of the registrant’s fiscal year ended September 30, 2015.</w:t>
      </w:r>
    </w:p>
    <w:p>
      <w:pPr>
        <w:sectPr>
          <w:pgSz w:w="11900" w:h="16838" w:orient="portrait"/>
          <w:cols w:equalWidth="0" w:num="1">
            <w:col w:w="11420"/>
          </w:cols>
          <w:pgMar w:left="240" w:top="95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2015 (“fiscal 2015”).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6"/>
          <w:szCs w:val="16"/>
          <w:color w:val="auto"/>
        </w:rPr>
        <w:t>We are a leading manufacturer and marketer of branded consumer lawn and garden products. Our products are marketed under some of the most recognized brand names in the industry. In North America, key brands include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LiquaFeed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gardening and landscape products; and Ortho</w:t>
      </w:r>
      <w:r>
        <w:rPr>
          <w:rFonts w:ascii="Arial" w:cs="Arial" w:eastAsia="Arial" w:hAnsi="Arial"/>
          <w:sz w:val="22"/>
          <w:szCs w:val="22"/>
          <w:color w:val="auto"/>
          <w:vertAlign w:val="superscript"/>
        </w:rPr>
        <w:t>®</w:t>
      </w:r>
      <w:r>
        <w:rPr>
          <w:rFonts w:ascii="Arial" w:cs="Arial" w:eastAsia="Arial" w:hAnsi="Arial"/>
          <w:sz w:val="16"/>
          <w:szCs w:val="16"/>
          <w:color w:val="auto"/>
        </w:rPr>
        <w:t>, Roundup</w:t>
      </w:r>
      <w:r>
        <w:rPr>
          <w:rFonts w:ascii="Arial" w:cs="Arial" w:eastAsia="Arial" w:hAnsi="Arial"/>
          <w:sz w:val="22"/>
          <w:szCs w:val="22"/>
          <w:color w:val="auto"/>
          <w:vertAlign w:val="superscript"/>
        </w:rPr>
        <w:t>®2</w:t>
      </w:r>
      <w:r>
        <w:rPr>
          <w:rFonts w:ascii="Arial" w:cs="Arial" w:eastAsia="Arial" w:hAnsi="Arial"/>
          <w:sz w:val="11"/>
          <w:szCs w:val="11"/>
          <w:color w:val="auto"/>
        </w:rPr>
        <w:t>,</w:t>
      </w:r>
      <w:r>
        <w:rPr>
          <w:rFonts w:ascii="Arial" w:cs="Arial" w:eastAsia="Arial" w:hAnsi="Arial"/>
          <w:sz w:val="16"/>
          <w:szCs w:val="16"/>
          <w:color w:val="auto"/>
        </w:rPr>
        <w:t xml:space="preserve"> Home Defense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insect control, weed control and rodent control products. In the United Kingdom, key brands include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plant fertilizers; Roundup</w:t>
      </w:r>
      <w:r>
        <w:rPr>
          <w:rFonts w:ascii="Arial" w:cs="Arial" w:eastAsia="Arial" w:hAnsi="Arial"/>
          <w:sz w:val="22"/>
          <w:szCs w:val="22"/>
          <w:color w:val="auto"/>
          <w:vertAlign w:val="superscript"/>
        </w:rPr>
        <w:t>®2</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herbicides; EverGreen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fertilizers; and Levington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gardening and landscape products. Other significant brands in Europe include Roundup</w:t>
      </w:r>
      <w:r>
        <w:rPr>
          <w:rFonts w:ascii="Arial" w:cs="Arial" w:eastAsia="Arial" w:hAnsi="Arial"/>
          <w:sz w:val="22"/>
          <w:szCs w:val="22"/>
          <w:color w:val="auto"/>
          <w:vertAlign w:val="superscript"/>
        </w:rPr>
        <w:t>®2</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Fertiligène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France; Roundup</w:t>
      </w:r>
      <w:r>
        <w:rPr>
          <w:rFonts w:ascii="Arial" w:cs="Arial" w:eastAsia="Arial" w:hAnsi="Arial"/>
          <w:sz w:val="22"/>
          <w:szCs w:val="22"/>
          <w:color w:val="auto"/>
          <w:vertAlign w:val="superscript"/>
        </w:rPr>
        <w:t>®2</w:t>
      </w:r>
      <w:r>
        <w:rPr>
          <w:rFonts w:ascii="Arial" w:cs="Arial" w:eastAsia="Arial" w:hAnsi="Arial"/>
          <w:sz w:val="16"/>
          <w:szCs w:val="16"/>
          <w:color w:val="auto"/>
        </w:rPr>
        <w:t>, Celaflor</w:t>
      </w:r>
      <w:r>
        <w:rPr>
          <w:rFonts w:ascii="Arial" w:cs="Arial" w:eastAsia="Arial" w:hAnsi="Arial"/>
          <w:sz w:val="22"/>
          <w:szCs w:val="22"/>
          <w:color w:val="auto"/>
          <w:vertAlign w:val="superscript"/>
        </w:rPr>
        <w:t>®</w:t>
      </w:r>
      <w:r>
        <w:rPr>
          <w:rFonts w:ascii="Arial" w:cs="Arial" w:eastAsia="Arial" w:hAnsi="Arial"/>
          <w:sz w:val="16"/>
          <w:szCs w:val="16"/>
          <w:color w:val="auto"/>
        </w:rPr>
        <w:t>, Nexa Lotte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Germany and Austria; and Roundup</w:t>
      </w:r>
      <w:r>
        <w:rPr>
          <w:rFonts w:ascii="Arial" w:cs="Arial" w:eastAsia="Arial" w:hAnsi="Arial"/>
          <w:sz w:val="22"/>
          <w:szCs w:val="22"/>
          <w:color w:val="auto"/>
          <w:vertAlign w:val="superscript"/>
        </w:rPr>
        <w:t>®2</w:t>
      </w:r>
      <w:r>
        <w:rPr>
          <w:rFonts w:ascii="Arial" w:cs="Arial" w:eastAsia="Arial" w:hAnsi="Arial"/>
          <w:sz w:val="16"/>
          <w:szCs w:val="16"/>
          <w:color w:val="auto"/>
        </w:rPr>
        <w:t>, ASEF</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Belgium, the Netherlands and Luxembourg. We are the exclusive agent of the Monsanto Company (“Monsanto”)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products in Australia, the Far East and Latin America. In addition, with our recent acquisition of General Hydroponics, Inc. (“General Hydroponics”) and Bio-Organic Solutions, Inc. (“Vermicrop”), and control of AeroGrow International, Inc. (“AeroGrow”), we are a leading producer of liquid plant food products, growing media, advanced indoor garden systems and accessories for hydroponic gardening. We also operate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pest control services in the United States.</w:t>
      </w:r>
    </w:p>
    <w:p>
      <w:pPr>
        <w:spacing w:after="0" w:line="53"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Scotts Miracle-Gro, an Ohio corporation, traces its heritage back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powerful leading brands in the U.S. home lawn and garden industry. First, in fiscal 1995, through a merger with Stern’s Miracle-Gro Products, Inc., which was founded by Horace Hagedorn and Otto Stern in Long Island, New York in 1951, we acquired the Miracle-Gro brand, the industry leader in water-soluble garden plant foods. Second and third, in 1998, we acquired the Ortho brand in the United States and obtained exclusive rights to market the consumer Roundup brand within the United States and other contractually specified countries, thereby adding industry-leading weed, pest and disease control products to our portfolio. Today, we believe that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are the most widely recognized brands in the consumer lawn and garden industry in the United States.</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strategy is focused on (i) growing our core branded business, primarily in the United States, (ii) expanding our reach into new categories and geographies, and (iii) reinventing the lawn and garden experience through improved marketing outreach and consumer engagement as well as with new products and services. We believe that leverage from cost of goods as well as selling, general and administrative expenses will allow operating profits to grow at a higher 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p>
      <w:pPr>
        <w:spacing w:after="0" w:line="9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This division of reportable segments is consistent with how the segments report to and are managed by our Chief Executive Officer (the chief operating decision-maker of the Company). Financial information about these segments for each of the three fiscal years ended September 30, 2015, 2014, and 2013 is presented in “NOTE 21. SEGMENT INFORMATION” of the Notes to Consolidated Financial Statements included in this Annual Report on Form 10-K.</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56" w:lineRule="exact"/>
        <w:rPr>
          <w:sz w:val="20"/>
          <w:szCs w:val="20"/>
          <w:color w:val="auto"/>
        </w:rPr>
      </w:pPr>
    </w:p>
    <w:p>
      <w:pPr>
        <w:ind w:left="180" w:hanging="145"/>
        <w:spacing w:after="0"/>
        <w:tabs>
          <w:tab w:leader="none" w:pos="1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ind w:left="5660" w:right="2940" w:hanging="5625"/>
        <w:spacing w:after="0" w:line="224" w:lineRule="auto"/>
        <w:tabs>
          <w:tab w:leader="none" w:pos="179"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2</w:t>
      </w:r>
    </w:p>
    <w:p>
      <w:pPr>
        <w:sectPr>
          <w:pgSz w:w="11900" w:h="16838" w:orient="portrait"/>
          <w:cols w:equalWidth="0" w:num="1">
            <w:col w:w="11420"/>
          </w:cols>
          <w:pgMar w:left="240" w:top="85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Global Consumer segment, we manufacture, market and sell consumer lawn and garden products in the following categories:</w:t>
      </w:r>
    </w:p>
    <w:p>
      <w:pPr>
        <w:spacing w:after="0" w:line="171" w:lineRule="exact"/>
        <w:rPr>
          <w:sz w:val="20"/>
          <w:szCs w:val="20"/>
          <w:color w:val="auto"/>
        </w:rPr>
      </w:pPr>
    </w:p>
    <w:p>
      <w:pPr>
        <w:jc w:val="both"/>
        <w:ind w:firstLine="878"/>
        <w:spacing w:after="0" w:line="210" w:lineRule="auto"/>
        <w:rPr>
          <w:sz w:val="20"/>
          <w:szCs w:val="20"/>
          <w:color w:val="auto"/>
        </w:rPr>
      </w:pPr>
      <w:r>
        <w:rPr>
          <w:rFonts w:ascii="Arial" w:cs="Arial" w:eastAsia="Arial" w:hAnsi="Arial"/>
          <w:sz w:val="17"/>
          <w:szCs w:val="17"/>
          <w:i w:val="1"/>
          <w:iCs w:val="1"/>
          <w:color w:val="auto"/>
        </w:rPr>
        <w:t xml:space="preserve">Lawn Care: </w:t>
      </w:r>
      <w:r>
        <w:rPr>
          <w:rFonts w:ascii="Arial" w:cs="Arial" w:eastAsia="Arial" w:hAnsi="Arial"/>
          <w:sz w:val="17"/>
          <w:szCs w:val="17"/>
          <w:color w:val="auto"/>
        </w:rPr>
        <w:t>The lawn care category is designed to help consumers obtain and enjoy the lawn they want. In the United States, products within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include lawn fertilizer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grass seed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Turf Builder</w:t>
      </w:r>
      <w:r>
        <w:rPr>
          <w:rFonts w:ascii="Arial" w:cs="Arial" w:eastAsia="Arial" w:hAnsi="Arial"/>
          <w:sz w:val="24"/>
          <w:szCs w:val="24"/>
          <w:color w:val="auto"/>
          <w:vertAlign w:val="superscript"/>
        </w:rPr>
        <w:t>®</w:t>
      </w:r>
      <w:r>
        <w:rPr>
          <w:rFonts w:ascii="Arial" w:cs="Arial" w:eastAsia="Arial" w:hAnsi="Arial"/>
          <w:sz w:val="17"/>
          <w:szCs w:val="17"/>
          <w:color w:val="auto"/>
        </w:rPr>
        <w:t>, EZ Seed</w:t>
      </w:r>
      <w:r>
        <w:rPr>
          <w:rFonts w:ascii="Arial" w:cs="Arial" w:eastAsia="Arial" w:hAnsi="Arial"/>
          <w:sz w:val="24"/>
          <w:szCs w:val="24"/>
          <w:color w:val="auto"/>
          <w:vertAlign w:val="superscript"/>
        </w:rPr>
        <w:t>®</w:t>
      </w:r>
      <w:r>
        <w:rPr>
          <w:rFonts w:ascii="Arial" w:cs="Arial" w:eastAsia="Arial" w:hAnsi="Arial"/>
          <w:sz w:val="17"/>
          <w:szCs w:val="17"/>
          <w:color w:val="auto"/>
        </w:rPr>
        <w:t>, Water Smart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PatchMaster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lawn-related weed, pest and disease control products primarily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sub-brands such as GrubEx</w:t>
      </w:r>
      <w:r>
        <w:rPr>
          <w:rFonts w:ascii="Arial" w:cs="Arial" w:eastAsia="Arial" w:hAnsi="Arial"/>
          <w:sz w:val="24"/>
          <w:szCs w:val="24"/>
          <w:color w:val="auto"/>
          <w:vertAlign w:val="superscript"/>
        </w:rPr>
        <w:t>®</w:t>
      </w:r>
      <w:r>
        <w:rPr>
          <w:rFonts w:ascii="Arial" w:cs="Arial" w:eastAsia="Arial" w:hAnsi="Arial"/>
          <w:sz w:val="17"/>
          <w:szCs w:val="17"/>
          <w:color w:val="auto"/>
        </w:rPr>
        <w:t>. A similar range of products is marketed in Europe under a variety of brands such as EverGreen</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Patch Magic</w:t>
      </w:r>
      <w:r>
        <w:rPr>
          <w:rFonts w:ascii="Arial" w:cs="Arial" w:eastAsia="Arial" w:hAnsi="Arial"/>
          <w:sz w:val="24"/>
          <w:szCs w:val="24"/>
          <w:color w:val="auto"/>
          <w:vertAlign w:val="superscript"/>
        </w:rPr>
        <w:t>®</w:t>
      </w:r>
      <w:r>
        <w:rPr>
          <w:rFonts w:ascii="Arial" w:cs="Arial" w:eastAsia="Arial" w:hAnsi="Arial"/>
          <w:sz w:val="17"/>
          <w:szCs w:val="17"/>
          <w:color w:val="auto"/>
        </w:rPr>
        <w:t>, Weedol</w:t>
      </w:r>
      <w:r>
        <w:rPr>
          <w:rFonts w:ascii="Arial" w:cs="Arial" w:eastAsia="Arial" w:hAnsi="Arial"/>
          <w:sz w:val="24"/>
          <w:szCs w:val="24"/>
          <w:color w:val="auto"/>
          <w:vertAlign w:val="superscript"/>
        </w:rPr>
        <w:t>®</w:t>
      </w:r>
      <w:r>
        <w:rPr>
          <w:rFonts w:ascii="Arial" w:cs="Arial" w:eastAsia="Arial" w:hAnsi="Arial"/>
          <w:sz w:val="17"/>
          <w:szCs w:val="17"/>
          <w:color w:val="auto"/>
        </w:rPr>
        <w:t>, Pathclear</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Celaflor</w:t>
      </w:r>
      <w:r>
        <w:rPr>
          <w:rFonts w:ascii="Arial" w:cs="Arial" w:eastAsia="Arial" w:hAnsi="Arial"/>
          <w:sz w:val="24"/>
          <w:szCs w:val="24"/>
          <w:color w:val="auto"/>
          <w:vertAlign w:val="superscript"/>
        </w:rPr>
        <w:t>®</w:t>
      </w:r>
      <w:r>
        <w:rPr>
          <w:rFonts w:ascii="Arial" w:cs="Arial" w:eastAsia="Arial" w:hAnsi="Arial"/>
          <w:sz w:val="17"/>
          <w:szCs w:val="17"/>
          <w:color w:val="auto"/>
        </w:rPr>
        <w:t>. The lawn care category also includes spreaders and other durables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EdgeGuard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Snap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and Handy Green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handheld spreaders. In addition, in 2015, we began to market outdoor cleaners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OxiClean</w:t>
      </w:r>
      <w:r>
        <w:rPr>
          <w:rFonts w:ascii="Arial" w:cs="Arial" w:eastAsia="Arial" w:hAnsi="Arial"/>
          <w:sz w:val="24"/>
          <w:szCs w:val="24"/>
          <w:color w:val="auto"/>
          <w:vertAlign w:val="superscript"/>
        </w:rPr>
        <w:t>TM3</w:t>
      </w:r>
      <w:r>
        <w:rPr>
          <w:rFonts w:ascii="Arial" w:cs="Arial" w:eastAsia="Arial" w:hAnsi="Arial"/>
          <w:sz w:val="17"/>
          <w:szCs w:val="17"/>
          <w:color w:val="auto"/>
        </w:rPr>
        <w:t xml:space="preserve"> brand name.</w:t>
      </w:r>
    </w:p>
    <w:p>
      <w:pPr>
        <w:spacing w:after="0" w:line="55" w:lineRule="exact"/>
        <w:rPr>
          <w:sz w:val="20"/>
          <w:szCs w:val="20"/>
          <w:color w:val="auto"/>
        </w:rPr>
      </w:pPr>
    </w:p>
    <w:p>
      <w:pPr>
        <w:jc w:val="both"/>
        <w:ind w:firstLine="878"/>
        <w:spacing w:after="0" w:line="209" w:lineRule="auto"/>
        <w:rPr>
          <w:sz w:val="20"/>
          <w:szCs w:val="20"/>
          <w:color w:val="auto"/>
        </w:rPr>
      </w:pPr>
      <w:r>
        <w:rPr>
          <w:rFonts w:ascii="Arial" w:cs="Arial" w:eastAsia="Arial" w:hAnsi="Arial"/>
          <w:sz w:val="17"/>
          <w:szCs w:val="17"/>
          <w:i w:val="1"/>
          <w:iCs w:val="1"/>
          <w:color w:val="auto"/>
        </w:rPr>
        <w:t xml:space="preserve">Gardening and Landscape: </w:t>
      </w:r>
      <w:r>
        <w:rPr>
          <w:rFonts w:ascii="Arial" w:cs="Arial" w:eastAsia="Arial" w:hAnsi="Arial"/>
          <w:sz w:val="17"/>
          <w:szCs w:val="17"/>
          <w:color w:val="auto"/>
        </w:rPr>
        <w:t>The gardening and landscape category is designed to help consumers grow and enjoy flower and vegetable gardens</w:t>
      </w:r>
      <w:r>
        <w:rPr>
          <w:rFonts w:ascii="Arial" w:cs="Arial" w:eastAsia="Arial" w:hAnsi="Arial"/>
          <w:sz w:val="17"/>
          <w:szCs w:val="17"/>
          <w:i w:val="1"/>
          <w:iCs w:val="1"/>
          <w:color w:val="auto"/>
        </w:rPr>
        <w:t xml:space="preserve"> </w:t>
      </w:r>
      <w:r>
        <w:rPr>
          <w:rFonts w:ascii="Arial" w:cs="Arial" w:eastAsia="Arial" w:hAnsi="Arial"/>
          <w:sz w:val="17"/>
          <w:szCs w:val="17"/>
          <w:color w:val="auto"/>
        </w:rPr>
        <w:t>and beautify landscaped areas. This category also includes our recent entry into hydroponic gardening. In the United States, products within this category include a complete line of water-soluble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such as LiquaFeed</w:t>
      </w:r>
      <w:r>
        <w:rPr>
          <w:rFonts w:ascii="Arial" w:cs="Arial" w:eastAsia="Arial" w:hAnsi="Arial"/>
          <w:sz w:val="24"/>
          <w:szCs w:val="24"/>
          <w:color w:val="auto"/>
          <w:vertAlign w:val="superscript"/>
        </w:rPr>
        <w:t>®</w:t>
      </w:r>
      <w:r>
        <w:rPr>
          <w:rFonts w:ascii="Arial" w:cs="Arial" w:eastAsia="Arial" w:hAnsi="Arial"/>
          <w:sz w:val="17"/>
          <w:szCs w:val="17"/>
          <w:color w:val="auto"/>
        </w:rPr>
        <w:t>, continuous-release plant foods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Osmocote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and sub-brands of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such as Shake ‘N Feed</w:t>
      </w:r>
      <w:r>
        <w:rPr>
          <w:rFonts w:ascii="Arial" w:cs="Arial" w:eastAsia="Arial" w:hAnsi="Arial"/>
          <w:sz w:val="24"/>
          <w:szCs w:val="24"/>
          <w:color w:val="auto"/>
          <w:vertAlign w:val="superscript"/>
        </w:rPr>
        <w:t>®</w:t>
      </w:r>
      <w:r>
        <w:rPr>
          <w:rFonts w:ascii="Arial" w:cs="Arial" w:eastAsia="Arial" w:hAnsi="Arial"/>
          <w:sz w:val="17"/>
          <w:szCs w:val="17"/>
          <w:color w:val="auto"/>
        </w:rPr>
        <w:t>; potting mixes and garden soils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Hyponex</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SuperSoil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mulch and decorative groundcover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including the sub-brands Nature Scapes</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Hyponex by Scotts</w:t>
      </w:r>
      <w:r>
        <w:rPr>
          <w:rFonts w:ascii="Arial" w:cs="Arial" w:eastAsia="Arial" w:hAnsi="Arial"/>
          <w:sz w:val="24"/>
          <w:szCs w:val="24"/>
          <w:color w:val="auto"/>
          <w:vertAlign w:val="superscript"/>
        </w:rPr>
        <w:t>®</w:t>
      </w:r>
      <w:r>
        <w:rPr>
          <w:rFonts w:ascii="Arial" w:cs="Arial" w:eastAsia="Arial" w:hAnsi="Arial"/>
          <w:sz w:val="17"/>
          <w:szCs w:val="17"/>
          <w:color w:val="auto"/>
        </w:rPr>
        <w:t>; plant-related pest and disease control products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organic garden products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Organic Choice</w:t>
      </w:r>
      <w:r>
        <w:rPr>
          <w:rFonts w:ascii="Arial" w:cs="Arial" w:eastAsia="Arial" w:hAnsi="Arial"/>
          <w:sz w:val="24"/>
          <w:szCs w:val="24"/>
          <w:color w:val="auto"/>
          <w:vertAlign w:val="superscript"/>
        </w:rPr>
        <w:t>®</w:t>
      </w:r>
      <w:r>
        <w:rPr>
          <w:rFonts w:ascii="Arial" w:cs="Arial" w:eastAsia="Arial" w:hAnsi="Arial"/>
          <w:sz w:val="17"/>
          <w:szCs w:val="17"/>
          <w:color w:val="auto"/>
        </w:rPr>
        <w:t>, Nature's Care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Whitney Farms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EcoScraps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live goods and seeding solutions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Gro-ables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 and hydroponic gardening products under the General Hydroponics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AeroGarden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Internationally, similar products are marketed under the Miracle-Gro</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Celaflor</w:t>
      </w:r>
      <w:r>
        <w:rPr>
          <w:rFonts w:ascii="Arial" w:cs="Arial" w:eastAsia="Arial" w:hAnsi="Arial"/>
          <w:sz w:val="24"/>
          <w:szCs w:val="24"/>
          <w:color w:val="auto"/>
          <w:vertAlign w:val="superscript"/>
        </w:rPr>
        <w:t>®</w:t>
      </w:r>
      <w:r>
        <w:rPr>
          <w:rFonts w:ascii="Arial" w:cs="Arial" w:eastAsia="Arial" w:hAnsi="Arial"/>
          <w:sz w:val="17"/>
          <w:szCs w:val="17"/>
          <w:color w:val="auto"/>
        </w:rPr>
        <w:t>, ASEF</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Scotts EcoSense</w:t>
      </w:r>
      <w:r>
        <w:rPr>
          <w:rFonts w:ascii="Arial" w:cs="Arial" w:eastAsia="Arial" w:hAnsi="Arial"/>
          <w:sz w:val="24"/>
          <w:szCs w:val="24"/>
          <w:color w:val="auto"/>
          <w:vertAlign w:val="superscript"/>
        </w:rPr>
        <w:t>®</w:t>
      </w:r>
      <w:r>
        <w:rPr>
          <w:rFonts w:ascii="Arial" w:cs="Arial" w:eastAsia="Arial" w:hAnsi="Arial"/>
          <w:sz w:val="17"/>
          <w:szCs w:val="17"/>
          <w:color w:val="auto"/>
        </w:rPr>
        <w:t>, Naturen</w:t>
      </w:r>
      <w:r>
        <w:rPr>
          <w:rFonts w:ascii="Arial" w:cs="Arial" w:eastAsia="Arial" w:hAnsi="Arial"/>
          <w:sz w:val="24"/>
          <w:szCs w:val="24"/>
          <w:color w:val="auto"/>
          <w:vertAlign w:val="superscript"/>
        </w:rPr>
        <w:t>®</w:t>
      </w:r>
      <w:r>
        <w:rPr>
          <w:rFonts w:ascii="Arial" w:cs="Arial" w:eastAsia="Arial" w:hAnsi="Arial"/>
          <w:sz w:val="17"/>
          <w:szCs w:val="17"/>
          <w:color w:val="auto"/>
        </w:rPr>
        <w:t>,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Organic Choice</w:t>
      </w:r>
      <w:r>
        <w:rPr>
          <w:rFonts w:ascii="Arial" w:cs="Arial" w:eastAsia="Arial" w:hAnsi="Arial"/>
          <w:sz w:val="24"/>
          <w:szCs w:val="24"/>
          <w:color w:val="auto"/>
          <w:vertAlign w:val="superscript"/>
        </w:rPr>
        <w:t>®</w:t>
      </w:r>
      <w:r>
        <w:rPr>
          <w:rFonts w:ascii="Arial" w:cs="Arial" w:eastAsia="Arial" w:hAnsi="Arial"/>
          <w:sz w:val="17"/>
          <w:szCs w:val="17"/>
          <w:color w:val="auto"/>
        </w:rPr>
        <w:t>, and Fafard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spacing w:after="0" w:line="60"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6"/>
          <w:szCs w:val="16"/>
          <w:i w:val="1"/>
          <w:iCs w:val="1"/>
          <w:color w:val="auto"/>
        </w:rPr>
        <w:t xml:space="preserve">Controls: </w:t>
      </w:r>
      <w:r>
        <w:rPr>
          <w:rFonts w:ascii="Arial" w:cs="Arial" w:eastAsia="Arial" w:hAnsi="Arial"/>
          <w:sz w:val="16"/>
          <w:szCs w:val="16"/>
          <w:color w:val="auto"/>
        </w:rPr>
        <w:t>The controls category is designed to help consumers protect their homes from pests and maintain external home areas.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insect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Ortho Max</w:t>
      </w:r>
      <w:r>
        <w:rPr>
          <w:rFonts w:ascii="Arial" w:cs="Arial" w:eastAsia="Arial" w:hAnsi="Arial"/>
          <w:sz w:val="22"/>
          <w:szCs w:val="22"/>
          <w:color w:val="auto"/>
          <w:vertAlign w:val="superscript"/>
        </w:rPr>
        <w:t>®</w:t>
      </w:r>
      <w:r>
        <w:rPr>
          <w:rFonts w:ascii="Arial" w:cs="Arial" w:eastAsia="Arial" w:hAnsi="Arial"/>
          <w:sz w:val="16"/>
          <w:szCs w:val="16"/>
          <w:color w:val="auto"/>
        </w:rPr>
        <w:t>, Home Defense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Bug B Gon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sub-brands; rodent control products are marketed under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selective weed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Weed B Gon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and non-selective weed control products are marketed under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Groundclear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Internationally, products within this category are marketed under the Nexa Lotte</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Home Defence</w:t>
      </w:r>
      <w:r>
        <w:rPr>
          <w:rFonts w:ascii="Arial" w:cs="Arial" w:eastAsia="Arial" w:hAnsi="Arial"/>
          <w:sz w:val="22"/>
          <w:szCs w:val="22"/>
          <w:color w:val="auto"/>
          <w:vertAlign w:val="superscript"/>
        </w:rPr>
        <w:t>®</w:t>
      </w:r>
      <w:r>
        <w:rPr>
          <w:rFonts w:ascii="Arial" w:cs="Arial" w:eastAsia="Arial" w:hAnsi="Arial"/>
          <w:sz w:val="16"/>
          <w:szCs w:val="16"/>
          <w:color w:val="auto"/>
        </w:rPr>
        <w:t>, Home Defense</w:t>
      </w:r>
      <w:r>
        <w:rPr>
          <w:rFonts w:ascii="Arial" w:cs="Arial" w:eastAsia="Arial" w:hAnsi="Arial"/>
          <w:sz w:val="22"/>
          <w:szCs w:val="22"/>
          <w:color w:val="auto"/>
          <w:vertAlign w:val="superscript"/>
        </w:rPr>
        <w:t>®</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5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6"/>
          <w:szCs w:val="16"/>
          <w:color w:val="auto"/>
        </w:rPr>
        <w:t>Since 1998, we have served as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in the consumer lawn and garden market within the United States and other specified countries, including Australia, Austria, Belgium, Canada, France, Germany, the Netherlands and the United Kingdom. In 2015, the territories were expanded to include all countries other than Japan and those subject to a comprehensive U.S. trade embargo or certain other embargoes and trade restrictions.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We provide manufacturing conversion services (in North America), distribution and logistics, and selling and marketing support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We also entered into a lawn and garden brand extension agreement during 2015, providing us the ability to extend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into other categories of lawn and garden beyond non-selective weed control globally. Monsanto continues to own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and provides significant oversight of the brand. In addition, Monsanto continues to own and operate the agricultural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For additional details regarding the Marketing Agreement, see “ITEM 1A. RISK FACTORS — In the event of termination of the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OxiClean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registered trademark of Church &amp; Dwight Co., Inc.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94" w:right="239" w:bottom="1440" w:gutter="0" w:footer="0" w:header="0"/>
        </w:sectPr>
      </w:pPr>
    </w:p>
    <w:bookmarkStart w:id="3" w:name="page4"/>
    <w:bookmarkEnd w:id="3"/>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p>
    <w:p>
      <w:pPr>
        <w:jc w:val="both"/>
        <w:ind w:firstLine="432"/>
        <w:spacing w:after="0" w:line="221" w:lineRule="auto"/>
        <w:rPr>
          <w:sz w:val="20"/>
          <w:szCs w:val="20"/>
          <w:color w:val="auto"/>
        </w:rPr>
      </w:pPr>
      <w:r>
        <w:rPr>
          <w:rFonts w:ascii="Arial" w:cs="Arial" w:eastAsia="Arial" w:hAnsi="Arial"/>
          <w:sz w:val="17"/>
          <w:szCs w:val="17"/>
          <w:color w:val="auto"/>
        </w:rPr>
        <w:t>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provides residential and commercial lawn care, tree and shrub care and pest control services in the United States through periodic applications of fertilizer and control products. As of September 30, 2015,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had 88 Company-operated locations as well as 94 locations operated by independent franchisees. Also, through our 2014 acquisition of Action Pest Control Inc. (“Action Pest”), we operate and provide residential pest control services in the Midwest. As of September 30, 2015, we operated seven Action Pest locations.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May 15, 2015, we amended our Marketing Agreement with Monsanto and entered into a lawn and garden brand extension agreement, and a commercialization and technology agreement with Monsanto. We paid Monsanto $300.0 million in consideration for these agreements on August 14, 2015, using borrowings under our credit facility. These agreements provide us with the following significant rights:</w:t>
      </w:r>
    </w:p>
    <w:p>
      <w:pPr>
        <w:spacing w:after="0" w:line="100"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extend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into other categories of lawn and garden beyond non-selective weed control globally;</w:t>
      </w:r>
    </w:p>
    <w:p>
      <w:pPr>
        <w:spacing w:after="0" w:line="63" w:lineRule="exact"/>
        <w:rPr>
          <w:rFonts w:ascii="Arial" w:cs="Arial" w:eastAsia="Arial" w:hAnsi="Arial"/>
          <w:sz w:val="18"/>
          <w:szCs w:val="18"/>
          <w:color w:val="auto"/>
        </w:rPr>
      </w:pPr>
    </w:p>
    <w:p>
      <w:pPr>
        <w:ind w:left="820" w:hanging="326"/>
        <w:spacing w:after="0" w:line="227"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opportunity to introduce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into territories not included in the original Marketing Agreement, including China and Latin America. Only Japan and countries with U.S. trade embargoes are excluded from the Marketing Agreement;</w:t>
      </w:r>
    </w:p>
    <w:p>
      <w:pPr>
        <w:spacing w:after="0" w:line="121" w:lineRule="exact"/>
        <w:rPr>
          <w:rFonts w:ascii="Arial" w:cs="Arial" w:eastAsia="Arial" w:hAnsi="Arial"/>
          <w:sz w:val="17"/>
          <w:szCs w:val="17"/>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opportunity to propose changes to product formulations if deemed necessary to grow and/or protect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63" w:lineRule="exact"/>
        <w:rPr>
          <w:rFonts w:ascii="Arial" w:cs="Arial" w:eastAsia="Arial" w:hAnsi="Arial"/>
          <w:sz w:val="18"/>
          <w:szCs w:val="18"/>
          <w:color w:val="auto"/>
        </w:rPr>
      </w:pPr>
    </w:p>
    <w:p>
      <w:pPr>
        <w:ind w:left="820" w:hanging="326"/>
        <w:spacing w:after="0" w:line="21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right of first offer and a right of last look in the event Monsanto were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and a credit to the purchase price in an amount equal to the then applicable termination fee in the event we make a bid in connection with such a sale;</w:t>
      </w:r>
    </w:p>
    <w:p>
      <w:pPr>
        <w:spacing w:after="0" w:line="12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“first look” related to Monsanto’s innovation pipeline. Scotts Miracle-Gro would be provided with access to new technology and products that may be commercialized in the residential lawn and garden marketplace;</w:t>
      </w:r>
    </w:p>
    <w:p>
      <w:pPr>
        <w:spacing w:after="0" w:line="89" w:lineRule="exact"/>
        <w:rPr>
          <w:rFonts w:ascii="Arial" w:cs="Arial" w:eastAsia="Arial" w:hAnsi="Arial"/>
          <w:sz w:val="18"/>
          <w:szCs w:val="18"/>
          <w:color w:val="auto"/>
        </w:rPr>
      </w:pPr>
    </w:p>
    <w:p>
      <w:pPr>
        <w:jc w:val="both"/>
        <w:ind w:left="820" w:hanging="326"/>
        <w:spacing w:after="0" w:line="281"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enhancements of our rights in connection with the termination of the Marketing Agreement, including increasing the termination fee payable thereunder, eliminating certain of Monsanto’s termination rights and delaying the effectiveness of a termination in connection with a change of control of Monsanto or a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 five years after the notice of termination; and</w:t>
      </w:r>
    </w:p>
    <w:p>
      <w:pPr>
        <w:spacing w:after="0" w:line="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expanded ability for us to transfer, and thereby monetize, our rights as marketing agent to a third party (1) with respect to (a) the North America territories and (b) one or more other included markets for up to three other assignments and (2) in connection with a change of control of Scotts Miracle-Gro.</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March 30, 2015, the Company acquired the assets of General Hydroponics and Vermicrop for $120.0 million and $15.0 million, respectively. The Vermicrop purchase price was paid in common shares of Scotts Miracle-Gro (“Common Shares”) based on the average share price at the time of payment. This transaction provides the Company's Global Consumer segment with an additional entry in the indoor and urban gardening category, which is a part of the Global Consumer segment's long-term growth strategy. General Hydroponics and Vermicrop are leading producers of liquid plant food products, growing media and accessories for hydroponic gardening.</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2015, we completed four acquisitions of growing media operations within the Global Consumer segment for an aggregate estimated purchase price of $40.2 million. These acquisitions expand the Company's growing media operations and distribution capabilities within its Global Consumer segment.</w:t>
      </w:r>
    </w:p>
    <w:p>
      <w:pPr>
        <w:spacing w:after="0" w:line="46"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On October 16, 2014,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its acquisition of the assets of Action Pest, a residential and commercial pest control provider in the Midwest, for $21.7 million. Action Pest provides residential and commercial pest control services to homeowners and businesses in the Midwest. This transaction provides the Company with an entry into the pest control business.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30, 2014, our wholly-owned subsidiary, Scotts Canada Ltd., acquired Fafard &amp; Brothers Ltd. (“Fafard”) for $59.8 million. In continuous operation since 1940 and based in Saint-Bonaventure, Quebec, Canada, Fafard is a producer of peat moss and growing media products for consumer and professional markets including peat-based and bark-based mixes, composts and premium soils. Fafard serves customers primarily across Ontario, Quebec and New Brunswick.</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fourth quarter of the fiscal year ended September 30, 2014 (“fiscal 2014”), as a reflection of our increased control of the operations of AeroGrow gained through a working capital loan made by the Company, we consolidated AeroGrow’s financial results into that of the Company. AeroGrow is a developer, marketer, direct-seller, and wholesaler of advanced indoor garden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98"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systems designed for consumer use in gardening, and home and office décor markets. AeroGrow operates primarily in the United States and Canada, as well as select countries in Europe, Asia and Australia.</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fourth quarter of fiscal 2014, we also completed an acquisition of certain assets of the U.K. based Solus Garden and Leisure Limited (“Solus”) within our Global Consumer segment for $7.4 million. Solus is a supplier of garden and leisure products, offering a diverse mix of brands.</w:t>
      </w:r>
    </w:p>
    <w:p>
      <w:pPr>
        <w:spacing w:after="0" w:line="11" w:lineRule="exact"/>
        <w:rPr>
          <w:sz w:val="20"/>
          <w:szCs w:val="20"/>
          <w:color w:val="auto"/>
        </w:rPr>
      </w:pPr>
    </w:p>
    <w:p>
      <w:pPr>
        <w:jc w:val="both"/>
        <w:ind w:firstLine="432"/>
        <w:spacing w:after="0" w:line="206" w:lineRule="auto"/>
        <w:rPr>
          <w:sz w:val="20"/>
          <w:szCs w:val="20"/>
          <w:color w:val="auto"/>
        </w:rPr>
      </w:pPr>
      <w:r>
        <w:rPr>
          <w:rFonts w:ascii="Arial" w:cs="Arial" w:eastAsia="Arial" w:hAnsi="Arial"/>
          <w:sz w:val="17"/>
          <w:szCs w:val="17"/>
          <w:color w:val="auto"/>
        </w:rPr>
        <w:t>On October 14, 2013, we acquired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from Bell Laboratories, Inc., located in Madison, Wisconsin, for $60.0 million in an all-cash transaction. The acquisition included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other intellectual property, as well as a long-term partnership to bring innovative technologies to the consumer rodent control market.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products are sold at home centers and mass retailers, as well as grocery, drug and general merchandise stores across the United States and Canada, as well as in Europe and Australia.</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In addition, over the past five years we have completed several smaller acquisitions within our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w:t>
      </w:r>
    </w:p>
    <w:p>
      <w:pPr>
        <w:spacing w:after="0" w:line="14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past five years, we have completed several divestitures including the February 28, 2011 sale of our Global Professional (“Global Pro”) business to Israel Chemicals Ltd. (“ICL”) for $270.0 million. In the fourth quarter of the fiscal year ended September 30, 2012 (“fiscal 2012”), we completed the wind down of our professional grass seed business. In the second quarter of fiscal 2014, we completed the sale of our wild bird food business in the United States and Canada for $4.1 million in cash and an estimated $1.0 million in future earn-out payments. We have classified our results of operations for all periods presented in this Annual Report on Form 10-K to reflect these businesses as discontinued operations during the applicable periods. See “NOTE 2. DISCONTINUED OPERATIONS” of the Notes to Consolidated Financial Statements included in this Annual Report on Form 10-K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sell our consumer products primarily to home centers, mass merchandisers, warehouse clubs, large hardware chains, independent hardware stores, nurseries, garden centers, food and drug stores, and indoor gardening and hydroponic stores through both a direct sales force and our network of brokers and distributors. In addition, during fiscal 2015, we employed approximately 2,500 full-time and seasonal in-store associates within the United States to help our retail partners merchandise their lawn and garden departments directly to consumers of our products.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primarily utilize third parties to manage the key distribution centers for our Global Consumer business in North America, which are strategically located across the United States and Canada. The distribution centers for our Global Consumer business internationally are located in the United Kingdom, France, Germany, Austria and Australia and are also managed by third-party logistics providers. Growing media products are generally shipped direct-to-store without passing through a distribution center.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season to secure pre-determined prices. We also hedge certain commodities, particularly diesel, gasoline and urea, to improve cost predictability and control. Sufficient raw materials were available during fiscal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6"/>
          <w:szCs w:val="16"/>
          <w:color w:val="auto"/>
        </w:rPr>
        <w:t>We consider our trademarks, patents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Ortho</w:t>
      </w:r>
      <w:r>
        <w:rPr>
          <w:rFonts w:ascii="Arial" w:cs="Arial" w:eastAsia="Arial" w:hAnsi="Arial"/>
          <w:sz w:val="22"/>
          <w:szCs w:val="22"/>
          <w:color w:val="auto"/>
          <w:vertAlign w:val="superscript"/>
        </w:rPr>
        <w:t>®</w:t>
      </w:r>
      <w:r>
        <w:rPr>
          <w:rFonts w:ascii="Arial" w:cs="Arial" w:eastAsia="Arial" w:hAnsi="Arial"/>
          <w:sz w:val="16"/>
          <w:szCs w:val="16"/>
          <w:color w:val="auto"/>
        </w:rPr>
        <w:t>,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Tomcat</w:t>
      </w:r>
      <w:r>
        <w:rPr>
          <w:rFonts w:ascii="Arial" w:cs="Arial" w:eastAsia="Arial" w:hAnsi="Arial"/>
          <w:sz w:val="22"/>
          <w:szCs w:val="22"/>
          <w:color w:val="auto"/>
          <w:vertAlign w:val="superscript"/>
        </w:rPr>
        <w:t>®</w:t>
      </w:r>
      <w:r>
        <w:rPr>
          <w:rFonts w:ascii="Arial" w:cs="Arial" w:eastAsia="Arial" w:hAnsi="Arial"/>
          <w:sz w:val="16"/>
          <w:szCs w:val="16"/>
          <w:color w:val="auto"/>
        </w:rPr>
        <w:t>, Hyponex</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General Hydroponics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Vermicrop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logos, as well as a number of product trademarks,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Snap</w:t>
      </w:r>
      <w:r>
        <w:rPr>
          <w:rFonts w:ascii="Arial" w:cs="Arial" w:eastAsia="Arial" w:hAnsi="Arial"/>
          <w:sz w:val="22"/>
          <w:szCs w:val="22"/>
          <w:color w:val="auto"/>
          <w:vertAlign w:val="superscript"/>
        </w:rPr>
        <w:t>®</w:t>
      </w:r>
      <w:r>
        <w:rPr>
          <w:rFonts w:ascii="Arial" w:cs="Arial" w:eastAsia="Arial" w:hAnsi="Arial"/>
          <w:sz w:val="16"/>
          <w:szCs w:val="16"/>
          <w:color w:val="auto"/>
        </w:rPr>
        <w:t>, Organic Choice</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Home Defense Max</w:t>
      </w:r>
      <w:r>
        <w:rPr>
          <w:rFonts w:ascii="Arial" w:cs="Arial" w:eastAsia="Arial" w:hAnsi="Arial"/>
          <w:sz w:val="22"/>
          <w:szCs w:val="22"/>
          <w:color w:val="auto"/>
          <w:vertAlign w:val="superscript"/>
        </w:rPr>
        <w:t>®</w:t>
      </w:r>
      <w:r>
        <w:rPr>
          <w:rFonts w:ascii="Arial" w:cs="Arial" w:eastAsia="Arial" w:hAnsi="Arial"/>
          <w:sz w:val="16"/>
          <w:szCs w:val="16"/>
          <w:color w:val="auto"/>
        </w:rPr>
        <w:t>, Nature Scapes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Weed B Gon Max</w:t>
      </w:r>
      <w:r>
        <w:rPr>
          <w:rFonts w:ascii="Arial" w:cs="Arial" w:eastAsia="Arial" w:hAnsi="Arial"/>
          <w:sz w:val="22"/>
          <w:szCs w:val="22"/>
          <w:color w:val="auto"/>
          <w:vertAlign w:val="superscript"/>
        </w:rPr>
        <w:t>®</w:t>
      </w:r>
      <w:r>
        <w:rPr>
          <w:rFonts w:ascii="Arial" w:cs="Arial" w:eastAsia="Arial" w:hAnsi="Arial"/>
          <w:sz w:val="16"/>
          <w:szCs w:val="16"/>
          <w:color w:val="auto"/>
        </w:rPr>
        <w:t>, are registered in the United States and/or internationally and are considered material to our business.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we actively develop and maintain an extensive portfolio of utility and design patents covering subject matters such as fertilizer, chemical and growing media compositions and processes; grass seed varieties; and mechanical dispensing devices such as applicators, spreaders and sprayers. Our utility patents provide protection generally extending to 20 years from the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7" w:right="239" w:bottom="144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either of our business segments or the business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more than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food and drug stores, and indoor gardening and hydroponic stores. Our three largest customers are Home Depot, Lowe’s and Walmart, which are reported within the Global Consumer segment and are the only customers that individually represent more than 10% of reported consolidated net sales. For additional 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19. CONCENTRATIONS OF CREDIT RISK” of the Notes to Consolidated Financial Statements included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markets in which we sell our products are highly competitive. In the U.S. lawn and garden and pest control markets, our products compete against private-label as well as branded products. Primary competitors include Spectrum Brands Holdings, Inc., Bayer AG, Central Garden &amp; Pet Company, Enforcer Products, Inc., Kellogg Garden Products, Oldcastle Retail, Inc. and Lebanon Seaboard Corporation. In addition, we face competition from regional competitors who compete primarily on the basis of price for commodity growing media products including private label brands.</w:t>
      </w:r>
    </w:p>
    <w:p>
      <w:pPr>
        <w:spacing w:after="0" w:line="3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Internationally, we face strong competition in the lawn and garden market, particularly in Europe. Our competitors in the European Union include Compo AcquiCo SARL, Bayer AG, Westland Horticulture Ltd and a variety of local companies including private label brands.</w:t>
      </w:r>
    </w:p>
    <w:p>
      <w:pPr>
        <w:spacing w:after="0" w:line="116" w:lineRule="exact"/>
        <w:rPr>
          <w:sz w:val="20"/>
          <w:szCs w:val="20"/>
          <w:color w:val="auto"/>
        </w:rPr>
      </w:pPr>
    </w:p>
    <w:p>
      <w:pPr>
        <w:jc w:val="both"/>
        <w:ind w:firstLine="432"/>
        <w:spacing w:after="0" w:line="203" w:lineRule="auto"/>
        <w:rPr>
          <w:sz w:val="20"/>
          <w:szCs w:val="20"/>
          <w:color w:val="auto"/>
        </w:rPr>
      </w:pPr>
      <w:r>
        <w:rPr>
          <w:rFonts w:ascii="Arial" w:cs="Arial" w:eastAsia="Arial" w:hAnsi="Arial"/>
          <w:sz w:val="18"/>
          <w:szCs w:val="18"/>
          <w:color w:val="auto"/>
        </w:rPr>
        <w:t>We have the second largest market share position in the fragmented U.S. lawn care service market. We compete against TruGreen</w:t>
      </w:r>
      <w:r>
        <w:rPr>
          <w:rFonts w:ascii="Arial" w:cs="Arial" w:eastAsia="Arial" w:hAnsi="Arial"/>
          <w:sz w:val="25"/>
          <w:szCs w:val="25"/>
          <w:color w:val="auto"/>
          <w:vertAlign w:val="superscript"/>
        </w:rPr>
        <w:t>®</w:t>
      </w:r>
      <w:r>
        <w:rPr>
          <w:rFonts w:ascii="Arial" w:cs="Arial" w:eastAsia="Arial" w:hAnsi="Arial"/>
          <w:sz w:val="18"/>
          <w:szCs w:val="18"/>
          <w:color w:val="auto"/>
        </w:rPr>
        <w:t>, which has a substantially larger share of this market than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as well as numerous regional and local lawn care service operations and national and regional franchisors.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$46.8 million, $48.4 million and $46.4 million in fiscal 2015, fiscal 2014 and fiscal 2013, respectively, including product registration costs of $13.1 million, $12.6 million and $12.4 million, respectively. In addition to the benefits of our own research and development, we actively seek ways to leverage the research and development activities of our suppliers and other business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Local, state, federal and foreign laws and regulations affect the manufacture, sale and application of our products in several ways. For example, 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 Most states require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locations and/or technicians to comply with strict licensing requirements prior to applying many of our products.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6" w:name="page7"/>
    <w:bookmarkEnd w:id="6"/>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2015, $5.6 million was accrued for such environmental matters. During fiscal 2015, fiscal 2014 and fiscal 2013, we expensed $0.6 million, $3.1 million and $0.4 million, respectively, for such environmental matters. We had no material capital expenditures during the last three fiscal years related to environmental or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2015, we employed approximately 7,900 employees. During peak sales and production periods, we employ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8,900 employees, including seasonal and temporary labor.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21.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The SEC maintains a website that contains electronic filings by Scotts Miracle-Gro and other issuers at www.sec.gov. In addition, the public may read and copy any materials Scotts Miracle-Gro files with the SEC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2015 Annual Report to Shareholders (our “2015 Annual Report”), contain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2015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2015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12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Most states require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locations and/or technicians to comply with strict licensing requirements prior to applying many of our products.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0" w:right="239" w:bottom="1440" w:gutter="0" w:footer="0" w:header="0"/>
        </w:sectPr>
      </w:pPr>
    </w:p>
    <w:bookmarkStart w:id="8" w:name="page9"/>
    <w:bookmarkEnd w:id="8"/>
    <w:p>
      <w:pPr>
        <w:jc w:val="both"/>
        <w:ind w:firstLine="432"/>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in order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7" w:right="239" w:bottom="1440" w:gutter="0" w:footer="0" w:header="0"/>
        </w:sectPr>
      </w:pPr>
    </w:p>
    <w:bookmarkStart w:id="9" w:name="page10"/>
    <w:bookmarkEnd w:id="9"/>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as a means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us.</w:t>
      </w:r>
    </w:p>
    <w:p>
      <w:pPr>
        <w:spacing w:after="0" w:line="20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the development, manufacturing and marketing of new product lines and products or product innovations which satisfy consumer needs or achieve market acceptance, or that we will develop and market new product lines and products or product innovations in a timely manner. If we fail to successfully develop, manufacture and market new product lines and products or develop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products or innovations do not achieve market acceptance.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 further exacerbating the risks to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6"/>
          <w:szCs w:val="16"/>
          <w:b w:val="1"/>
          <w:bCs w:val="1"/>
          <w:i w:val="1"/>
          <w:iCs w:val="1"/>
          <w:color w:val="auto"/>
        </w:rPr>
        <w:t>Our ongoing investment in new product lines and products and technologies is inherently risky, and could disrupt our ongoing businesses.</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net sales represented approximately 89.5% of our worldwide net sales in fiscal 2015. Our top three retail customers together accounted for 63% of our Global Consumer segment fiscal 2015 net sales and 54% of our outstanding accounts receivable as of September 30, 2015. The loss of, or reduction in orders from, our top three 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condition,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8" w:right="239" w:bottom="1440" w:gutter="0" w:footer="0" w:header="0"/>
        </w:sectPr>
      </w:pPr>
    </w:p>
    <w:bookmarkStart w:id="11" w:name="page12"/>
    <w:bookmarkEnd w:id="11"/>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Weather conditions in North America and Europe can have a significant impact on the timing of sales in the spring selling season and overall annual sales. An abnormally wet and/or cold spring throughout North America or Europe, abnormally dry periods or droughts, and other severe weather conditions or events could adversely affect fertilizer, pesticide and insecticide sales and, therefore, our financial condition, results of operations and cash flows.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2015, we had $1,163.3 million of debt. Our inability to meet restrictive financial and non-financial covenants associated with that debt could adversely affect our financial condition.</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make payments on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ensure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credit facility and the indenture governing our 6.625% Senior Notes due 2020 (the “6.625% Senior Notes”) and our 6.000% Senior Notes due 2023 (the “6.000% Senior Notes”) contain restrictive covenants and cross-default provisions. In addition, our credit facility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6.625% Senior Notes and the 6.000% Senior Notes, we may incur additional debt in the future. If we incur additional debt, the risks described above could intensify.</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could adversely affect our cost of financing and the market price of our 6.625% Senior Notes and our 6.000% Senior Notes.</w:t>
      </w:r>
    </w:p>
    <w:p>
      <w:pPr>
        <w:spacing w:after="0" w:line="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Credit rating agencies rate the 6.625% Senior Notes and the 6.000% Senior Notes, and the Company based on factors that include our operating results, actions that we take, their view of the general outlook for our industry and their view of the general outlook for the economy. Actions taken by the rating agencies can include maintaining, upgrading or downgrading the current rating or placing us on a watch list for possible future downgrading. Downgrading the credit rating of the 6.625% Senior Notes, or the 6.000% Senior Notes or placing us on a watch list for possible future downgrading would likely increase our cost of financing, limit our access to the capital markets and have an adverse effect on the market price of the 6.625% Senior Notes and the 6.000% Senior Notes.</w:t>
      </w:r>
    </w:p>
    <w:p>
      <w:pPr>
        <w:spacing w:after="0" w:line="22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8" w:right="239" w:bottom="1440" w:gutter="0" w:footer="0" w:header="0"/>
        </w:sectPr>
      </w:pPr>
    </w:p>
    <w:bookmarkStart w:id="12" w:name="page13"/>
    <w:bookmarkEnd w:id="12"/>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2015, sales outside of the United States accounted for 16.8% of our total net sales.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and cash flows in the future.</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1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17"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and results of operations.</w:t>
      </w:r>
    </w:p>
    <w:p>
      <w:pPr>
        <w:spacing w:after="0" w:line="220" w:lineRule="exact"/>
        <w:rPr>
          <w:sz w:val="20"/>
          <w:szCs w:val="20"/>
          <w:color w:val="auto"/>
        </w:rPr>
      </w:pPr>
    </w:p>
    <w:p>
      <w:pPr>
        <w:jc w:val="both"/>
        <w:ind w:right="20" w:firstLine="243"/>
        <w:spacing w:after="0" w:line="216"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68"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a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but would have to pay a termination fee to the Company. In the event the Marketing Agreement terminates, we would lose all, or a substantial portion, of the significant source of earnings and overhead expense absorption the Marketing Agreement provides.</w:t>
      </w:r>
    </w:p>
    <w:p>
      <w:pPr>
        <w:spacing w:after="0" w:line="7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additional information regarding the Marketing Agreement, see “NOTE 6. MARKETING AGREEMENT” of the Notes to Consolidated Financial Statements included in this Annual Report on Form 10-K.</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16, 2015.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purchase program are subject to, among other things, our financial position and results of operations, available cash and cash flow, capital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35" w:right="2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and other factors. We have, over the past few years, increased the rate of cash dividends on, and repurchased shares of, our Common Shares. For example, in the fiscal year ended September 30, 2011 (“fiscal 2011”), we increased the amount of our quarterly cash dividend by 20% and our Board of Directors increased our then current share repurchase authorization by an additional $200 million through September 30, 2014. We increased the amount of our quarterly cash dividend again in fiscal 2012. In the fourth quarter of the fiscal year ended September 30, 2013 (“fiscal 2013”), we increased the amount of our quarterly cash dividend by an additional 35%. In the fourth quarter of fiscal 2014, we announced a special one-time cash dividend of $2 per share on the Company's Common Shares; a new share repurchase authorization, expiring by the end of fiscal 2019, to repurchase up to $500 million of the Company’s Common Shares, which replaced the then existing authorization, which expired on September 30, 2014; and a 3% increase in the Company’s recurring quarterly cash dividend to $0.45 per share. Most recently, in the fourth quarter of fiscal 2015, we increased the amount of our quarterly cash dividend by an additional 4% to $0.47 per share.</w:t>
      </w:r>
    </w:p>
    <w:p>
      <w:pPr>
        <w:spacing w:after="0" w:line="1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170" w:lineRule="exact"/>
        <w:rPr>
          <w:rFonts w:ascii="Arial" w:cs="Arial" w:eastAsia="Arial" w:hAnsi="Arial"/>
          <w:sz w:val="18"/>
          <w:szCs w:val="18"/>
          <w:color w:val="auto"/>
        </w:rPr>
      </w:pPr>
    </w:p>
    <w:p>
      <w:pPr>
        <w:jc w:val="both"/>
        <w:ind w:left="820" w:right="20" w:hanging="407"/>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81"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70" w:lineRule="exact"/>
        <w:rPr>
          <w:rFonts w:ascii="Arial" w:cs="Arial" w:eastAsia="Arial" w:hAnsi="Arial"/>
          <w:sz w:val="18"/>
          <w:szCs w:val="18"/>
          <w:color w:val="auto"/>
        </w:rPr>
      </w:pPr>
    </w:p>
    <w:p>
      <w:pPr>
        <w:ind w:left="820" w:hanging="407"/>
        <w:spacing w:after="0" w:line="308"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35" w:right="239" w:bottom="1440" w:gutter="0" w:footer="0" w:header="0"/>
        </w:sectPr>
      </w:pPr>
    </w:p>
    <w:bookmarkStart w:id="15" w:name="page16"/>
    <w:bookmarkEnd w:id="15"/>
    <w:p>
      <w:pPr>
        <w:jc w:val="both"/>
        <w:ind w:right="2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194" w:lineRule="exact"/>
        <w:rPr>
          <w:sz w:val="20"/>
          <w:szCs w:val="20"/>
          <w:color w:val="auto"/>
        </w:rPr>
      </w:pPr>
    </w:p>
    <w:p>
      <w:pPr>
        <w:jc w:val="both"/>
        <w:ind w:firstLine="243"/>
        <w:spacing w:after="0" w:line="33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(see the discussion of Legal Proceedings in Part I, Item 3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headquarters are located in Marysville, Ohio, where we own approximately 616 acres of land and lease approximately 114 acres of land. We lease a property in Ecully, France which serves as the headquarters of our European operations. In addition, we own and lease numerous industrial, commercial and office properties located in North America, Europe, Australia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17" w:right="239" w:bottom="1440" w:gutter="0" w:footer="0" w:header="0"/>
        </w:sectPr>
      </w:pPr>
    </w:p>
    <w:bookmarkStart w:id="16" w:name="page17"/>
    <w:bookmarkEnd w:id="16"/>
    <w:p>
      <w:pPr>
        <w:jc w:val="both"/>
        <w:ind w:firstLine="405"/>
        <w:spacing w:after="0" w:line="277" w:lineRule="auto"/>
        <w:rPr>
          <w:sz w:val="20"/>
          <w:szCs w:val="20"/>
          <w:color w:val="auto"/>
        </w:rPr>
      </w:pPr>
      <w:r>
        <w:rPr>
          <w:rFonts w:ascii="Arial" w:cs="Arial" w:eastAsia="Arial" w:hAnsi="Arial"/>
          <w:sz w:val="18"/>
          <w:szCs w:val="18"/>
          <w:i w:val="1"/>
          <w:iCs w:val="1"/>
          <w:u w:val="single" w:color="auto"/>
          <w:color w:val="auto"/>
        </w:rPr>
        <w:t>Global Consumer</w:t>
      </w:r>
      <w:r>
        <w:rPr>
          <w:rFonts w:ascii="Arial" w:cs="Arial" w:eastAsia="Arial" w:hAnsi="Arial"/>
          <w:sz w:val="18"/>
          <w:szCs w:val="18"/>
          <w:color w:val="auto"/>
        </w:rPr>
        <w:t>. There are 49 Company-owned properties and 84 leased properties in our Global Consumer segment. These properties are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countries: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8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7"/>
        </w:trPr>
        <w:tc>
          <w:tcPr>
            <w:tcW w:w="8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5"/>
                <w:szCs w:val="25"/>
                <w:color w:val="auto"/>
                <w:vertAlign w:val="superscript"/>
              </w:rPr>
              <w:t>(1)</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57"/>
        </w:trPr>
        <w:tc>
          <w:tcPr>
            <w:tcW w:w="8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(1) - Rest of world includes Australia, Austria, Belgium, China, Germany, Mexico, and Poland</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own or lease 68 manufacturing properties, three distribution properties and three research and development properties in the United States. We own or lease nine manufacturing properties in the United Kingdom, nine manufacturing properties in Canada, two manufacturing properties in France, two manufacturing properties in Australia, and one manufacturing property in China. We also lease two distribution properties and own one research and development property in the United Kingdom, lease one distribution property in Mexico, lease one research and development property in Canada, and lease one research and development property in France. Most of the manufacturing properties in our Global Consumer segment, which include growing media properties and peat harvesting properties, have production lines, warehouses, offices and field processing areas.</w:t>
      </w:r>
    </w:p>
    <w:p>
      <w:pPr>
        <w:spacing w:after="0" w:line="12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i w:val="1"/>
          <w:iCs w:val="1"/>
          <w:u w:val="single" w:color="auto"/>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Company-operated Scotts LawnService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consist of 97 leased properties located in the United States. Two</w:t>
      </w:r>
      <w:r>
        <w:rPr>
          <w:rFonts w:ascii="Arial" w:cs="Arial" w:eastAsia="Arial" w:hAnsi="Arial"/>
          <w:sz w:val="18"/>
          <w:szCs w:val="18"/>
          <w:i w:val="1"/>
          <w:iCs w:val="1"/>
          <w:color w:val="auto"/>
        </w:rPr>
        <w:t xml:space="preserve"> </w:t>
      </w:r>
      <w:r>
        <w:rPr>
          <w:rFonts w:ascii="Arial" w:cs="Arial" w:eastAsia="Arial" w:hAnsi="Arial"/>
          <w:sz w:val="18"/>
          <w:szCs w:val="18"/>
          <w:color w:val="222222"/>
        </w:rPr>
        <w:t>of these</w:t>
      </w:r>
      <w:r>
        <w:rPr>
          <w:rFonts w:ascii="Arial" w:cs="Arial" w:eastAsia="Arial" w:hAnsi="Arial"/>
          <w:sz w:val="18"/>
          <w:szCs w:val="18"/>
          <w:i w:val="1"/>
          <w:iCs w:val="1"/>
          <w:color w:val="auto"/>
        </w:rPr>
        <w:t xml:space="preserve"> </w:t>
      </w:r>
      <w:r>
        <w:rPr>
          <w:rFonts w:ascii="Arial" w:cs="Arial" w:eastAsia="Arial" w:hAnsi="Arial"/>
          <w:sz w:val="18"/>
          <w:szCs w:val="18"/>
          <w:color w:val="222222"/>
        </w:rPr>
        <w:t>properties are not operational.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3.  </w:t>
      </w:r>
      <w:r>
        <w:rPr>
          <w:rFonts w:ascii="Arial" w:cs="Arial" w:eastAsia="Arial" w:hAnsi="Arial"/>
          <w:sz w:val="18"/>
          <w:szCs w:val="18"/>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reserves, in the aggregate, are adequate; however, there can be no assurance that the final resolution of these matters will not have a material effect on our financial condition, results of operations or cash flows.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The cases vary, but complaints in these cases generally seek unspecified monetary damages (actual, compensatory, consequential and punitive) from multiple defendants. We believe that the claims against us are without merit and are vigorously defending against them. It is not currently possible to reasonably estimate a probable loss, if any, associated with the cases and, accordingly, no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our financial condition, results of operations or cash flows.</w:t>
      </w:r>
    </w:p>
    <w:p>
      <w:pPr>
        <w:spacing w:after="0" w:line="12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we, along with our Chief Executive Officer, have been named as defendants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our consolidated financial statements with respect to the action. There can be no assurance that this action, whether as a result of an adverse outcome or as a result of significant defense costs, will not have a material adverse effect on our financial condition, results of operations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7" w:right="239" w:bottom="1440" w:gutter="0" w:footer="0" w:header="0"/>
        </w:sectPr>
      </w:pPr>
    </w:p>
    <w:bookmarkStart w:id="17" w:name="page18"/>
    <w:bookmarkEnd w:id="17"/>
    <w:p>
      <w:pPr>
        <w:jc w:val="both"/>
        <w:ind w:firstLine="432"/>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effect on our financial condition, results of operations or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4. </w:t>
      </w:r>
      <w:r>
        <w:rPr>
          <w:rFonts w:ascii="Arial" w:cs="Arial" w:eastAsia="Arial" w:hAnsi="Arial"/>
          <w:sz w:val="18"/>
          <w:szCs w:val="18"/>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16, 2015,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67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Chairman of the Board</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Thomas R. Coleman</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General Counsel, Corporate Secretary and Chief Compliance</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executive severance agreements or other arrangements.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71"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and President of Scotts Miracle-Gro in October 2015. He also served as President of Scotts Miracle-Gro (or its predecessor) from November 2006 until October 2008 and from April 2000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134"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i w:val="1"/>
          <w:iCs w:val="1"/>
          <w:color w:val="auto"/>
        </w:rPr>
        <w:t xml:space="preserve">Mr. Coleman </w:t>
      </w:r>
      <w:r>
        <w:rPr>
          <w:rFonts w:ascii="Arial" w:cs="Arial" w:eastAsia="Arial" w:hAnsi="Arial"/>
          <w:sz w:val="18"/>
          <w:szCs w:val="18"/>
          <w:color w:val="auto"/>
        </w:rPr>
        <w:t>was named Executive Vice President and Chief Financial Officer of Scotts Miracle-Gro in April 2014. Prior to this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Mr. Coleman had served as Senior Vice President, Global Finance Operations and Enterprise Performance Management Analytics for The Scotts Company LLC, a wholly-owned subsidiary of Scotts Miracle-Gro, since January 2011. Previously, Mr. Coleman served as Senior Vice President, North America Finance of Scotts LLC from November 2007 until January 2011. Mr. Coleman also previously served as interim principal financial officer of Scotts Miracle-Gro between February 2013 and March 2013.</w:t>
      </w:r>
    </w:p>
    <w:p>
      <w:pPr>
        <w:spacing w:after="0" w:line="134"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i w:val="1"/>
          <w:iCs w:val="1"/>
          <w:color w:val="auto"/>
        </w:rPr>
        <w:t xml:space="preserve">Mr. Lukemire </w:t>
      </w:r>
      <w:r>
        <w:rPr>
          <w:rFonts w:ascii="Arial" w:cs="Arial" w:eastAsia="Arial" w:hAnsi="Arial"/>
          <w:sz w:val="18"/>
          <w:szCs w:val="18"/>
          <w:color w:val="auto"/>
        </w:rPr>
        <w:t>was named Executive Vice President and Chief Operating Officer of Scotts Miracle-Gro in December 2014. Prior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Mr. Lukemire had served as Executive Vice President, North American Operations of Scotts Miracle-Gro since April 2014. Previously, Mr. Lukemire served as Executive Vice President, Business Execution of Scotts Miracle-Gro from May 2013 until April 2014 and as President, U.S. Consumer Regions of Scotts Miracle-Gro from October 2011 until May 2013. Prior to October 2011, he had served as Regional President for the Southeast region since May 2009.</w:t>
      </w:r>
    </w:p>
    <w:p>
      <w:pPr>
        <w:spacing w:after="0" w:line="134"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 Prior to July 2013, he had served as Vice President, Global Consumer Legal and Assistant General Counsel of Scotts LLC since October 2011. Mr. Smith served as Vice President, North America Legal and Assistant General Counsel from April 2009 to September 2011 and as Vice President, Litigation of Scotts LLC from October 2007 to March 2009.</w:t>
      </w:r>
    </w:p>
    <w:p>
      <w:pPr>
        <w:spacing w:after="0" w:line="133"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of Scotts Miracle-Gro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4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trade on the New York Stock Exchange under the symbol “SMG.” The quarterly high and low sale prices for the fiscal years ended September 30, 2015 and September 30, 2014 were as follows: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Prices</w:t>
            </w:r>
          </w:p>
        </w:tc>
        <w:tc>
          <w:tcPr>
            <w:tcW w:w="1360" w:type="dxa"/>
            <w:vAlign w:val="bottom"/>
            <w:tcBorders>
              <w:bottom w:val="single" w:sz="8" w:color="auto"/>
            </w:tcBorders>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2"/>
                <w:szCs w:val="22"/>
                <w:color w:val="auto"/>
              </w:rPr>
            </w:pPr>
          </w:p>
        </w:tc>
        <w:tc>
          <w:tcPr>
            <w:tcW w:w="1360" w:type="dxa"/>
            <w:vAlign w:val="bottom"/>
          </w:tcPr>
          <w:p>
            <w:pPr>
              <w:jc w:val="right"/>
              <w:ind w:right="752"/>
              <w:spacing w:after="0"/>
              <w:rPr>
                <w:sz w:val="20"/>
                <w:szCs w:val="20"/>
                <w:color w:val="auto"/>
              </w:rPr>
            </w:pPr>
            <w:r>
              <w:rPr>
                <w:rFonts w:ascii="Arial" w:cs="Arial" w:eastAsia="Arial" w:hAnsi="Arial"/>
                <w:sz w:val="14"/>
                <w:szCs w:val="14"/>
                <w:b w:val="1"/>
                <w:bCs w:val="1"/>
                <w:color w:val="auto"/>
              </w:rPr>
              <w:t>Low</w:t>
            </w: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54.71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59.41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FISCAL 2014</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50.51</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53.21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53.97</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50.97</w:t>
            </w:r>
          </w:p>
        </w:tc>
      </w:tr>
    </w:tbl>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On August 6, 2013, Scotts Miracle-Gro announced that its Board of Directors had increased the quarterly cash dividend to $0.4375 per Common Share, which was paid in September of fiscal 2013 and December, March and June of fiscal 2014. On August 11, 2014, Scotts Miracle-Gro announced that its Board of Directors had further increased the quarterly cash dividend to $0.45 per Common Share, which was paid in September of fiscal 2014 and December, March and June of fiscal 2015. The Board also authorized a special one-time cash dividend of $2.00 per share on the Common Shares, which was paid on September 17, 2014. On August 3, 2015, Scotts Miracle-Gro announced that its Board of Directors had increased the quarterly cash dividend to $0.47 per Common Share, which was paid in September of fiscal 2015.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new credit agreement allow the Company to make unlimited restricted payments (as defined in the new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for such fiscal year ($175.0 million for 2016 and 2017 and $200.0 million for 2018 and in each fiscal year thereafter). Our leverage ratio was 2.63 at September 30, 2015. See “NOTE 10. DEBT” of the Notes to Consolidated Financial Statements included in this Annual Report on Form 10-K for further discussion regarding the restrictions on dividend payments.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16, 2015, there were approximately 33,000 shareholders, including holders of record and our estimate of beneficial holders.</w:t>
      </w:r>
    </w:p>
    <w:p>
      <w:pPr>
        <w:spacing w:after="0" w:line="2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March 30, 2015, Scotts Miracle-Gro issued 154,737 Common Shares out of its treasury shares for payment of the acquisition of Vermicrop. The Common Shares were issued in reliance on an exemption from the registration requirements of the Securities Act, provided by Section 4(a)(2) of the Securities Act as a private offering. The issuance did not involve a public offering, and was made without general solicitation or advertising.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67" w:right="239" w:bottom="1440" w:gutter="0" w:footer="0" w:header="0"/>
        </w:sectPr>
      </w:pPr>
    </w:p>
    <w:bookmarkStart w:id="19" w:name="page20"/>
    <w:bookmarkEnd w:id="19"/>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2015:</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left="229"/>
              <w:spacing w:after="0"/>
              <w:rPr>
                <w:sz w:val="20"/>
                <w:szCs w:val="20"/>
                <w:color w:val="auto"/>
              </w:rPr>
            </w:pPr>
            <w:r>
              <w:rPr>
                <w:rFonts w:ascii="Arial" w:cs="Arial" w:eastAsia="Arial" w:hAnsi="Arial"/>
                <w:sz w:val="14"/>
                <w:szCs w:val="14"/>
                <w:b w:val="1"/>
                <w:bCs w:val="1"/>
                <w:color w:val="auto"/>
                <w:w w:val="92"/>
              </w:rPr>
              <w:t>of Common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6"/>
              </w:rPr>
              <w:t>Shares Purchased</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Paid per</w:t>
            </w:r>
          </w:p>
        </w:tc>
        <w:tc>
          <w:tcPr>
            <w:tcW w:w="1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80" w:type="dxa"/>
            <w:vAlign w:val="bottom"/>
            <w:vMerge w:val="restart"/>
          </w:tcPr>
          <w:p>
            <w:pPr>
              <w:jc w:val="center"/>
              <w:ind w:left="209"/>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8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9"/>
              </w:rPr>
              <w:t>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28 through July 25, 2015</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485,186,044</w:t>
            </w:r>
          </w:p>
        </w:tc>
        <w:tc>
          <w:tcPr>
            <w:tcW w:w="0" w:type="dxa"/>
            <w:vAlign w:val="bottom"/>
          </w:tcPr>
          <w:p>
            <w:pPr>
              <w:spacing w:after="0"/>
              <w:rPr>
                <w:sz w:val="1"/>
                <w:szCs w:val="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July 26 through August 22, 2015</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1,702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
              <w:spacing w:after="0"/>
              <w:rPr>
                <w:sz w:val="20"/>
                <w:szCs w:val="20"/>
                <w:color w:val="auto"/>
              </w:rPr>
            </w:pPr>
            <w:r>
              <w:rPr>
                <w:rFonts w:ascii="Arial" w:cs="Arial" w:eastAsia="Arial" w:hAnsi="Arial"/>
                <w:sz w:val="18"/>
                <w:szCs w:val="18"/>
                <w:color w:val="auto"/>
              </w:rPr>
              <w:t>485,186,044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23 through September 30, 2015</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3,856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485,186,044</w:t>
            </w:r>
          </w:p>
        </w:tc>
        <w:tc>
          <w:tcPr>
            <w:tcW w:w="0" w:type="dxa"/>
            <w:vAlign w:val="bottom"/>
          </w:tcPr>
          <w:p>
            <w:pPr>
              <w:spacing w:after="0"/>
              <w:rPr>
                <w:sz w:val="1"/>
                <w:szCs w:val="1"/>
                <w:color w:val="auto"/>
              </w:rPr>
            </w:pP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5,558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60" w:hanging="328"/>
        <w:spacing w:after="0" w:line="28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5,558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11, 2014, Scotts Miracle-Gro announced that its Board of Directors authorized the repurchase of up to $500 million of Common Shares over a five-year period (starting November 1, 2014 through September 30, 2019). The dollar amounts in the “Approximate Dollar Value of Common Shares That May Yet be Purchased Under the Plans or Programs” column reflect the remaining amounts that were available for repurchase under the $500 million authorized repurchase program.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1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120" w:type="dxa"/>
            <w:vAlign w:val="bottom"/>
            <w:gridSpan w:val="3"/>
          </w:tcPr>
          <w:p>
            <w:pPr>
              <w:ind w:left="300"/>
              <w:spacing w:after="0"/>
              <w:rPr>
                <w:sz w:val="20"/>
                <w:szCs w:val="20"/>
                <w:color w:val="auto"/>
              </w:rPr>
            </w:pPr>
            <w:r>
              <w:rPr>
                <w:rFonts w:ascii="Arial" w:cs="Arial" w:eastAsia="Arial" w:hAnsi="Arial"/>
                <w:sz w:val="18"/>
                <w:szCs w:val="18"/>
                <w:b w:val="1"/>
                <w:bCs w:val="1"/>
                <w:i w:val="1"/>
                <w:iCs w:val="1"/>
                <w:color w:val="auto"/>
              </w:rPr>
              <w:t>SELECTED FINANCIAL DATA</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97"/>
        </w:trPr>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Five-Year Summary</w:t>
            </w:r>
            <w:r>
              <w:rPr>
                <w:rFonts w:ascii="Arial" w:cs="Arial" w:eastAsia="Arial" w:hAnsi="Arial"/>
                <w:sz w:val="25"/>
                <w:szCs w:val="25"/>
                <w:b w:val="1"/>
                <w:bCs w:val="1"/>
                <w:color w:val="auto"/>
                <w:w w:val="91"/>
                <w:vertAlign w:val="superscript"/>
              </w:rPr>
              <w:t>(1)</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1"/>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3"/>
              </w:rPr>
              <w:t>Year Ended September 30,</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2011</w:t>
            </w: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2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3,016.5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2,841.3</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2,773.7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2,770.5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2,718.1</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1,064.9</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978.2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956.6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1,013.8</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294.6</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314.6</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310.5</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241.2</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301.8</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158.7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159.4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157.5</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158.7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106.5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167.9</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159.8</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161.1</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167.9</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ADJUSTED OPERATING RESULTS</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Adjusted income from operations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386.1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365.6</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256.5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346.2</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Adjusted 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218.2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172.6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123.3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187.4</w:t>
            </w:r>
          </w:p>
        </w:tc>
      </w:tr>
      <w:tr>
        <w:trPr>
          <w:trHeight w:val="229"/>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Adjusted income attributable to controlling interest from</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219.3</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206.3</w:t>
            </w:r>
          </w:p>
        </w:tc>
        <w:tc>
          <w:tcPr>
            <w:tcW w:w="5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172.6</w:t>
            </w:r>
          </w:p>
        </w:tc>
        <w:tc>
          <w:tcPr>
            <w:tcW w:w="3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123.3</w:t>
            </w:r>
          </w:p>
        </w:tc>
        <w:tc>
          <w:tcPr>
            <w:tcW w:w="3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187.4</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335.5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390.3</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371.2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566.4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523.9</w:t>
            </w:r>
          </w:p>
        </w:tc>
      </w:tr>
      <w:tr>
        <w:trPr>
          <w:trHeight w:val="270"/>
        </w:trPr>
        <w:tc>
          <w:tcPr>
            <w:tcW w:w="480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453.7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437.0</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422.3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427.4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394.7</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2,527.2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1,937.2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2,074.4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2,052.2</w:t>
            </w:r>
          </w:p>
        </w:tc>
      </w:tr>
      <w:tr>
        <w:trPr>
          <w:trHeight w:val="270"/>
        </w:trPr>
        <w:tc>
          <w:tcPr>
            <w:tcW w:w="480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Total debt to total book capitalization</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420" w:type="dxa"/>
            <w:vAlign w:val="bottom"/>
          </w:tcPr>
          <w:p>
            <w:pPr>
              <w:spacing w:after="0"/>
              <w:rPr>
                <w:sz w:val="23"/>
                <w:szCs w:val="23"/>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58.6%</w:t>
            </w: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1,163.3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570.5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782.6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795.0</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Total shareholders’ equity - controlling interest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620.7</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553.7</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710.5</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601.9</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559.8</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342.0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153.4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122.1</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72.7</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Investment in marketing and license agreement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8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89"/>
              </w:rPr>
              <w:t>Investments in acquired businesses, net of cash acquired and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payments on sellers notes</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181.7</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Total cash dividends paid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111.3</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230.8</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87.8</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75.4</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67.9</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Total purchases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14.8</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358.7</w:t>
            </w:r>
          </w:p>
        </w:tc>
      </w:tr>
      <w:tr>
        <w:trPr>
          <w:trHeight w:val="243"/>
        </w:trPr>
        <w:tc>
          <w:tcPr>
            <w:tcW w:w="4800" w:type="dxa"/>
            <w:vAlign w:val="bottom"/>
            <w:gridSpan w:val="5"/>
          </w:tcPr>
          <w:p>
            <w:pPr>
              <w:ind w:left="40"/>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8"/>
              </w:rPr>
              <w:t>Earnings per common share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2.43</w:t>
            </w: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20" w:type="dxa"/>
            <w:vAlign w:val="bottom"/>
            <w:gridSpan w:val="3"/>
          </w:tcPr>
          <w:p>
            <w:pPr>
              <w:ind w:left="80"/>
              <w:spacing w:after="0" w:line="270" w:lineRule="exact"/>
              <w:rPr>
                <w:sz w:val="20"/>
                <w:szCs w:val="20"/>
                <w:color w:val="auto"/>
              </w:rPr>
            </w:pPr>
            <w:r>
              <w:rPr>
                <w:rFonts w:ascii="Arial" w:cs="Arial" w:eastAsia="Arial" w:hAnsi="Arial"/>
                <w:sz w:val="18"/>
                <w:szCs w:val="18"/>
                <w:color w:val="auto"/>
              </w:rPr>
              <w:t>Adjusted diluted</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2.84</w:t>
            </w:r>
          </w:p>
        </w:tc>
      </w:tr>
      <w:tr>
        <w:trPr>
          <w:trHeight w:val="270"/>
        </w:trPr>
        <w:tc>
          <w:tcPr>
            <w:tcW w:w="480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Dividends per common share</w:t>
            </w:r>
            <w:r>
              <w:rPr>
                <w:rFonts w:ascii="Arial" w:cs="Arial" w:eastAsia="Arial" w:hAnsi="Arial"/>
                <w:sz w:val="25"/>
                <w:szCs w:val="25"/>
                <w:color w:val="auto"/>
                <w:vertAlign w:val="superscript"/>
              </w:rPr>
              <w:t>(5)</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1.820</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1.413</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1.225</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1.050</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Stock price at year-end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60.82</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55.03</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43.47</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44.60</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Stock price range—High</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68.99</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55.99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55.95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60.62</w:t>
            </w:r>
          </w:p>
        </w:tc>
      </w:tr>
      <w:tr>
        <w:trPr>
          <w:trHeight w:val="243"/>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Stock price range—Low</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54.71</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50.51</w:t>
            </w:r>
          </w:p>
        </w:tc>
        <w:tc>
          <w:tcPr>
            <w:tcW w:w="5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39.64</w:t>
            </w:r>
          </w:p>
        </w:tc>
        <w:tc>
          <w:tcPr>
            <w:tcW w:w="3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35.49</w:t>
            </w:r>
          </w:p>
        </w:tc>
        <w:tc>
          <w:tcPr>
            <w:tcW w:w="3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39.99</w:t>
            </w:r>
          </w:p>
        </w:tc>
      </w:tr>
      <w:tr>
        <w:trPr>
          <w:trHeight w:val="27"/>
        </w:trPr>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471.8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412.4</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390.5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302.9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393.0</w:t>
            </w:r>
          </w:p>
        </w:tc>
      </w:tr>
      <w:tr>
        <w:trPr>
          <w:trHeight w:val="270"/>
        </w:trPr>
        <w:tc>
          <w:tcPr>
            <w:tcW w:w="4800" w:type="dxa"/>
            <w:vAlign w:val="bottom"/>
            <w:gridSpan w:val="5"/>
            <w:shd w:val="clear" w:color="auto" w:fill="CCEEFF"/>
          </w:tcPr>
          <w:p>
            <w:pPr>
              <w:ind w:left="380"/>
              <w:spacing w:after="0" w:line="270" w:lineRule="exact"/>
              <w:rPr>
                <w:sz w:val="20"/>
                <w:szCs w:val="20"/>
                <w:color w:val="auto"/>
              </w:rPr>
            </w:pPr>
            <w:r>
              <w:rPr>
                <w:rFonts w:ascii="Arial" w:cs="Arial" w:eastAsia="Arial" w:hAnsi="Arial"/>
                <w:sz w:val="18"/>
                <w:szCs w:val="18"/>
                <w:color w:val="auto"/>
              </w:rPr>
              <w:t>Leverage ratio</w:t>
            </w:r>
            <w:r>
              <w:rPr>
                <w:rFonts w:ascii="Arial" w:cs="Arial" w:eastAsia="Arial" w:hAnsi="Arial"/>
                <w:sz w:val="25"/>
                <w:szCs w:val="25"/>
                <w:color w:val="auto"/>
                <w:vertAlign w:val="superscript"/>
              </w:rPr>
              <w:t>(6)</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r>
      <w:tr>
        <w:trPr>
          <w:trHeight w:val="270"/>
        </w:trPr>
        <w:tc>
          <w:tcPr>
            <w:tcW w:w="4800" w:type="dxa"/>
            <w:vAlign w:val="bottom"/>
            <w:gridSpan w:val="5"/>
          </w:tcPr>
          <w:p>
            <w:pPr>
              <w:ind w:left="380"/>
              <w:spacing w:after="0" w:line="270" w:lineRule="exact"/>
              <w:rPr>
                <w:sz w:val="20"/>
                <w:szCs w:val="20"/>
                <w:color w:val="auto"/>
              </w:rPr>
            </w:pPr>
            <w:r>
              <w:rPr>
                <w:rFonts w:ascii="Arial" w:cs="Arial" w:eastAsia="Arial" w:hAnsi="Arial"/>
                <w:sz w:val="18"/>
                <w:szCs w:val="18"/>
                <w:color w:val="auto"/>
              </w:rPr>
              <w:t>Interest coverage ratio</w:t>
            </w:r>
            <w:r>
              <w:rPr>
                <w:rFonts w:ascii="Arial" w:cs="Arial" w:eastAsia="Arial" w:hAnsi="Arial"/>
                <w:sz w:val="25"/>
                <w:szCs w:val="25"/>
                <w:color w:val="auto"/>
                <w:vertAlign w:val="superscript"/>
              </w:rPr>
              <w:t>(6)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9.34</w:t>
            </w:r>
          </w:p>
        </w:tc>
        <w:tc>
          <w:tcPr>
            <w:tcW w:w="4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w:t>
            </w:r>
          </w:p>
        </w:tc>
        <w:tc>
          <w:tcPr>
            <w:tcW w:w="5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6.59</w:t>
            </w:r>
          </w:p>
        </w:tc>
        <w:tc>
          <w:tcPr>
            <w:tcW w:w="36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7.47</w:t>
            </w:r>
          </w:p>
        </w:tc>
      </w:tr>
      <w:tr>
        <w:trPr>
          <w:trHeight w:val="250"/>
        </w:trPr>
        <w:tc>
          <w:tcPr>
            <w:tcW w:w="480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64.7</w:t>
            </w:r>
          </w:p>
        </w:tc>
      </w:tr>
      <w:tr>
        <w:trPr>
          <w:trHeight w:val="229"/>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Common shares and dilutive potential common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800" w:type="dxa"/>
            <w:vAlign w:val="bottom"/>
            <w:gridSpan w:val="5"/>
          </w:tcPr>
          <w:p>
            <w:pPr>
              <w:ind w:left="380"/>
              <w:spacing w:after="0"/>
              <w:rPr>
                <w:sz w:val="20"/>
                <w:szCs w:val="20"/>
                <w:color w:val="auto"/>
              </w:rPr>
            </w:pPr>
            <w:r>
              <w:rPr>
                <w:rFonts w:ascii="Arial" w:cs="Arial" w:eastAsia="Arial" w:hAnsi="Arial"/>
                <w:sz w:val="18"/>
                <w:szCs w:val="18"/>
                <w:color w:val="auto"/>
              </w:rPr>
              <w:t>shares used in diluted EPS calculation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5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62.6</w:t>
            </w:r>
          </w:p>
        </w:tc>
        <w:tc>
          <w:tcPr>
            <w:tcW w:w="3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66.2</w:t>
            </w:r>
          </w:p>
        </w:tc>
      </w:tr>
    </w:tbl>
    <w:p>
      <w:pPr>
        <w:spacing w:after="0" w:line="200" w:lineRule="exact"/>
        <w:rPr>
          <w:sz w:val="20"/>
          <w:szCs w:val="20"/>
          <w:color w:val="auto"/>
        </w:rPr>
      </w:pPr>
    </w:p>
    <w:p>
      <w:pPr>
        <w:sectPr>
          <w:pgSz w:w="11900" w:h="16838" w:orient="portrait"/>
          <w:cols w:equalWidth="0" w:num="1">
            <w:col w:w="11420"/>
          </w:cols>
          <w:pgMar w:left="240" w:top="8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837" w:right="239" w:bottom="1440" w:gutter="0" w:footer="0" w:header="0"/>
          <w:type w:val="continuous"/>
        </w:sectPr>
      </w:pPr>
    </w:p>
    <w:bookmarkStart w:id="21" w:name="page22"/>
    <w:bookmarkEnd w:id="21"/>
    <w:p>
      <w:pPr>
        <w:jc w:val="both"/>
        <w:ind w:left="660" w:hanging="652"/>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July 8, 2009, we announced a plan to close our Smith &amp; Hawken business. During our first quarter of the fiscal year ended September 30, 2010 (“fiscal 2010”), all 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 Smith &amp; Hawken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is a registered trademark of Target Brands, Inc. We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123"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124"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In the fourth quarter of fiscal 2012, the Company completed the wind down of our professional seed business (“Pro Seed”). As a result, effective in our fourth quarter of fiscal 2012, we classified Pro Seed as discontinued operations in accordance with GAAP.</w:t>
      </w:r>
    </w:p>
    <w:p>
      <w:pPr>
        <w:spacing w:after="0" w:line="116"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discontinued operations in accordance with GAAP.</w:t>
      </w:r>
    </w:p>
    <w:p>
      <w:pPr>
        <w:spacing w:after="0" w:line="116"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The Selected Financial Data has been retrospectively updated to recast Smith &amp; Hawken, Global Pro, Pro Seed, and the wild bird food business as discontinued operations for each period presented.</w:t>
      </w:r>
    </w:p>
    <w:p>
      <w:pPr>
        <w:spacing w:after="0" w:line="116" w:lineRule="exact"/>
        <w:rPr>
          <w:rFonts w:ascii="Arial" w:cs="Arial" w:eastAsia="Arial" w:hAnsi="Arial"/>
          <w:sz w:val="17"/>
          <w:szCs w:val="17"/>
          <w:color w:val="auto"/>
        </w:rPr>
      </w:pPr>
    </w:p>
    <w:p>
      <w:pPr>
        <w:jc w:val="both"/>
        <w:ind w:left="660" w:hanging="652"/>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of adjusted income from operations, adjusted income from continuing operations, adjusted income attributable to controlling interest from continuing operations and adjusted diluted earnings per share from continuing operations, which exclude costs or gains related to discrete projects or transactions. Items excluded during the five-year period ended September 30, 2015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income from operations, reported income from continuing operations and reported diluted earnings per share from continuing operations. Our management believes that these non-GAAP measures are the most indicative of our earnings capabilities and that disclosure of these non-GAAP financial measures therefore provides useful information to investors or other users of the financial statements, such as lenders. Non-GAAP financial measures should be viewed in addition to, and not as an alternative for, the Company's reported results prepared in accordance with GAAP. A reconciliation of the non-GAAP measures to the most directly comparable GAAP measures is presented in the following tables: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net of tax</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Loss attributable to noncontrolling interest</w:t>
            </w:r>
            <w:r>
              <w:rPr>
                <w:rFonts w:ascii="Arial" w:cs="Arial" w:eastAsia="Arial" w:hAnsi="Arial"/>
                <w:sz w:val="25"/>
                <w:szCs w:val="25"/>
                <w:color w:val="auto"/>
                <w:vertAlign w:val="superscript"/>
              </w:rPr>
              <w:t>(7)</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Adjusted income attributable to controlling interest from continuing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 net of tax</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diluted earnings per share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182"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total shareholders’ equity - controlling interest.</w:t>
      </w:r>
    </w:p>
    <w:p>
      <w:pPr>
        <w:spacing w:after="0" w:line="116"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Scotts Miracle-Gro pays a quarterly dividend to the holders of its Common Shares.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Miracle-Gro announced that its Board of Directors had (i) further increased the quarterly cash dividend to $0.45 per Common Share, which was paid in the fourth quarter of fiscal 2014 and (ii) a special one-time cash dividend of $2.00 per Common Share, which was paid on September 17, 2014. On August 3, 2015, Scotts Miracle-Gro announced that its Board of Directors had further increased the quarterly cash dividend to $0.47 per Common Share, which was paid in the fourth quarter of fiscal 2015.</w:t>
      </w:r>
    </w:p>
    <w:p>
      <w:pPr>
        <w:spacing w:after="0" w:line="127" w:lineRule="exact"/>
        <w:rPr>
          <w:rFonts w:ascii="Arial" w:cs="Arial" w:eastAsia="Arial" w:hAnsi="Arial"/>
          <w:sz w:val="17"/>
          <w:szCs w:val="17"/>
          <w:color w:val="auto"/>
        </w:rPr>
      </w:pPr>
    </w:p>
    <w:p>
      <w:pPr>
        <w:jc w:val="both"/>
        <w:ind w:left="660" w:hanging="652"/>
        <w:spacing w:after="0" w:line="28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4.50 at September 30, 2015) and an interest coverage ratio (minimum of 3.00 for the twelve months ended September 30, 2015).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2.63 at September 30, 2015 and our interest coverage ratio was 9.34 for the twelve months ended September 30, 2015. Please refer to “ITEM 7. MANAGEMENT’S DISCUSSION AND ANALYSIS OF FINANCIAL CONDITION AND RESULTS OF OPERATIONS — Liquidity and Capital Resources — Borrowing Agreements” of this Annual Report on Form 10-K for a discussion of our credit facility.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76" w:right="239" w:bottom="1440" w:gutter="0" w:footer="0" w:header="0"/>
        </w:sectPr>
      </w:pPr>
    </w:p>
    <w:bookmarkStart w:id="23" w:name="page24"/>
    <w:bookmarkEnd w:id="23"/>
    <w:p>
      <w:pPr>
        <w:jc w:val="both"/>
        <w:ind w:left="660"/>
        <w:spacing w:after="0" w:line="287" w:lineRule="auto"/>
        <w:rPr>
          <w:sz w:val="20"/>
          <w:szCs w:val="20"/>
          <w:color w:val="auto"/>
        </w:rPr>
      </w:pPr>
      <w:r>
        <w:rPr>
          <w:rFonts w:ascii="Arial" w:cs="Arial" w:eastAsia="Arial" w:hAnsi="Arial"/>
          <w:sz w:val="16"/>
          <w:szCs w:val="16"/>
          <w:color w:val="auto"/>
        </w:rPr>
        <w:t>In accordance with the terms of our credit facility,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For the fourth quarter of fiscal 2015, the Company changed its calculation of Adjusted EBITDA to reflect the measure as defined in our fourth amended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numeric reconciliation of Adjusted EBITDA to income from continuing operations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center"/>
              <w:ind w:left="353"/>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(excluding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Pro sale)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Gain on investment of unconsolidated affiliate</w:t>
            </w:r>
            <w:r>
              <w:rPr>
                <w:rFonts w:ascii="Arial" w:cs="Arial" w:eastAsia="Arial" w:hAnsi="Arial"/>
                <w:sz w:val="25"/>
                <w:szCs w:val="25"/>
                <w:color w:val="auto"/>
                <w:vertAlign w:val="superscript"/>
              </w:rPr>
              <w:t>(8)</w:t>
            </w:r>
          </w:p>
        </w:tc>
        <w:tc>
          <w:tcPr>
            <w:tcW w:w="2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impairment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 non-cash portion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Expense on certain leases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393.0</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represents the earnings attributable to the noncontrolling interest of AeroGrow which was consolidated in the fourth quarter of fiscal 2014.</w:t>
      </w:r>
    </w:p>
    <w:p>
      <w:pPr>
        <w:spacing w:after="0" w:line="46"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the Consolidated Statements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17"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In addition, with our recent acquisition of General Hydroponics and Vermicrop, and control of AeroGrow, we are a leading producer of liquid plant food products, growing media, advanced indoor garden systems and accessories for hydroponic gardening.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6"/>
          <w:szCs w:val="16"/>
          <w:color w:val="auto"/>
        </w:rPr>
        <w:t>In fiscal 2015 we accomplished several key initiatives and activities which included: (1) the expansion of our indoor and urban gardening category through the acquisition of General Hydroponics and Vermicrop, who are leading producers of liquid plant food products, growing media and accessories for hydroponic gardening; (2) introducing several new products including Scotts Outdoor Cleaner plus OxiClean</w:t>
      </w:r>
      <w:r>
        <w:rPr>
          <w:rFonts w:ascii="Arial" w:cs="Arial" w:eastAsia="Arial" w:hAnsi="Arial"/>
          <w:sz w:val="22"/>
          <w:szCs w:val="22"/>
          <w:color w:val="auto"/>
          <w:vertAlign w:val="superscript"/>
        </w:rPr>
        <w:t>TM</w:t>
      </w:r>
      <w:r>
        <w:rPr>
          <w:rFonts w:ascii="Arial" w:cs="Arial" w:eastAsia="Arial" w:hAnsi="Arial"/>
          <w:sz w:val="16"/>
          <w:szCs w:val="16"/>
          <w:color w:val="auto"/>
        </w:rPr>
        <w:t>; (3) continued investment in our growing media operations and distribution capabilities through capital investment and recent acquisitions; (4) successfully renegotiating and amending our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Monsanto and entering into a new lawn and garden brand extension agreement and commercialization and technology agreement; (5) increasing our quarterly dividend; and (6) continuing to streamline our executive ranks to improve efficiency.</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15, 2015, we amended our Marketing Agreement with Monsanto and entered into a lawn and garden brand extension agreement, and a commercialization and technology agreement with Monsanto. These agreements provide us with the following significant rights:</w:t>
      </w:r>
    </w:p>
    <w:p>
      <w:pPr>
        <w:spacing w:after="0" w:line="89"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extend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into other categories of lawn and garden beyond non-selective weed control globally;</w:t>
      </w:r>
    </w:p>
    <w:p>
      <w:pPr>
        <w:spacing w:after="0" w:line="63" w:lineRule="exact"/>
        <w:rPr>
          <w:rFonts w:ascii="Arial" w:cs="Arial" w:eastAsia="Arial" w:hAnsi="Arial"/>
          <w:sz w:val="18"/>
          <w:szCs w:val="18"/>
          <w:color w:val="auto"/>
        </w:rPr>
      </w:pPr>
    </w:p>
    <w:p>
      <w:pPr>
        <w:ind w:left="820" w:hanging="326"/>
        <w:spacing w:after="0" w:line="227"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opportunity to introduce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into territories not included in the original Marketing Agreement, including China and Latin America. Only Japan and countries with U.S. trade embargoes are excluded from the Marketing Agreement;</w:t>
      </w:r>
    </w:p>
    <w:p>
      <w:pPr>
        <w:spacing w:after="0" w:line="121"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opportunity to propose changes to product formulations if deemed necessary to grow and/or protect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63" w:lineRule="exact"/>
        <w:rPr>
          <w:rFonts w:ascii="Arial" w:cs="Arial" w:eastAsia="Arial" w:hAnsi="Arial"/>
          <w:sz w:val="18"/>
          <w:szCs w:val="18"/>
          <w:color w:val="auto"/>
        </w:rPr>
      </w:pPr>
    </w:p>
    <w:p>
      <w:pPr>
        <w:ind w:left="820" w:hanging="326"/>
        <w:spacing w:after="0" w:line="216"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right of first offer and a right of last look in the event Monsanto were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and a credit to the purchase price in an amount equal to the then applicable termination fee in the event we make a bid in connection with such a sale;</w:t>
      </w:r>
    </w:p>
    <w:p>
      <w:pPr>
        <w:spacing w:after="0" w:line="12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“first look” related to Monsanto’s innovation pipeline. Scotts Miracle-Gro would be provided with access to new technology and products that may be commercialized in the residential lawn and garden marketplace;</w:t>
      </w:r>
    </w:p>
    <w:p>
      <w:pPr>
        <w:spacing w:after="0" w:line="8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enhancements of our rights in connection with the termination of the Marketing Agreement, including increasing the termination fee payable thereunder, eliminating certain of Monsanto’s termination rights and delaying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50" w:right="239" w:bottom="1440" w:gutter="0" w:footer="0" w:header="0"/>
        </w:sectPr>
      </w:pPr>
    </w:p>
    <w:bookmarkStart w:id="25" w:name="page26"/>
    <w:bookmarkEnd w:id="25"/>
    <w:p>
      <w:pPr>
        <w:ind w:left="820" w:right="20"/>
        <w:spacing w:after="0" w:line="262" w:lineRule="auto"/>
        <w:rPr>
          <w:sz w:val="20"/>
          <w:szCs w:val="20"/>
          <w:color w:val="auto"/>
        </w:rPr>
      </w:pPr>
      <w:r>
        <w:rPr>
          <w:rFonts w:ascii="Arial" w:cs="Arial" w:eastAsia="Arial" w:hAnsi="Arial"/>
          <w:sz w:val="18"/>
          <w:szCs w:val="18"/>
          <w:color w:val="auto"/>
        </w:rPr>
        <w:t>effectiveness of a termination in connection with a change of control of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 five years after the notice of termination; and</w:t>
      </w:r>
    </w:p>
    <w:p>
      <w:pPr>
        <w:spacing w:after="0" w:line="108" w:lineRule="exact"/>
        <w:rPr>
          <w:sz w:val="20"/>
          <w:szCs w:val="20"/>
          <w:color w:val="auto"/>
        </w:rPr>
      </w:pPr>
    </w:p>
    <w:p>
      <w:pPr>
        <w:jc w:val="both"/>
        <w:ind w:left="820" w:hanging="326"/>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expanded ability for us to transfer, and thereby monetize, our rights as marketing agent to a third party (1) with respect to (a) the North America territories and (b) one or more other included markets for up to three other assignments and (2) in connection with a change of control of Scotts Miracle-Gro.</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paid Monsanto $300 million in consideration for these agreements on August 14, 2015, using existing availability under our credit facility.</w:t>
      </w:r>
    </w:p>
    <w:p>
      <w:pPr>
        <w:spacing w:after="0" w:line="1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around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our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319"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2015</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2013</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our Common Shares over a four-year period through September 30, 2014. In May 2011, the Scotts Miracle-Gro Board of Directors authorized the repurchase of up to an additional $200 million of Common Shares, resulting in authority to repurchase up to a total of $700 million of our Common Shares through September 30, 2014. Since the inception of the share repurchase program in the fourth quarter of fiscal 2010 through its expiration on September 30, 2014, Scotts Miracle-Gro repurchased 9.9 million Common Shares for $521.2 million to be held in treasury.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August 11, 2014, we announced that the Scotts Miracle-Gro Board of Directors approved:</w:t>
      </w:r>
    </w:p>
    <w:p>
      <w:pPr>
        <w:spacing w:after="0" w:line="171" w:lineRule="exact"/>
        <w:rPr>
          <w:sz w:val="20"/>
          <w:szCs w:val="20"/>
          <w:color w:val="auto"/>
        </w:rPr>
      </w:pPr>
    </w:p>
    <w:p>
      <w:pPr>
        <w:ind w:left="1300" w:hanging="23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special one-time cash dividend of $2.00 per Common Share that was paid on September 17, 2014;</w:t>
      </w:r>
    </w:p>
    <w:p>
      <w:pPr>
        <w:spacing w:after="0" w:line="198" w:lineRule="exact"/>
        <w:rPr>
          <w:rFonts w:ascii="Arial" w:cs="Arial" w:eastAsia="Arial" w:hAnsi="Arial"/>
          <w:sz w:val="18"/>
          <w:szCs w:val="18"/>
          <w:color w:val="auto"/>
        </w:rPr>
      </w:pPr>
    </w:p>
    <w:p>
      <w:pPr>
        <w:ind w:left="1360" w:hanging="272"/>
        <w:spacing w:after="0"/>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increase in our quarterly cash dividend from $0.4375 to $0.45 per Common Share;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90" w:right="239" w:bottom="1440" w:gutter="0" w:footer="0" w:header="0"/>
        </w:sectPr>
      </w:pPr>
    </w:p>
    <w:bookmarkStart w:id="26" w:name="page27"/>
    <w:bookmarkEnd w:id="26"/>
    <w:p>
      <w:pPr>
        <w:ind w:left="1300" w:hanging="239"/>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share repurchase authorization effective November 1, 2014, which will expire on September 30, 2019, to repurchase up to $500 million of our Common Shares. This replaced the previous authorization which expired on September 30, 2014.</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3, 2015, we announced that the Scotts Miracle-Gro Board of Directors approved an increase in our quarterly cash dividend from $0.45 to $0.47 per Common Share. The decision to increase the amount of cash we intend to return to our shareholders reflects our continued confidence in the business and our desire to maintain a consistent capital structure.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wild bird food business as discontinued operations, for all periods presented, beginning in our second quarter of fiscal 2014. As a result, and unless specifically stated otherwise, all discussions regarding results for the fiscal years ended September 30, 2015, 2014 and 2013 reflect results from our continuing operations.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19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60" w:type="dxa"/>
            <w:vAlign w:val="bottom"/>
            <w:gridSpan w:val="2"/>
          </w:tcPr>
          <w:p>
            <w:pPr>
              <w:ind w:left="6860"/>
              <w:spacing w:after="0"/>
              <w:rPr>
                <w:sz w:val="20"/>
                <w:szCs w:val="20"/>
                <w:color w:val="auto"/>
              </w:rPr>
            </w:pPr>
            <w:r>
              <w:rPr>
                <w:rFonts w:ascii="Arial" w:cs="Arial" w:eastAsia="Arial" w:hAnsi="Arial"/>
                <w:sz w:val="14"/>
                <w:szCs w:val="14"/>
                <w:b w:val="1"/>
                <w:bCs w:val="1"/>
                <w:color w:val="auto"/>
                <w:w w:val="89"/>
              </w:rPr>
              <w:t>2015</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64.6</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7"/>
        </w:trPr>
        <w:tc>
          <w:tcPr>
            <w:tcW w:w="61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35.3</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23.8</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Impairment, restructuring and other</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Other income, net</w:t>
            </w: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7"/>
        </w:trPr>
        <w:tc>
          <w:tcPr>
            <w:tcW w:w="6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Costs related to refinancing</w:t>
            </w:r>
          </w:p>
        </w:tc>
        <w:tc>
          <w:tcPr>
            <w:tcW w:w="1780" w:type="dxa"/>
            <w:vAlign w:val="bottom"/>
            <w:gridSpan w:val="3"/>
          </w:tcPr>
          <w:p>
            <w:pPr>
              <w:jc w:val="right"/>
              <w:ind w:right="13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9.1</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 expense from continuing operations</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5.8</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from discontinued operations, net of tax</w:t>
            </w:r>
          </w:p>
        </w:tc>
        <w:tc>
          <w:tcPr>
            <w:tcW w:w="1780" w:type="dxa"/>
            <w:vAlign w:val="bottom"/>
            <w:tcBorders>
              <w:bottom w:val="single" w:sz="8" w:color="CCEEFF"/>
            </w:tcBorders>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6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for fiscal 2015 increased 6.2% to $3.02 billion from $2.84 billion in fiscal 2014. Net sales for fiscal 2014 increased 2.4% from $2.77 billion in fiscal 2013. The change in net sales was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23495</wp:posOffset>
            </wp:positionV>
            <wp:extent cx="2212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8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Volume</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(0.1)</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Pricing</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0.9</w:t>
            </w:r>
          </w:p>
        </w:tc>
      </w:tr>
      <w:tr>
        <w:trPr>
          <w:trHeight w:val="27"/>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2015 was primarily driven by:</w:t>
      </w:r>
    </w:p>
    <w:p>
      <w:pPr>
        <w:spacing w:after="0" w:line="117" w:lineRule="exact"/>
        <w:rPr>
          <w:sz w:val="20"/>
          <w:szCs w:val="20"/>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Global Consumer segment including General Hydroponics, Vermicrop, AeroGrow, and Fafard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 and</w:t>
      </w:r>
    </w:p>
    <w:p>
      <w:pPr>
        <w:ind w:left="660" w:right="20" w:hanging="328"/>
        <w:spacing w:after="0" w:line="27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volume in our Global Consumer segment, driven by increased sales within the United States of controls, including increased sales of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well as growing media and cleaners products;</w:t>
      </w:r>
    </w:p>
    <w:p>
      <w:pPr>
        <w:sectPr>
          <w:pgSz w:w="11900" w:h="16838" w:orient="portrait"/>
          <w:cols w:equalWidth="0" w:num="1">
            <w:col w:w="11420"/>
          </w:cols>
          <w:pgMar w:left="240" w:top="1017"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17" w:right="239" w:bottom="1440" w:gutter="0" w:footer="0" w:header="0"/>
          <w:type w:val="continuous"/>
        </w:sectPr>
      </w:pPr>
    </w:p>
    <w:bookmarkStart w:id="27" w:name="page28"/>
    <w:bookmarkEnd w:id="27"/>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were partially offset by the unfavorable impact of foreign exchange rates as a result of the strengthening of the U.S. dollar relative to other currencies including Canadian dollar, euro, and British pound;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unfavorable impact of decreased pricing in the Global Consumer segment, primarily in the United States, related to controls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2014 was primarily driven by:</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of net sales from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acquisition within our Global Consumer segment;</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increased pricing in the Global Consumer segment, primarily in the United States; and</w:t>
      </w:r>
    </w:p>
    <w:p>
      <w:pPr>
        <w:spacing w:after="0" w:line="11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slight weakening of the U.S. dollar relative to other currencies including Canadian dollar, euro, and British pound;</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which were partially offset by a slight decline in sales volumes within our Global Consumer segment, driven by a decline in sales within the United States of plant fertilizers and controls products, partially offset by increased sales of mulch products in the United States and increased net sales in Europe.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310.0</w:t>
            </w: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321.3</w:t>
            </w:r>
          </w:p>
        </w:tc>
      </w:tr>
      <w:tr>
        <w:trPr>
          <w:trHeight w:val="270"/>
        </w:trPr>
        <w:tc>
          <w:tcPr>
            <w:tcW w:w="6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62.0</w:t>
            </w:r>
          </w:p>
        </w:tc>
      </w:tr>
      <w:tr>
        <w:trPr>
          <w:trHeight w:val="244"/>
        </w:trPr>
        <w:tc>
          <w:tcPr>
            <w:tcW w:w="6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w:t>
            </w: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9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-139065</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ind w:left="40"/>
        <w:spacing w:after="0"/>
        <w:rPr>
          <w:sz w:val="20"/>
          <w:szCs w:val="20"/>
          <w:color w:val="auto"/>
        </w:rPr>
      </w:pPr>
      <w:r>
        <w:rPr>
          <w:rFonts w:ascii="Arial" w:cs="Arial" w:eastAsia="Arial" w:hAnsi="Arial"/>
          <w:sz w:val="18"/>
          <w:szCs w:val="18"/>
          <w:color w:val="auto"/>
        </w:rPr>
        <w:t>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21590</wp:posOffset>
            </wp:positionV>
            <wp:extent cx="72377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cost of sales for fiscal 2015 was primarily driven 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04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2014</w:t>
            </w:r>
          </w:p>
        </w:tc>
      </w:tr>
      <w:tr>
        <w:trPr>
          <w:trHeight w:val="244"/>
        </w:trPr>
        <w:tc>
          <w:tcPr>
            <w:tcW w:w="560" w:type="dxa"/>
            <w:vAlign w:val="bottom"/>
          </w:tcPr>
          <w:p>
            <w:pPr>
              <w:spacing w:after="0"/>
              <w:rPr>
                <w:sz w:val="21"/>
                <w:szCs w:val="21"/>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Pr>
          <w:p>
            <w:pPr>
              <w:spacing w:after="0"/>
              <w:rPr>
                <w:sz w:val="21"/>
                <w:szCs w:val="21"/>
                <w:color w:val="auto"/>
              </w:rPr>
            </w:pPr>
          </w:p>
        </w:tc>
      </w:tr>
      <w:tr>
        <w:trPr>
          <w:trHeight w:val="255"/>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560" w:type="dxa"/>
            <w:vAlign w:val="bottom"/>
          </w:tcPr>
          <w:p>
            <w:pPr>
              <w:spacing w:after="0"/>
              <w:rPr>
                <w:sz w:val="23"/>
                <w:szCs w:val="23"/>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35.1</w:t>
            </w:r>
          </w:p>
        </w:tc>
      </w:tr>
      <w:tr>
        <w:trPr>
          <w:trHeight w:val="270"/>
        </w:trPr>
        <w:tc>
          <w:tcPr>
            <w:tcW w:w="560" w:type="dxa"/>
            <w:vAlign w:val="bottom"/>
          </w:tcPr>
          <w:p>
            <w:pPr>
              <w:spacing w:after="0"/>
              <w:rPr>
                <w:sz w:val="23"/>
                <w:szCs w:val="23"/>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0"/>
        </w:trPr>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3.7</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16.6</w:t>
            </w:r>
          </w:p>
        </w:tc>
      </w:tr>
      <w:tr>
        <w:trPr>
          <w:trHeight w:val="270"/>
        </w:trPr>
        <w:tc>
          <w:tcPr>
            <w:tcW w:w="560" w:type="dxa"/>
            <w:vAlign w:val="bottom"/>
          </w:tcPr>
          <w:p>
            <w:pPr>
              <w:spacing w:after="0"/>
              <w:rPr>
                <w:sz w:val="23"/>
                <w:szCs w:val="23"/>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14.4</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5820" w:space="720"/>
            <w:col w:w="4880"/>
          </w:cols>
          <w:pgMar w:left="240" w:top="962" w:right="239" w:bottom="1440" w:gutter="0" w:footer="0" w:header="0"/>
          <w:type w:val="continuous"/>
        </w:sectPr>
      </w:pPr>
    </w:p>
    <w:p>
      <w:pPr>
        <w:ind w:left="980" w:hanging="648"/>
        <w:spacing w:after="0" w:line="264" w:lineRule="auto"/>
        <w:tabs>
          <w:tab w:leader="none" w:pos="6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sales from acquisitions of $108.5 million for fiscal 2015 compared to $4.7 million for fiscal 2014, within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sales volume and unfavorable product mix due to increased sales of growing media products in our Global Consumer segment;</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growing media products; and</w:t>
      </w:r>
    </w:p>
    <w:p>
      <w:pPr>
        <w:spacing w:after="0" w:line="117" w:lineRule="exact"/>
        <w:rPr>
          <w:rFonts w:ascii="Arial" w:cs="Arial" w:eastAsia="Arial" w:hAnsi="Arial"/>
          <w:sz w:val="18"/>
          <w:szCs w:val="18"/>
          <w:color w:val="auto"/>
        </w:rPr>
      </w:pPr>
    </w:p>
    <w:p>
      <w:pPr>
        <w:ind w:left="980" w:hanging="648"/>
        <w:spacing w:after="0" w:line="264" w:lineRule="auto"/>
        <w:tabs>
          <w:tab w:leader="none" w:pos="6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and liquidation costs of $6.4 million for fiscal 2015 related to the liquidation and exit from the U.K. Solus business and addressing the consumer complaints regarding our newly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w:t>
      </w:r>
    </w:p>
    <w:p>
      <w:pPr>
        <w:ind w:left="980" w:hanging="648"/>
        <w:spacing w:after="0" w:line="272" w:lineRule="auto"/>
        <w:tabs>
          <w:tab w:leader="none" w:pos="6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were partially offset by the favorable impact of foreign exchange rates as a result of a strengthening of the U.S. dollar relative to other currencies including Canadian dollar, euro, and British pound.</w:t>
      </w:r>
    </w:p>
    <w:p>
      <w:pPr>
        <w:sectPr>
          <w:pgSz w:w="11900" w:h="16838" w:orient="portrait"/>
          <w:cols w:equalWidth="0" w:num="1">
            <w:col w:w="11420"/>
          </w:cols>
          <w:pgMar w:left="240" w:top="962" w:right="23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962"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The increase in cost of sales for fiscal 2014 was primarily driven by:</w:t>
      </w:r>
    </w:p>
    <w:p>
      <w:pPr>
        <w:spacing w:after="0" w:line="1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product mix due to increased sales of our mulch products and higher distribution costs in our Global Consumer segment; and</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a weakening of the U.S. dollar relative to other currencies including the Canadian dollar, euro, and British pound;</w:t>
      </w:r>
    </w:p>
    <w:p>
      <w:pPr>
        <w:spacing w:after="0" w:line="62"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were partially offset by a decline in material costs in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 due to product cost-out initiatives including growing media material costs and packaging and decreased prices of fertilizer inputs.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a percentage of net sales, our gross profit rate was 35.3%, 36.3% and 35.3% for fiscal 2015, fiscal 2014 and fiscal 2013, respectively. Factors contributing to the change in gross profit rate are outlined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500" w:type="dxa"/>
            <w:vAlign w:val="bottom"/>
            <w:tcBorders>
              <w:bottom w:val="single" w:sz="8" w:color="auto"/>
            </w:tcBorders>
            <w:gridSpan w:val="3"/>
          </w:tcPr>
          <w:p>
            <w:pPr>
              <w:ind w:left="1700"/>
              <w:spacing w:after="0"/>
              <w:rPr>
                <w:sz w:val="20"/>
                <w:szCs w:val="20"/>
                <w:color w:val="auto"/>
              </w:rPr>
            </w:pPr>
            <w:r>
              <w:rPr>
                <w:rFonts w:ascii="Arial" w:cs="Arial" w:eastAsia="Arial" w:hAnsi="Arial"/>
                <w:sz w:val="14"/>
                <w:szCs w:val="14"/>
                <w:b w:val="1"/>
                <w:bCs w:val="1"/>
                <w:color w:val="auto"/>
              </w:rPr>
              <w:t>Year Ended September 30,</w:t>
            </w:r>
          </w:p>
        </w:tc>
        <w:tc>
          <w:tcPr>
            <w:tcW w:w="152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2014</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638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350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6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3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63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gross profit rate for fiscal 2015 was primarily driven by:</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product mix within our Global Consumer segment due to increased sales of growing media and the net impact of acquisitions;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unfavorable impact of decreased pricing in the Global Consumer segment, primarily in the United States related to controls products;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growing media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increased commission income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sales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gross profit rate for fiscal 2014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material costs within our Global Consumer segment due to product cost-out initiatives including growing media material costs and packaging costs and decreased prices of fertilizer inputs;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favorable impact of increased pricing for the Global Consumer segment, primarily in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were partially offset by unfavorable product mix within our Global Consumer segment due to increased sales of our mulch products and higher distribution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89" w:right="2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Year Ended September 30,</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2013</w:t>
            </w:r>
          </w:p>
        </w:tc>
      </w:tr>
      <w:tr>
        <w:trPr>
          <w:trHeight w:val="196"/>
        </w:trPr>
        <w:tc>
          <w:tcPr>
            <w:tcW w:w="5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gridSpan w:val="6"/>
          </w:tcPr>
          <w:p>
            <w:pPr>
              <w:jc w:val="center"/>
              <w:ind w:right="21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380" w:type="dxa"/>
            <w:vAlign w:val="bottom"/>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46.4</w:t>
            </w:r>
          </w:p>
        </w:tc>
      </w:tr>
      <w:tr>
        <w:trPr>
          <w:trHeight w:val="27"/>
        </w:trPr>
        <w:tc>
          <w:tcPr>
            <w:tcW w:w="5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452.5</w:t>
            </w:r>
          </w:p>
        </w:tc>
      </w:tr>
      <w:tr>
        <w:trPr>
          <w:trHeight w:val="27"/>
        </w:trPr>
        <w:tc>
          <w:tcPr>
            <w:tcW w:w="5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659.6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SG&amp;A increased $17.9 million, or 2.6%, to $698.4 million for fiscal 2015 compared to $680.5 million for fiscal 2014. Advertising expense increased $2.5 million or 1.7% to $146.1 million in fiscal 2015 compared to $143.6 million in fiscal 2014. Excluding the impact of changes in foreign exchange rates, advertising expense increased by $5.3 million, or 3.7%, during fiscal 2015 primarily due to acquisitions. Advertising expense in fiscal 2014 increased $1.4 million, or 1.0%, compared to fiscal 2013, due to increased spending on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products.</w:t>
      </w:r>
    </w:p>
    <w:p>
      <w:pPr>
        <w:spacing w:after="0" w:line="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Share-based compensation expense increased $2.1 million, or 18.9%, to $13.2 million in fiscal 2015 compared to $11.1 million in fiscal 2014 as a result of additional expense associated with fiscal 2015 awards as well as lower prior year expense due to the impact of forfeitures of previously recognized share-based compensation for executive departures during fiscal 2014. Share-based compensation expense in fiscal 2014 increased $0.8 million, or 7.8%, compared to fiscal 2013, primarily due to forfeitures of previously recognized share-based compensation for executive departures.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Amortization expense increased $4.4 million, or 43.1%, to $14.6 million in fiscal 2015 compared to $10.2 million in fiscal 2014. Amortization expense in fiscal 2014 increased $2.0 million, or 24.4%, compared to fiscal 2013. These increases are due to the impact of recent acquisitions.</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SG&amp;A increased $10.5 million, or 2.2%, in fiscal 2015 compared to fiscal 2014 due to the impact of recent acquisitions of $30.6 million, partially offset by foreign exchange rate impact of $12.0 million as the U.S. dollar has strengthened relative to other currencies including Canadian dollar, euro, and British pound. In fiscal 2014, Other SG&amp;A increased $14.7 million compared to fiscal 2013. The primary drivers of the increase were increased marketing spending including package design costs, the startup of The Hawthorne Gardening Company, which is focused on urban and indoor gardening, and diligence and integration costs of our acquisitions of Solus and Fafard.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 (included in 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impairment, restructuring and other charges (included in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Goodwill and intangible asset impairments</w:t>
            </w:r>
          </w:p>
        </w:tc>
        <w:tc>
          <w:tcPr>
            <w:tcW w:w="1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5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During the third quarter of fiscal 2015, we began experiencing an increase in certain consumer complaints related to our newly reformulated Bonus 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fertilizer product sold in the southeastern United States indicating customers were experiencing damage to their lawns after application. We continue to work with impacted consumers and our insurance carriers to resolve the matter over the coming months. During fiscal 2015, we recognized $59.3 million in costs within the “Impairment, restructuring and other” line within “Operating expenses” on the Consolidated Statement of Operations related to resolving these consumer complaints and the recognition of costs to be incurred for current and expected consumer claims. We are working through the claims process with our insurers and received reimbursement payments of $4.9 million during fiscal 2015, which was recorded as an offsetting insurance reimbursement recovery. Upon the receipt of additional reimbursement by our insurance carriers, we will record an offsetting insurance reimbursement recovery.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98" w:right="239" w:bottom="1440" w:gutter="0" w:footer="0" w:header="0"/>
        </w:sectPr>
      </w:pPr>
    </w:p>
    <w:bookmarkStart w:id="30" w:name="page31"/>
    <w:bookmarkEnd w:id="30"/>
    <w:p>
      <w:pPr>
        <w:jc w:val="both"/>
        <w:ind w:firstLine="405"/>
        <w:spacing w:after="0" w:line="264" w:lineRule="auto"/>
        <w:rPr>
          <w:sz w:val="20"/>
          <w:szCs w:val="20"/>
          <w:color w:val="auto"/>
        </w:rPr>
      </w:pPr>
      <w:r>
        <w:rPr>
          <w:rFonts w:ascii="Arial" w:cs="Arial" w:eastAsia="Arial" w:hAnsi="Arial"/>
          <w:sz w:val="18"/>
          <w:szCs w:val="18"/>
          <w:color w:val="auto"/>
        </w:rPr>
        <w:t>In addition, in fiscal 2015 we recognized $18.7 million in restructuring costs related to termination benefits provided to U.S. and international personnel as part of the continuation of the fiscal 2014 restructuring initiative to eliminate management layers and streamline decision making, and the liquidation and exit from the U.K. Solus business.</w:t>
      </w:r>
    </w:p>
    <w:p>
      <w:pPr>
        <w:spacing w:after="0" w:line="127"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During the third quarter of fiscal 2014, as a result of an impairment review, we recognized an impairment charge for a non-recurring fair value adjustment of $33.7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During fiscal 2014, we recognized $12.5 million in restructuring costs related to termination benefits provided to U.S. personnel as part of our restructuring of the U.S. administrative and overhead functions. In addition, we recognized $2.0 million in additional ongoing monitoring and remediation expense for our turfgrass biotechnology program. We also recognized $2.8 million of international restructuring and other adjustments during fiscal 2014 for the continuation of our 2013 restructuring plan.</w:t>
      </w:r>
    </w:p>
    <w:p>
      <w:pPr>
        <w:spacing w:after="0" w:line="125"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6"/>
          <w:szCs w:val="16"/>
          <w:color w:val="auto"/>
        </w:rPr>
        <w:t>During fiscal 2013, we recognized income of $4.7 million related to the reimbursement by a vendor for a portion of the costs incurred for the development and commercialization of products including the active ingredient MAT 28 for the Global Consumer segment. We also recognized a $4.3 million asset impairment charge as a result of issues with the commercialization of an insect repellent technology for the Global Consumer segment. As a result of a 2013 impairment review, we recognized an impairment charge for a non-recurring fair value adjustment of $11.6 million within the Global Consumer segment related to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certain sub-brands of Ortho</w:t>
      </w:r>
      <w:r>
        <w:rPr>
          <w:rFonts w:ascii="Arial" w:cs="Arial" w:eastAsia="Arial" w:hAnsi="Arial"/>
          <w:sz w:val="22"/>
          <w:szCs w:val="22"/>
          <w:color w:val="auto"/>
          <w:vertAlign w:val="superscript"/>
        </w:rPr>
        <w:t>®</w:t>
      </w:r>
      <w:r>
        <w:rPr>
          <w:rFonts w:ascii="Arial" w:cs="Arial" w:eastAsia="Arial" w:hAnsi="Arial"/>
          <w:sz w:val="16"/>
          <w:szCs w:val="16"/>
          <w:color w:val="auto"/>
        </w:rPr>
        <w:t>. The fair value was calculated based upon the evaluation of the historical performance and future growth expectations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During fiscal 2013, we recognized $6.9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income/loss on unconsolidated affiliates and gains/losses from the sale of non-inventory assets. Other income, net, was $6.1 million, $14.7 million and $10.0 million in fiscal 2015, fiscal 2014 and fiscal 2013, respectively. The decrease in other income, for fiscal 2015 was primarily due to recognition of investment gains in fiscal 2014 related to our investment in AeroGrow.</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2015 was $294.6 million compared to $314.6 million in fiscal 2014, a decrease of $20.0 million, or 6.4%. Excluding impairment, restructuring and other charges, income from operations increased by $20.5 million, or 5.6%, in fiscal 2015, primarily driven by growth in net sales and gross profit, partially offset by an increase in SG&amp;A and a decrease in other income, net.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2014 was $314.6 million compared to $310.5 million in fiscal 2013, an increase of $4.1 million, or 1.3%. Excluding impairment, restructuring and other charges, income from operations increased by $34.8 million, or 10.5%, in fiscal 2014, primarily driven by higher gross profit and an increase in other income, net, partially offset by an increase in SG&amp;A.</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Costs related to refinancing were $10.7 million for fiscal 2014. The costs incurred were associated with the redemption of our 7.25% senior notes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(the “7.25% Senior Notes”).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expense in fiscal 2015 was $50.5 million compared to $47.3 million in fiscal 2014 and $59.2 million in fiscal 2013. The increase in fiscal 2015 was driven by an increase in average borrowings of $260.2 million, excluding the impact of foreign exchange rates; partially offset by a decrease in our weighted average interest rate of 78 basis points primarily due to reduced rates under our credit facility and the redemption of the 7.25% Senior Notes. The decrease in fiscal 2014 was primarily due to a decrease in our weighted average interest rate of 124 basis points compared to fiscal 2013.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89"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23495</wp:posOffset>
            </wp:positionV>
            <wp:extent cx="3704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20" w:type="dxa"/>
            <w:vAlign w:val="bottom"/>
            <w:gridSpan w:val="2"/>
          </w:tcPr>
          <w:p>
            <w:pPr>
              <w:ind w:left="6320"/>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2013</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 tax rate for continuing operations was 35.0% for fiscal 2015, compared to 35.6% for fiscal 2014 and 36.6% for fiscal 2013.</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and Earnings per Share from Continuing Operations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reported income attributable to controlling interest from continuing operations of $159.8 million, or $2.57 per diluted share, in fiscal 2015 compared to $165.7 million, or $2.64 per diluted share, in fiscal 2014. In fiscal 2015 and fiscal 2014, the pre-tax impact of impairment, restructuring and other charges was $91.5 million and $51.0 million, respectively. Additionally, we incurred $10.7 million of pre-tax costs during the third quarter of 2014 related to refinancing. Excluding these items, adjusted income attributable to controlling interest from continuing operations was $219.3 million in fiscal 2015 compared to $206.3 million in fiscal 2014, an increase of $13.0 million, primarily driven by growth in net sales and gross profit, partially offset by an increase in SG&amp;A and a decrease in other income, net. Diluted weighted-average Common Shares outstanding decreased from 62.7 million in fiscal 2014 to 62.2 million in fiscal 2015. The decrease was primarily driven by share repurchases, partially offset by the exercise of stock options and the issuance of Common Shares upon the vesting of restricted share-based awards. Dilutive equivalent shares for fiscal 2015 and fiscal 2014 were 1.1 million and 1.1 million, respectively.</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reported income attributable to controlling interest from continuing operations of $165.7 million, or $2.64 per diluted share, in fiscal 2014 compared to $159.4 million, or $2.55 per diluted share, in fiscal 2013. In fiscal 2014, we incurred pre-tax costs of $51.0 million, relating to impairment, restructuring and other charges, and we incurred $10.7 million of pre-tax costs during the third quarter of 2014 related to refinancing. In fiscal 2013, we incurred $20.3 million of pre-tax impairment, restructuring and other charges. Excluding these items, adjusted income attributable to controlling interest from continuing operations was $206.3 million in fiscal 2014 compared to $172.6 million in fiscal 2013, an increase of $33.7 million, primarily driven by higher gross profit, increased other income, net, and lower interest expense; partially offset by higher SG&amp;A spending. Diluted weighted-average Common Shares outstanding increased from 62.6 million in fiscal 2013 to 62.7 million in fiscal 2014. The increase was primarily driven by the exercise of stock options and the issuance of Common Shares upon the vesting of restricted share-based awards, and an increase in the number of dilutive potential Common Shares; partially offset by share repurchases. Dilutive equivalent shares for fiscal 2014 and fiscal 2013 were 1.1 million and 0.9 million, respectively. The increase in dilutive equivalent shares was primarily driven by an increase in our average share price, partially offset by the exercise of stock options.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second quarter of fiscal 2014, we completed the sale of our wild bird food business at which time we began presenting this business within discontinued operations. Income from discontinued operations, net of tax, was zero, $0.8 million and $1.7 million in fiscal 2015, fiscal 2014 and fiscal 2013, respectively, and is primarily associated with the 2014 sale of our wild bird food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Our continuing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Corporate &amp; Other consists of revenues and expenses associated with our supply agreements with ICL, as well as corporate, general and administrative expenses and certain other income/expense items not allocated to the business segments.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98" w:right="239" w:bottom="1440" w:gutter="0" w:footer="0" w:header="0"/>
        </w:sectPr>
      </w:pPr>
    </w:p>
    <w:bookmarkStart w:id="32" w:name="page33"/>
    <w:bookmarkEnd w:id="32"/>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from continuing operations before amortization, impairment, restructuring and other charges, which is not a measure recognized under GAAP. Senior management uses this measure of operating profit to evaluate segment performance because we believe this measure is most indicative of performance trends and the overall earnings potential of each segment.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50"/>
        </w:trPr>
        <w:tc>
          <w:tcPr>
            <w:tcW w:w="5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2,701.0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2,484.7</w:t>
            </w:r>
          </w:p>
        </w:tc>
      </w:tr>
      <w:tr>
        <w:trPr>
          <w:trHeight w:val="270"/>
        </w:trPr>
        <w:tc>
          <w:tcPr>
            <w:tcW w:w="57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257.8</w:t>
            </w:r>
          </w:p>
        </w:tc>
      </w:tr>
      <w:tr>
        <w:trPr>
          <w:trHeight w:val="244"/>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total</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2,989.5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2,742.5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31.2</w:t>
            </w:r>
          </w:p>
        </w:tc>
      </w:tr>
      <w:tr>
        <w:trPr>
          <w:trHeight w:val="27"/>
        </w:trPr>
        <w:tc>
          <w:tcPr>
            <w:tcW w:w="5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3,016.5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2,773.7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r>
      <w:tr>
        <w:trPr>
          <w:trHeight w:val="250"/>
        </w:trPr>
        <w:tc>
          <w:tcPr>
            <w:tcW w:w="5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Consumer</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403.7</w:t>
            </w:r>
          </w:p>
        </w:tc>
      </w:tr>
      <w:tr>
        <w:trPr>
          <w:trHeight w:val="270"/>
        </w:trPr>
        <w:tc>
          <w:tcPr>
            <w:tcW w:w="57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w:t>
            </w:r>
          </w:p>
        </w:tc>
      </w:tr>
      <w:tr>
        <w:trPr>
          <w:trHeight w:val="244"/>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total</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5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Global Consumer segment net sales increased 5.8% from $2.6 billion in fiscal 2014 to $2.7 billion in fiscal 2015. For fiscal 2015, favorable impacts of volume and acquisitions of 4.3% and 4.8%, respectively, were partially offset by unfavorable changes in pricing and foreign exchange rates of 0.3% and 2.9%, respectively.</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sales in the United States increased $154.1 million, or 7.6%, during fiscal 2015 driven by increased volume of controls, growing media, and cleaners products, as well as the impact of recent acquisitions. Excluding the impact of changes in foreign exchange rates, net sales internationally increased by $69.7 million, or 13.6%, during fiscal 2015 driven by the acquisitions of Fafard and Solus, and higher sales volume within Canada.</w:t>
      </w:r>
    </w:p>
    <w:p>
      <w:pPr>
        <w:spacing w:after="0" w:line="8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Global Consumer segment income from continuing operations before income taxes increased 6.2% from $438.8 million in fiscal 2014 to $466.2 million in fiscal 2015. Excluding the impact of changes in foreign exchange rates, the increase was 7.2% for fiscal 2015, primarily driven by higher sales volume of controls, including increased sales of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well as growing media and cleaners products in the United States, and higher sales volume within Canada, partially offset by decreased pricing, increased material costs for our grass seed and growing media products, and higher SG&amp;A as a result of recent acquisitions.</w:t>
      </w:r>
    </w:p>
    <w:p>
      <w:pPr>
        <w:spacing w:after="0" w:line="150"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7"/>
          <w:szCs w:val="17"/>
          <w:color w:val="auto"/>
        </w:rPr>
        <w:t>Global Consumer segment net sales increased 2.7% from $2.5 billion in fiscal 2013 compared to $2.6 billion in fiscal 2014. The change in fiscal 2014 net sales was favorably impacted by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acquisition, favorable pricing and foreign exchange rates, which were responsible for net sales increases of 1.6%, 1.1%, and 0.2%, respectively. These increases were partially offset by a slight decrease in sales volume driven by a decline in sales within the U.S. of plant fertilizers and control products, partially offset by increased sales of mulch products in the United States and increased net sales in Europe. Net sales in the United States increased by 1.5%, primarily driven by the acquisition of Tomcat</w:t>
      </w:r>
      <w:r>
        <w:rPr>
          <w:rFonts w:ascii="Arial" w:cs="Arial" w:eastAsia="Arial" w:hAnsi="Arial"/>
          <w:sz w:val="24"/>
          <w:szCs w:val="24"/>
          <w:color w:val="auto"/>
          <w:vertAlign w:val="superscript"/>
        </w:rPr>
        <w:t>®</w:t>
      </w:r>
      <w:r>
        <w:rPr>
          <w:rFonts w:ascii="Arial" w:cs="Arial" w:eastAsia="Arial" w:hAnsi="Arial"/>
          <w:sz w:val="17"/>
          <w:szCs w:val="17"/>
          <w:color w:val="auto"/>
        </w:rPr>
        <w:t>, and an increase in pricing, partially offset by a slight overall decrease in sales volume driven by a decline in sales within the United States of plant fertilizers and control products, partially offset by increased sales of mulch products. Net sales outside of the United States increased 7.3% in fiscal 2014, primarily attributable to sales volume improvements in Europe and favorable effects of foreign currency changes as a result of the weakening</w:t>
      </w:r>
    </w:p>
    <w:p>
      <w:pPr>
        <w:sectPr>
          <w:pgSz w:w="11900" w:h="16838" w:orient="portrait"/>
          <w:cols w:equalWidth="0" w:num="1">
            <w:col w:w="11420"/>
          </w:cols>
          <w:pgMar w:left="240" w:top="1016"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016" w:right="23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of the U.S. dollar relative to other currencies, particularly the euro. Excluding the impact of foreign currency rates, net sales outside of the United States increased 6.2% compared to fiscal 2013.</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Global Consumer segment income from continuing operations before income taxes for fiscal 2014 was $438.8 million, an increase of $35.1 million, or 8.7%, compared to fiscal 2013. Excluding the impact of foreign exchange movements, the increase was $33.5 million, or 8.3%, for fiscal 2014. The increase for fiscal 2014 was primarily driven by the sales from businesses acquired in fiscal 2014, the favorable impact of pricing, and decreased material costs, partially offset by an increase in SG&amp;A expenses primarily related to increased marketing expense in the U.S. Consumer business and transaction costs related to the acquisitions of Solus and Fafard.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6"/>
          <w:szCs w:val="16"/>
          <w:color w:val="auto"/>
        </w:rPr>
        <w:t>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sales increased by $25.5 million, or 9.7%, in fiscal 2015 compared to fiscal 2014. The increase in net sales was driven by the $12.0 million in net sales for Action Pest included in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for fiscal 2015, as well as increased customer count. The segment operating income for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increased by $3.1 million, or 10.3%, in fiscal 2015 compared to fiscal 2014. The increased income was primarily driven by the acquisition of Action Pest and higher customer count, partially offset by higher SG&amp;A expenses for planned increases in selling costs.</w:t>
      </w:r>
    </w:p>
    <w:p>
      <w:pPr>
        <w:spacing w:after="0" w:line="150"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7"/>
          <w:szCs w:val="17"/>
          <w:color w:val="auto"/>
        </w:rPr>
        <w:t>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 increased by $5.2 million, or 2.0%, in fiscal 2014 as compared to fiscal 2013, primarily due to higher customer counts and increased volume.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income increased $1.5 million to $30.2 million in fiscal 2014. The improved operating results were driven by higher net sales, lower product costs and lower incentive compensation, partially offset by higher selling expenses.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sales for Corporate &amp; Other increased $0.7 million to $27.0 million in fiscal 2015, due to an increase in sales for our ICL supply agreements, which commenced shortly after the sale of Global Pro in our second quarter of fiscal 2011. The net operating loss for Corporate &amp; Other was $96.6 million in fiscal 2015 as compared to $90.4 million in fiscal 2014. The increase for fiscal 2015 was primarily related to higher share-based compensation expense and litigation settlement activity.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Corporate &amp; Other decreased $4.9 million to $26.3 million in fiscal 2014, primarily due to a decline in sales for our ICL supply agreements. The net operating loss for Corporate &amp; Other was flat for fiscal 2014 compared to fiscal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Cash provided by operating activities totaled $246.9 million and $240.9 million for fiscal 2015 and fiscal 2014, respectively. Cash provided by operating activities increased by $6.0 million, driven by a decrease in cash used for working capital, partially offset by a decrease in net income. The decrease in cash used for working capital was primarily due to less growth in accounts receivable and inventory, partially offset by less growth in accounts payable.</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Cash provided by operating activities declined by $101.1 million to $240.9 million in fiscal 2014. The change in the cash provided by our operating activities was primarily due to an increase in inventory of $38.7 million in fiscal 2014 as part of an early build of growing media and plant food products for the fiscal 2015 lawn and garden season and a decline in expected volumes compared to an $89.0 million decline in inventory in fiscal 2013.</w:t>
      </w:r>
    </w:p>
    <w:p>
      <w:pPr>
        <w:spacing w:after="0" w:line="111"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 Unlike our core Global Consumer segment,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typically has its highest receivables balance in the fourth quarter because of the seasonal timing of customer applications and service revenues.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Cash used in investing activities totaled $536.4 million and $155.6 million in fiscal 2015 and fiscal 2014, respectively. The change in cash used in our investing activities was primarily driven by the payment of $300 million to Monsanto in consideration for Monsanto's entry into the amendments to our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the lawn and garden brand extension agreement and the commercialization and technology agreement, and increased acquisitions of $66.2 million. During fiscal 2015, our Global Consumer segment completed the acquisitions of General Hydroponics and Vermicrop for $120.0 million and $15.0 million, respectively, in addition to four acquisitions of growing media operations with an aggregate estimated purchase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16" w:right="239" w:bottom="1440" w:gutter="0" w:footer="0" w:header="0"/>
        </w:sectPr>
      </w:pPr>
    </w:p>
    <w:bookmarkStart w:id="34" w:name="page35"/>
    <w:bookmarkEnd w:id="34"/>
    <w:p>
      <w:pPr>
        <w:jc w:val="both"/>
        <w:spacing w:after="0" w:line="237" w:lineRule="auto"/>
        <w:rPr>
          <w:sz w:val="20"/>
          <w:szCs w:val="20"/>
          <w:color w:val="auto"/>
        </w:rPr>
      </w:pPr>
      <w:r>
        <w:rPr>
          <w:rFonts w:ascii="Arial" w:cs="Arial" w:eastAsia="Arial" w:hAnsi="Arial"/>
          <w:sz w:val="18"/>
          <w:szCs w:val="18"/>
          <w:color w:val="auto"/>
        </w:rPr>
        <w:t>price of $40.2 million. Additionally,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completed the acquisition of Action Pest for $21.7 million. These acquisitions included cash payments of $180.2 million during fiscal 2015. Significant capital projects during fiscal 2015 included investments in our growing media production and packaging facilities, additional capital for supply chain optimization projects, investments in information technology, facility improvement and maintenance, and investments in fleet vehicles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Cash used in investing activities totaled $155.6 million and $64.2 million in fiscal 2014 and fiscal 2013, respectively. The change in cash used in our investing activities was primarily driven by increased capital investments in property, plant and equipment and acquisitions of $27.5 million and $110.8 million, respectively, partially offset by $35.1 million in cash proceeds received from the sale and leaseback of an airplane as well as proceeds received from the sale of our U.S. and Canadian wild bird food business of $7.2 million, and the sale of long-lived assets of $3.7 million. Significant capital projects during fiscal 2014 included investments in our growing media production and packaging facilities, additional capital for supply chain optimization projects, investments in information technology, facility improvement and maintenance, and investments in fleet vehicles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Further, during fiscal 2014 we completed acquisitions within our Global Consumer segment of Tomcat</w:t>
      </w:r>
      <w:r>
        <w:rPr>
          <w:rFonts w:ascii="Arial" w:cs="Arial" w:eastAsia="Arial" w:hAnsi="Arial"/>
          <w:sz w:val="24"/>
          <w:szCs w:val="24"/>
          <w:color w:val="auto"/>
          <w:vertAlign w:val="superscript"/>
        </w:rPr>
        <w:t>®</w:t>
      </w:r>
      <w:r>
        <w:rPr>
          <w:rFonts w:ascii="Arial" w:cs="Arial" w:eastAsia="Arial" w:hAnsi="Arial"/>
          <w:sz w:val="17"/>
          <w:szCs w:val="17"/>
          <w:color w:val="auto"/>
        </w:rPr>
        <w:t>, a consumer rodent control business, from Bell Laboratories, Inc. for $60.0 million and Fafard, a consumer growing media business based in Quebec, Canada for $52.7 million in cash and contingent consideration of $7.1 million based on future performance of the business.</w:t>
      </w:r>
    </w:p>
    <w:p>
      <w:pPr>
        <w:spacing w:after="0" w:line="137"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7"/>
          <w:szCs w:val="17"/>
          <w:color w:val="auto"/>
        </w:rPr>
        <w:t>For the three fiscal years ended September 30, 2015, our capital spending was allocated as follows: 65% for expansion and maintenance of existing Global Consumer productive assets; 14% for new productive assets supporting our Global Consumer segment; 13% to expand our information technology and transformation and integration capabilities; 3% for expansion and upgrades of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infrastructure; and 5% for Corporate &amp; Other assets. We expect fiscal 2016 capital expenditures to be consistent with our recent capital spending amounts and allocations.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$278.9 million in fiscal 2015, and used cash of $124.3 million in fiscal 2014. The change related to financing activities was the result of the redemption of $200.0 million of our 7.25% Senior Notes during fiscal 2014, a decrease in dividends paid in fiscal 2015 as a result of the prior year special one-time cash dividend of $2.00 per share, or $122.1 million, and a decrease in repurchases of Common Shares of $105.2 million, partially offset by a decrease in net borrowings under our credit facility of $29.5 million. Net borrowings under our credit facilities in fiscal 2015 were $378.0 million compared to $407.5 million in fiscal 2014. Financing activities also included an increase in cash received from the exercise of stock options of $4.3 million in fiscal 2015 compared to fiscal 2014.</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Financing activities used cash of $124.3 million and $280.6 million in fiscal 2014 and fiscal 2013, respectively. The change in cash used in financing activities was the result of higher net borrowings of $614.8 million under our credit facility, partially offset by an increase in cash returned to shareholders through dividends of $143.0 million (which included $20.9 million in recurring quarterly cash payments and $122.1 million for the special one-time cash dividend of $2.00 per share), the repayment of our 7.25% Senior Notes of $200.0 million, and $120.0 million for repurchases of Common Shares in fiscal 2014. Net borrowings under our credit facilities in fiscal 2014 were $407.5 million compared to net payments of $207.3 million in fiscal 2013. Financing activities also included an increase in cash received from the exercise of stock options of $6.7 million in fiscal 2014 compared to fiscal 2013.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17"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$71.4 million and $89.3 million at September 30, 2015 and 2014, respectively, included $55.1 million and $59.9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The former credit facility, which was in effect throughout fiscal 2015 and as of September 30, 2015, also provided us with the right to seek to increase the committed credit by an aggregate amount of up to $450 million, subject to certain specified conditions. Under the former credit facility we had the ability to obtain letters of credit up to $75 million. At September 30, 2015, we had letters of credit outstanding in the aggregate face amount of $22.7 million, and $861.0 million of availability under our former credit facility, subject to our continued compliance with the covenants discussed below. The weighted average interest rates on average borrowings under our former credit facility were 4.0% and 4.8% for fiscal 2015 and fiscal 2014, respectively. In August 2015, we paid Monsanto $300 million using borrowings under our former credit facility.</w:t>
      </w:r>
    </w:p>
    <w:p>
      <w:pPr>
        <w:spacing w:after="0" w:line="12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29, 2015, we entered into a fourth amended and restated credit agreement (the “new credit agreement”), providing us with five-year senior secured loan facilities in the aggregate principal amount of $1.9 billion, comprised of a revolving credit facility of $1.6 billion and a term loan in the amount of $300 million (the “new credit facilities”). The new credit agreement also provides us with the right to seek additional committed credit under the agreement in an aggregate amount of up to $500 million plus an unlimited additional amount, subject to certain specified financial and other conditions. The new credit agreement replaces the former credit facility, and will terminate on October 29, 2020. Borrowings on the revolving credit facility may be made in various currencies, including U.S. dollars, euro, British pounds, Australian dollars, and Canadian dollars.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a Master Accounts Receivable Purchase Agreement (“MARP Agreement”), which provides for the discretionary sale by us, and the discretionary (outside of the contractual commitment period) purchase by the participating banks, on a revolving basis, of accounts receivable generated by sales to three specified account debtors in an aggregate amount not to exceed $400.0 million.</w:t>
      </w:r>
    </w:p>
    <w:p>
      <w:pPr>
        <w:spacing w:after="0" w:line="12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September 25, 2015, we entered into an amended and restated MARP Agreement that provides for the discretionary sale and purchase, on a revolving basis, of certain accounts receivable in an aggregate amount not to exceed $400.0 million as described above, but adds a commitment period during which the banks will be required to purchase such accounts receivable in an aggregate committed amount not to exceed $160.0 million. The commitment period will begin no earlier than February 20, 2016 and end no later than June 17, 2016, and the commencement and continuation of the commitment period will be subject to, among other things, the absence of any termination event under the MARP Agreement or any default or event of default under our current credit agreement. Under the amended and restated terms of the MARP Agreement, the banks continue to have the opportunity to purchase those accounts receivable offered by us at a discount (from the agreed base value thereof) effectively equal to the one-week LIBOR plus 0.75%. The MARP Agreement has a termination date of August 26, 2016. There were $122.3 million and $84.0 million in short-term borrowings under the MARP Agreement as of September 30, 2015 and September 30, 2014, respectively. As of September 30, 2015, there was $2.8 million of availability under the MARP Agreement. The carrying value of the receivables pledged as collateral was $152.9 million and $113.7 million as of September 30, 2015 and September 30, 2014, respectively.</w:t>
      </w:r>
    </w:p>
    <w:p>
      <w:pPr>
        <w:spacing w:after="0" w:line="11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January 15, 2014, we used a portion of our available former credit facility borrowings to redeem all of our outstanding $200.0 million aggregate principal amount of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our second quarter of fiscal 2014. Additionally, we had $3.5 million in unamortized bond discount and issuance costs associated with the 7.25% Senior Notes that were written-off and recognized in the “Costs related to refinancing” line on the Condensed Consolidated Statement of Operations in our second quarter of fiscal 2014. These amounts are reported in the aggregate in the “Costs related to refinancing” line of the Consolidated Statement of Operations for fiscal 2014 in this Annual Report on Form 10-K.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89" w:right="239" w:bottom="1440" w:gutter="0" w:footer="0" w:header="0"/>
        </w:sectPr>
      </w:pPr>
    </w:p>
    <w:bookmarkStart w:id="36" w:name="page37"/>
    <w:bookmarkEnd w:id="36"/>
    <w:p>
      <w:pPr>
        <w:jc w:val="both"/>
        <w:ind w:firstLine="432"/>
        <w:spacing w:after="0" w:line="273" w:lineRule="auto"/>
        <w:rPr>
          <w:sz w:val="20"/>
          <w:szCs w:val="20"/>
          <w:color w:val="auto"/>
        </w:rPr>
      </w:pPr>
      <w:r>
        <w:rPr>
          <w:rFonts w:ascii="Arial" w:cs="Arial" w:eastAsia="Arial" w:hAnsi="Arial"/>
          <w:sz w:val="17"/>
          <w:szCs w:val="17"/>
          <w:color w:val="auto"/>
        </w:rPr>
        <w:t>On December 16, 2010, we issued $200.0 million aggregate principal amount of 6.625% Senior Notes due 2020. The net proceeds of the offering were used to repay outstanding borrowings under our then existing credit facilities and for general corporate purposes. The 6.625% Senior Notes represent general unsecured senior obligations and rank equal in right of payment with our existing and future unsecured senior debt. The 6.625% Senior Notes have interest payment dates of June 15 and December 15 of each year, which began on June 15, 2011, and may be redeemed prior to maturity starting December 2015 at applicable redemption premiums. The 6.625% Senior Notes contain usual and customary covenants and mature on December 15, 2020. Substantially all of our domestic subsidiaries serve as guarantors of the 6.625% Senior Notes.</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November 13, 2015, Scotts Miracle-Gro provided an irrevocable notice to the trustee of its election to redeem all of its outstanding 6.625% Senior Notes for a redemption price of $213.2 million, comprised of $6.6 million of accrued and unpaid interest, $6.6 million of call premium, and $200 million for outstanding principal amount. The redemption is expected to be completed in the first quarter of the fiscal year ended September 30, 2016 (“fiscal 2016”).</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13, 2015, we issued $400 million aggregate principal amount of 6.000% Senior Notes due 2023.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and may be redeemed prior to maturity starting October 2018 at applicable redemption premiums. The 6.000% Senior Notes contain usual and customary covenants and mature on October 15, 2023. Substantially all of our domestic subsidiaries serve as guarantors of the 6.000% Senior Notes.</w:t>
      </w:r>
    </w:p>
    <w:p>
      <w:pPr>
        <w:spacing w:after="0" w:line="13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believe we were in compliance with all debt covenants as of September 30, 2015. Our new credit agreement contains, among other obligations, an affirmative covenant regarding our leverage ratio on the last day of each quarter on and after September 30, 2015, calculated as our net indebtedness divided by adjusted earnings before interest, taxes, depreciation and amortization. The maximum leverage ratio was 4.50 as of September 30, 2015. Our leverage ratio was 2.63 at September 30, 2015. Our new credit agreement also includes an affirmative covenant regarding our interest coverage. The minimum interest coverage ratio was 3.00 for the twelve months ended September 30, 2015. Our interest coverage ratio was 9.34 for the twelve months ended September 30, 2015. The terms of the new credit agreement allow us to make unlimited restricted payments (as defined), including increased or one-time dividend payments and Common Share repurchases, so long as the leverage ratio resulting from the making of such restricted payments is 4.00 or less. The weighted average interest rates on average debt were 4.2% and 5.0% for fiscal 2015 and fiscal 2014, respectively. Please see “ITEM 6. SELECTED FINANCIAL DATA” of this Annual Report on Form 10-K for further details pertaining to the calculations of the foregoing ratios.</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new credit agreement and, based upon our current operating assumptions, we expect to remain in compliance with the permissible leverage ratio and interest coverage ratio throughout fiscal 2016. However, an unanticipated shortfall in earnings, an increase in net indebtedness or other factors could materially affect our ability to remain in compliance with the financial or other covenants of our new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6" w:right="239" w:bottom="1440" w:gutter="0" w:footer="0" w:header="0"/>
        </w:sectPr>
      </w:pPr>
    </w:p>
    <w:bookmarkStart w:id="37" w:name="page38"/>
    <w:bookmarkEnd w:id="37"/>
    <w:p>
      <w:pPr>
        <w:jc w:val="both"/>
        <w:ind w:firstLine="432"/>
        <w:spacing w:after="0" w:line="279" w:lineRule="auto"/>
        <w:rPr>
          <w:sz w:val="20"/>
          <w:szCs w:val="20"/>
          <w:color w:val="auto"/>
        </w:rPr>
      </w:pPr>
      <w:r>
        <w:rPr>
          <w:rFonts w:ascii="Arial" w:cs="Arial" w:eastAsia="Arial" w:hAnsi="Arial"/>
          <w:sz w:val="17"/>
          <w:szCs w:val="17"/>
          <w:color w:val="auto"/>
        </w:rPr>
        <w:t>At September 30, 2015, we had outstanding interest rate swap agreements with major financial institutions that effectively converted the LIBOR index portion of variable-rate debt denominated in U.S. dollars to a fixed rate. The swap agreements had a total U.S. dollar notional amount of $1,300.0 million at September 30, 2015.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3"/>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3"/>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2/7/2012</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12/20/2011</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46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2"/>
                <w:szCs w:val="22"/>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6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7" w:right="2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long-term debt obligations and interest payments due primarily under the 6.625% Senior Notes and our current credit facility. Amounts in the table represent scheduled future maturities of long-term debt principal for the periods indicated.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November 13, 2015, Scotts Miracle-Gro provided an irrevocable notice to the trustee of its election to redeem all of its outstanding 6.625% Senior Notes for a redemption price of $213.2 million, comprised of $6.6 million of accrued and unpaid interest, $6.6 million of call premium, and $200 million for outstanding principal amount. The redemption is expected to be completed in the first quarter of fiscal 2016.</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interest payments for our current credit facility are based on outstanding borrowings as of September 30, 2015. Actual interest expense will likely be higher due to the seasonality of our business and associated higher average borrowings.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grass seed and out-sourced information services which comprise the unconditional purchase obligations disclosed in “NOTE 17.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2015 are based on preliminary estimates using actuarial assumptions determined as of September 30, 2015. The above table excludes liabilities for unrecognized tax benefits and insurance accruals as we are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At September 30, 2015, we have letters of credit in the aggregate face amount of $22.7 million outstanding. Further, we have residual value guarantees on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 and the corporate aircraft as disclosed in “NOTE 16. OPERATING LEASES” of the Notes to Consolidated Financial Statements included in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and “ITEM 3. LEGAL PROCEEDINGS”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w:t>
      </w:r>
    </w:p>
    <w:p>
      <w:pPr>
        <w:sectPr>
          <w:pgSz w:w="11900" w:h="16838" w:orient="portrait"/>
          <w:cols w:equalWidth="0" w:num="1">
            <w:col w:w="11420"/>
          </w:cols>
          <w:pgMar w:left="240" w:top="109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098" w:right="239" w:bottom="1440" w:gutter="0" w:footer="0" w:header="0"/>
          <w:type w:val="continuous"/>
        </w:sectPr>
      </w:pPr>
    </w:p>
    <w:bookmarkStart w:id="39" w:name="page40"/>
    <w:bookmarkEnd w:id="39"/>
    <w:p>
      <w:pPr>
        <w:jc w:val="both"/>
        <w:spacing w:after="0" w:line="286" w:lineRule="auto"/>
        <w:rPr>
          <w:sz w:val="20"/>
          <w:szCs w:val="20"/>
          <w:color w:val="auto"/>
        </w:rPr>
      </w:pPr>
      <w:r>
        <w:rPr>
          <w:rFonts w:ascii="Arial" w:cs="Arial" w:eastAsia="Arial" w:hAnsi="Arial"/>
          <w:sz w:val="17"/>
          <w:szCs w:val="17"/>
          <w:color w:val="auto"/>
        </w:rPr>
        <w:t>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1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first-in, first-out method of accounting.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35" w:right="2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intangible assets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 (iii) projected revenue and operating profit growth rates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24"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7"/>
          <w:szCs w:val="17"/>
          <w:color w:val="auto"/>
        </w:rPr>
        <w:t>At September 30, 2015, goodwill totaled $432.4 million, with $283.7 million and $148.7 million of goodwill for the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segments, respectively. No goodwill impairment was recognized as a result of the annual evaluation performed as of June 28, 2015. The estimated fair value of each reporting unit with a significant goodwill balance was substantially in excess of its carrying value as of the annual test date. If we were to alter our impairment testing by increasing the discount rate in the discounted cash flow analysis by 100 basis points, there still would not be any impairment indicated for either of these reporting units. At September 30, 2015, indefinite-lived intangible assets consisted of tradenames of $184.8 million, as well as the Marketing Agreement Amendment of $188.3 million and Brand Extension Agreement of $111.7 million which were both acquired during fiscal 2015.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each of the tradenames had an estimated fair value substantially in excess of its carrying value as of the annual test date. The fair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was calculated based upon the evaluation of historical performance and future growth expectations. As a result of the annual impairment review in the fourth quarter of fiscal 2015, we concluded that the fair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exceeded the carrying value of the intangible asset and no impairment was necessary. If we were to increase the discount rate in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fair value calculation by 100 basis points, the impairment charge for a non-recurring fair value adjustment would have been $6.6 million.</w:t>
      </w:r>
    </w:p>
    <w:p>
      <w:pPr>
        <w:spacing w:after="0" w:line="15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During the third quarter of fiscal 2014, as a result of an impairment review, we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36"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materially affect our financial condition, results of operations or cash flows. A 100 basis point change in the discount rate would have an immaterial effect on fiscal 2015 pension expense. A 100 basis point change in the discount rate would have a $55.6 million change in our projected benefit obligations as of September 30, 2015.</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18.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reserves, if any, provided for their resolution. There can be no assurance that the ultimate outcomes of these proceedings will not differ materially from our current assessment of them, nor that all proceedings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2015 and September 30, 2014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At each of September 30, 2015 and September 30, 2014, we had outstanding interest rate swap agreements with a total U.S. dollar equivalent notional value of $1,300.0 million. The weighted average fixed rate of swap agreements outstanding at September 30, 2015 was 2.0%.</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2015 and September 30, 2014.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2015 and September 30, 2014. A change in our variable interest rate of 100 basis points for a full twelve-month period would have a $2.5 million impact on interest expense assuming approximately $250 million of our average fiscal 2015 variable-rate debt had not been hedged via an interest rate swap agreement. The information is presented in U.S. dollars (in millions):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17" w:right="239" w:bottom="1440" w:gutter="0" w:footer="0" w:header="0"/>
        </w:sectPr>
      </w:pPr>
    </w:p>
    <w:bookmarkStart w:id="42" w:name="page43"/>
    <w:bookmarkEnd w:id="42"/>
    <w:p>
      <w:pPr>
        <w:ind w:left="548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1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816.3</w:t>
            </w:r>
          </w:p>
        </w:tc>
        <w:tc>
          <w:tcPr>
            <w:tcW w:w="8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9"/>
              </w:rPr>
              <w:t>Expected Maturity Date</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481.8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Excluded from the information provided above are $24.7 million and $18.5 million at September 30, 2015 and September 30, 2014,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Through fiscal 2015, we had transactions that were denominated in currencies other than the currency of the country of origin. We use currency forward contracts to manage the exchange rate risk associated with intercompany loans with foreign subsidiaries that are denominated in local currencies. At September 30, 2015, the notional amount of outstanding currency forward contracts was $52.3 million with a negative fair value of $0.7 million. At September 30, 2014, the notional amount of outstanding currency forward contracts was $149.0 million with a negative fair value of $0.1 million.</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We are subject to market risk from fluctuating prices of certain raw materials, including urea and other fertilizer inputs, resins, diesel, gasoline, natural gas, sphagnum peat, bark and grass seed. Our objectives surrounding the procurement of these materials are to ensure continuous supply and to control costs. We seek to achieve these objectives through negotiation of contracts with favorable terms directly with vendors. In addition, we use derivatives to partially mitigate the effect of fluctuating diesel and gasoline costs on our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businesses. We had outstanding derivative contracts for 9,030,000 and 10,206,000 gallons of fuel at September 30, 2015 and September 30, 2014, respectively. The outstanding derivative contracts had a negative fair value of $3.9 million at September 30, 2015, compared to a negative fair value of $1.4 million at September 30, 2014. We also enter into hedging arrangements designed to fix the price of a portion of our projected future urea requirements of our Global Consumer business. We had outstanding derivative contracts for 52,500 and 58,500 aggregate tons of urea at September 30, 2015 and September 30, 2014, respectively. The outstanding derivative contracts had a negative fair value of $1.3 million at September 30, 2015, compared to a negative fair value of $0.5 million at September 30, 2014.</w:t>
      </w:r>
    </w:p>
    <w:p>
      <w:pPr>
        <w:spacing w:after="0" w:line="3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5"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51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Exchange Act) occurred during the Registrant’s fiscal quarter ended September 30, 2015,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5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28, 2016 (the “2016 Annual Meeting”) is incorporated herein by reference from the disclosure which will be included under the caption “PROPOSAL NUMBER 1 — ELECTION OF DIRECTORS” in Scotts Miracle-Gro’s definitive Proxy Statement relating to the 2016 Annual Meeting (“Scotts Miracle-Gro’s Definitive Proxy Statement”), which will be filed pursuant to SEC Regulation 14A not later than 120 days after the end of Scotts Miracle-Gro’s fiscal year ended September 30, 2015.</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2015 Annual Meeting of Shareholders held on January 29,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50"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50 of this Annual Report on Form 10-K.</w:t>
      </w:r>
    </w:p>
    <w:p>
      <w:pPr>
        <w:spacing w:after="0" w:line="116" w:lineRule="exact"/>
        <w:rPr>
          <w:sz w:val="20"/>
          <w:szCs w:val="20"/>
          <w:color w:val="auto"/>
        </w:rPr>
      </w:pPr>
    </w:p>
    <w:p>
      <w:pPr>
        <w:ind w:left="700" w:hanging="26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119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50"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James Hagedorn, President, Chief Executive Officer and</w:t>
      </w:r>
    </w:p>
    <w:p>
      <w:pPr>
        <w:spacing w:after="0" w:line="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24, 2015</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620" w:type="dxa"/>
            <w:vAlign w:val="bottom"/>
          </w:tcPr>
          <w:p>
            <w:pPr>
              <w:spacing w:after="0"/>
              <w:rPr>
                <w:sz w:val="14"/>
                <w:szCs w:val="14"/>
                <w:color w:val="auto"/>
              </w:rPr>
            </w:pPr>
          </w:p>
        </w:tc>
        <w:tc>
          <w:tcPr>
            <w:tcW w:w="18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 THOMAS RANDAL COLEMAN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9"/>
              </w:rPr>
              <w:t>President, Chief Executive Officer, Chairman of the Board and 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BRIAN D. FINN*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Brian D. Finn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MICHELLE A. JOHNSON*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Michelle A. Johnson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center"/>
              <w:ind w:left="352"/>
              <w:spacing w:after="0"/>
              <w:rPr>
                <w:sz w:val="20"/>
                <w:szCs w:val="20"/>
                <w:color w:val="auto"/>
              </w:rPr>
            </w:pPr>
            <w:r>
              <w:rPr>
                <w:rFonts w:ascii="Arial" w:cs="Arial" w:eastAsia="Arial" w:hAnsi="Arial"/>
                <w:sz w:val="18"/>
                <w:szCs w:val="18"/>
                <w:color w:val="auto"/>
                <w:w w:val="91"/>
              </w:rPr>
              <w:t>November 24, 2015</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5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040" w:type="dxa"/>
            <w:vAlign w:val="bottom"/>
            <w:gridSpan w:val="3"/>
          </w:tcPr>
          <w:p>
            <w:pPr>
              <w:ind w:left="3080"/>
              <w:spacing w:after="0"/>
              <w:rPr>
                <w:sz w:val="20"/>
                <w:szCs w:val="20"/>
                <w:color w:val="auto"/>
              </w:rPr>
            </w:pPr>
            <w:r>
              <w:rPr>
                <w:rFonts w:ascii="Arial" w:cs="Arial" w:eastAsia="Arial" w:hAnsi="Arial"/>
                <w:sz w:val="14"/>
                <w:szCs w:val="14"/>
                <w:b w:val="1"/>
                <w:bCs w:val="1"/>
                <w:color w:val="auto"/>
              </w:rPr>
              <w:t>Title</w:t>
            </w:r>
          </w:p>
        </w:tc>
        <w:tc>
          <w:tcPr>
            <w:tcW w:w="3120" w:type="dxa"/>
            <w:vAlign w:val="bottom"/>
            <w:gridSpan w:val="3"/>
          </w:tcPr>
          <w:p>
            <w:pPr>
              <w:jc w:val="center"/>
              <w:ind w:left="157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JAMES F. MCCANN*</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24, 2015</w:t>
            </w:r>
          </w:p>
        </w:tc>
      </w:tr>
      <w:tr>
        <w:trPr>
          <w:trHeight w:val="243"/>
        </w:trPr>
        <w:tc>
          <w:tcPr>
            <w:tcW w:w="1180" w:type="dxa"/>
            <w:vAlign w:val="bottom"/>
            <w:tcBorders>
              <w:bottom w:val="single" w:sz="8" w:color="auto"/>
            </w:tcBorders>
            <w:gridSpan w:val="2"/>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James F. McCann</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NANCY G. MISTRETTA*</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24, 2015</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Nancy G. Mistretta</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80" w:type="dxa"/>
            <w:vAlign w:val="bottom"/>
            <w:gridSpan w:val="3"/>
          </w:tcPr>
          <w:p>
            <w:pPr>
              <w:ind w:left="60"/>
              <w:spacing w:after="0"/>
              <w:rPr>
                <w:sz w:val="20"/>
                <w:szCs w:val="20"/>
                <w:color w:val="auto"/>
              </w:rPr>
            </w:pPr>
            <w:r>
              <w:rPr>
                <w:rFonts w:ascii="Arial" w:cs="Arial" w:eastAsia="Arial" w:hAnsi="Arial"/>
                <w:sz w:val="18"/>
                <w:szCs w:val="18"/>
                <w:color w:val="auto"/>
              </w:rPr>
              <w:t>JOHN R. VINES*</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24, 2015</w:t>
            </w:r>
          </w:p>
        </w:tc>
      </w:tr>
      <w:tr>
        <w:trPr>
          <w:trHeight w:val="27"/>
        </w:trPr>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John R. Vines</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072" w:right="2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7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Annual Report of Management on Internal Control Over Financial Reporting</w:t>
              </w:r>
            </w:hyperlink>
          </w:p>
        </w:tc>
        <w:tc>
          <w:tcPr>
            <w:tcW w:w="48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Reports of Independent Registered Public Accounting Firm</w:t>
              </w:r>
            </w:hyperlink>
          </w:p>
        </w:tc>
        <w:tc>
          <w:tcPr>
            <w:tcW w:w="1260" w:type="dxa"/>
            <w:vAlign w:val="bottom"/>
            <w:gridSpan w:val="2"/>
          </w:tcPr>
          <w:p>
            <w:pPr>
              <w:spacing w:after="0"/>
              <w:rPr>
                <w:sz w:val="21"/>
                <w:szCs w:val="21"/>
                <w:color w:val="auto"/>
              </w:rPr>
            </w:pPr>
          </w:p>
        </w:tc>
        <w:tc>
          <w:tcPr>
            <w:tcW w:w="48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fiscal years ended September 30, 2015, 2014 and 2013</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Income for the fiscal years ended September 30, 2015, 2014 and 2013</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Cash Flows for the fiscal years ended September 30, 2015, 2014 and 2013</w:t>
              </w:r>
            </w:hyperlink>
          </w:p>
        </w:tc>
        <w:tc>
          <w:tcPr>
            <w:tcW w:w="860" w:type="dxa"/>
            <w:vAlign w:val="bottom"/>
            <w:gridSpan w:val="2"/>
          </w:tcPr>
          <w:p>
            <w:pPr>
              <w:spacing w:after="0"/>
              <w:rPr>
                <w:sz w:val="21"/>
                <w:szCs w:val="21"/>
                <w:color w:val="auto"/>
              </w:rPr>
            </w:pPr>
          </w:p>
        </w:tc>
        <w:tc>
          <w:tcPr>
            <w:tcW w:w="21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 at September 30, 2015 and 2014</w:t>
              </w:r>
            </w:hyperlink>
          </w:p>
        </w:tc>
        <w:tc>
          <w:tcPr>
            <w:tcW w:w="2900" w:type="dxa"/>
            <w:vAlign w:val="bottom"/>
            <w:gridSpan w:val="3"/>
          </w:tcPr>
          <w:p>
            <w:pPr>
              <w:spacing w:after="0"/>
              <w:rPr>
                <w:sz w:val="21"/>
                <w:szCs w:val="21"/>
                <w:color w:val="auto"/>
              </w:rPr>
            </w:pPr>
          </w:p>
        </w:tc>
        <w:tc>
          <w:tcPr>
            <w:tcW w:w="29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Shareholders’ Equity for the fiscal years ended September 30, 2015, 2014 and 2013</w:t>
              </w:r>
            </w:hyperlink>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Notes to Consolidated Financial Statements</w:t>
              </w:r>
            </w:hyperlink>
          </w:p>
        </w:tc>
        <w:tc>
          <w:tcPr>
            <w:tcW w:w="4900" w:type="dxa"/>
            <w:vAlign w:val="bottom"/>
            <w:gridSpan w:val="6"/>
          </w:tcPr>
          <w:p>
            <w:pPr>
              <w:spacing w:after="0"/>
              <w:rPr>
                <w:sz w:val="21"/>
                <w:szCs w:val="21"/>
                <w:color w:val="auto"/>
              </w:rPr>
            </w:pPr>
          </w:p>
        </w:tc>
        <w:tc>
          <w:tcPr>
            <w:tcW w:w="23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Schedule II—Valuation and Qualifying Accounts for the fiscal years ended September 30, 2015, 2014 and 2013</w:t>
              </w:r>
            </w:hyperlink>
          </w:p>
        </w:tc>
        <w:tc>
          <w:tcPr>
            <w:tcW w:w="23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118</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5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2015,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General Hydroponics, Inc., Bio-Organic Solutions, Inc. and Action Pest Control Inc., which were acquired in fiscal 2015. These acquisitions constituted 6% of total assets, 1% and 3% of revenues and net income, respectively, included in our consolidated financial statements as of and for the fiscal year ended September 30, 2015.</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2015,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2015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Thomas Randal Coleman</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President, Chief Executive Officer and Chairman of the Board</w:t>
            </w:r>
          </w:p>
        </w:tc>
        <w:tc>
          <w:tcPr>
            <w:tcW w:w="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Arial" w:cs="Arial" w:eastAsia="Arial" w:hAnsi="Arial"/>
                <w:sz w:val="18"/>
                <w:szCs w:val="18"/>
                <w:color w:val="auto"/>
              </w:rPr>
              <w:t>Dated:   November 24, 2015</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Dated:    November 24, 2015</w:t>
            </w:r>
          </w:p>
        </w:tc>
      </w:tr>
      <w:tr>
        <w:trPr>
          <w:trHeight w:val="486"/>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51</w:t>
            </w:r>
          </w:p>
        </w:tc>
      </w:tr>
    </w:tbl>
    <w:p>
      <w:pPr>
        <w:sectPr>
          <w:pgSz w:w="11900" w:h="16838" w:orient="portrait"/>
          <w:cols w:equalWidth="0" w:num="1">
            <w:col w:w="11420"/>
          </w:cols>
          <w:pgMar w:left="240" w:top="851" w:right="239" w:bottom="1440" w:gutter="0" w:footer="0" w:header="0"/>
        </w:sectPr>
      </w:pPr>
    </w:p>
    <w:bookmarkStart w:id="51" w:name="page52"/>
    <w:bookmarkEnd w:id="5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2015 and 2014, and the related consolidated statements of operations, comprehensive income, shareholders’ equity, and cash flows for each of the three years in the period ended September 30, 2015. Our audits also included the financial statement schedules listed in the Index at Item 15. These financial statements and financial statement schedules are the responsibility of the Company's management. Our responsibility is to express an opinion on the financial statements and financial statement schedules based on our audits.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September 30, 2015 and 2014, and the results of their operations and their cash flows for each of the three years in the period ended September 30, 2015,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November 24, 2015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24, 2015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50" w:right="239" w:bottom="1440" w:gutter="0" w:footer="0" w:header="0"/>
        </w:sectPr>
      </w:pPr>
    </w:p>
    <w:bookmarkStart w:id="52" w:name="page53"/>
    <w:bookmarkEnd w:id="5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We have audited the internal control over financial reporting of The Scotts Miracle-Gro Company and subsidiaries (the “Company”) as of September 30,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As described in Management’s Report on Internal Control Over Financial Reporting, management excluded from its assessment the internal control over financial reporting at the following subsidiaries which were acquired in 2015: General Hydroponics, Inc., Bio-Organic Solutions, Inc. and Action Pest Control Inc. which were acquired in fiscal 2015. These acquisitions constituted 6% of total assets, 1% and 3% of revenues and net income, respectively, included in the consolidated financial statements as of and for the fiscal year ended September 30, 2015. Accordingly, our audit did not include the internal control over financial reporting at General Hydroponics, Inc., Bio-Organic Solutions, Inc. and Action Pest Control Inc.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2015 of the Company and our report dated November 24, 2015 expressed an unqualified opinion on those financial statements and financial statement schedules.</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24,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0" w:right="239" w:bottom="1440" w:gutter="0" w:footer="0" w:header="0"/>
        </w:sectPr>
      </w:pPr>
    </w:p>
    <w:bookmarkStart w:id="53" w:name="page54"/>
    <w:bookmarkEnd w:id="53"/>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3,016.5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51" w:right="239" w:bottom="1440" w:gutter="0" w:footer="0" w:header="0"/>
        </w:sectPr>
      </w:pPr>
    </w:p>
    <w:bookmarkStart w:id="54" w:name="page55"/>
    <w:bookmarkEnd w:id="54"/>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158.7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losses on derivative instruments, net of tax of $5.3, $3.0 and $2.1 for fiscal</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2015, fiscal 2014 and fiscal 2013,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losses on derivatives to net income, net of tax of $4.0,</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$5.9 and $5.4 for fiscal 2015, fiscal 2014 and fiscal 2013,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4"/>
              </w:rPr>
              <w:t>Net unrealized gains (losses) in pension and other post retirement benefits, net of tax of</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$4.6, $4.9 and ($2.4) for fiscal 2015, fiscal 2014 and fiscal 2013,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pension and post-retirement benefit income to net income, net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$1.9, $1.9 and $2.3 for fiscal 2015, fiscal 2014 and fiscal 2013,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138.1</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5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THE SCOTTS MIRACLE-GRO COMPANY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September 30,</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Impairment, restructuring and other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Loss (gain) on sale of long-lived assets</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(Gain) loss on investment of unconsolidated affiliate</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Prepaid and other assets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Restructuring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non-current items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7080" w:type="dxa"/>
            <w:vAlign w:val="bottom"/>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business, net of transaction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and leaseback transaction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in marketing and license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55" w:right="239" w:bottom="0" w:gutter="0" w:footer="0" w:header="0"/>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Borrowings under revolving and bank lines of credit and term loans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 of 7.25%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sellers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exercise of stock options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1,836.0</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1,932.8</w:t>
            </w:r>
          </w:p>
        </w:tc>
        <w:tc>
          <w:tcPr>
            <w:tcW w:w="1020" w:type="dxa"/>
            <w:vAlign w:val="bottom"/>
          </w:tcPr>
          <w:p>
            <w:pPr>
              <w:jc w:val="right"/>
              <w:spacing w:after="0"/>
              <w:rPr>
                <w:sz w:val="20"/>
                <w:szCs w:val="20"/>
                <w:color w:val="auto"/>
              </w:rPr>
            </w:pPr>
            <w:r>
              <w:rPr>
                <w:rFonts w:ascii="Arial" w:cs="Arial" w:eastAsia="Arial" w:hAnsi="Arial"/>
                <w:sz w:val="16"/>
                <w:szCs w:val="16"/>
                <w:color w:val="auto"/>
              </w:rPr>
              <w:t>1,474.8</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w w:val="87"/>
              </w:rPr>
              <w:t>(1,458.0)</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(1,525.3)</w:t>
            </w:r>
          </w:p>
        </w:tc>
        <w:tc>
          <w:tcPr>
            <w:tcW w:w="1020" w:type="dxa"/>
            <w:vAlign w:val="bottom"/>
          </w:tcPr>
          <w:p>
            <w:pPr>
              <w:jc w:val="right"/>
              <w:spacing w:after="0"/>
              <w:rPr>
                <w:sz w:val="20"/>
                <w:szCs w:val="20"/>
                <w:color w:val="auto"/>
              </w:rPr>
            </w:pPr>
            <w:r>
              <w:rPr>
                <w:rFonts w:ascii="Arial" w:cs="Arial" w:eastAsia="Arial" w:hAnsi="Arial"/>
                <w:sz w:val="16"/>
                <w:szCs w:val="16"/>
                <w:color w:val="auto"/>
              </w:rPr>
              <w:t>(1,682.1)</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(200.0)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(0.5)</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(6.1)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(111.3)</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(230.8)</w:t>
            </w:r>
          </w:p>
        </w:tc>
        <w:tc>
          <w:tcPr>
            <w:tcW w:w="102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(14.8)</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(120.0)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379"/>
              <w:spacing w:after="0"/>
              <w:rPr>
                <w:sz w:val="20"/>
                <w:szCs w:val="20"/>
                <w:color w:val="auto"/>
              </w:rPr>
            </w:pPr>
            <w:r>
              <w:rPr>
                <w:rFonts w:ascii="Arial" w:cs="Arial" w:eastAsia="Arial" w:hAnsi="Arial"/>
                <w:sz w:val="16"/>
                <w:szCs w:val="16"/>
                <w:color w:val="auto"/>
              </w:rPr>
              <w:t>(1.5)</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(0.8)</w:t>
            </w: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4.7</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5.9</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24.3</w:t>
            </w:r>
          </w:p>
        </w:tc>
        <w:tc>
          <w:tcPr>
            <w:tcW w:w="1480" w:type="dxa"/>
            <w:vAlign w:val="bottom"/>
          </w:tcPr>
          <w:p>
            <w:pPr>
              <w:jc w:val="right"/>
              <w:ind w:right="399"/>
              <w:spacing w:after="0"/>
              <w:rPr>
                <w:sz w:val="20"/>
                <w:szCs w:val="20"/>
                <w:color w:val="auto"/>
              </w:rPr>
            </w:pPr>
            <w:r>
              <w:rPr>
                <w:rFonts w:ascii="Arial" w:cs="Arial" w:eastAsia="Arial" w:hAnsi="Arial"/>
                <w:sz w:val="16"/>
                <w:szCs w:val="16"/>
                <w:color w:val="auto"/>
              </w:rPr>
              <w:t>20.0</w:t>
            </w: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r>
    </w:tbl>
    <w:p>
      <w:pPr>
        <w:spacing w:after="0" w:line="13" w:lineRule="exact"/>
        <w:rPr>
          <w:sz w:val="20"/>
          <w:szCs w:val="20"/>
          <w:color w:val="auto"/>
        </w:rPr>
      </w:pPr>
    </w:p>
    <w:p>
      <w:pPr>
        <w:sectPr>
          <w:pgSz w:w="11900" w:h="16838" w:orient="portrait"/>
          <w:cols w:equalWidth="0" w:num="2">
            <w:col w:w="7100" w:space="720"/>
            <w:col w:w="3600"/>
          </w:cols>
          <w:pgMar w:left="240" w:top="855"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(280.6)</w:t>
            </w:r>
          </w:p>
        </w:tc>
      </w:tr>
      <w:tr>
        <w:trPr>
          <w:trHeight w:val="33"/>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129.8</w:t>
            </w:r>
          </w:p>
        </w:tc>
      </w:tr>
      <w:tr>
        <w:trPr>
          <w:trHeight w:val="73"/>
        </w:trPr>
        <w:tc>
          <w:tcPr>
            <w:tcW w:w="708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74"/>
        </w:trPr>
        <w:tc>
          <w:tcPr>
            <w:tcW w:w="70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Interest paid</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33"/>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Call premium on 7.25% senior notes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Income taxes paid</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855" w:right="239" w:bottom="0"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855" w:right="239" w:bottom="0" w:gutter="0" w:footer="0" w:header="0"/>
          <w:type w:val="continuous"/>
        </w:sectPr>
      </w:pPr>
    </w:p>
    <w:bookmarkStart w:id="56" w:name="page57"/>
    <w:bookmarkEnd w:id="56"/>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$8.7 in 2015 and $7.5 in 2014</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16, 17 and 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61.4 in 2015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60.7 in 2014</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 6.7 shares in 2015 and 7.4 shares in 2014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50" w:right="2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2012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Dividends declared ($1.4125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Treasury share purchases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Treasury share issuances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spacing w:after="0" w:line="382" w:lineRule="auto"/>
        <w:rPr>
          <w:sz w:val="20"/>
          <w:szCs w:val="20"/>
          <w:color w:val="auto"/>
        </w:rPr>
      </w:pPr>
      <w:r>
        <w:rPr>
          <w:rFonts w:ascii="Arial" w:cs="Arial" w:eastAsia="Arial" w:hAnsi="Arial"/>
          <w:sz w:val="14"/>
          <w:szCs w:val="14"/>
          <w:color w:val="auto"/>
        </w:rPr>
        <w:t>Dividends declared ($3.7625 per share) Treasury share purchases</w:t>
      </w:r>
    </w:p>
    <w:p>
      <w:pPr>
        <w:spacing w:after="0" w:line="1" w:lineRule="exact"/>
        <w:rPr>
          <w:sz w:val="20"/>
          <w:szCs w:val="20"/>
          <w:color w:val="auto"/>
        </w:rPr>
      </w:pPr>
    </w:p>
    <w:p>
      <w:pPr>
        <w:ind w:right="140"/>
        <w:spacing w:after="0" w:line="459" w:lineRule="auto"/>
        <w:rPr>
          <w:sz w:val="20"/>
          <w:szCs w:val="20"/>
          <w:color w:val="auto"/>
        </w:rPr>
      </w:pPr>
      <w:r>
        <w:rPr>
          <w:rFonts w:ascii="Arial" w:cs="Arial" w:eastAsia="Arial" w:hAnsi="Arial"/>
          <w:sz w:val="13"/>
          <w:szCs w:val="13"/>
          <w:color w:val="auto"/>
        </w:rPr>
        <w:t>Treasury share issuances Investment in noncontrolling interest Balance at September 30, 2014</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spacing w:after="0" w:line="432" w:lineRule="auto"/>
        <w:rPr>
          <w:sz w:val="20"/>
          <w:szCs w:val="20"/>
          <w:color w:val="auto"/>
        </w:rPr>
      </w:pPr>
      <w:r>
        <w:rPr>
          <w:rFonts w:ascii="Arial" w:cs="Arial" w:eastAsia="Arial" w:hAnsi="Arial"/>
          <w:sz w:val="14"/>
          <w:szCs w:val="14"/>
          <w:color w:val="auto"/>
        </w:rPr>
        <w:t>Dividends declared ($1.8200 per share) Treasury share purchases</w:t>
      </w:r>
    </w:p>
    <w:p>
      <w:pPr>
        <w:spacing w:after="0" w:line="1" w:lineRule="exact"/>
        <w:rPr>
          <w:sz w:val="20"/>
          <w:szCs w:val="20"/>
          <w:color w:val="auto"/>
        </w:rPr>
      </w:pPr>
    </w:p>
    <w:p>
      <w:pPr>
        <w:ind w:right="480"/>
        <w:spacing w:after="0" w:line="546" w:lineRule="auto"/>
        <w:rPr>
          <w:sz w:val="20"/>
          <w:szCs w:val="20"/>
          <w:color w:val="auto"/>
        </w:rPr>
      </w:pPr>
      <w:r>
        <w:rPr>
          <w:rFonts w:ascii="Arial" w:cs="Arial" w:eastAsia="Arial" w:hAnsi="Arial"/>
          <w:sz w:val="12"/>
          <w:szCs w:val="12"/>
          <w:color w:val="auto"/>
        </w:rPr>
        <w:t>Treasury share issuances Balance at September 30, 2015</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 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Treasury Shares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Income (loss)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45"/>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408.3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630.2</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601.9</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4"/>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703.4</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4"/>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(112.5)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400.1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-4133215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-3789680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-3446780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-3103880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-2760980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-2417445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-2074545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-1731645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-1388745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-1045845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-702310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-359410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jc w:val="center"/>
        <w:ind w:right="2640"/>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58</w:t>
      </w:r>
    </w:p>
    <w:p>
      <w:pPr>
        <w:sectPr>
          <w:pgSz w:w="11900" w:h="16838" w:orient="portrait"/>
          <w:cols w:equalWidth="0" w:num="2">
            <w:col w:w="2260" w:space="340"/>
            <w:col w:w="8780"/>
          </w:cols>
          <w:pgMar w:left="280" w:top="85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 The Company also operates 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which provides residential and commercial lawn care, tree and shrub care and pest control services in the United States.</w:t>
      </w:r>
    </w:p>
    <w:p>
      <w:pPr>
        <w:spacing w:after="0" w:line="15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March 2014, the Company completed the sale of its U.S. and Canadian wild bird food business. As a result, effective in the second quarter of fiscal 2014, the Company classified its results of operations for all periods presented to reflect the wild bird food business as a discontinued operation.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Due to the nature of the consumer lawn and garden business, the majority of sales to customers occur in the Company’s second and third fiscal quarters.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 combined basis, net sales for the second and third quarters of the last three fiscal years represented in excess of 75% of annual net sales.</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consolidated balance sheets, and the other shareholders' portion of net earnings and other comprehensive income shown as net income/loss or comprehensive income attributable to noncontrolling interest in the Consolidated Statements of Operations and Consolidated Statements of Comprehensive Income (Loss), respectively.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retail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50" w:right="239" w:bottom="1440" w:gutter="0" w:footer="0" w:header="0"/>
        </w:sectPr>
      </w:pPr>
    </w:p>
    <w:bookmarkStart w:id="59" w:name="page60"/>
    <w:bookmarkEnd w:id="5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The costs deferred at September 30, 2015 and 2014 were $0.7 million and $1.9 million, respectively.</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promotes its service offerings through direct mail and direct selling campaigns. External costs associated with these campaigns that qualify as direct response advertising costs are deferred and recognized as advertising expense in proportion to revenues over a period not beyond the end of the immediately following calendar year. Costs that do not qualify as direct response advertising costs are expensed within the fiscal year incurred on a monthly basis in proportion to net sales. The costs deferred at September 30, 2015 and 2014 were $1.5 million and $1.3 million, respectively.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$146.1 million in fiscal 2015, $143.6 million in fiscal 2014 and $142.2 million in fiscal 2013.</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2015, fiscal 2014 and fiscal 2013 were $46.8 million, $48.4 million and $46.4 million, respectively, including product registration costs of $13.1 million, $12.6 million and $12.4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and restricted stock unit awards) outstanding each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realizable values were $17.8 million and $18.4 million at September 30, 2015 and 2014,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$0.4 million, $0.4 million and $0.8 million during fiscal 2015, fiscal 2014 and fiscal 2013,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2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 – 8 years</w:t>
            </w:r>
          </w:p>
        </w:tc>
      </w:tr>
      <w:tr>
        <w:trPr>
          <w:trHeight w:val="27"/>
        </w:trPr>
        <w:tc>
          <w:tcPr>
            <w:tcW w:w="61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within “Operating expenses” in the Consolidated Statements of Operations.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$8.5 million, $7.0 million and $7.3 million during fiscal 2015, fiscal 2014 and fiscal 2013, respectively, representing unpaid liabilities incurred during each fiscal year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2015 and September 30, 2014, the Company had $18.6 million and $21.8 million, respectively, in unamortized capitalized internal use computer software costs. Amortization of these costs was $6.0 million, $8.3 million and $7.3 million during fiscal 2015, fiscal 2014 and fiscal 2013,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six reporting units.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w:t>
      </w:r>
    </w:p>
    <w:p>
      <w:pPr>
        <w:spacing w:after="0" w:line="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intangible assets is determined under the income-based approach utilizing discounted cash flows and incorporating assumptions the Company believes marketplace participants would utilize. For tradenames, value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within “Operating expenses” in the Consolidated Statements of Operations.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net” in the Consolidated Statements of Operations.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 and swap contracts, are used to manage these exposures. These financial instruments are recognized at fair value on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No. 2014-09, Revenue from Contracts with Customers.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of future divestitures and did not have a significant impact on the Company's consolidated financial position, results of operations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April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prospectively for fiscal years beginning after December 15, 2016 and are not expected to have a significant impact on the Company's consolidated financial position,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for fiscal years beginning after December 15, 2015 and require retrospective application. The adoption of the amended guidance impacts presentation and disclosure of debt issuance costs and is not expected to have a significant impact on the Company's consolidated financial position, results of operations or cash flows. As of September 30, 2015, the Company had unamortized debt issuance costs of $11.3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Cloud Computing Arrangements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the FASB issued an accounting standard update that clarifies how customers in cloud computing arrangements should determine whether the arrangement includes a software license, and requires acquired software licenses to be accounted for as licenses of intangible assets. The provisions are effective for fiscal years beginning after December 15, 2015 and are not expected to have a significant impact on the Company's consolidated financial position, results of operations or cash flows.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current-period earnings by line item that would have been recorded in previous reporting periods if the adjustment to the provisional amounts had been recognized as of the acquisition date. The provisions are effective prospectively for fiscal years beginning no later than December 15, 2016 and are not expected to have a significant impact on the Company's consolidated financial position, results of operations or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 Bird Food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business within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06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40.4</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 CHARGES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described herein is classified within the “Impairment, restructuring and other” lines in the Consolidated Statements of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impairment, restructuring and other charges during fiscal 2015, fiscal 2014 and fiscal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and intangible asset impairments</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the restructuring and other charges during fiscal 2015, fiscal 2014 and fiscal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at end of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September 30, 2015, is $4.0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During fiscal 2015, the Company recognized $22.2 million in restructuring costs related to termination benefits provided to U.S. and international personnel as part of the Company's restructuring of its U.S. administrative and overhead functions, the continuation of the international profitability improvement initiative, and the liquidation and exit from the U.K. Solus business. The restructuring charges include $4.3 million of costs related to the acceleration of equity compensation expense for fiscal 2015. Included within the restructuring charges for fiscal 2015 were $14.3 million for the Global Consumer segment, $1.3 million for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and $6.6 million for Corporate &amp; Other. Costs incurred to date since the inception of the current initiatives are $35.7 million for Global Consumer, $1.7 million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and $9.2 million for Corporate &amp; Other.</w:t>
      </w:r>
    </w:p>
    <w:p>
      <w:pPr>
        <w:spacing w:after="0" w:line="8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During the third quarter of fiscal 2015, the Company's Global Consumer segment began experiencing an increase in certain consumer complaints related to the newly reformulated Bonus 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lawn fertilizer product used in the southeastern United States indicating customers were experiencing damage to their lawns after application. During fiscal 2015, the Company recognized $62.4 million in costs related to resolving consumer complaints and the recognition of costs the Company expects to be incurred for current and expected consumer claims. The Company is working through the claims process with its insurers, and received reimbursement payments of $4.9 million during fiscal 2015, which was recorded as an offsetting insurance reimbursement recovery. Upon the receipt of additional reimbursement of these costs by its insurance carriers, the Company will record an offsetting insurance reimbursement recovery. During fiscal 2015, the Company paid $42.7 million to its third party administrator to pay for lawn repairs.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18"/>
          <w:szCs w:val="18"/>
          <w:color w:val="auto"/>
        </w:rPr>
        <w:t>During the third quarter of fiscal 2014, as a result of financial performance,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fiscal 2014, the Company recognized $12.5 million in restructuring costs related to termination benefits provided to U.S. personnel as part of the Company's restructuring of its U.S. administrative and overhead functions. The Company also recognized $2.8 million of international restructuring and other adjustments during fiscal 2014 for the continuation of the profitability improvement initiative announced in December 2012, associated with the international restructuring plan to reduce headcount and streamline management decision making within the Global Consumer segment. In addition, during fiscal 2014, the Company recognized $2.0 million in additional ongoing monitoring and remediation costs for the Company's turfgrass biotechnology program.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144"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During the first quarter of fiscal 2013, the Company recognized income of $4.7 million related to the reimbursement by a vendor for a portion of the costs incurred for the development and commercialization of products including the active ingredient MAT 28 for the Global Consumer segment. During the first quarter of 2013, the Company also recognized a $4.3 million asset impairment charge as a result of issues with the commercialization of an insect repellent technology for the Global Consumer segment. Also, as a result of the Company's annual impairment review performed in the fourth quarter of fiscal 2013, the Company recognized an impairment charge for a non-recurring fair value adjustment of $11.6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certain sub-brands of Ortho</w:t>
      </w:r>
      <w:r>
        <w:rPr>
          <w:rFonts w:ascii="Arial" w:cs="Arial" w:eastAsia="Arial" w:hAnsi="Arial"/>
          <w:sz w:val="25"/>
          <w:szCs w:val="25"/>
          <w:color w:val="auto"/>
          <w:vertAlign w:val="superscript"/>
        </w:rPr>
        <w:t>®</w:t>
      </w:r>
      <w:r>
        <w:rPr>
          <w:rFonts w:ascii="Arial" w:cs="Arial" w:eastAsia="Arial" w:hAnsi="Arial"/>
          <w:sz w:val="18"/>
          <w:szCs w:val="18"/>
          <w:color w:val="auto"/>
        </w:rPr>
        <w:t>.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2013, the Company recognized $9.1 million in restructuring costs related to termination benefits provided to international employees in relation to the profitability improvement initiative announced in December 2012, associated with the international restructuring plan to reduce headcount and streamline management decision making within the Global Consumer segment.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Global</w:t>
            </w:r>
          </w:p>
        </w:tc>
        <w:tc>
          <w:tcPr>
            <w:tcW w:w="2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Scotts</w:t>
            </w:r>
          </w:p>
        </w:tc>
        <w:tc>
          <w:tcPr>
            <w:tcW w:w="400" w:type="dxa"/>
            <w:vAlign w:val="bottom"/>
          </w:tcPr>
          <w:p>
            <w:pPr>
              <w:spacing w:after="0"/>
              <w:rPr>
                <w:sz w:val="14"/>
                <w:szCs w:val="14"/>
                <w:color w:val="auto"/>
              </w:rPr>
            </w:pPr>
          </w:p>
        </w:tc>
        <w:tc>
          <w:tcPr>
            <w:tcW w:w="128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Consumer</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LawnService</w:t>
            </w:r>
            <w:r>
              <w:rPr>
                <w:rFonts w:ascii="Arial" w:cs="Arial" w:eastAsia="Arial" w:hAnsi="Arial"/>
                <w:sz w:val="12"/>
                <w:szCs w:val="12"/>
                <w:b w:val="1"/>
                <w:bCs w:val="1"/>
                <w:color w:val="auto"/>
                <w:w w:val="95"/>
              </w:rPr>
              <w:t>®</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3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at September 30, 2013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w w:val="95"/>
              </w:rPr>
              <w:t>Acquisitions, net of purchase price adjustments and foreign currency translation</w:t>
            </w:r>
          </w:p>
        </w:tc>
        <w:tc>
          <w:tcPr>
            <w:tcW w:w="36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Balance at September 30, 2014</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Acquisitions, net of purchase price adjustments and 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36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at September 30, 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6"/>
              </w:rPr>
              <w:t>September 30, 2015</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70.3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(56.0)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(47.2)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97.3</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(80.2)</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(81.4)</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Indefinite-lived tradenames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Agreement Amendment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Brand Extension Agreement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of the annual impairment review, in the fourth quarter of fiscal 2015, the Company determined that no charges for impairment of goodwill or intangible assets were required. The estimated fair value of each reporting unit with a significant goodwill balance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7"/>
          <w:szCs w:val="17"/>
          <w:color w:val="auto"/>
        </w:rPr>
        <w:t>During the third quarter of 2014, the Company completed an impairment review and recognized an impairment charge for a non-recurring fair value adjustment of $33.7 million, within the Global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impact of the fair value adjustment was to reduce the carrying value of the indefinite-lived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from $126.0 million to $92.3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with a significant goodwill balance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90"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During the first quarter of 2013, the Company recognized a $4.3 million asset impairment charge as a result of issues with the commercialization of an insect repellent technology for the Global Consumer segment. During the fourth quarter of fiscal 2013, the Company completed its annual impairment review and recognized an impairment charge for a non-recurring fair value adjustment of $11.6 million, which included $11.1 million for indefinite-lived tradenames and $0.5 million for finite-lived tradenames, within the Global Consumer segment related to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certain sub-brands of Ortho</w:t>
      </w:r>
      <w:r>
        <w:rPr>
          <w:rFonts w:ascii="Arial" w:cs="Arial" w:eastAsia="Arial" w:hAnsi="Arial"/>
          <w:sz w:val="22"/>
          <w:szCs w:val="22"/>
          <w:color w:val="auto"/>
          <w:vertAlign w:val="superscript"/>
        </w:rPr>
        <w:t>®</w:t>
      </w:r>
      <w:r>
        <w:rPr>
          <w:rFonts w:ascii="Arial" w:cs="Arial" w:eastAsia="Arial" w:hAnsi="Arial"/>
          <w:sz w:val="16"/>
          <w:szCs w:val="16"/>
          <w:color w:val="auto"/>
        </w:rPr>
        <w:t>. The impact of the fair value adjustment was to reduce the carrying value of the indefinite-lived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sub-brands from $137.1 million to $126.0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with a significant goodwill balance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2015, 2014, and 2013 was $17.6 million, $13.8 million and $11.2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2017</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2019</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567"/>
        </w:trPr>
        <w:tc>
          <w:tcPr>
            <w:tcW w:w="7320" w:type="dxa"/>
            <w:vAlign w:val="bottom"/>
          </w:tcPr>
          <w:p>
            <w:pPr>
              <w:spacing w:after="0"/>
              <w:rPr>
                <w:sz w:val="20"/>
                <w:szCs w:val="20"/>
                <w:color w:val="auto"/>
              </w:rPr>
            </w:pPr>
            <w:r>
              <w:rPr>
                <w:rFonts w:ascii="Arial" w:cs="Arial" w:eastAsia="Arial" w:hAnsi="Arial"/>
                <w:sz w:val="18"/>
                <w:szCs w:val="18"/>
                <w:b w:val="1"/>
                <w:bCs w:val="1"/>
                <w:color w:val="auto"/>
              </w:rPr>
              <w:t>NOTE 5. DETAIL OF CERTAIN FINANCIAL STATEMENT ACCOUNTS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420"/>
              <w:spacing w:after="0"/>
              <w:rPr>
                <w:sz w:val="20"/>
                <w:szCs w:val="20"/>
                <w:color w:val="auto"/>
              </w:rPr>
            </w:pPr>
            <w:r>
              <w:rPr>
                <w:rFonts w:ascii="Arial" w:cs="Arial" w:eastAsia="Arial" w:hAnsi="Arial"/>
                <w:sz w:val="18"/>
                <w:szCs w:val="18"/>
                <w:color w:val="auto"/>
              </w:rPr>
              <w:t>The following is detail of certain financial statement accounts: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3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PREPAID AND OTHER CURRENT ASSETS: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Accounts receivable, non-trade</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5620"/>
              <w:spacing w:after="0"/>
              <w:rPr>
                <w:sz w:val="20"/>
                <w:szCs w:val="20"/>
                <w:color w:val="auto"/>
              </w:rPr>
            </w:pPr>
            <w:r>
              <w:rPr>
                <w:rFonts w:ascii="Arial" w:cs="Arial" w:eastAsia="Arial" w:hAnsi="Arial"/>
                <w:sz w:val="18"/>
                <w:szCs w:val="18"/>
                <w:color w:val="auto"/>
              </w:rPr>
              <w:t>68</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postretirement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Unrecognized loss on derivatives, net of tax of $5.6, $4.3 and $7.1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$39.3, $38.6 and $31.4</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The Scotts Company LLC and Monsanto are parties to an Amended and Restated Exclusive Agency and Marketing Agreement (the “Marketing Agreement”), pursuant to which the Company has served since its 1998 fiscal year as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w:t>
      </w:r>
    </w:p>
    <w:p>
      <w:pPr>
        <w:sectPr>
          <w:pgSz w:w="11900" w:h="16838" w:orient="portrait"/>
          <w:cols w:equalWidth="0" w:num="1">
            <w:col w:w="11420"/>
          </w:cols>
          <w:pgMar w:left="240" w:top="122"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Agreement subject to the achievement of annual earnings thresholds. The Marketing Agreement also requires the Company to make annual payments of $20 million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$2.6 million and remaining amortization period of less than 3 years as of September 30, 2015.</w:t>
      </w:r>
    </w:p>
    <w:p>
      <w:pPr>
        <w:spacing w:after="0" w:line="13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100" w:lineRule="exact"/>
        <w:rPr>
          <w:rFonts w:ascii="Arial" w:cs="Arial" w:eastAsia="Arial" w:hAnsi="Arial"/>
          <w:sz w:val="18"/>
          <w:szCs w:val="18"/>
          <w:i w:val="1"/>
          <w:iCs w:val="1"/>
          <w:color w:val="auto"/>
        </w:rPr>
      </w:pPr>
    </w:p>
    <w:p>
      <w:pPr>
        <w:jc w:val="both"/>
        <w:ind w:left="820" w:hanging="326"/>
        <w:spacing w:after="0" w:line="210" w:lineRule="auto"/>
        <w:tabs>
          <w:tab w:leader="none" w:pos="8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23" w:lineRule="exact"/>
        <w:rPr>
          <w:rFonts w:ascii="Arial" w:cs="Arial" w:eastAsia="Arial" w:hAnsi="Arial"/>
          <w:sz w:val="17"/>
          <w:szCs w:val="17"/>
          <w:i w:val="1"/>
          <w:iCs w:val="1"/>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the minimum termination fee payable under the Marketing Agreement to the greater of (1) $200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color w:val="auto"/>
        </w:rPr>
      </w:pPr>
    </w:p>
    <w:p>
      <w:pPr>
        <w:jc w:val="both"/>
        <w:ind w:left="1300" w:hanging="320"/>
        <w:spacing w:after="0" w:line="22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are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20 years, which will automatically renew for additional successive 20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30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the $300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12"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in 1998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78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8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18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8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18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vMerge w:val="restart"/>
          </w:tcPr>
          <w:p>
            <w:pPr>
              <w:jc w:val="right"/>
              <w:ind w:right="856"/>
              <w:spacing w:after="0"/>
              <w:rPr>
                <w:sz w:val="20"/>
                <w:szCs w:val="20"/>
                <w:color w:val="auto"/>
              </w:rPr>
            </w:pPr>
            <w:r>
              <w:rPr>
                <w:rFonts w:ascii="Arial" w:cs="Arial" w:eastAsia="Arial" w:hAnsi="Arial"/>
                <w:sz w:val="18"/>
                <w:szCs w:val="18"/>
                <w:color w:val="auto"/>
              </w:rPr>
              <w:t>71</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6"/>
          <w:szCs w:val="16"/>
          <w:color w:val="auto"/>
        </w:rPr>
        <w:t>On October 16, 2014,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acquired the assets of Action Pest Control Inc. (“Action Pest”), a residential and commercial pest control provider in the Midwest, for $21.7 million. Action Pest provides residential and commercial pest control services to homeowners and businesses throughout Indiana, Kentucky, and Illinois. This transaction provides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 entry into the pest control market. Included in the purchase price of $21.7 million is non-cash investing activity of $4.0 million representing the deferral of a portion of the purchase price into subsequent fiscal periods. The valuation of acquired assets included finite-lived identifiable intangible assets of $6.1 million and tax deductible goodwill of $14.1 million. Identifiable intangible assets included tradename, customer relationships and non-compete agreements with useful lives ranging between 1 to 12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Action Pest included in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for fiscal 2015 were $12.0 million. During fiscal 2015,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also acquired several other businesses that individually and in the aggregate were not significant for an aggregate purchase price of $3.5 million, which included $2.6 million in tax deductible goodwill.</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the Company completed four acquisitions of growing media operations within the Global Consumer segment for an aggregate purchase price of $40.2 million. These acquisitions expand the Company's growing media operations and distribution capabilities within its Global Consumer segment. The valuation of acquired assets for the transactions included (i) $10.1 million in finite-lived identifiable intangible assets, (ii) $11.4 million in fixed assets, (iii) $9.8 million in tax deductible goodwill, and (iv) $9.7 million of inventory and accounts receivable. Identifiable intangible assets include tradenames and customer relationships with useful lives ranging between 7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these acquired businesses included in the Global Consumer segment for fiscal 2015 were $21.2 million.</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On March 30, 2015, the Company acquired the assets of General Hydroponics, Inc. (“General Hydroponics”) and Bio-Organic Solutions, Inc. (“Vermicrop”) for $120.0 million and $15.0 million, respectively. This transaction provides the Company's Global Consumer segment with an additional entry in the indoor and urban gardening market, which is a part of the Global Consumer segment's long-term growth strategy. General Hydroponics and Vermicrop are leading producers of liquid plant food products, growing media, and accessories for the hydroponics markets. The General Hydroponics purchase price includes non-cash investing activity of $1.0 million representing the deferral of a portion of the purchase price into fiscal 2016. Included in the Vermicrop purchase price is $5.0 million of contingent consideration, the payment of which will depend on the performance of the business through calendar year 2015. Additionally, the Vermicrop purchase price was paid in common shares of Scotts Miracle-Gro (“Common Shares”) based on the average share price at the time of payment. The valuation of acquired assets was determined during the third quarter of fiscal 2015 and included (i) $14.2 million of inventory and accounts receivable, (ii) $5.7 million in fixed assets, (iii) $65.0 million of finite-lived identifiable intangible assets, and (iv) $53.7 million of tax-deductible goodwill. Identifiable intangible assets included tradenames, customer relationships and non-compete arrangements with useful lives ranging between 5 to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Global Consumer segment for fiscal 2015 were $30.9 million.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Consolidated Financial Statements include the results of operations for these business combinations from the date of each acquisition.</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During the fourth quarter of fiscal 2014, the Company obtained control of the operations of AeroGrow through its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Australia and select countries in Europe and Asia. The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AeroGrow included in the Global Consumer segment for fiscal 2015 and 2014 were $17.1 million and $1.7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completed an acquisition of the assets of the U.K. based Solus Garden and Leisure Limited (“Solus”) in the fourth quarter of fiscal 2014 within its Global Consumer segment for $7.4 million, $1.1 million of which was paid in cash and $6.3 million of which was paid through the forgiveness of outstanding accounts receivable owed by Solus to the Company. Solus is a supplier of garden and leisure products and offers a diverse mix of brands. Net sales for Solus included in the Global Consumer segment for fiscal 2015 and 2014 were $21.2 million and $3.3 million, respectively.</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September 30, 2014, Scotts Miracle-Gro's wholly-owned subsidiary, Scotts Canada Ltd., acquired Fafard &amp; Brothers Ltd. (“Fafard”) for $59.8 million. Fafard is a Canadian based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The valuation of acquired assets included working capital of $17.6 million, property, plant, and equipment of $23.4 million, finite-lived identifiable intangible assets of $12.6 million, and tax deductible goodwill of $7.9 million. Working capital included accounts receivable of $4.7 million, inventory of $17.7 million, and accounts payable of $4.8 million. Identifiable intangible assets included tradename, customer relationships, non-compete agreements, and peat harvesting rights with useful lives ranging between 1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Included in the purchase price of Fafard is $7.1 million of contingent consideration, the payment of which will depend on the performance of the business through fiscal 2016. Net sales for Fafard included in the Global Consumer segment for fiscal 2015 were $37.8 million.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Consolidated Financial Statements include the results of operations for these business combinations from the date of each acquisition.</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90"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During fiscal 2013, the Company completed several acquisitions within its controls, growing media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businesses that individually and in the aggregate were not significant. The aggregate purchase price of these acquisitions was $7.2 million. The Consolidated Financial Statements include the results of operations for these business combinations from the date of each acquisition.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PLANS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may make additional discretionary profit sharing matching contributions to eligible employees on their initial 4% contribution. The Company recorded charges of $14.1 million, $13.8 million and $13.1 million under the plan in fiscal 2015, fiscal 2014 and fiscal 2013, respectively.</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sponsors two defined benefit pension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 In connection with the restructuring plans discussed in “NOTE 3. IMPAIRMENT, RESTRUCTURING AND OTHER CHARGES,” the Company recognized a plan curtailment gain of $0.5 million in fiscal 2013 for a change in the benefit obligations associated with these plans.</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In fiscal 2013, the Company's remaining obligations were settled for the defined benefit pension plan associated with its Netherlands business. On July 1, 2010, the Company froze its two U.K. defined benefit pension plans and transferred participants to an amended defined contribution plan. Under the frozen defined benefit plans, participants are no longer credited for future service; however, future salary increases will continue to be factored into each participant’s final pension benefit.</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October 2014, the Society of Actuaries released an updated report on mortality tables and a mortality improvement scale to reflect increasing life expectancies in the United States. As of September 30, 2015, the Company revised assumed mortality rates to reflect the updated information, resulting in an increase in the projected benefit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3"/>
            <w:vMerge w:val="restart"/>
          </w:tcPr>
          <w:p>
            <w:pPr>
              <w:jc w:val="right"/>
              <w:ind w:right="431"/>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43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3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11"/>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109.2</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109.2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Underfunded status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5"/>
              </w:rPr>
              <w:t>Amounts recognized in the Consolidated Balance Sheets consist of:</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1"/>
              </w:rPr>
              <w:t>Amounts recognized in accumulated other comprehensive loss consist</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U.S. Defined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7"/>
          </w:tcPr>
          <w:p>
            <w:pPr>
              <w:jc w:val="center"/>
              <w:ind w:left="653"/>
              <w:spacing w:after="0"/>
              <w:rPr>
                <w:sz w:val="20"/>
                <w:szCs w:val="20"/>
                <w:color w:val="auto"/>
              </w:rPr>
            </w:pPr>
            <w:r>
              <w:rPr>
                <w:rFonts w:ascii="Arial" w:cs="Arial" w:eastAsia="Arial" w:hAnsi="Arial"/>
                <w:sz w:val="14"/>
                <w:szCs w:val="14"/>
                <w:b w:val="1"/>
                <w:bCs w:val="1"/>
                <w:color w:val="auto"/>
                <w:w w:val="91"/>
              </w:rPr>
              <w:t>Benefit Pension Plans</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35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(In millions, except percentage figures)</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Pension benefit (loss) gain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
              <w:spacing w:after="0"/>
              <w:rPr>
                <w:sz w:val="20"/>
                <w:szCs w:val="20"/>
                <w:color w:val="auto"/>
              </w:rPr>
            </w:pPr>
            <w:r>
              <w:rPr>
                <w:rFonts w:ascii="Arial" w:cs="Arial" w:eastAsia="Arial" w:hAnsi="Arial"/>
                <w:sz w:val="18"/>
                <w:szCs w:val="18"/>
                <w:color w:val="auto"/>
                <w:w w:val="89"/>
              </w:rPr>
              <w:t>(18.2)</w:t>
            </w:r>
          </w:p>
        </w:tc>
        <w:tc>
          <w:tcPr>
            <w:tcW w:w="74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5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89"/>
              </w:rPr>
              <w:t>(14.9)</w:t>
            </w:r>
          </w:p>
        </w:tc>
        <w:tc>
          <w:tcPr>
            <w:tcW w:w="740" w:type="dxa"/>
            <w:vAlign w:val="bottom"/>
            <w:tcBorders>
              <w:bottom w:val="single" w:sz="8" w:color="CCEEFF"/>
            </w:tcBorders>
            <w:gridSpan w:val="3"/>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b w:val="1"/>
                <w:bCs w:val="1"/>
                <w:color w:val="auto"/>
                <w:w w:val="90"/>
              </w:rPr>
              <w:t>Amounts in accumulated other comprehensive loss expected to be</w:t>
            </w: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5"/>
          </w:tcPr>
          <w:p>
            <w:pPr>
              <w:ind w:left="40"/>
              <w:spacing w:after="0"/>
              <w:rPr>
                <w:sz w:val="20"/>
                <w:szCs w:val="20"/>
                <w:color w:val="auto"/>
              </w:rPr>
            </w:pPr>
            <w:r>
              <w:rPr>
                <w:rFonts w:ascii="Arial" w:cs="Arial" w:eastAsia="Arial" w:hAnsi="Arial"/>
                <w:sz w:val="18"/>
                <w:szCs w:val="18"/>
                <w:b w:val="1"/>
                <w:bCs w:val="1"/>
                <w:color w:val="auto"/>
                <w:w w:val="89"/>
              </w:rPr>
              <w:t>recognized as components of net periodic benefit cost in fiscal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are as follows: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w w:val="87"/>
              </w:rPr>
              <w:t>Weighted average assumptions used in development of projected</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3.81%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504"/>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w w:val="92"/>
              </w:rPr>
              <w:t>U.S. Defined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336"/>
              <w:spacing w:after="0"/>
              <w:rPr>
                <w:sz w:val="20"/>
                <w:szCs w:val="20"/>
                <w:color w:val="auto"/>
              </w:rPr>
            </w:pPr>
            <w:r>
              <w:rPr>
                <w:rFonts w:ascii="Arial" w:cs="Arial" w:eastAsia="Arial" w:hAnsi="Arial"/>
                <w:sz w:val="14"/>
                <w:szCs w:val="14"/>
                <w:b w:val="1"/>
                <w:bCs w:val="1"/>
                <w:color w:val="auto"/>
                <w:w w:val="89"/>
              </w:rPr>
              <w:t>Benefit Pension Plans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center"/>
              <w:ind w:left="48"/>
              <w:spacing w:after="0"/>
              <w:rPr>
                <w:sz w:val="20"/>
                <w:szCs w:val="20"/>
                <w:color w:val="auto"/>
              </w:rPr>
            </w:pPr>
            <w:r>
              <w:rPr>
                <w:rFonts w:ascii="Arial" w:cs="Arial" w:eastAsia="Arial" w:hAnsi="Arial"/>
                <w:sz w:val="14"/>
                <w:szCs w:val="14"/>
                <w:b w:val="1"/>
                <w:bCs w:val="1"/>
                <w:color w:val="auto"/>
                <w:w w:val="90"/>
              </w:rPr>
              <w:t>Defined Benefit Pension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11"/>
          </w:tcPr>
          <w:p>
            <w:pPr>
              <w:ind w:left="60"/>
              <w:spacing w:after="0"/>
              <w:rPr>
                <w:sz w:val="20"/>
                <w:szCs w:val="20"/>
                <w:color w:val="auto"/>
              </w:rPr>
            </w:pPr>
            <w:r>
              <w:rPr>
                <w:rFonts w:ascii="Arial" w:cs="Arial" w:eastAsia="Arial" w:hAnsi="Arial"/>
                <w:sz w:val="14"/>
                <w:szCs w:val="14"/>
                <w:b w:val="1"/>
                <w:bCs w:val="1"/>
                <w:color w:val="auto"/>
                <w:w w:val="95"/>
              </w:rPr>
              <w:t>(In millions, except percentage figures)</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500" w:type="dxa"/>
            <w:vAlign w:val="bottom"/>
            <w:gridSpan w:val="3"/>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jc w:val="right"/>
              <w:ind w:right="22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5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5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8"/>
                <w:szCs w:val="18"/>
                <w:color w:val="auto"/>
                <w:w w:val="97"/>
              </w:rPr>
              <w:t>(8.9)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benefit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1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2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development of net periodic benefit cost: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3.73%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3"/>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U.S. Defined</w:t>
            </w:r>
          </w:p>
        </w:tc>
        <w:tc>
          <w:tcPr>
            <w:tcW w:w="220" w:type="dxa"/>
            <w:vAlign w:val="bottom"/>
          </w:tcPr>
          <w:p>
            <w:pPr>
              <w:spacing w:after="0"/>
              <w:rPr>
                <w:sz w:val="12"/>
                <w:szCs w:val="12"/>
                <w:color w:val="auto"/>
              </w:rPr>
            </w:pPr>
          </w:p>
        </w:tc>
        <w:tc>
          <w:tcPr>
            <w:tcW w:w="11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Benefit Pension</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3"/>
              </w:rPr>
              <w:t>Benefit Pension Plans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3"/>
              </w:rPr>
              <w:t>(In millions, except percentage figures)</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3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2016:</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2015:</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2014:</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40" w:type="dxa"/>
            <w:vAlign w:val="bottom"/>
          </w:tcPr>
          <w:p>
            <w:pPr>
              <w:ind w:left="68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Company contributions in fiscal 2016</w:t>
            </w:r>
          </w:p>
        </w:tc>
        <w:tc>
          <w:tcPr>
            <w:tcW w:w="4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Expected future benefit payments: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4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2017</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2019</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2021 – 2026</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702"/>
        </w:trPr>
        <w:tc>
          <w:tcPr>
            <w:tcW w:w="4540" w:type="dxa"/>
            <w:vAlign w:val="bottom"/>
          </w:tcPr>
          <w:p>
            <w:pPr>
              <w:spacing w:after="0"/>
              <w:rPr>
                <w:sz w:val="24"/>
                <w:szCs w:val="24"/>
                <w:color w:val="auto"/>
              </w:rPr>
            </w:pPr>
          </w:p>
        </w:tc>
        <w:tc>
          <w:tcPr>
            <w:tcW w:w="3980" w:type="dxa"/>
            <w:vAlign w:val="bottom"/>
          </w:tcPr>
          <w:p>
            <w:pPr>
              <w:jc w:val="right"/>
              <w:ind w:right="263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2015</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2014</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10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 (net of federal subsidy of $0.3 and $0.3)</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Plan changes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Gross benefits paid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Unfunded status at end of year</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89"/>
              </w:rPr>
              <w:t>(26.0)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(26.0)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cost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loss during the period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prior service cost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 (income)</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642"/>
        </w:trPr>
        <w:tc>
          <w:tcPr>
            <w:tcW w:w="6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9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estimated actuarial loss that will be amortized from accumulated loss into net periodic benefit cost over the next fiscal year is $0.1 million. On January 1, 2016, a plan change will become effective whereby Medicare eligible participants will be covered under a Health Reimbursement Arrangement (“HRA”) and a catastrophic prescription drug plan provided by the Company that will be used by retirees to purchase individual insurance policies that supplement or replace Medicare through a private exchange. This plan change resulted in a decrease in the benefit obligation of $8.2 million.</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2015, has been reduced by $0.3 million to reflect the effect of the subsidy. The reduction of service and interest costs and decrease in amortization of the actuarial loss served to reduce net periodic post retirement benefit cost for fiscal 2015, fiscal 2014 and fiscal 2013 by $0.1 million, $0.1 million and $0.3 million, respectively.</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measurement as of September 30, 2015, management has assumed that health care costs will increase at an annual rate of 7.25% in fiscal 2016, and thereafter decreasing 0.25% per year to an ultimate trend rate of 5.00% in 2024. A 1% increase in health cost trend rate assumptions would increase the APBO by $0.1 million as of September 30, 2015 and would decrease the APBO by $0.1 million as of September 30, 2015. A 1% increase or decrease in the health cost trend rate assumptions would not have a material effect on service or interest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Retiree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Contributions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2021 – 2025</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$0.6 million per occurrence per individual. The cost of such benefits is recognized as expense in the period the claim is incurred. This cost was $32.3 million, $33.8 million and $35.1 million in fiscal 2015, fiscal 2014 and fiscal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 – Revolving loans</w:t>
            </w:r>
          </w:p>
        </w:tc>
        <w:tc>
          <w:tcPr>
            <w:tcW w:w="4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Senior Notes – 6.625%</w:t>
            </w:r>
          </w:p>
        </w:tc>
        <w:tc>
          <w:tcPr>
            <w:tcW w:w="3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Master Accounts Receivable Purchase Agreement</w:t>
            </w:r>
          </w:p>
        </w:tc>
        <w:tc>
          <w:tcPr>
            <w:tcW w:w="3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w:t>
            </w:r>
          </w:p>
        </w:tc>
        <w:tc>
          <w:tcPr>
            <w:tcW w:w="3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3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81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80" w:type="dxa"/>
            <w:vAlign w:val="bottom"/>
          </w:tcPr>
          <w:p>
            <w:pPr>
              <w:ind w:left="420"/>
              <w:spacing w:after="0"/>
              <w:rPr>
                <w:sz w:val="20"/>
                <w:szCs w:val="20"/>
                <w:color w:val="auto"/>
              </w:rPr>
            </w:pPr>
            <w:r>
              <w:rPr>
                <w:rFonts w:ascii="Arial" w:cs="Arial" w:eastAsia="Arial" w:hAnsi="Arial"/>
                <w:sz w:val="18"/>
                <w:szCs w:val="18"/>
                <w:color w:val="auto"/>
                <w:w w:val="99"/>
              </w:rPr>
              <w:t>The Company’s debt matures as follows for each of the next five fiscal years and thereafter (in millions):</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24"/>
        </w:trPr>
        <w:tc>
          <w:tcPr>
            <w:tcW w:w="8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2017</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2019</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816.9</w:t>
            </w:r>
          </w:p>
        </w:tc>
      </w:tr>
      <w:tr>
        <w:trPr>
          <w:trHeight w:val="27"/>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200.0</w:t>
            </w:r>
          </w:p>
        </w:tc>
      </w:tr>
      <w:tr>
        <w:trPr>
          <w:trHeight w:val="27"/>
        </w:trPr>
        <w:tc>
          <w:tcPr>
            <w:tcW w:w="8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December 20, 2013, the Company entered into a third amended and restated senior secured credit agreement, providing the Company and certain of its subsidiaries with a five-year senior secured revolving loan facility in the aggregate principal amount of up to $1.7 billion (the “former credit facility”). The former credit facility, which was in effect throughout fiscal 2015 and as of September 30, 2015, also provided the Company with the right to seek to increase the credit facility by an aggregate amount of up to $450.0 million, subject to certain specified conditions, including approval from lenders. Under the former credit facility, the Company had the ability to obtain letters of credit up to $75 million. At September 30, 2015, the Company had letters of credit outstanding in the aggregate face amount of $22.7 million, and $861.0 million of availability under the former credit facility, subject to the Company's continued compliance with covenants discussed below. The weighted average interest rates on average borrowings under the former credit facility were 4.0% and 4.8% for fiscal 2015 and fiscal 2014, respectively. In August 2015, the Company paid Monsanto $300 million using a combination of cash and borrowings under the former credit facility.</w:t>
      </w:r>
    </w:p>
    <w:p>
      <w:pPr>
        <w:spacing w:after="0" w:line="12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Subsequent to the end of fiscal 2015, on October 29, 2015, the Company entered into a fourth amended and restated credit agreement (the “new credit agreement”), providing the Company and certain of its subsidiaries with five-year senior secured loan facilities in the aggregate principal amount of $1.9 billion, comprised of a revolving credit facility of $1.6 billion and a term loan in the amount of $300 million (the “new credit facilities”). The new credit agreement also provides the Company with the right to seek additional committed credit under the agreement in an aggregate amount of up to $500 million plus an unlimited additional amount, subject to certain specified financial and other conditions. The new credit agreement replaces the former credit facility, and will terminate on October 29, 2020. Borrowings on the revolving credit facility may be made in various currencies, including U.S. dollars, euro, British pounds, Australian dollars, and Canadian dollars. The terms of the new credit agreement includes representations and warranties, customary affirmative and negative covenants, financial covenants, and events of default. The proceeds of borrowings on the new credit facilities may be used: (i) to finance working capital requirements and other general corporate purposes of the Company and its subsidiaries; and (ii) to refinance the amounts outstanding under the former credit facility.</w:t>
      </w:r>
    </w:p>
    <w:p>
      <w:pPr>
        <w:spacing w:after="0" w:line="11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terms of the former credit facility, loans bear interest, at the Company’s election, at a rate per annum equal to either the ABR or LIBOR (both as defined in the former credit facility) plus the applicable margin. The former credit facility is guaranteed by substantially all of the Company's domestic subsidiaries, and is secured by (i) a perfected first priority security interest in all of the accounts receivable, inventory and equipment of the Company and those of the Company's domestic subsidiaries that are guarantors and (ii) the pledge of all of the capital stock of the Company’s domestic subsidiaries that are guarantors.</w:t>
      </w:r>
    </w:p>
    <w:p>
      <w:pPr>
        <w:spacing w:after="0" w:line="1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new credit agreement contains, among other obligations, an affirmative covenant regarding the Company’s leverage ratio on the last day of each quarter on and after September 30, 2015, calculated as average total indebtedness, divided by the Company’s earnings before interest, taxes, depreciation and amortization (“EBITDA”), as adjusted pursuant to the terms of the new credit facilities (“Adjusted EBITDA”). The maximum leverage ratio was 4.50 as of September 30, 2015. The Company’s leverage ratio was 2.63 at September 30, 2015. The new credit agreement also includes an affirmative covenant regarding its interest coverage ratio. The interest coverage ratio is calculated as Adjusted EBITDA divided by interest expense, as described in the new credit agreement, and excludes costs related to refinancings. The minimum interest coverage ratio was 3.00 for the twelve months ended September 30, 2015. The Company’s interest coverage ratio was 9.34 for the twelve months ended September 30, 2015. The terms of the new credit agreement allow the Company to make unlimited restricted payments (as defined in the new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for such fiscal year ($175.0 million for 2016 and 2017 and $200.0 million for 2018 and in each fiscal year thereafter).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- 7.25%</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7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December 16, 2010, Scotts Miracle-Gro issued $200 million aggregate principal amount of 6.625% Senior Notes due 2020 (the “6.625% Senior Notes”). The net proceeds of the offering were used to repay outstanding borrowings under the Company’s then existing credit facilities and for general corporate purposes. The 6.625% Senior Notes represent general unsecured senior obligations of Scotts Miracle-Gro and rank equal in right of payment with the Company’s existing and future unsecured senior debt, including, without limitation, the 7.25% Senior Notes. The 6.625% Senior Notes have interest payment dates of June 15 and December 15 of each year, which began on June 15, 2011, and may be redeemed prior to maturity starting December 2015 at applicable redemption premiums. The 6.625% Senior Notes contain usual and customary covenants. Substantially all of Scotts Miracle-Gro’s domestic subsidiaries serve as guarantors of the 6.625% Senior Notes. The 6.625% Senior Notes mature on December 15, 2020. On November 13, 2015, Scotts Miracle-Gro provided an irrevocable notice to the trustee of its election to redeem all of its outstanding 6.625% Senior Notes for a redemption price of $213.2 million, comprised of $6.6 million of accrued and unpaid interest, $6.6 million of call premium, and $200 million for outstanding principal amount. The $6.6 million call premium charge will be recognized in the Company's first quarter of fiscal 2016. As of September 30, 2015, the Company has classified the $200 million of the 6.625% Senior Notes as long-term debt on the Consolidated Balance Sheet. Additionally, the Company had $2.1 million in unamortized bond issuance costs as of September 30, 2015, which are expected to be written-off in the Company's first quarter of fiscal 2016.</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Subsequent to the end of fiscal 2015, on October 13, 2015, Scotts Miracle-Gro issued $400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commencing April 15, 2016, and may be redeemed prior to maturity starting October 2018 at applicable redemption premiums. The 6.000% Senior Notes contain usual and customary covenants. The 6.000% Senior Notes mature on October 15, 2023. Substantially all of Scotts Miracle-Gro’s domestic subsidiaries serve as guarantors of the 6.000% Senior Notes.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maintains a Master Accounts Receivable Purchase Agreement (“MARP Agreement”), which provides for the discretionary sale by the Company, and the discretionary purchase by the participating banks, on a revolving basis, of accounts receivable generated by sales to three specified account debtors in an aggregate amount not to exceed $400 million. The MARP Agreement is subject to renewal by mutual agreement at least annually.</w:t>
      </w:r>
    </w:p>
    <w:p>
      <w:pPr>
        <w:spacing w:after="0" w:line="6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September 25, 2015, the Company entered into an amended and restated MARP Agreement that provides for the discretionary sale and purchase, on a revolving basis, of certain accounts receivable in an aggregate amount not to exceed $400 million as described above, but adds a commitment period during which the banks will be required to purchase such accounts receivable in an aggregate committed amount not to exceed $160.0 million. The commitment period will begin no earlier than February 20, 2016 and end no later than June 17, 2016, and the commencement and continuation of the commitment period will be subject to, among other things, the absence of any termination event under the MARP Agreement or any default or event of default under our current credit agreement. Under the terms of the amended and restated MARP Agreement, the banks have the opportunity to purchase those accounts receivable offered by the Company at a discount (from the agreed base value thereof) effectively equal to the one-week LIBOR plus 0.75%. The MARP Agreement has a termination date of August 26, 2016. The Company accounts for the sale of receivables under its MARP Agreement as short-term debt and continues to carry the receivables on its Consolidated Balance Sheet, primarily as a result of the Company’s right to repurchase receivables sold. There were $122.3 million and $84.0 million in short-term borrowings under the MARP Agreement as of September 30, 2015 and September 30, 2014, respectively. As of September 30, 2015, there was $2.8 million of availability under the MARP Agreement. The carrying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value of the receivables pledged as collateral was $152.9 million and $113.7 million as of September 30, 2015 and September 30, 2014, respectively.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$1,300 million at September 30, 2015 and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980" w:type="dxa"/>
            <w:vAlign w:val="bottom"/>
          </w:tcPr>
          <w:p>
            <w:pPr>
              <w:jc w:val="right"/>
              <w:ind w:right="57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3"/>
              <w:spacing w:after="0"/>
              <w:rPr>
                <w:sz w:val="20"/>
                <w:szCs w:val="20"/>
                <w:color w:val="auto"/>
              </w:rPr>
            </w:pPr>
            <w:r>
              <w:rPr>
                <w:rFonts w:ascii="Arial" w:cs="Arial" w:eastAsia="Arial" w:hAnsi="Arial"/>
                <w:sz w:val="14"/>
                <w:szCs w:val="14"/>
                <w:b w:val="1"/>
                <w:bCs w:val="1"/>
                <w:color w:val="auto"/>
              </w:rPr>
              <w:t>Fixed</w:t>
            </w:r>
          </w:p>
        </w:tc>
      </w:tr>
      <w:tr>
        <w:trPr>
          <w:trHeight w:val="192"/>
        </w:trPr>
        <w:tc>
          <w:tcPr>
            <w:tcW w:w="400" w:type="dxa"/>
            <w:vAlign w:val="bottom"/>
          </w:tcPr>
          <w:p>
            <w:pPr>
              <w:spacing w:after="0"/>
              <w:rPr>
                <w:sz w:val="16"/>
                <w:szCs w:val="16"/>
                <w:color w:val="auto"/>
              </w:rPr>
            </w:pPr>
          </w:p>
        </w:tc>
        <w:tc>
          <w:tcPr>
            <w:tcW w:w="1980" w:type="dxa"/>
            <w:vAlign w:val="bottom"/>
          </w:tcPr>
          <w:p>
            <w:pPr>
              <w:jc w:val="right"/>
              <w:ind w:right="73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3"/>
              <w:spacing w:after="0"/>
              <w:rPr>
                <w:sz w:val="20"/>
                <w:szCs w:val="20"/>
                <w:color w:val="auto"/>
              </w:rPr>
            </w:pPr>
            <w:r>
              <w:rPr>
                <w:rFonts w:ascii="Arial" w:cs="Arial" w:eastAsia="Arial" w:hAnsi="Arial"/>
                <w:sz w:val="14"/>
                <w:szCs w:val="14"/>
                <w:b w:val="1"/>
                <w:bCs w:val="1"/>
                <w:color w:val="auto"/>
              </w:rPr>
              <w:t>Rate</w:t>
            </w:r>
          </w:p>
        </w:tc>
      </w:tr>
      <w:tr>
        <w:trPr>
          <w:trHeight w:val="250"/>
        </w:trPr>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57"/>
        </w:trPr>
        <w:tc>
          <w:tcPr>
            <w:tcW w:w="400" w:type="dxa"/>
            <w:vAlign w:val="bottom"/>
          </w:tcPr>
          <w:p>
            <w:pPr>
              <w:spacing w:after="0"/>
              <w:rPr>
                <w:sz w:val="22"/>
                <w:szCs w:val="22"/>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4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2/7/2012</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5/7/2016</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3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400" w:type="dxa"/>
            <w:vAlign w:val="bottom"/>
          </w:tcPr>
          <w:p>
            <w:pPr>
              <w:spacing w:after="0"/>
              <w:rPr>
                <w:sz w:val="22"/>
                <w:szCs w:val="22"/>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Pr>
          <w:p>
            <w:pPr>
              <w:ind w:left="4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2/16/2010</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5/16/2016</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3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57"/>
        </w:trPr>
        <w:tc>
          <w:tcPr>
            <w:tcW w:w="400" w:type="dxa"/>
            <w:vAlign w:val="bottom"/>
          </w:tcPr>
          <w:p>
            <w:pPr>
              <w:spacing w:after="0"/>
              <w:rPr>
                <w:sz w:val="22"/>
                <w:szCs w:val="22"/>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Pr>
          <w:p>
            <w:pPr>
              <w:ind w:left="4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12/20/2011</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6/20/2016</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3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2/7/2014</w:t>
            </w:r>
          </w:p>
        </w:tc>
        <w:tc>
          <w:tcPr>
            <w:tcW w:w="34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11/7/2017</w:t>
            </w:r>
          </w:p>
        </w:tc>
        <w:tc>
          <w:tcPr>
            <w:tcW w:w="34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400" w:type="dxa"/>
            <w:vAlign w:val="bottom"/>
          </w:tcPr>
          <w:p>
            <w:pPr>
              <w:spacing w:after="0"/>
              <w:rPr>
                <w:sz w:val="22"/>
                <w:szCs w:val="22"/>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340" w:type="dxa"/>
            <w:vAlign w:val="bottom"/>
          </w:tcPr>
          <w:p>
            <w:pPr>
              <w:ind w:left="4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4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 The fair value measurement for the former credit facility was classified in Level 2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6.625% Senior Notes was determined based on the trading value of the 6.625% Senior Notes in the open market. The difference between the carrying value and the fair value of the 6.625% Senior Notes represents the premium or discount on that date. The fair value for the 6.625% Senior Notes was classified in Level 1 of the fair value hierarchy.</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November 13, 2015, Scotts Miracle-Gro provided an irrevocable notice to the trustee of its election to redeem all of its outstanding 6.625% Senior Notes for a redemption price of $213.2 million, comprised of $6.6 million of accrued and unpaid interest, $6.6 million of call premium, and $200 million for outstanding principal amount.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136"/>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2015</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w:t>
            </w:r>
          </w:p>
        </w:tc>
        <w:tc>
          <w:tcPr>
            <w:tcW w:w="1060" w:type="dxa"/>
            <w:vAlign w:val="bottom"/>
            <w:tcBorders>
              <w:bottom w:val="single" w:sz="8" w:color="auto"/>
            </w:tcBorders>
          </w:tcPr>
          <w:p>
            <w:pPr>
              <w:spacing w:after="0"/>
              <w:rPr>
                <w:sz w:val="22"/>
                <w:szCs w:val="22"/>
                <w:color w:val="auto"/>
              </w:rPr>
            </w:pPr>
          </w:p>
        </w:tc>
      </w:tr>
      <w:tr>
        <w:trPr>
          <w:trHeight w:val="152"/>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90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06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481.8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Senior Notes – 6.625%</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212.5</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Master Accounts Receivable Purchase Agreement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18.5</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weighted average interest rates on the Company's debt were 4.2% and 5.0% for fiscal 2015 and fiscal 2014, respectively. The decline in the weighted average interest rate is due to the reduced rates under the former credit facility and the redemption of the 7.25% Senior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shares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0.2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68.1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fiscal 1995, The Scotts Company merged with Stern’s Miracle-Gro Products, Inc. (“Miracle-Gro”). At September 30, 2015, the former shareholders of Miracle-Gro, including the Hagedorn Partnership L.P., owned approximately 26% of Scotts Miracle-Gro’s outstanding Common Shares and, thus, have the ability to significantly influence the election of directors and other actions requiring the approval of Scotts Miracle-Gro’s shareholders.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Common Shares over a four-year period through September 30, 2014. In May 2011, the Scotts Miracle-Gro Board of Directors authorized the repurchase of up to an additional $200 million of Common Shares, resulting in authority to repurchase a total of up to $700 million of Common Shares through September 30, 2014. From the inception of this share repurchase program in the fourth quarter of fiscal 2010 through its expiration on September 30, 2014, Scotts Miracle-Gro repurchased 9.9 million Common Shares for $521.2 million to be held in treasury. Common Shares held in treasury totaling 0.9 million and 0.8 million were reissued in support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awards and employee purchases under the employee stock purchase plan during fiscal 2015 and fiscal 2014, respectively.</w:t>
      </w:r>
    </w:p>
    <w:p>
      <w:pPr>
        <w:spacing w:after="0" w:line="18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August 2014, the Scotts Miracle-Gro Board of Directors authorized the repurchase of up to $500 million of Common Shares over a four-year period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From the inception of this share repurchase program in the fourth quarter of fiscal 2014 through September 30, 2015, Scotts Miracle-Gro repurchased approximately 0.2 million Common Shares for $14.8 million.</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2014, the Scotts Miracle-Gro Board of Directors also authorized a special one-time cash dividend of $2.00 per Common Share that was paid on September 17, 2014. The payment of the special one-time cash dividend required Scotts Miracle-Gro to adjust the number of Common Shares subject to stock options outstanding under the Scotts Miracle-Gro share-based awards programs, as well as the price at which the awards may be exercised. The adjustments to the outstanding awards resulted in an increase in the number of Common Shares subject to outstanding stock options in an aggregate amount of 0.1 million Common Shares. The methodology used to adjust the awards was consistent with Internal Revenue Code (IRC) Section 409A and the then-proposed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 additional compensation expense in accordance with the accounting for modifications to awards under ASC 718.</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Scotts Miracle-Gro grants share-based awards annually to officers and certain other employees of the Company and non-employee directors of Scotts Miracle-Gro. The share-based awards have consisted of stock options, restricted stock, restricted stock units, deferred stock units and performance-based awards. Stock appreciation rights (“SARs”)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is dependent on service and achievement of specified performance targets. Share-based awards are forfeited if a holder terminates employment or service with the Company prior to the vesting date. The Company estimates that 20%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1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 maximum of 23.1 million Common Shares are available for issuance under share-based award plans. At September 30, 2015, approximately 2.4 million Common Shares were not subject to outstanding awards and were available to underlie the grant of new share-based awards.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2013</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440,690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178,030</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78,352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161,229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178,321</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29,913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33,253</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due to special $2.00 dividend</w:t>
            </w:r>
          </w:p>
        </w:tc>
        <w:tc>
          <w:tcPr>
            <w:tcW w:w="1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98,186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627,418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311,962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389,604</w:t>
            </w:r>
          </w:p>
        </w:tc>
      </w:tr>
      <w:tr>
        <w:trPr>
          <w:trHeight w:val="67"/>
        </w:trPr>
        <w:tc>
          <w:tcPr>
            <w:tcW w:w="45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Aggregate fair value at grant dates (in millions)</w:t>
            </w:r>
          </w:p>
        </w:tc>
        <w:tc>
          <w:tcPr>
            <w:tcW w:w="22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621"/>
        </w:trPr>
        <w:tc>
          <w:tcPr>
            <w:tcW w:w="4540" w:type="dxa"/>
            <w:vAlign w:val="bottom"/>
          </w:tcPr>
          <w:p>
            <w:pPr>
              <w:spacing w:after="0"/>
              <w:rPr>
                <w:sz w:val="24"/>
                <w:szCs w:val="24"/>
                <w:color w:val="auto"/>
              </w:rPr>
            </w:pPr>
          </w:p>
        </w:tc>
        <w:tc>
          <w:tcPr>
            <w:tcW w:w="2280" w:type="dxa"/>
            <w:vAlign w:val="bottom"/>
            <w:gridSpan w:val="2"/>
          </w:tcPr>
          <w:p>
            <w:pPr>
              <w:jc w:val="right"/>
              <w:ind w:right="1020"/>
              <w:spacing w:after="0"/>
              <w:rPr>
                <w:sz w:val="20"/>
                <w:szCs w:val="20"/>
                <w:color w:val="auto"/>
              </w:rPr>
            </w:pPr>
            <w:r>
              <w:rPr>
                <w:rFonts w:ascii="Arial" w:cs="Arial" w:eastAsia="Arial" w:hAnsi="Arial"/>
                <w:sz w:val="18"/>
                <w:szCs w:val="18"/>
                <w:color w:val="auto"/>
              </w:rPr>
              <w:t>86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was as follows for the periods indicated: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2014</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11.1</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w:t>
            </w: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2015, total unrecognized compensation cost related to non-vested share-based awards amounted to $10.9 million. This cost is expected to be recognized over a weighted-average period of 1.7 years. The tax benefit realized from the tax deductions associated with the exercise of share-based awards and the vesting of restricted stock totaled $12.1 million for fiscal 2015.</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March 30, 2015, Scotts Miracle-Gro issued 0.2 million Common Shares (which represented a carrying value of $8.3 million) out of its treasury shares for payment of the acquisition of Vermicrop.</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and SAR activity consisted of the following for fiscal 2015 (options/SARs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5"/>
              </w:rPr>
              <w:t>No.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Options/SARs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2015, the Company expects 0.4 million of the remaining unexercisable stock options (after forfeitures), with a weighted-average exercise price of $63.63 and average remaining term of 9.3 years, to vest in the future. These options had an intrinsic value of zero as of September 30, 2015 as the weighted-average exercise price was greater than the period end stock price. The following summarizes certain information pertaining to stock option and SAR awards outstanding and exercisable at September 30, 2015 (options/SARs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$27.31</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$29.30 – $36.86</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$63.43 – $67.40</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2015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spacing w:after="0"/>
              <w:rPr>
                <w:sz w:val="16"/>
                <w:szCs w:val="16"/>
                <w:color w:val="auto"/>
              </w:rPr>
            </w:pPr>
          </w:p>
        </w:tc>
        <w:tc>
          <w:tcPr>
            <w:tcW w:w="58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2015</w:t>
            </w: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30.4</w:t>
            </w:r>
          </w:p>
        </w:tc>
      </w:tr>
      <w:tr>
        <w:trPr>
          <w:trHeight w:val="702"/>
        </w:trPr>
        <w:tc>
          <w:tcPr>
            <w:tcW w:w="3260" w:type="dxa"/>
            <w:vAlign w:val="bottom"/>
          </w:tcPr>
          <w:p>
            <w:pPr>
              <w:spacing w:after="0"/>
              <w:rPr>
                <w:sz w:val="24"/>
                <w:szCs w:val="24"/>
                <w:color w:val="auto"/>
              </w:rPr>
            </w:pPr>
          </w:p>
        </w:tc>
        <w:tc>
          <w:tcPr>
            <w:tcW w:w="5880" w:type="dxa"/>
            <w:vAlign w:val="bottom"/>
          </w:tcPr>
          <w:p>
            <w:pPr>
              <w:jc w:val="right"/>
              <w:ind w:right="325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in fiscal 2015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2015</w:t>
            </w: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6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640" w:type="dxa"/>
            <w:vAlign w:val="bottom"/>
          </w:tcPr>
          <w:p>
            <w:pPr>
              <w:spacing w:after="0"/>
              <w:rPr>
                <w:sz w:val="21"/>
                <w:szCs w:val="21"/>
                <w:color w:val="auto"/>
              </w:rPr>
            </w:pPr>
          </w:p>
        </w:tc>
        <w:tc>
          <w:tcPr>
            <w:tcW w:w="196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8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11.51</w:t>
            </w:r>
          </w:p>
        </w:tc>
      </w:tr>
      <w:tr>
        <w:trPr>
          <w:trHeight w:val="27"/>
        </w:trPr>
        <w:tc>
          <w:tcPr>
            <w:tcW w:w="8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stock options exercised was $16.3 million, $21.3 million and $8.1 million during fiscal 2015, fiscal 2014 and fiscal 2013, respectively. Cash received from the exercise of stock options for fiscal 2015, fiscal 2014 and fiscal 2013 was $24.3 million, $20.0 million and $13.3 million,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29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2012</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497,199</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(251,855)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2013</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(44,895)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(135,562)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(25,197)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381,509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total fair value of restricted stock units and deferred stock units vested was $6.2 million, $3.4 million and $10.3 million during fiscal 2015, fiscal 2014 and fiscal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6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90"/>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7"/>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2012</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153,909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178,321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2013</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261,917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161,229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(111,897)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2014</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311,249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2015</w:t>
            </w:r>
          </w:p>
        </w:tc>
        <w:tc>
          <w:tcPr>
            <w:tcW w:w="1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339,224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COMMON SHARE</w:t>
      </w:r>
    </w:p>
    <w:p>
      <w:pPr>
        <w:spacing w:after="0" w:line="9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Basic income per Common Share is computed by dividing income attributable to controlling interest from continuing operations, income (loss) from discontinued operations or net income attributable to controlling interest by the weighted average number of Common Shares outstanding. Diluted income per Common Share is computed by dividing income attributable to controlling interest from continuing operations, income (loss) from discontinued operations or net income attributable to controlling interest by the weighted average number of Common Shares outstanding plus all potentially dilutive securities outstanding each period. Stock options with exercise prices greater than the average market price of the underlying Common Shares are excluded from the computation of diluted income per Common Share because they are out-of-the-money and the effect of their inclusion would be anti-dilutive. The number of Common Shares covered by out-of-the-money options was 0.3 million, 0.0 million and 0.8 million for the years ended September 30, 2015, 2014 and 2013, respectively. The following table presents information necessary to calculate basic and diluted income per Common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0" w:type="dxa"/>
            <w:vAlign w:val="bottom"/>
            <w:gridSpan w:val="6"/>
          </w:tcPr>
          <w:p>
            <w:pPr>
              <w:jc w:val="center"/>
              <w:ind w:left="13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vMerge w:val="continue"/>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7"/>
        </w:trPr>
        <w:tc>
          <w:tcPr>
            <w:tcW w:w="63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67"/>
        </w:trPr>
        <w:tc>
          <w:tcPr>
            <w:tcW w:w="63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7"/>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55.0</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720" w:type="dxa"/>
            <w:vAlign w:val="bottom"/>
            <w:gridSpan w:val="7"/>
          </w:tcPr>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2"/>
        </w:trPr>
        <w:tc>
          <w:tcPr>
            <w:tcW w:w="60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14.8</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2015</w:t>
            </w:r>
          </w:p>
        </w:tc>
        <w:tc>
          <w:tcPr>
            <w:tcW w:w="1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2013</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5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32.4</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State NOL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NOL carryovers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Foreign tax credit carryovers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liability</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360" w:type="dxa"/>
            <w:vAlign w:val="bottom"/>
            <w:gridSpan w:val="4"/>
          </w:tcPr>
          <w:p>
            <w:pPr>
              <w:ind w:left="440"/>
              <w:spacing w:after="0"/>
              <w:rPr>
                <w:sz w:val="20"/>
                <w:szCs w:val="20"/>
                <w:color w:val="auto"/>
              </w:rPr>
            </w:pPr>
            <w:r>
              <w:rPr>
                <w:rFonts w:ascii="Arial" w:cs="Arial" w:eastAsia="Arial" w:hAnsi="Arial"/>
                <w:sz w:val="18"/>
                <w:szCs w:val="18"/>
                <w:color w:val="auto"/>
                <w:w w:val="89"/>
              </w:rPr>
              <w:t>The net current and non-current components of deferred income taxes recognized in the Consolidated Balance Sheets were:</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2"/>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r>
      <w:tr>
        <w:trPr>
          <w:trHeight w:val="250"/>
        </w:trPr>
        <w:tc>
          <w:tcPr>
            <w:tcW w:w="7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3"/>
          </w:tcPr>
          <w:p>
            <w:pPr>
              <w:jc w:val="center"/>
              <w:ind w:left="854"/>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 (classified with prepaid and other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$45.8 million and $48.3 million of deferred tax assets as of September 30, 2015, and September 30, 2014, respectively. Most of these valuation allowances relate to certain foreign net operating losses, as explained further below.</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$169.9 million at September 30, 2015, the majority of which have indefinite carryforward periods. The statutory tax benefit of these net operating loss carryovers, and related full valuation allowances thereon, amounted to $41.2 million and $45.5 million for the years ended September 30, 2015 and September 30, 2014, respectively.</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Foreign net operating losses of certain controlled foreign corporations were $14.1 million as of September 30, 2015, the majority of which have indefinite carryforward periods. Due to a history of losses in these entities, a full valuation allowance has also been placed against the statutory tax benefit associated with all but an immaterial amount of these losses amounting to $3.4 million and $2.7 million at September 30, 2015 and September 30, 2014, respectively.</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Foreign tax credits were $8.6 million and $4.6 million at September 30, 2015 and September 30, 2014, respectively. A valuation allowance in the amount of $0.8 million has been established against those foreign tax credits the Company does not expect to utilize prior to their expiration.</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net operating losses were $13.5 million as of September 30, 2015, with carryforward periods ranging from 5 to 20 years. Any losses not utilized within a specific state’s carryforward period will expire. Tax benefits associated with state tax credits will expire if not utilized and amounted to $0.6 million at both September 30, 2015 and September 30, 2014. No valuation allowance has been placed against these net operating losses as the Company should fully utilize them within their respective carryover periods. A valuation allowance in the amount of $0.2 million has been established related to state credits the Company does not expect to utilize.</w:t>
      </w:r>
    </w:p>
    <w:p>
      <w:pPr>
        <w:spacing w:after="0" w:line="13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Deferred taxes have not been provided on unremitted earnings of $146.0 million for certain foreign subsidiaries and foreign corporate joint ventures as such earnings have been indefinitely reinvested. These foreign entities held cash and cash equivalents of $55.1 million and $59.9 million at September 30, 2015 and September 30, 2014, respectively. Our current plans do not demonstrate a need to, nor do we have plans to, repatriate the retained earnings from these subsidiaries as the earnings are indefinitely reinvested.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and could have a material impact on tax expense in the year of repatriation; however, the Company cannot reasonably estimate the amount of such a tax event.</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$9.2 million, $11.2 million and $6.7 million of gross unrecognized tax benefits related to uncertain tax positions at September 30, 2015, 2014 and 2013, respectively. Included in the September 30, 2015, 2014 and 2013 balances were $6.6 million, $8.5 million and $6.7 million, respectively, of unrecognized tax benefits that, if recognized, would have an impact on the effective tax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continues to recognize accrued interest and penalties related to unrecognized tax benefits as a component of the provision for income taxes. As of September 30, 2015, 2014 and 2013, respectively, the Company had $1.8 million, $1.8 million and $1.8 million accrued for the payment of interest that, if recognized, would impact the effective tax rate. As of September 30, 2015, 2014 and 2013, respectively, the Company had $0.7 million, $0.6 million and $0.7 million accrued for the payment of penalties that, if recognized, would impact the effective tax rate. For the fiscal year ended September 30, 2015, the Company recognized no material tax interest and tax penalties in its Consolidated Statement of Operations.</w:t>
      </w:r>
    </w:p>
    <w:p>
      <w:pPr>
        <w:spacing w:after="0" w:line="11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2012. The Company is currently under examination by the Internal Revenue Service and certain foreign and U.S. state and local tax authorities. The U.S. federal examination is limited to fiscal year 2011 and is expected to close in fiscal year 2016. Regarding the foreign jurisdictions, a German audit commenced in the third quarter of 2015 covering fiscal years 2009 through 2012. Additionally, a Chinese (Wuhan) audit commenced in the fourth quarter of 2015 covering fiscal years 2011 through 2014. In regard to the multiple U.S. state and local audits, the tax periods under examination are limited to fiscal 2008 through fiscal 2013. In addition to the aforementioned audits, certain other tax deficiency notices and refund claims for previous years remain unresolved.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September 30, 2015, the notional amount of outstanding currency forward contracts was $52.3 million, with a negative fair value of $0.7 million. At September 30, 2014, the notional amount of outstanding currency forward contracts was $149.0 million, with a negative fair value of $0.1 million. The fair value of currency forward contracts is determined using forward rates in commonly quoted intervals for the full term of the contracts. The outstanding contracts will mature over fiscal year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former credit facility, the Company recognized hedge ineffectiveness of $2.0 million which was recorded to interest expense.</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September 30, 2015 and 2014, the Company has outstanding interest rate swap agreements with major financial institutions that effectively convert a portion of the Company’s variable-rate debt to a fixed rate. The swap agreements had a total U.S. dollar equivalent notional amount of $1,300.0 million at September 30, 2015 and 2014. Refer to “NOTE 10. DEBT” for the terms of the swap agreements outstanding at September 30, 2015. Included in the AOCI balance at September 30, 2015 was a loss of $5.2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Consolidated Balance Sheets. Realized gains or losses remain as a component of AOCI until the related inventory is sold. Upon sale of the underlying inventory, the gain or loss is reclassified to cost of sales. Included in the AOCI balance at September 30, 2015 was a loss of $0.2 million related to urea derivatives that is expected to be reclassified to earnings during the next twelve months, consistent with the timing of the underlying hedged transactions.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At September 30, 2015, there were no amounts included within AOCI related to fuel derivatives.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7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5980" w:type="dxa"/>
            <w:vAlign w:val="bottom"/>
            <w:gridSpan w:val="2"/>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jc w:val="right"/>
              <w:ind w:right="794"/>
              <w:spacing w:after="0"/>
              <w:rPr>
                <w:sz w:val="20"/>
                <w:szCs w:val="20"/>
                <w:color w:val="auto"/>
              </w:rPr>
            </w:pPr>
            <w:r>
              <w:rPr>
                <w:rFonts w:ascii="Arial" w:cs="Arial" w:eastAsia="Arial" w:hAnsi="Arial"/>
                <w:sz w:val="14"/>
                <w:szCs w:val="14"/>
                <w:b w:val="1"/>
                <w:bCs w:val="1"/>
                <w:color w:val="auto"/>
              </w:rPr>
              <w:t>2014</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Urea</w:t>
            </w:r>
          </w:p>
        </w:tc>
        <w:tc>
          <w:tcPr>
            <w:tcW w:w="3920" w:type="dxa"/>
            <w:vAlign w:val="bottom"/>
          </w:tcPr>
          <w:p>
            <w:pPr>
              <w:spacing w:after="0"/>
              <w:rPr>
                <w:sz w:val="21"/>
                <w:szCs w:val="21"/>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52,500 tons</w:t>
            </w:r>
          </w:p>
        </w:tc>
        <w:tc>
          <w:tcPr>
            <w:tcW w:w="1480" w:type="dxa"/>
            <w:vAlign w:val="bottom"/>
          </w:tcPr>
          <w:p>
            <w:pPr>
              <w:jc w:val="right"/>
              <w:spacing w:after="0"/>
              <w:rPr>
                <w:sz w:val="20"/>
                <w:szCs w:val="20"/>
                <w:color w:val="auto"/>
              </w:rPr>
            </w:pPr>
            <w:r>
              <w:rPr>
                <w:rFonts w:ascii="Arial" w:cs="Arial" w:eastAsia="Arial" w:hAnsi="Arial"/>
                <w:sz w:val="18"/>
                <w:szCs w:val="18"/>
                <w:color w:val="auto"/>
              </w:rPr>
              <w:t>58,500 tons</w:t>
            </w:r>
          </w:p>
        </w:tc>
      </w:tr>
      <w:tr>
        <w:trPr>
          <w:trHeight w:val="27"/>
        </w:trPr>
        <w:tc>
          <w:tcPr>
            <w:tcW w:w="3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39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5,754,000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5,250,000 gallons</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Gasoline</w:t>
            </w:r>
          </w:p>
        </w:tc>
        <w:tc>
          <w:tcPr>
            <w:tcW w:w="3920" w:type="dxa"/>
            <w:vAlign w:val="bottom"/>
          </w:tcPr>
          <w:p>
            <w:pPr>
              <w:spacing w:after="0"/>
              <w:rPr>
                <w:sz w:val="21"/>
                <w:szCs w:val="21"/>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504,000 gallons</w:t>
            </w:r>
          </w:p>
        </w:tc>
        <w:tc>
          <w:tcPr>
            <w:tcW w:w="1480" w:type="dxa"/>
            <w:vAlign w:val="bottom"/>
          </w:tcPr>
          <w:p>
            <w:pPr>
              <w:jc w:val="right"/>
              <w:spacing w:after="0"/>
              <w:rPr>
                <w:sz w:val="20"/>
                <w:szCs w:val="20"/>
                <w:color w:val="auto"/>
              </w:rPr>
            </w:pPr>
            <w:r>
              <w:rPr>
                <w:rFonts w:ascii="Arial" w:cs="Arial" w:eastAsia="Arial" w:hAnsi="Arial"/>
                <w:sz w:val="18"/>
                <w:szCs w:val="18"/>
                <w:color w:val="auto"/>
              </w:rPr>
              <w:t>462,000 gallons</w:t>
            </w:r>
          </w:p>
        </w:tc>
      </w:tr>
      <w:tr>
        <w:trPr>
          <w:trHeight w:val="27"/>
        </w:trPr>
        <w:tc>
          <w:tcPr>
            <w:tcW w:w="3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39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2,772,000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4,494,000 gallons</w:t>
            </w:r>
          </w:p>
        </w:tc>
      </w:tr>
      <w:tr>
        <w:trPr>
          <w:trHeight w:val="459"/>
        </w:trPr>
        <w:tc>
          <w:tcPr>
            <w:tcW w:w="3280" w:type="dxa"/>
            <w:vAlign w:val="bottom"/>
          </w:tcPr>
          <w:p>
            <w:pPr>
              <w:spacing w:after="0"/>
              <w:rPr>
                <w:sz w:val="24"/>
                <w:szCs w:val="24"/>
                <w:color w:val="auto"/>
              </w:rPr>
            </w:pPr>
          </w:p>
        </w:tc>
        <w:tc>
          <w:tcPr>
            <w:tcW w:w="3920" w:type="dxa"/>
            <w:vAlign w:val="bottom"/>
          </w:tcPr>
          <w:p>
            <w:pPr>
              <w:jc w:val="right"/>
              <w:ind w:right="1319"/>
              <w:spacing w:after="0"/>
              <w:rPr>
                <w:sz w:val="20"/>
                <w:szCs w:val="20"/>
                <w:color w:val="auto"/>
              </w:rPr>
            </w:pPr>
            <w:r>
              <w:rPr>
                <w:rFonts w:ascii="Arial" w:cs="Arial" w:eastAsia="Arial" w:hAnsi="Arial"/>
                <w:sz w:val="18"/>
                <w:szCs w:val="18"/>
                <w:color w:val="auto"/>
              </w:rPr>
              <w:t>94</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w w:val="97"/>
              </w:rPr>
              <w:t>Assets / (Liabilities)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2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2014</w:t>
            </w:r>
          </w:p>
        </w:tc>
      </w:tr>
      <w:tr>
        <w:trPr>
          <w:trHeight w:val="250"/>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3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w w:val="94"/>
              </w:rPr>
              <w:t>Balance Sheet Location</w:t>
            </w:r>
          </w:p>
        </w:tc>
        <w:tc>
          <w:tcPr>
            <w:tcW w:w="72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Borders>
              <w:top w:val="single" w:sz="8" w:color="auto"/>
              <w:bottom w:val="single" w:sz="8" w:color="auto"/>
            </w:tcBorders>
          </w:tcPr>
          <w:p>
            <w:pPr>
              <w:spacing w:after="0"/>
              <w:rPr>
                <w:sz w:val="21"/>
                <w:szCs w:val="21"/>
                <w:color w:val="auto"/>
              </w:rPr>
            </w:pPr>
          </w:p>
        </w:tc>
      </w:tr>
      <w:tr>
        <w:trPr>
          <w:trHeight w:val="264"/>
        </w:trPr>
        <w:tc>
          <w:tcPr>
            <w:tcW w:w="52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2"/>
                <w:szCs w:val="22"/>
                <w:color w:val="auto"/>
              </w:rPr>
            </w:pPr>
          </w:p>
        </w:tc>
      </w:tr>
      <w:tr>
        <w:trPr>
          <w:trHeight w:val="256"/>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5200" w:type="dxa"/>
            <w:vAlign w:val="bottom"/>
          </w:tcPr>
          <w:p>
            <w:pPr>
              <w:spacing w:after="0"/>
              <w:rPr>
                <w:sz w:val="21"/>
                <w:szCs w:val="21"/>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20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3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3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b w:val="1"/>
                <w:bCs w:val="1"/>
                <w:color w:val="auto"/>
                <w:w w:val="94"/>
              </w:rPr>
              <w:t>Balance Sheet Location</w:t>
            </w:r>
          </w:p>
        </w:tc>
        <w:tc>
          <w:tcPr>
            <w:tcW w:w="7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3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62"/>
        </w:trPr>
        <w:tc>
          <w:tcPr>
            <w:tcW w:w="52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Total derivatives</w:t>
            </w:r>
          </w:p>
        </w:tc>
        <w:tc>
          <w:tcPr>
            <w:tcW w:w="23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derivative instruments on AOCI and the Consolidated Statements of Operations for the years ended September 30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2"/>
              </w:rPr>
              <w:t>Amount of Gain/(Loss)</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5"/>
              </w:rPr>
              <w:t>Recognized in AOCI</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80" w:type="dxa"/>
            <w:vAlign w:val="bottom"/>
          </w:tcPr>
          <w:p>
            <w:pPr>
              <w:spacing w:after="0"/>
              <w:rPr>
                <w:sz w:val="24"/>
                <w:szCs w:val="24"/>
                <w:color w:val="auto"/>
              </w:rPr>
            </w:pPr>
          </w:p>
        </w:tc>
        <w:tc>
          <w:tcPr>
            <w:tcW w:w="4280" w:type="dxa"/>
            <w:vAlign w:val="bottom"/>
          </w:tcPr>
          <w:p>
            <w:pPr>
              <w:jc w:val="center"/>
              <w:ind w:left="677"/>
              <w:spacing w:after="0"/>
              <w:rPr>
                <w:sz w:val="20"/>
                <w:szCs w:val="20"/>
                <w:color w:val="auto"/>
              </w:rPr>
            </w:pPr>
            <w:r>
              <w:rPr>
                <w:rFonts w:ascii="Arial" w:cs="Arial" w:eastAsia="Arial" w:hAnsi="Arial"/>
                <w:sz w:val="14"/>
                <w:szCs w:val="14"/>
                <w:b w:val="1"/>
                <w:bCs w:val="1"/>
                <w:color w:val="auto"/>
                <w:w w:val="95"/>
              </w:rPr>
              <w:t>Reclassified From AOCI Into</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280" w:type="dxa"/>
            <w:vAlign w:val="bottom"/>
            <w:tcBorders>
              <w:bottom w:val="single" w:sz="8" w:color="auto"/>
            </w:tcBorders>
          </w:tcPr>
          <w:p>
            <w:pPr>
              <w:jc w:val="center"/>
              <w:ind w:left="657"/>
              <w:spacing w:after="0"/>
              <w:rPr>
                <w:sz w:val="20"/>
                <w:szCs w:val="20"/>
                <w:color w:val="auto"/>
              </w:rPr>
            </w:pPr>
            <w:r>
              <w:rPr>
                <w:rFonts w:ascii="Arial" w:cs="Arial" w:eastAsia="Arial" w:hAnsi="Arial"/>
                <w:sz w:val="14"/>
                <w:szCs w:val="14"/>
                <w:b w:val="1"/>
                <w:bCs w:val="1"/>
                <w:color w:val="auto"/>
                <w:w w:val="92"/>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4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80" w:type="dxa"/>
            <w:vAlign w:val="bottom"/>
          </w:tcPr>
          <w:p>
            <w:pPr>
              <w:ind w:left="88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Gain/(Loss)</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280" w:type="dxa"/>
            <w:vAlign w:val="bottom"/>
            <w:tcBorders>
              <w:bottom w:val="single" w:sz="8" w:color="auto"/>
            </w:tcBorders>
          </w:tcPr>
          <w:p>
            <w:pPr>
              <w:jc w:val="center"/>
              <w:ind w:left="637"/>
              <w:spacing w:after="0"/>
              <w:rPr>
                <w:sz w:val="20"/>
                <w:szCs w:val="20"/>
                <w:color w:val="auto"/>
              </w:rPr>
            </w:pPr>
            <w:r>
              <w:rPr>
                <w:rFonts w:ascii="Arial" w:cs="Arial" w:eastAsia="Arial" w:hAnsi="Arial"/>
                <w:sz w:val="14"/>
                <w:szCs w:val="14"/>
                <w:b w:val="1"/>
                <w:bCs w:val="1"/>
                <w:color w:val="auto"/>
                <w:w w:val="91"/>
              </w:rPr>
              <w:t>Recognized in 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4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80" w:type="dxa"/>
            <w:vAlign w:val="bottom"/>
          </w:tcPr>
          <w:p>
            <w:pPr>
              <w:ind w:left="88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ind w:left="1540"/>
              <w:spacing w:after="0"/>
              <w:rPr>
                <w:sz w:val="20"/>
                <w:szCs w:val="20"/>
                <w:color w:val="auto"/>
              </w:rPr>
            </w:pPr>
            <w:r>
              <w:rPr>
                <w:rFonts w:ascii="Arial" w:cs="Arial" w:eastAsia="Arial" w:hAnsi="Arial"/>
                <w:sz w:val="18"/>
                <w:szCs w:val="18"/>
                <w:color w:val="auto"/>
              </w:rPr>
              <w:t>95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Consolidated Balance Sheets, except for derivative instruments expected to be settled within the next 12 months, which are included within prepaid and other current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September 30, 2015, there were no non-financial assets or liabilities measured at fair-value on a non-recurring basis. The following presents the Company’s non-financial assets and liabilities measured at fair value on a non-recurring basis at September 30, 2014 and describes the valuation methodologies used for non-financial assets and liabilities measured at fair value, as well as the general classification within the valuation hierarchy: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90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1"/>
              </w:rPr>
              <w:t>Quoted Prices in Active</w:t>
            </w:r>
          </w:p>
        </w:tc>
        <w:tc>
          <w:tcPr>
            <w:tcW w:w="1860" w:type="dxa"/>
            <w:vAlign w:val="bottom"/>
          </w:tcPr>
          <w:p>
            <w:pPr>
              <w:jc w:val="center"/>
              <w:ind w:right="565"/>
              <w:spacing w:after="0"/>
              <w:rPr>
                <w:sz w:val="20"/>
                <w:szCs w:val="20"/>
                <w:color w:val="auto"/>
              </w:rPr>
            </w:pPr>
            <w:r>
              <w:rPr>
                <w:rFonts w:ascii="Arial" w:cs="Arial" w:eastAsia="Arial" w:hAnsi="Arial"/>
                <w:sz w:val="14"/>
                <w:szCs w:val="14"/>
                <w:b w:val="1"/>
                <w:bCs w:val="1"/>
                <w:color w:val="auto"/>
                <w:w w:val="93"/>
              </w:rPr>
              <w:t>Significant Other</w:t>
            </w:r>
          </w:p>
        </w:tc>
        <w:tc>
          <w:tcPr>
            <w:tcW w:w="1260" w:type="dxa"/>
            <w:vAlign w:val="bottom"/>
            <w:vMerge w:val="restart"/>
          </w:tcPr>
          <w:p>
            <w:pPr>
              <w:jc w:val="center"/>
              <w:ind w:right="264"/>
              <w:spacing w:after="0"/>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361"/>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60" w:type="dxa"/>
            <w:vAlign w:val="bottom"/>
          </w:tcPr>
          <w:p>
            <w:pPr>
              <w:jc w:val="center"/>
              <w:ind w:right="56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341"/>
              <w:spacing w:after="0" w:line="149" w:lineRule="exact"/>
              <w:rPr>
                <w:sz w:val="20"/>
                <w:szCs w:val="20"/>
                <w:color w:val="auto"/>
              </w:rPr>
            </w:pPr>
            <w:r>
              <w:rPr>
                <w:rFonts w:ascii="Arial" w:cs="Arial" w:eastAsia="Arial" w:hAnsi="Arial"/>
                <w:sz w:val="14"/>
                <w:szCs w:val="14"/>
                <w:b w:val="1"/>
                <w:bCs w:val="1"/>
                <w:color w:val="auto"/>
                <w:w w:val="82"/>
              </w:rPr>
              <w:t>Assets</w:t>
            </w:r>
          </w:p>
        </w:tc>
        <w:tc>
          <w:tcPr>
            <w:tcW w:w="1860" w:type="dxa"/>
            <w:vAlign w:val="bottom"/>
          </w:tcPr>
          <w:p>
            <w:pPr>
              <w:jc w:val="center"/>
              <w:ind w:right="545"/>
              <w:spacing w:after="0" w:line="149" w:lineRule="exact"/>
              <w:rPr>
                <w:sz w:val="20"/>
                <w:szCs w:val="20"/>
                <w:color w:val="auto"/>
              </w:rPr>
            </w:pPr>
            <w:r>
              <w:rPr>
                <w:rFonts w:ascii="Arial" w:cs="Arial" w:eastAsia="Arial" w:hAnsi="Arial"/>
                <w:sz w:val="14"/>
                <w:szCs w:val="14"/>
                <w:b w:val="1"/>
                <w:bCs w:val="1"/>
                <w:color w:val="auto"/>
                <w:w w:val="95"/>
              </w:rPr>
              <w:t>Inputs</w:t>
            </w:r>
          </w:p>
        </w:tc>
        <w:tc>
          <w:tcPr>
            <w:tcW w:w="12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4"/>
              </w:rPr>
              <w:t>(Level 1)</w:t>
            </w:r>
          </w:p>
        </w:tc>
        <w:tc>
          <w:tcPr>
            <w:tcW w:w="1860" w:type="dxa"/>
            <w:vAlign w:val="bottom"/>
            <w:tcBorders>
              <w:bottom w:val="single" w:sz="8" w:color="auto"/>
            </w:tcBorders>
          </w:tcPr>
          <w:p>
            <w:pPr>
              <w:jc w:val="center"/>
              <w:ind w:right="565"/>
              <w:spacing w:after="0"/>
              <w:rPr>
                <w:sz w:val="20"/>
                <w:szCs w:val="20"/>
                <w:color w:val="auto"/>
              </w:rPr>
            </w:pPr>
            <w:r>
              <w:rPr>
                <w:rFonts w:ascii="Arial" w:cs="Arial" w:eastAsia="Arial" w:hAnsi="Arial"/>
                <w:sz w:val="14"/>
                <w:szCs w:val="14"/>
                <w:b w:val="1"/>
                <w:bCs w:val="1"/>
                <w:color w:val="auto"/>
                <w:w w:val="94"/>
              </w:rPr>
              <w:t>(Level 2)</w:t>
            </w:r>
          </w:p>
        </w:tc>
        <w:tc>
          <w:tcPr>
            <w:tcW w:w="126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60" w:type="dxa"/>
            <w:vAlign w:val="bottom"/>
          </w:tcPr>
          <w:p>
            <w:pPr>
              <w:ind w:left="1100"/>
              <w:spacing w:after="0"/>
              <w:rPr>
                <w:sz w:val="20"/>
                <w:szCs w:val="20"/>
                <w:color w:val="auto"/>
              </w:rPr>
            </w:pPr>
            <w:r>
              <w:rPr>
                <w:rFonts w:ascii="Arial" w:cs="Arial" w:eastAsia="Arial" w:hAnsi="Arial"/>
                <w:sz w:val="14"/>
                <w:szCs w:val="14"/>
                <w:b w:val="1"/>
                <w:bCs w:val="1"/>
                <w:color w:val="auto"/>
                <w:w w:val="94"/>
              </w:rPr>
              <w:t>(In millions)</w:t>
            </w: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sub-brands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92.3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675"/>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right"/>
              <w:ind w:right="701"/>
              <w:spacing w:after="0"/>
              <w:rPr>
                <w:sz w:val="20"/>
                <w:szCs w:val="20"/>
                <w:color w:val="auto"/>
              </w:rPr>
            </w:pPr>
            <w:r>
              <w:rPr>
                <w:rFonts w:ascii="Arial" w:cs="Arial" w:eastAsia="Arial" w:hAnsi="Arial"/>
                <w:sz w:val="18"/>
                <w:szCs w:val="18"/>
                <w:color w:val="auto"/>
              </w:rPr>
              <w:t>97</w:t>
            </w: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As a result of the Company's impairment review performed in the third quarter of fiscal 2014,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remaining fair value of the indefinite-lived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sub-brands was $92.3 million. The fair value was calculated based upon the evaluation of the historical performance and future growth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using a royalty savings methodology similar to that employed when the associated business was acquired with updated estimates of sales, cash flow and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2015,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2015, the Company’s residual value guarantee would have approximated $6.4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0" w:type="dxa"/>
            <w:vAlign w:val="bottom"/>
          </w:tcPr>
          <w:p>
            <w:pPr>
              <w:jc w:val="center"/>
              <w:ind w:left="504"/>
              <w:spacing w:after="0"/>
              <w:rPr>
                <w:sz w:val="20"/>
                <w:szCs w:val="20"/>
                <w:color w:val="auto"/>
              </w:rPr>
            </w:pPr>
            <w:r>
              <w:rPr>
                <w:rFonts w:ascii="Arial" w:cs="Arial" w:eastAsia="Arial" w:hAnsi="Arial"/>
                <w:sz w:val="14"/>
                <w:szCs w:val="14"/>
                <w:b w:val="1"/>
                <w:bCs w:val="1"/>
                <w:color w:val="auto"/>
                <w:w w:val="94"/>
              </w:rPr>
              <w:t>Amount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160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b w:val="1"/>
                <w:bCs w:val="1"/>
                <w:color w:val="auto"/>
                <w:w w:val="95"/>
              </w:rPr>
              <w:t>Guarantee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1600" w:type="dxa"/>
            <w:vAlign w:val="bottom"/>
          </w:tcPr>
          <w:p>
            <w:pPr>
              <w:jc w:val="center"/>
              <w:ind w:left="484"/>
              <w:spacing w:after="0"/>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vehicles</w:t>
            </w:r>
          </w:p>
        </w:tc>
        <w:tc>
          <w:tcPr>
            <w:tcW w:w="1600" w:type="dxa"/>
            <w:vAlign w:val="bottom"/>
            <w:shd w:val="clear" w:color="auto" w:fill="CCEEFF"/>
          </w:tcPr>
          <w:p>
            <w:pPr>
              <w:jc w:val="right"/>
              <w:ind w:right="140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2019 - 2022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aircraft</w:t>
            </w:r>
          </w:p>
        </w:tc>
        <w:tc>
          <w:tcPr>
            <w:tcW w:w="16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160" w:type="dxa"/>
            <w:vAlign w:val="bottom"/>
          </w:tcPr>
          <w:p>
            <w:pPr>
              <w:jc w:val="right"/>
              <w:ind w:right="819"/>
              <w:spacing w:after="0"/>
              <w:rPr>
                <w:sz w:val="20"/>
                <w:szCs w:val="20"/>
                <w:color w:val="auto"/>
              </w:rPr>
            </w:pPr>
            <w:r>
              <w:rPr>
                <w:rFonts w:ascii="Arial" w:cs="Arial" w:eastAsia="Arial" w:hAnsi="Arial"/>
                <w:sz w:val="18"/>
                <w:szCs w:val="18"/>
                <w:color w:val="auto"/>
              </w:rPr>
              <w:t>2019</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2015, fiscal 2014 and fiscal 2013 totaled $76.5 million, $71.2 million and $61.9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2015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 In addition, the Company leases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property and equipment from third parties under various non-cancelable operating lease agreements. Future minimum lease payments for non-cancelable operating leases not included above are included in “NOTE 16.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2015, $5.6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Trade accounts receivable are exposed to a concentration of credit risk with retailers principally located in the United States. The Company's retail customers include home centers, mass merchandisers, warehouse clubs, large hardware chains, independent hardware stores, nurseries, garden centers, food and drug stores, and indoor gardening and hydroponic stores. Concentrations of net sales and accounts receivable by segment in the United States as a percentage of consolidated net sales and accounts receivable at September 30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Percentage of Net Accounts Receivable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Global Consumer segment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tc>
        <w:tc>
          <w:tcPr>
            <w:tcW w:w="7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remainder of the Company’s net sales and accounts receivable at September 30, 2015, 2014 and 2013 were generated from customers located outside of the United States, primarily retailers, distributors and nurseries in Europe, Canada and Australia. No concentrations of these customers or individual customers within this group accounted for more than 10% of the Company’s net sales or accounts receivable for any period presented above.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reported within the Global Consumer segment and are the only customers that individually represent more than 10% of reported consolidated net sales and accounts receivable for each of the last three fiscal years. These three customers accounted for the following percentages of Global Consumer segment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54% and 55% for September 30,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280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fees</w:t>
            </w: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investment of unconsolidated affiliate</w:t>
            </w: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vMerge w:val="restart"/>
          </w:tcPr>
          <w:p>
            <w:pPr>
              <w:jc w:val="right"/>
              <w:ind w:right="476"/>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9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two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Global Consumer segment manufactures, markets and sells dry, granular slow-release lawn fertilizers, combination lawn fertilizer and control products, grass seed, spreaders, water-soluble, liquid and continuous release garden and indoor plant foods, plant care products, potting, garden and lawn soils, mulches and other growing media products, pesticide and rodenticide products. Products are marketed to home centers, mass merchandisers, warehouse clubs, large hardware chains, independent hardware stores, nurseries, garden centers, food and drug stores, and indoor gardening and hydroponic stores in the United States, Canada, Europe, Latin America and Australia.</w:t>
      </w:r>
    </w:p>
    <w:p>
      <w:pPr>
        <w:spacing w:after="0" w:line="13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6"/>
          <w:szCs w:val="16"/>
          <w:color w:val="auto"/>
        </w:rPr>
        <w:t>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provides residential and commercial lawn fertilization, disease and insect control and other related services such as core aeration, tree and shrub fertilization and pest control services through Company-owned branches and independent franchisees in the United States.</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Segment performance is evaluated on several factors, including income from continuing operations before amortization, and impairment, restructuring and other charges, which is not a GAAP measure. Senior management uses this measure of operating profit to gauge segment performance because the Company believes this measure is the most indicative of performance trends and the overall earnings potential of each segment. Total assets reported for the Company’s operating segments include the intangible assets for the acquired businesses within those segments. The accounting policies of the segments are the same as those described in “NOTE 1. SUMMARY OF SIGNIFICANT ACCOUNTING POLICIES.”</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Corporate &amp; Other consists of revenues and expenses associated with the Company’s supply agreements with Israel Chemicals, Ltd. (“ICL”),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4"/>
                <w:szCs w:val="14"/>
                <w:b w:val="1"/>
                <w:bCs w:val="1"/>
                <w:color w:val="auto"/>
                <w:w w:val="92"/>
              </w:rPr>
              <w:t>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2,701.0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2,552.0</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2,815.0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2,742.5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3,016.5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2,841.3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67"/>
        </w:trPr>
        <w:tc>
          <w:tcPr>
            <w:tcW w:w="486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1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466.2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438.8</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256.6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67"/>
        </w:trPr>
        <w:tc>
          <w:tcPr>
            <w:tcW w:w="486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and amortization:</w:t>
            </w:r>
          </w:p>
        </w:tc>
        <w:tc>
          <w:tcPr>
            <w:tcW w:w="1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w:t>
            </w:r>
          </w:p>
        </w:tc>
        <w:tc>
          <w:tcPr>
            <w:tcW w:w="2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0"/>
        </w:trPr>
        <w:tc>
          <w:tcPr>
            <w:tcW w:w="486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102</w:t>
            </w: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 for the Global Consumer segment:</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gridSpan w:val="2"/>
          </w:tcPr>
          <w:p>
            <w:pPr>
              <w:ind w:left="7780"/>
              <w:spacing w:after="0"/>
              <w:rPr>
                <w:sz w:val="20"/>
                <w:szCs w:val="20"/>
                <w:color w:val="auto"/>
              </w:rPr>
            </w:pPr>
            <w:r>
              <w:rPr>
                <w:rFonts w:ascii="Arial" w:cs="Arial" w:eastAsia="Arial" w:hAnsi="Arial"/>
                <w:sz w:val="14"/>
                <w:szCs w:val="14"/>
                <w:b w:val="1"/>
                <w:bCs w:val="1"/>
                <w:color w:val="auto"/>
                <w:w w:val="96"/>
              </w:rPr>
              <w:t>2015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Lawn care</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Growing media</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Controls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14</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11</w:t>
            </w:r>
          </w:p>
        </w:tc>
      </w:tr>
      <w:tr>
        <w:trPr>
          <w:trHeight w:val="27"/>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total product sales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net sales and long-lived assets (property, plant and equipment and finite-lived intangibles) by geographic area: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Year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2,508.5</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2,295.5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2,841.3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3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Long-lived assets:</w:t>
            </w:r>
          </w:p>
        </w:tc>
        <w:tc>
          <w:tcPr>
            <w:tcW w:w="3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vMerge w:val="restart"/>
          </w:tcPr>
          <w:p>
            <w:pPr>
              <w:jc w:val="right"/>
              <w:ind w:right="1510"/>
              <w:spacing w:after="0"/>
              <w:rPr>
                <w:sz w:val="20"/>
                <w:szCs w:val="20"/>
                <w:color w:val="auto"/>
              </w:rPr>
            </w:pPr>
            <w:r>
              <w:rPr>
                <w:rFonts w:ascii="Arial" w:cs="Arial" w:eastAsia="Arial" w:hAnsi="Arial"/>
                <w:sz w:val="18"/>
                <w:szCs w:val="18"/>
                <w:color w:val="auto"/>
              </w:rPr>
              <w:t>103</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2015</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3,016.5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FISCAL 2014</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attributable to controlling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w:t>
      </w:r>
    </w:p>
    <w:p>
      <w:pPr>
        <w:spacing w:after="0" w:line="127"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Impairment, restructuring and other charges reflected in the quarterly financial information during fiscal 2015 are as follows: first quarter restructuring costs of $9.6 million related to termination benefits for U.S. and international employees; second quarter restructuring costs of $5.1 million related to termination benefits for U.S. and international employees; third quarter restructuring costs of $6.6 million related to termination benefits for U.S. and international employees and the liquidation and exit from the U.K. Solus business, and $37.7 million in costs related to resolving consumer complaints related to the newly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lawn fertilizer product; fourth quarter restructuring costs of $0.9 million related to termination benefits for U.S. and international employees, and $24.7 million in charges related to resolving consumer complaints related to the newly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lawn fertilizer product.</w:t>
      </w:r>
    </w:p>
    <w:p>
      <w:pPr>
        <w:spacing w:after="0" w:line="15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color w:val="auto"/>
        </w:rPr>
        <w:t>Impairment, restructuring and other charges reflected in the quarterly financial information during fiscal 2014 are as follows: first quarter restructuring costs of $0.3 million related to termination benefits; second quarter restructuring costs of $4.1 million related to termination benefits for U.S. and international employees, $2.0 million in additional ongoing monitoring and remediation costs for the Company's turfgrass biotechnology program and $10.7 million in costs related to refinancing; third quarter restructuring costs of $5.5 million related to termination benefits primarily for U.S. employees and impairment charges of $33.7 million related to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fourth quarter restructuring costs of $5.4 million related to termination benefits for U.S. and international employees. In March 2014, the Company completed the sale of its U.S. and Canadian wild bird food business, including intangible assets, certain on-hand inventory and fixed assets, for $4.1 million in cash and an estimated $1.0 million in future earn-out payments. In addition, in the third quarter of fiscal 2014, the Company received $3.1 million for the sale of the remaining wild bird food manufacturing facilities resulting in a gain of $1.2 million.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FINANCIAL INFORMATION FOR SUBSIDIARY GUARANTORS AND NON-GUARANTORS</w:t>
      </w:r>
    </w:p>
    <w:p>
      <w:pPr>
        <w:spacing w:after="0" w:line="9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The 6.625% Senior Notes were issued on December 16, 2010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Issuers of Guaranteed Securities Registered or Being Registered. </w:t>
      </w:r>
      <w:r>
        <w:rPr>
          <w:rFonts w:ascii="Arial" w:cs="Arial" w:eastAsia="Arial" w:hAnsi="Arial"/>
          <w:sz w:val="16"/>
          <w:szCs w:val="16"/>
          <w:color w:val="auto"/>
        </w:rPr>
        <w:t>On January 15, 2014, Scotts Miracle-Gro redeemed all of its outstanding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7.25% Senior Notes which were previously guaranteed by certain of its domestic subsidiaries. The 6.000% Senior Notes were issued subsequent to the end of fiscal 2015 on October 13, 2015 and are guaranteed by certain of the Company's domestic subsidiaries. The guarantees with respect to the 7.25% Senior Notes were, and the guarantees with respect to the 6.625% Senior Notes and the 6.000% Senior Notes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6.625% Senior Notes; or (6) if the subsidiary ceases to be a “wholly owned restricted subsidiary” and the subsidiary is not otherwise required to provide a guarantee of the 6.625% Senior Notes pursuant to the applicable indenture. The Hawthorne Gardening Company and Hawthorne Hydroponics LLC were added as guarantors effective in the three month period ending March 28, 2015 and have been classified as Guarantors for all periods presented. The following 100% directly or indirectly owned subsidiaries fully and unconditionally guarantee at September 30, 2015 the 6.625% Senior Notes on a joint and several basis: EG Systems, Inc.;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The Scotts Company LLC; The Hawthorne Gardening Company; and Hawthorne Hydroponics LLC (collectively, the “Guarantors”).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color w:val="FFFFFF"/>
        </w:rPr>
      </w:pPr>
      <w:hyperlink w:anchor="page49">
        <w:r>
          <w:rPr>
            <w:rFonts w:ascii="Arial" w:cs="Arial" w:eastAsia="Arial" w:hAnsi="Arial"/>
            <w:sz w:val="14"/>
            <w:szCs w:val="14"/>
            <w:color w:val="FFFF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following information presents Condensed Consolidating Statements of Operations, Condensed Consolidating Statements of Comprehensive Income (Loss) and Condensed Consolidating Statements of Cash Flows for each of the three years ended September 30, 2015, 2014 and 2013, and Condensed Consolidating Balance Sheets as of September 30, 2015 and 2014.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fiscal 2015, fiscal 2014, and fiscal 2013 are $281.3 million, $422.8 million, and $87.8 million, respectively, of dividends paid by the Guarantors and Non-Guarantors to the Parent representing return on investments and as such are classified within cash flows from operating activities.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5"/>
                <w:szCs w:val="25"/>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marketing and license agreement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1,568.1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Cash received by the Parent from the Guarantors in the form of dividends in the amount of $255.5 million represent return on investments and are included in cash flows from operating activities. Cash received by the Guarantors from the Non-Guarantors in the form of dividends in the amount of $25.8 million represent return on investments and are included in the cash flows from operating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5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97"/>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00" w:type="dxa"/>
            <w:vAlign w:val="bottom"/>
          </w:tcPr>
          <w:p>
            <w:pPr>
              <w:spacing w:after="0"/>
              <w:rPr>
                <w:sz w:val="19"/>
                <w:szCs w:val="19"/>
                <w:color w:val="auto"/>
              </w:rPr>
            </w:pPr>
          </w:p>
        </w:tc>
        <w:tc>
          <w:tcPr>
            <w:tcW w:w="3980" w:type="dxa"/>
            <w:vAlign w:val="bottom"/>
            <w:gridSpan w:val="6"/>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5"/>
                <w:szCs w:val="25"/>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388.8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254.5</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and leaseback transaction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7.25%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Cash received by the Parent from its subsidiaries in the form of dividends in the amount of $422.8 million represent return on investments and are included in cash flows from operating activities. Cash received by the Guarantors from the Non-Guarantors in the form of dividends in the amount of $1.3 million represent return on investments and are included in the cash flows from operating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5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7"/>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67"/>
        </w:trPr>
        <w:tc>
          <w:tcPr>
            <w:tcW w:w="3600" w:type="dxa"/>
            <w:vAlign w:val="bottom"/>
            <w:tcBorders>
              <w:bottom w:val="single" w:sz="8" w:color="CCEEFF"/>
            </w:tcBorders>
          </w:tcPr>
          <w:p>
            <w:pPr>
              <w:spacing w:after="0"/>
              <w:rPr>
                <w:sz w:val="5"/>
                <w:szCs w:val="5"/>
                <w:color w:val="auto"/>
              </w:rPr>
            </w:pPr>
          </w:p>
        </w:tc>
        <w:tc>
          <w:tcPr>
            <w:tcW w:w="166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spacing w:after="0"/>
              <w:rPr>
                <w:sz w:val="19"/>
                <w:szCs w:val="19"/>
                <w:color w:val="auto"/>
              </w:rPr>
            </w:pPr>
          </w:p>
        </w:tc>
        <w:tc>
          <w:tcPr>
            <w:tcW w:w="16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LIABILITIES AND</w:t>
            </w:r>
          </w:p>
        </w:tc>
        <w:tc>
          <w:tcPr>
            <w:tcW w:w="13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75"/>
              </w:rPr>
              <w:t>SHAREHOLDERS’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Borrowings under revolving and bank lines of credit and term loans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1,474.8</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w w:val="93"/>
              </w:rPr>
              <w:t>Repayments under revolving and bank lines of credit and term loans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(1,682.1)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1060" w:type="dxa"/>
            <w:vAlign w:val="bottom"/>
            <w:gridSpan w:val="2"/>
          </w:tcPr>
          <w:p>
            <w:pPr>
              <w:jc w:val="right"/>
              <w:ind w:right="6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2015</w:t>
      </w:r>
    </w:p>
    <w:p>
      <w:pPr>
        <w:sectPr>
          <w:pgSz w:w="11900" w:h="16838" w:orient="portrait"/>
          <w:cols w:equalWidth="0" w:num="1">
            <w:col w:w="11380"/>
          </w:cols>
          <w:pgMar w:left="280" w:top="850"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2014</w:t>
      </w:r>
    </w:p>
    <w:p>
      <w:pPr>
        <w:sectPr>
          <w:pgSz w:w="11900" w:h="16838" w:orient="portrait"/>
          <w:cols w:equalWidth="0" w:num="1">
            <w:col w:w="11380"/>
          </w:cols>
          <w:pgMar w:left="280" w:top="850"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2013</w:t>
      </w:r>
    </w:p>
    <w:p>
      <w:pPr>
        <w:sectPr>
          <w:pgSz w:w="11900" w:h="16838" w:orient="portrait"/>
          <w:cols w:equalWidth="0" w:num="1">
            <w:col w:w="11380"/>
          </w:cols>
          <w:pgMar w:left="280" w:top="850"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80"/>
          </w:cols>
          <w:pgMar w:left="280" w:top="850" w:right="239" w:bottom="1440" w:gutter="0" w:footer="0" w:header="0"/>
          <w:type w:val="continuous"/>
        </w:sectPr>
      </w:pPr>
    </w:p>
    <w:bookmarkStart w:id="118" w:name="page119"/>
    <w:bookmarkEnd w:id="118"/>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85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900" w:type="dxa"/>
            <w:vAlign w:val="bottom"/>
          </w:tcPr>
          <w:p>
            <w:pPr>
              <w:spacing w:after="0"/>
              <w:rPr>
                <w:sz w:val="18"/>
                <w:szCs w:val="18"/>
                <w:color w:val="auto"/>
              </w:rPr>
            </w:pPr>
          </w:p>
        </w:tc>
      </w:tr>
      <w:tr>
        <w:trPr>
          <w:trHeight w:val="234"/>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900" w:type="dxa"/>
            <w:vAlign w:val="bottom"/>
          </w:tcPr>
          <w:p>
            <w:pPr>
              <w:ind w:left="20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900" w:type="dxa"/>
            <w:vAlign w:val="bottom"/>
          </w:tcPr>
          <w:p>
            <w:pPr>
              <w:ind w:left="40"/>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4"/>
              </w:rPr>
              <w:t>Company as filed with the Ohio Secretary of State on November</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22, 2004</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900" w:type="dxa"/>
            <w:vAlign w:val="bottom"/>
          </w:tcPr>
          <w:p>
            <w:pPr>
              <w:ind w:left="4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7"/>
              </w:rPr>
              <w:t>Incorporation of The Scotts Miracle-Gro Company as filed with</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the Ohio Secretary of State on March 18, 2005</w:t>
            </w:r>
          </w:p>
        </w:tc>
      </w:tr>
      <w:tr>
        <w:trPr>
          <w:trHeight w:val="392"/>
        </w:trPr>
        <w:tc>
          <w:tcPr>
            <w:tcW w:w="13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Code of Regulations of The Scotts Miracle-Gro Company</w:t>
            </w:r>
          </w:p>
        </w:tc>
      </w:tr>
      <w:tr>
        <w:trPr>
          <w:trHeight w:val="59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900" w:type="dxa"/>
            <w:vAlign w:val="bottom"/>
          </w:tcPr>
          <w:p>
            <w:pPr>
              <w:ind w:left="40"/>
              <w:spacing w:after="0"/>
              <w:rPr>
                <w:sz w:val="20"/>
                <w:szCs w:val="20"/>
                <w:color w:val="auto"/>
              </w:rPr>
            </w:pPr>
            <w:r>
              <w:rPr>
                <w:rFonts w:ascii="Arial" w:cs="Arial" w:eastAsia="Arial" w:hAnsi="Arial"/>
                <w:sz w:val="18"/>
                <w:szCs w:val="18"/>
                <w:color w:val="auto"/>
                <w:w w:val="97"/>
              </w:rPr>
              <w:t>Indenture, dated as of December 16, 2010, by and among The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First Supplemental Indenture, dated as of September 28, 2011, by</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and among The Scotts Miracle-Gro Company, the Guarantors (as</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Second Supplemental Indenture, dated as of September 30, 2013,</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9"/>
              </w:rPr>
              <w:t>among The Scotts Miracle-Gro Company, the Guarantors (as</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900" w:type="dxa"/>
            <w:vAlign w:val="bottom"/>
          </w:tcPr>
          <w:p>
            <w:pPr>
              <w:ind w:left="40"/>
              <w:spacing w:after="0"/>
              <w:rPr>
                <w:sz w:val="20"/>
                <w:szCs w:val="20"/>
                <w:color w:val="auto"/>
              </w:rPr>
            </w:pPr>
            <w:r>
              <w:rPr>
                <w:rFonts w:ascii="Arial" w:cs="Arial" w:eastAsia="Arial" w:hAnsi="Arial"/>
                <w:sz w:val="18"/>
                <w:szCs w:val="18"/>
                <w:color w:val="auto"/>
                <w:w w:val="98"/>
              </w:rPr>
              <w:t>Third Supplemental Indenture, dated as of February 25, 2014,</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9"/>
              </w:rPr>
              <w:t>among The Scotts Miracle-Gro Company, the Guarantors (as</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4.1(e)</w:t>
            </w:r>
          </w:p>
        </w:tc>
        <w:tc>
          <w:tcPr>
            <w:tcW w:w="4900" w:type="dxa"/>
            <w:vAlign w:val="bottom"/>
          </w:tcPr>
          <w:p>
            <w:pPr>
              <w:ind w:left="40"/>
              <w:spacing w:after="0"/>
              <w:rPr>
                <w:sz w:val="20"/>
                <w:szCs w:val="20"/>
                <w:color w:val="auto"/>
              </w:rPr>
            </w:pPr>
            <w:r>
              <w:rPr>
                <w:rFonts w:ascii="Arial" w:cs="Arial" w:eastAsia="Arial" w:hAnsi="Arial"/>
                <w:sz w:val="18"/>
                <w:szCs w:val="18"/>
                <w:color w:val="auto"/>
                <w:w w:val="90"/>
              </w:rPr>
              <w:t>Fourth Supplemental Indenture, dated March 27, 2015, among The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4.1(f)</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Fifth Supplemental Indenture, dated October 26, 2015, among The</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[Exhibit 3.1]</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3.2]</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3.3]</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4.1]</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filed November 23, 2011 [Exhibit 4.2(b)]</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28, 2013 filed February 6, 2014 [Exhibit 4.2]</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4.1]</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6" w:lineRule="exact"/>
        <w:rPr>
          <w:sz w:val="20"/>
          <w:szCs w:val="20"/>
          <w:color w:val="auto"/>
        </w:rPr>
      </w:pPr>
    </w:p>
    <w:p>
      <w:pPr>
        <w:sectPr>
          <w:pgSz w:w="11900" w:h="16838" w:orient="portrait"/>
          <w:cols w:equalWidth="0" w:num="2">
            <w:col w:w="6360" w:space="180"/>
            <w:col w:w="4860"/>
          </w:cols>
          <w:pgMar w:left="240" w:top="850" w:right="2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4.1(g)</w:t>
            </w:r>
          </w:p>
        </w:tc>
        <w:tc>
          <w:tcPr>
            <w:tcW w:w="5360" w:type="dxa"/>
            <w:vAlign w:val="bottom"/>
          </w:tcPr>
          <w:p>
            <w:pPr>
              <w:ind w:left="520"/>
              <w:spacing w:after="0"/>
              <w:rPr>
                <w:sz w:val="20"/>
                <w:szCs w:val="20"/>
                <w:color w:val="auto"/>
              </w:rPr>
            </w:pPr>
            <w:r>
              <w:rPr>
                <w:rFonts w:ascii="Arial" w:cs="Arial" w:eastAsia="Arial" w:hAnsi="Arial"/>
                <w:sz w:val="18"/>
                <w:szCs w:val="18"/>
                <w:color w:val="auto"/>
              </w:rPr>
              <w:t>Form of 6.625% Senior Notes due 2020</w:t>
            </w:r>
          </w:p>
        </w:tc>
      </w:tr>
      <w:tr>
        <w:trPr>
          <w:trHeight w:val="593"/>
        </w:trPr>
        <w:tc>
          <w:tcPr>
            <w:tcW w:w="940" w:type="dxa"/>
            <w:vAlign w:val="bottom"/>
          </w:tcPr>
          <w:p>
            <w:pPr>
              <w:spacing w:after="0"/>
              <w:rPr>
                <w:sz w:val="20"/>
                <w:szCs w:val="20"/>
                <w:color w:val="auto"/>
              </w:rPr>
            </w:pPr>
            <w:r>
              <w:rPr>
                <w:rFonts w:ascii="Arial" w:cs="Arial" w:eastAsia="Arial" w:hAnsi="Arial"/>
                <w:sz w:val="18"/>
                <w:szCs w:val="18"/>
                <w:color w:val="auto"/>
              </w:rPr>
              <w:t>4.2(a)</w:t>
            </w:r>
          </w:p>
        </w:tc>
        <w:tc>
          <w:tcPr>
            <w:tcW w:w="5360" w:type="dxa"/>
            <w:vAlign w:val="bottom"/>
          </w:tcPr>
          <w:p>
            <w:pPr>
              <w:ind w:left="520"/>
              <w:spacing w:after="0"/>
              <w:rPr>
                <w:sz w:val="20"/>
                <w:szCs w:val="20"/>
                <w:color w:val="auto"/>
              </w:rPr>
            </w:pPr>
            <w:r>
              <w:rPr>
                <w:rFonts w:ascii="Arial" w:cs="Arial" w:eastAsia="Arial" w:hAnsi="Arial"/>
                <w:sz w:val="18"/>
                <w:szCs w:val="18"/>
                <w:color w:val="auto"/>
                <w:w w:val="90"/>
              </w:rPr>
              <w:t>Indenture, dated as of October 13, 2015, by and among The Scotts</w:t>
            </w:r>
          </w:p>
        </w:tc>
      </w:tr>
      <w:tr>
        <w:trPr>
          <w:trHeight w:val="216"/>
        </w:trPr>
        <w:tc>
          <w:tcPr>
            <w:tcW w:w="940" w:type="dxa"/>
            <w:vAlign w:val="bottom"/>
          </w:tcPr>
          <w:p>
            <w:pPr>
              <w:spacing w:after="0"/>
              <w:rPr>
                <w:sz w:val="18"/>
                <w:szCs w:val="18"/>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w w:val="96"/>
              </w:rPr>
              <w:t>Miracle-Gro Company, the Guarantors (as defined therein) and</w:t>
            </w:r>
          </w:p>
        </w:tc>
      </w:tr>
      <w:tr>
        <w:trPr>
          <w:trHeight w:val="230"/>
        </w:trPr>
        <w:tc>
          <w:tcPr>
            <w:tcW w:w="940" w:type="dxa"/>
            <w:vAlign w:val="bottom"/>
          </w:tcPr>
          <w:p>
            <w:pPr>
              <w:spacing w:after="0"/>
              <w:rPr>
                <w:sz w:val="20"/>
                <w:szCs w:val="20"/>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rPr>
              <w:t>U.S. Bank National Association, as trustee</w:t>
            </w: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4.2(b)</w:t>
            </w:r>
          </w:p>
        </w:tc>
        <w:tc>
          <w:tcPr>
            <w:tcW w:w="5360" w:type="dxa"/>
            <w:vAlign w:val="bottom"/>
          </w:tcPr>
          <w:p>
            <w:pPr>
              <w:ind w:left="520"/>
              <w:spacing w:after="0"/>
              <w:rPr>
                <w:sz w:val="20"/>
                <w:szCs w:val="20"/>
                <w:color w:val="auto"/>
              </w:rPr>
            </w:pPr>
            <w:r>
              <w:rPr>
                <w:rFonts w:ascii="Arial" w:cs="Arial" w:eastAsia="Arial" w:hAnsi="Arial"/>
                <w:sz w:val="18"/>
                <w:szCs w:val="18"/>
                <w:color w:val="auto"/>
              </w:rPr>
              <w:t>Form of 6.000% Senior Notes due 2023</w:t>
            </w:r>
          </w:p>
        </w:tc>
      </w:tr>
      <w:tr>
        <w:trPr>
          <w:trHeight w:val="593"/>
        </w:trPr>
        <w:tc>
          <w:tcPr>
            <w:tcW w:w="940" w:type="dxa"/>
            <w:vAlign w:val="bottom"/>
          </w:tcPr>
          <w:p>
            <w:pPr>
              <w:spacing w:after="0"/>
              <w:rPr>
                <w:sz w:val="20"/>
                <w:szCs w:val="20"/>
                <w:color w:val="auto"/>
              </w:rPr>
            </w:pPr>
            <w:r>
              <w:rPr>
                <w:rFonts w:ascii="Arial" w:cs="Arial" w:eastAsia="Arial" w:hAnsi="Arial"/>
                <w:sz w:val="18"/>
                <w:szCs w:val="18"/>
                <w:color w:val="auto"/>
              </w:rPr>
              <w:t>4.2(c)</w:t>
            </w:r>
          </w:p>
        </w:tc>
        <w:tc>
          <w:tcPr>
            <w:tcW w:w="5360" w:type="dxa"/>
            <w:vAlign w:val="bottom"/>
          </w:tcPr>
          <w:p>
            <w:pPr>
              <w:ind w:left="520"/>
              <w:spacing w:after="0"/>
              <w:rPr>
                <w:sz w:val="20"/>
                <w:szCs w:val="20"/>
                <w:color w:val="auto"/>
              </w:rPr>
            </w:pPr>
            <w:r>
              <w:rPr>
                <w:rFonts w:ascii="Arial" w:cs="Arial" w:eastAsia="Arial" w:hAnsi="Arial"/>
                <w:sz w:val="18"/>
                <w:szCs w:val="18"/>
                <w:color w:val="auto"/>
                <w:w w:val="93"/>
              </w:rPr>
              <w:t>Registration Rights Agreement, dated as of October 13, 2015, by</w:t>
            </w:r>
          </w:p>
        </w:tc>
      </w:tr>
      <w:tr>
        <w:trPr>
          <w:trHeight w:val="216"/>
        </w:trPr>
        <w:tc>
          <w:tcPr>
            <w:tcW w:w="940" w:type="dxa"/>
            <w:vAlign w:val="bottom"/>
          </w:tcPr>
          <w:p>
            <w:pPr>
              <w:spacing w:after="0"/>
              <w:rPr>
                <w:sz w:val="18"/>
                <w:szCs w:val="18"/>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w w:val="98"/>
              </w:rPr>
              <w:t>and among The Scotts Miracle-Gro Company, the guarantors</w:t>
            </w:r>
          </w:p>
        </w:tc>
      </w:tr>
      <w:tr>
        <w:trPr>
          <w:trHeight w:val="230"/>
        </w:trPr>
        <w:tc>
          <w:tcPr>
            <w:tcW w:w="940" w:type="dxa"/>
            <w:vAlign w:val="bottom"/>
          </w:tcPr>
          <w:p>
            <w:pPr>
              <w:spacing w:after="0"/>
              <w:rPr>
                <w:sz w:val="20"/>
                <w:szCs w:val="20"/>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w w:val="97"/>
              </w:rPr>
              <w:t>named  therein  and  Merrill  Lynch,  Pierce,  Fenner  &amp;  Smith</w:t>
            </w:r>
          </w:p>
        </w:tc>
      </w:tr>
    </w:tbl>
    <w:p>
      <w:pPr>
        <w:ind w:left="1500"/>
        <w:spacing w:after="0" w:line="261" w:lineRule="auto"/>
        <w:rPr>
          <w:sz w:val="20"/>
          <w:szCs w:val="20"/>
          <w:color w:val="auto"/>
        </w:rPr>
      </w:pPr>
      <w:r>
        <w:rPr>
          <w:rFonts w:ascii="Arial" w:cs="Arial" w:eastAsia="Arial" w:hAnsi="Arial"/>
          <w:sz w:val="18"/>
          <w:szCs w:val="18"/>
          <w:color w:val="auto"/>
        </w:rPr>
        <w:t>Incorporated, as representative of the several initial purchasers named therein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4.2]</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4.1]</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4.2]</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4.3]</w:t>
      </w:r>
    </w:p>
    <w:p>
      <w:pPr>
        <w:spacing w:after="0" w:line="834" w:lineRule="exact"/>
        <w:rPr>
          <w:sz w:val="20"/>
          <w:szCs w:val="20"/>
          <w:color w:val="auto"/>
        </w:rPr>
      </w:pPr>
    </w:p>
    <w:p>
      <w:pPr>
        <w:sectPr>
          <w:pgSz w:w="11900" w:h="16838" w:orient="portrait"/>
          <w:cols w:equalWidth="0" w:num="2">
            <w:col w:w="6340" w:space="200"/>
            <w:col w:w="4860"/>
          </w:cols>
          <w:pgMar w:left="240" w:top="850" w:right="259" w:bottom="1440" w:gutter="0" w:footer="0" w:header="0"/>
          <w:type w:val="continuous"/>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00"/>
          </w:cols>
          <w:pgMar w:left="240" w:top="850" w:right="25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4.3</w:t>
            </w: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Agreement  to  furnish  copies  of  instruments  and  agreements</w:t>
            </w:r>
          </w:p>
        </w:tc>
      </w:tr>
      <w:tr>
        <w:trPr>
          <w:trHeight w:val="230"/>
        </w:trPr>
        <w:tc>
          <w:tcPr>
            <w:tcW w:w="98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defining rights of holders of long-term debt</w:t>
            </w:r>
          </w:p>
        </w:tc>
      </w:tr>
      <w:tr>
        <w:trPr>
          <w:trHeight w:val="377"/>
        </w:trPr>
        <w:tc>
          <w:tcPr>
            <w:tcW w:w="980" w:type="dxa"/>
            <w:vAlign w:val="bottom"/>
          </w:tcPr>
          <w:p>
            <w:pPr>
              <w:spacing w:after="0"/>
              <w:rPr>
                <w:sz w:val="20"/>
                <w:szCs w:val="20"/>
                <w:color w:val="auto"/>
              </w:rPr>
            </w:pPr>
            <w:r>
              <w:rPr>
                <w:rFonts w:ascii="Arial" w:cs="Arial" w:eastAsia="Arial" w:hAnsi="Arial"/>
                <w:sz w:val="18"/>
                <w:szCs w:val="18"/>
                <w:color w:val="auto"/>
              </w:rPr>
              <w:t>10.1(a)</w:t>
            </w:r>
          </w:p>
        </w:tc>
        <w:tc>
          <w:tcPr>
            <w:tcW w:w="5320" w:type="dxa"/>
            <w:vAlign w:val="bottom"/>
          </w:tcPr>
          <w:p>
            <w:pPr>
              <w:ind w:left="480"/>
              <w:spacing w:after="0"/>
              <w:rPr>
                <w:sz w:val="20"/>
                <w:szCs w:val="20"/>
                <w:color w:val="auto"/>
              </w:rPr>
            </w:pPr>
            <w:r>
              <w:rPr>
                <w:rFonts w:ascii="Arial" w:cs="Arial" w:eastAsia="Arial" w:hAnsi="Arial"/>
                <w:sz w:val="18"/>
                <w:szCs w:val="18"/>
                <w:color w:val="auto"/>
                <w:w w:val="89"/>
              </w:rPr>
              <w:t>Amended and Restated Agreement and Plan of Merger, dated as of</w:t>
            </w:r>
          </w:p>
        </w:tc>
      </w:tr>
      <w:tr>
        <w:trPr>
          <w:trHeight w:val="230"/>
        </w:trPr>
        <w:tc>
          <w:tcPr>
            <w:tcW w:w="98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3"/>
              </w:rPr>
              <w:t>May 19, 1995, among Stern’s Miracle-Gro Products, Inc., Stern’s</w:t>
            </w:r>
          </w:p>
        </w:tc>
      </w:tr>
    </w:tbl>
    <w:p>
      <w:pPr>
        <w:jc w:val="both"/>
        <w:ind w:left="1460"/>
        <w:spacing w:after="0" w:line="253" w:lineRule="auto"/>
        <w:rPr>
          <w:sz w:val="20"/>
          <w:szCs w:val="20"/>
          <w:color w:val="auto"/>
        </w:rPr>
      </w:pPr>
      <w:r>
        <w:rPr>
          <w:rFonts w:ascii="Arial" w:cs="Arial" w:eastAsia="Arial" w:hAnsi="Arial"/>
          <w:sz w:val="18"/>
          <w:szCs w:val="18"/>
          <w:color w:val="auto"/>
        </w:rPr>
        <w:t>Nurseries, Inc., Miracle-Gro Lawn Products Inc., Miracle-Gro 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[Exhibit 2(b)]</w:t>
      </w:r>
    </w:p>
    <w:p>
      <w:pPr>
        <w:spacing w:after="0" w:line="1005" w:lineRule="exact"/>
        <w:rPr>
          <w:sz w:val="20"/>
          <w:szCs w:val="20"/>
          <w:color w:val="auto"/>
        </w:rPr>
      </w:pPr>
    </w:p>
    <w:p>
      <w:pPr>
        <w:sectPr>
          <w:pgSz w:w="11900" w:h="16838" w:orient="portrait"/>
          <w:cols w:equalWidth="0" w:num="2">
            <w:col w:w="6300" w:space="200"/>
            <w:col w:w="4860"/>
          </w:cols>
          <w:pgMar w:left="280" w:top="1341"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10.1(b)</w:t>
            </w:r>
          </w:p>
        </w:tc>
        <w:tc>
          <w:tcPr>
            <w:tcW w:w="5320" w:type="dxa"/>
            <w:vAlign w:val="bottom"/>
          </w:tcPr>
          <w:p>
            <w:pPr>
              <w:ind w:left="480"/>
              <w:spacing w:after="0"/>
              <w:rPr>
                <w:sz w:val="20"/>
                <w:szCs w:val="20"/>
                <w:color w:val="auto"/>
              </w:rPr>
            </w:pPr>
            <w:r>
              <w:rPr>
                <w:rFonts w:ascii="Arial" w:cs="Arial" w:eastAsia="Arial" w:hAnsi="Arial"/>
                <w:sz w:val="18"/>
                <w:szCs w:val="18"/>
                <w:color w:val="auto"/>
                <w:w w:val="92"/>
              </w:rPr>
              <w:t>First Amendment to Amended and Restated Agreement and Plan</w:t>
            </w:r>
          </w:p>
        </w:tc>
      </w:tr>
      <w:tr>
        <w:trPr>
          <w:trHeight w:val="230"/>
        </w:trPr>
        <w:tc>
          <w:tcPr>
            <w:tcW w:w="98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of Merger, made and entered into as of October 1, 1999, among</w:t>
            </w:r>
          </w:p>
        </w:tc>
      </w:tr>
    </w:tbl>
    <w:p>
      <w:pPr>
        <w:jc w:val="both"/>
        <w:ind w:left="1460"/>
        <w:spacing w:after="0" w:line="252" w:lineRule="auto"/>
        <w:rPr>
          <w:sz w:val="20"/>
          <w:szCs w:val="20"/>
          <w:color w:val="auto"/>
        </w:rPr>
      </w:pPr>
      <w:r>
        <w:rPr>
          <w:rFonts w:ascii="Arial" w:cs="Arial" w:eastAsia="Arial" w:hAnsi="Arial"/>
          <w:sz w:val="18"/>
          <w:szCs w:val="18"/>
          <w:color w:val="auto"/>
        </w:rPr>
        <w:t>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[Exhibit 2]</w:t>
      </w:r>
    </w:p>
    <w:p>
      <w:pPr>
        <w:spacing w:after="0" w:line="1437" w:lineRule="exact"/>
        <w:rPr>
          <w:sz w:val="20"/>
          <w:szCs w:val="20"/>
          <w:color w:val="auto"/>
        </w:rPr>
      </w:pPr>
    </w:p>
    <w:p>
      <w:pPr>
        <w:sectPr>
          <w:pgSz w:w="11900" w:h="16838" w:orient="portrait"/>
          <w:cols w:equalWidth="0" w:num="2">
            <w:col w:w="6300" w:space="20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10.2(a)</w:t>
            </w:r>
          </w:p>
        </w:tc>
        <w:tc>
          <w:tcPr>
            <w:tcW w:w="5320" w:type="dxa"/>
            <w:vAlign w:val="bottom"/>
          </w:tcPr>
          <w:p>
            <w:pPr>
              <w:ind w:left="480"/>
              <w:spacing w:after="0"/>
              <w:rPr>
                <w:sz w:val="20"/>
                <w:szCs w:val="20"/>
                <w:color w:val="auto"/>
              </w:rPr>
            </w:pPr>
            <w:r>
              <w:rPr>
                <w:rFonts w:ascii="Arial" w:cs="Arial" w:eastAsia="Arial" w:hAnsi="Arial"/>
                <w:sz w:val="18"/>
                <w:szCs w:val="18"/>
                <w:color w:val="auto"/>
              </w:rPr>
              <w:t>Third Amended and Restated Credit Agreement, dated as of</w:t>
            </w:r>
          </w:p>
        </w:tc>
      </w:tr>
      <w:tr>
        <w:trPr>
          <w:trHeight w:val="216"/>
        </w:trPr>
        <w:tc>
          <w:tcPr>
            <w:tcW w:w="98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4"/>
              </w:rPr>
              <w:t>December  20,  2013,  by  and  among  The  Scotts  Miracle-Gro</w:t>
            </w:r>
          </w:p>
        </w:tc>
      </w:tr>
      <w:tr>
        <w:trPr>
          <w:trHeight w:val="230"/>
        </w:trPr>
        <w:tc>
          <w:tcPr>
            <w:tcW w:w="98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1"/>
              </w:rPr>
              <w:t>Company as the “Borrower”; the Subsidiary Borrowers (as defined</w:t>
            </w:r>
          </w:p>
        </w:tc>
      </w:tr>
    </w:tbl>
    <w:p>
      <w:pPr>
        <w:jc w:val="both"/>
        <w:ind w:left="1460"/>
        <w:spacing w:after="0" w:line="268" w:lineRule="auto"/>
        <w:rPr>
          <w:sz w:val="20"/>
          <w:szCs w:val="20"/>
          <w:color w:val="auto"/>
        </w:rPr>
      </w:pPr>
      <w:r>
        <w:rPr>
          <w:rFonts w:ascii="Arial" w:cs="Arial" w:eastAsia="Arial" w:hAnsi="Arial"/>
          <w:sz w:val="17"/>
          <w:szCs w:val="17"/>
          <w:color w:val="auto"/>
        </w:rPr>
        <w:t>in the Third Amended and Restated Credit Agreement); JPMorgan Chase Bank, N.A., as Administrative Agent; Bank of America, N.A., as Syndication Agent; CoBank, ACB, BNP Paribas, Crédit Agricole Corporate and Investment Bank, Coöperatieve Centrale Raiffeisen-Boerenleenbank B.A., “Rabobank Nederland,” New York Branch, Citizens Bank of Pennsylvania, and Wells Fargo Bank, N.A., as Documentation Agents; and several other banks and other financial institutions from time to time parties to the Third Amended and Restated Credit Agreement (collectively, the “Lenders”)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26, 2013 [Exhibit 4.1]</w:t>
      </w:r>
    </w:p>
    <w:p>
      <w:pPr>
        <w:spacing w:after="0" w:line="2506" w:lineRule="exact"/>
        <w:rPr>
          <w:sz w:val="20"/>
          <w:szCs w:val="20"/>
          <w:color w:val="auto"/>
        </w:rPr>
      </w:pPr>
    </w:p>
    <w:p>
      <w:pPr>
        <w:sectPr>
          <w:pgSz w:w="11900" w:h="16838" w:orient="portrait"/>
          <w:cols w:equalWidth="0" w:num="2">
            <w:col w:w="6300" w:space="20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10.2(b)</w:t>
            </w:r>
          </w:p>
        </w:tc>
        <w:tc>
          <w:tcPr>
            <w:tcW w:w="4380" w:type="dxa"/>
            <w:vAlign w:val="bottom"/>
          </w:tcPr>
          <w:p>
            <w:pPr>
              <w:ind w:left="480"/>
              <w:spacing w:after="0"/>
              <w:rPr>
                <w:sz w:val="20"/>
                <w:szCs w:val="20"/>
                <w:color w:val="auto"/>
              </w:rPr>
            </w:pPr>
            <w:r>
              <w:rPr>
                <w:rFonts w:ascii="Arial" w:cs="Arial" w:eastAsia="Arial" w:hAnsi="Arial"/>
                <w:sz w:val="18"/>
                <w:szCs w:val="18"/>
                <w:color w:val="auto"/>
                <w:w w:val="97"/>
              </w:rPr>
              <w:t>Fourth Amended and Restated Credit Agreement,</w:t>
            </w:r>
          </w:p>
        </w:tc>
        <w:tc>
          <w:tcPr>
            <w:tcW w:w="940" w:type="dxa"/>
            <w:vAlign w:val="bottom"/>
          </w:tcPr>
          <w:p>
            <w:pPr>
              <w:ind w:left="40"/>
              <w:spacing w:after="0"/>
              <w:rPr>
                <w:sz w:val="20"/>
                <w:szCs w:val="20"/>
                <w:color w:val="auto"/>
              </w:rPr>
            </w:pPr>
            <w:r>
              <w:rPr>
                <w:rFonts w:ascii="Arial" w:cs="Arial" w:eastAsia="Arial" w:hAnsi="Arial"/>
                <w:sz w:val="18"/>
                <w:szCs w:val="18"/>
                <w:color w:val="auto"/>
                <w:w w:val="98"/>
              </w:rPr>
              <w:t>dated as of</w:t>
            </w:r>
          </w:p>
        </w:tc>
      </w:tr>
      <w:tr>
        <w:trPr>
          <w:trHeight w:val="216"/>
        </w:trPr>
        <w:tc>
          <w:tcPr>
            <w:tcW w:w="980" w:type="dxa"/>
            <w:vAlign w:val="bottom"/>
          </w:tcPr>
          <w:p>
            <w:pPr>
              <w:spacing w:after="0"/>
              <w:rPr>
                <w:sz w:val="18"/>
                <w:szCs w:val="18"/>
                <w:color w:val="auto"/>
              </w:rPr>
            </w:pPr>
          </w:p>
        </w:tc>
        <w:tc>
          <w:tcPr>
            <w:tcW w:w="4380" w:type="dxa"/>
            <w:vAlign w:val="bottom"/>
          </w:tcPr>
          <w:p>
            <w:pPr>
              <w:ind w:left="480"/>
              <w:spacing w:after="0"/>
              <w:rPr>
                <w:sz w:val="20"/>
                <w:szCs w:val="20"/>
                <w:color w:val="auto"/>
              </w:rPr>
            </w:pPr>
            <w:r>
              <w:rPr>
                <w:rFonts w:ascii="Arial" w:cs="Arial" w:eastAsia="Arial" w:hAnsi="Arial"/>
                <w:sz w:val="18"/>
                <w:szCs w:val="18"/>
                <w:color w:val="auto"/>
                <w:w w:val="99"/>
              </w:rPr>
              <w:t>October  29,  2015,  by  and  among  The  Scotts</w:t>
            </w:r>
          </w:p>
        </w:tc>
        <w:tc>
          <w:tcPr>
            <w:tcW w:w="940" w:type="dxa"/>
            <w:vAlign w:val="bottom"/>
          </w:tcPr>
          <w:p>
            <w:pPr>
              <w:ind w:left="40"/>
              <w:spacing w:after="0"/>
              <w:rPr>
                <w:sz w:val="20"/>
                <w:szCs w:val="20"/>
                <w:color w:val="auto"/>
              </w:rPr>
            </w:pPr>
            <w:r>
              <w:rPr>
                <w:rFonts w:ascii="Arial" w:cs="Arial" w:eastAsia="Arial" w:hAnsi="Arial"/>
                <w:sz w:val="18"/>
                <w:szCs w:val="18"/>
                <w:color w:val="auto"/>
                <w:w w:val="93"/>
              </w:rPr>
              <w:t>Miracle-Gro</w:t>
            </w:r>
          </w:p>
        </w:tc>
      </w:tr>
      <w:tr>
        <w:trPr>
          <w:trHeight w:val="216"/>
        </w:trPr>
        <w:tc>
          <w:tcPr>
            <w:tcW w:w="980" w:type="dxa"/>
            <w:vAlign w:val="bottom"/>
          </w:tcPr>
          <w:p>
            <w:pPr>
              <w:spacing w:after="0"/>
              <w:rPr>
                <w:sz w:val="18"/>
                <w:szCs w:val="18"/>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w w:val="95"/>
              </w:rPr>
              <w:t>Company, as a Borrower; the Subsidiary Borrowers (as defined</w:t>
            </w:r>
          </w:p>
        </w:tc>
      </w:tr>
      <w:tr>
        <w:trPr>
          <w:trHeight w:val="230"/>
        </w:trPr>
        <w:tc>
          <w:tcPr>
            <w:tcW w:w="980" w:type="dxa"/>
            <w:vAlign w:val="bottom"/>
          </w:tcPr>
          <w:p>
            <w:pPr>
              <w:spacing w:after="0"/>
              <w:rPr>
                <w:sz w:val="20"/>
                <w:szCs w:val="20"/>
                <w:color w:val="auto"/>
              </w:rPr>
            </w:pP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w w:val="95"/>
              </w:rPr>
              <w:t>therein); JPMorgan Chase Bank, N.A., as Administrative Agent;</w:t>
            </w:r>
          </w:p>
        </w:tc>
      </w:tr>
    </w:tbl>
    <w:p>
      <w:pPr>
        <w:jc w:val="both"/>
        <w:ind w:left="1460"/>
        <w:spacing w:after="0" w:line="269" w:lineRule="auto"/>
        <w:rPr>
          <w:sz w:val="20"/>
          <w:szCs w:val="20"/>
          <w:color w:val="auto"/>
        </w:rPr>
      </w:pPr>
      <w:r>
        <w:rPr>
          <w:rFonts w:ascii="Arial" w:cs="Arial" w:eastAsia="Arial" w:hAnsi="Arial"/>
          <w:sz w:val="17"/>
          <w:szCs w:val="17"/>
          <w:color w:val="auto"/>
        </w:rPr>
        <w:t>Bank of America, N.A. and Wells Fargo Bank, National Association, as Co- Syndication Agents; CoBank, ACB, Mizuho Bank, LTD., Coöperatieve Centrale Raiffeisen-Boerenleenbank B.A. “Rabobank Nederland”, New York Branch, TD Bank N.A. and U.S. Bank National Association, as Co-Documentation Agents; and the several other banks and other financial institutions from time to time parties thereto</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10.1]</w:t>
      </w:r>
    </w:p>
    <w:p>
      <w:pPr>
        <w:spacing w:after="0" w:line="2074" w:lineRule="exact"/>
        <w:rPr>
          <w:sz w:val="20"/>
          <w:szCs w:val="20"/>
          <w:color w:val="auto"/>
        </w:rPr>
      </w:pPr>
    </w:p>
    <w:p>
      <w:pPr>
        <w:sectPr>
          <w:pgSz w:w="11900" w:h="16838" w:orient="portrait"/>
          <w:cols w:equalWidth="0" w:num="2">
            <w:col w:w="6300" w:space="20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10.3(a)</w:t>
            </w:r>
          </w:p>
        </w:tc>
        <w:tc>
          <w:tcPr>
            <w:tcW w:w="5320" w:type="dxa"/>
            <w:vAlign w:val="bottom"/>
          </w:tcPr>
          <w:p>
            <w:pPr>
              <w:ind w:left="480"/>
              <w:spacing w:after="0"/>
              <w:rPr>
                <w:sz w:val="20"/>
                <w:szCs w:val="20"/>
                <w:color w:val="auto"/>
              </w:rPr>
            </w:pPr>
            <w:r>
              <w:rPr>
                <w:rFonts w:ascii="Arial" w:cs="Arial" w:eastAsia="Arial" w:hAnsi="Arial"/>
                <w:sz w:val="18"/>
                <w:szCs w:val="18"/>
                <w:color w:val="auto"/>
                <w:w w:val="89"/>
              </w:rPr>
              <w:t>Third Amended and Restated Guarantee and Collateral Agreement,</w:t>
            </w:r>
          </w:p>
        </w:tc>
      </w:tr>
      <w:tr>
        <w:trPr>
          <w:trHeight w:val="230"/>
        </w:trPr>
        <w:tc>
          <w:tcPr>
            <w:tcW w:w="980" w:type="dxa"/>
            <w:vAlign w:val="bottom"/>
          </w:tcPr>
          <w:p>
            <w:pPr>
              <w:spacing w:after="0"/>
              <w:rPr>
                <w:sz w:val="20"/>
                <w:szCs w:val="20"/>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w w:val="92"/>
              </w:rPr>
              <w:t>dated as of December 20, 2013, made by The Scotts Miracle-Gro</w:t>
            </w:r>
          </w:p>
        </w:tc>
      </w:tr>
    </w:tbl>
    <w:p>
      <w:pPr>
        <w:jc w:val="both"/>
        <w:ind w:left="1460"/>
        <w:spacing w:after="0" w:line="254" w:lineRule="auto"/>
        <w:rPr>
          <w:sz w:val="20"/>
          <w:szCs w:val="20"/>
          <w:color w:val="auto"/>
        </w:rPr>
      </w:pPr>
      <w:r>
        <w:rPr>
          <w:rFonts w:ascii="Arial" w:cs="Arial" w:eastAsia="Arial" w:hAnsi="Arial"/>
          <w:sz w:val="18"/>
          <w:szCs w:val="18"/>
          <w:color w:val="auto"/>
        </w:rPr>
        <w:t>Company, each domestic Subsidiary Borrower under the Third Amended and Restated Credit Agreement, and certain of its and their domestic subsidiaries, in favor of JPMorgan Chase Bank, N.A., as Administrative Agent</w:t>
      </w: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26, 2013 [Exhibit 4.2]</w:t>
      </w:r>
    </w:p>
    <w:p>
      <w:pPr>
        <w:sectPr>
          <w:pgSz w:w="11900" w:h="16838" w:orient="portrait"/>
          <w:cols w:equalWidth="0" w:num="2">
            <w:col w:w="6300" w:space="200"/>
            <w:col w:w="4860"/>
          </w:cols>
          <w:pgMar w:left="280" w:top="1341" w:right="259" w:bottom="1440" w:gutter="0" w:footer="0" w:header="0"/>
          <w:type w:val="continuous"/>
        </w:sectPr>
      </w:pPr>
    </w:p>
    <w:bookmarkStart w:id="120" w:name="page121"/>
    <w:bookmarkEnd w:id="120"/>
    <w:p>
      <w:pPr>
        <w:jc w:val="both"/>
        <w:ind w:left="1500" w:hanging="1458"/>
        <w:spacing w:after="0" w:line="273" w:lineRule="auto"/>
        <w:tabs>
          <w:tab w:leader="none" w:pos="1480" w:val="left"/>
        </w:tabs>
        <w:rPr>
          <w:sz w:val="20"/>
          <w:szCs w:val="20"/>
          <w:color w:val="auto"/>
        </w:rPr>
      </w:pPr>
      <w:r>
        <w:rPr>
          <w:rFonts w:ascii="Arial" w:cs="Arial" w:eastAsia="Arial" w:hAnsi="Arial"/>
          <w:sz w:val="18"/>
          <w:szCs w:val="18"/>
          <w:color w:val="auto"/>
        </w:rPr>
        <w:t>10.3(b)</w:t>
      </w:r>
      <w:r>
        <w:rPr>
          <w:sz w:val="20"/>
          <w:szCs w:val="20"/>
          <w:color w:val="auto"/>
        </w:rPr>
        <w:tab/>
      </w:r>
      <w:r>
        <w:rPr>
          <w:rFonts w:ascii="Arial" w:cs="Arial" w:eastAsia="Arial" w:hAnsi="Arial"/>
          <w:sz w:val="17"/>
          <w:szCs w:val="17"/>
          <w:color w:val="auto"/>
        </w:rPr>
        <w:t>Fourth Amended and Restated Guarantee and Collateral Agreement, dated as of October 29, 2015, made by The Scotts Miracle-Gro Company, each domestic Subsidiary Borrower under the Fourth Amended and 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10.2]</w:t>
      </w:r>
    </w:p>
    <w:p>
      <w:pPr>
        <w:spacing w:after="0" w:line="994" w:lineRule="exact"/>
        <w:rPr>
          <w:sz w:val="20"/>
          <w:szCs w:val="20"/>
          <w:color w:val="auto"/>
        </w:rPr>
      </w:pPr>
    </w:p>
    <w:p>
      <w:pPr>
        <w:sectPr>
          <w:pgSz w:w="11900" w:h="16838" w:orient="portrait"/>
          <w:cols w:equalWidth="0" w:num="2">
            <w:col w:w="6340" w:space="200"/>
            <w:col w:w="4860"/>
          </w:cols>
          <w:pgMar w:left="240" w:top="1341"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10.4(a)†</w:t>
            </w: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The Scotts Miracle-Gro Company Amended and Restated 1996</w:t>
            </w:r>
          </w:p>
        </w:tc>
      </w:tr>
      <w:tr>
        <w:trPr>
          <w:trHeight w:val="230"/>
        </w:trPr>
        <w:tc>
          <w:tcPr>
            <w:tcW w:w="108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Stock Option Plan (effective as of October 30, 2007)</w:t>
            </w:r>
          </w:p>
        </w:tc>
      </w:tr>
      <w:tr>
        <w:trPr>
          <w:trHeight w:val="593"/>
        </w:trPr>
        <w:tc>
          <w:tcPr>
            <w:tcW w:w="1080" w:type="dxa"/>
            <w:vAlign w:val="bottom"/>
          </w:tcPr>
          <w:p>
            <w:pPr>
              <w:spacing w:after="0"/>
              <w:rPr>
                <w:sz w:val="20"/>
                <w:szCs w:val="20"/>
                <w:color w:val="auto"/>
              </w:rPr>
            </w:pPr>
            <w:r>
              <w:rPr>
                <w:rFonts w:ascii="Arial" w:cs="Arial" w:eastAsia="Arial" w:hAnsi="Arial"/>
                <w:sz w:val="18"/>
                <w:szCs w:val="18"/>
                <w:color w:val="auto"/>
              </w:rPr>
              <w:t>10.4(b)†</w:t>
            </w:r>
          </w:p>
        </w:tc>
        <w:tc>
          <w:tcPr>
            <w:tcW w:w="5260" w:type="dxa"/>
            <w:vAlign w:val="bottom"/>
          </w:tcPr>
          <w:p>
            <w:pPr>
              <w:ind w:left="420"/>
              <w:spacing w:after="0"/>
              <w:rPr>
                <w:sz w:val="20"/>
                <w:szCs w:val="20"/>
                <w:color w:val="auto"/>
              </w:rPr>
            </w:pPr>
            <w:r>
              <w:rPr>
                <w:rFonts w:ascii="Arial" w:cs="Arial" w:eastAsia="Arial" w:hAnsi="Arial"/>
                <w:sz w:val="18"/>
                <w:szCs w:val="18"/>
                <w:color w:val="auto"/>
                <w:w w:val="99"/>
              </w:rPr>
              <w:t>Specimen form of Stock Option Agreement for Non-Qualified</w:t>
            </w:r>
          </w:p>
        </w:tc>
      </w:tr>
      <w:tr>
        <w:trPr>
          <w:trHeight w:val="216"/>
        </w:trPr>
        <w:tc>
          <w:tcPr>
            <w:tcW w:w="108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3"/>
              </w:rPr>
              <w:t>Stock Options granted to employees under The Scotts Company</w:t>
            </w:r>
          </w:p>
        </w:tc>
      </w:tr>
      <w:tr>
        <w:trPr>
          <w:trHeight w:val="216"/>
        </w:trPr>
        <w:tc>
          <w:tcPr>
            <w:tcW w:w="108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1996 Stock Option Plan (now known as The Scotts Miracle-Gro</w:t>
            </w:r>
          </w:p>
        </w:tc>
      </w:tr>
      <w:tr>
        <w:trPr>
          <w:trHeight w:val="230"/>
        </w:trPr>
        <w:tc>
          <w:tcPr>
            <w:tcW w:w="108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Company Amended and Restated 1996 Stock Option Plan)</w:t>
            </w: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10.5(a)†</w:t>
            </w: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The Scotts Miracle-Gro Company Amended and Restated 2003</w:t>
            </w:r>
          </w:p>
        </w:tc>
      </w:tr>
      <w:tr>
        <w:trPr>
          <w:trHeight w:val="216"/>
        </w:trPr>
        <w:tc>
          <w:tcPr>
            <w:tcW w:w="108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Stock  Option  and  Incentive  Equity  Plan  (effective  as  of</w:t>
            </w:r>
          </w:p>
        </w:tc>
      </w:tr>
      <w:tr>
        <w:trPr>
          <w:trHeight w:val="230"/>
        </w:trPr>
        <w:tc>
          <w:tcPr>
            <w:tcW w:w="108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October 30, 2007)</w:t>
            </w:r>
          </w:p>
        </w:tc>
      </w:tr>
      <w:tr>
        <w:trPr>
          <w:trHeight w:val="377"/>
        </w:trPr>
        <w:tc>
          <w:tcPr>
            <w:tcW w:w="1080" w:type="dxa"/>
            <w:vAlign w:val="bottom"/>
          </w:tcPr>
          <w:p>
            <w:pPr>
              <w:ind w:left="40"/>
              <w:spacing w:after="0"/>
              <w:rPr>
                <w:sz w:val="20"/>
                <w:szCs w:val="20"/>
                <w:color w:val="auto"/>
              </w:rPr>
            </w:pPr>
            <w:r>
              <w:rPr>
                <w:rFonts w:ascii="Arial" w:cs="Arial" w:eastAsia="Arial" w:hAnsi="Arial"/>
                <w:sz w:val="18"/>
                <w:szCs w:val="18"/>
                <w:color w:val="auto"/>
              </w:rPr>
              <w:t>10.5(b)†</w:t>
            </w:r>
          </w:p>
        </w:tc>
        <w:tc>
          <w:tcPr>
            <w:tcW w:w="5260" w:type="dxa"/>
            <w:vAlign w:val="bottom"/>
          </w:tcPr>
          <w:p>
            <w:pPr>
              <w:ind w:left="420"/>
              <w:spacing w:after="0"/>
              <w:rPr>
                <w:sz w:val="20"/>
                <w:szCs w:val="20"/>
                <w:color w:val="auto"/>
              </w:rPr>
            </w:pPr>
            <w:r>
              <w:rPr>
                <w:rFonts w:ascii="Arial" w:cs="Arial" w:eastAsia="Arial" w:hAnsi="Arial"/>
                <w:sz w:val="18"/>
                <w:szCs w:val="18"/>
                <w:color w:val="auto"/>
                <w:w w:val="96"/>
              </w:rPr>
              <w:t>Specimen  form  of  Award  Agreement  for  Directors  used  to</w:t>
            </w:r>
          </w:p>
        </w:tc>
      </w:tr>
      <w:tr>
        <w:trPr>
          <w:trHeight w:val="216"/>
        </w:trPr>
        <w:tc>
          <w:tcPr>
            <w:tcW w:w="108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evidence grants of Nonqualified Stock Options made under The</w:t>
            </w:r>
          </w:p>
        </w:tc>
      </w:tr>
      <w:tr>
        <w:trPr>
          <w:trHeight w:val="230"/>
        </w:trPr>
        <w:tc>
          <w:tcPr>
            <w:tcW w:w="108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7"/>
              </w:rPr>
              <w:t>Scotts Miracle-Gro Company 2003 Stock Option and Incentive</w:t>
            </w:r>
          </w:p>
        </w:tc>
      </w:tr>
    </w:tbl>
    <w:p>
      <w:pPr>
        <w:jc w:val="both"/>
        <w:ind w:left="1500"/>
        <w:spacing w:after="0" w:line="255" w:lineRule="auto"/>
        <w:rPr>
          <w:sz w:val="20"/>
          <w:szCs w:val="20"/>
          <w:color w:val="auto"/>
        </w:rPr>
      </w:pPr>
      <w:r>
        <w:rPr>
          <w:rFonts w:ascii="Arial" w:cs="Arial" w:eastAsia="Arial" w:hAnsi="Arial"/>
          <w:sz w:val="18"/>
          <w:szCs w:val="18"/>
          <w:color w:val="auto"/>
        </w:rPr>
        <w:t>Equity Plan (now known as The Scotts Miracle-Gro Company Amended and Restated 2003 Stock Option and Incentive Equity Plan) [post-2003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filed November 29, 2007 [Exhibit 10(d)(4)]</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[Exhibit 10.7]</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filed November 29, 2007 [Exhibit 10(j)(3)]</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filed December 15, 2005 [Exhibit 10(v)]</w:t>
      </w:r>
    </w:p>
    <w:p>
      <w:pPr>
        <w:spacing w:after="0" w:line="789" w:lineRule="exact"/>
        <w:rPr>
          <w:sz w:val="20"/>
          <w:szCs w:val="20"/>
          <w:color w:val="auto"/>
        </w:rPr>
      </w:pPr>
    </w:p>
    <w:p>
      <w:pPr>
        <w:sectPr>
          <w:pgSz w:w="11900" w:h="16838" w:orient="portrait"/>
          <w:cols w:equalWidth="0" w:num="2">
            <w:col w:w="6340" w:space="200"/>
            <w:col w:w="4860"/>
          </w:cols>
          <w:pgMar w:left="240" w:top="134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10.6(a)†</w:t>
            </w: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The  Scotts  Miracle-Gro  Company  Long-Term  Incentive  Plan</w:t>
            </w:r>
          </w:p>
        </w:tc>
      </w:tr>
      <w:tr>
        <w:trPr>
          <w:trHeight w:val="216"/>
        </w:trPr>
        <w:tc>
          <w:tcPr>
            <w:tcW w:w="102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(reflects amendment and restatement of plan formerly known as</w:t>
            </w:r>
          </w:p>
        </w:tc>
      </w:tr>
      <w:tr>
        <w:trPr>
          <w:trHeight w:val="216"/>
        </w:trPr>
        <w:tc>
          <w:tcPr>
            <w:tcW w:w="102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The Scotts Miracle-Gro Company 2006 Long-Term Incentive</w:t>
            </w:r>
          </w:p>
        </w:tc>
      </w:tr>
      <w:tr>
        <w:trPr>
          <w:trHeight w:val="230"/>
        </w:trPr>
        <w:tc>
          <w:tcPr>
            <w:tcW w:w="102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Plan) [effective as of January 17, 2013]</w:t>
            </w: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[Exhibit 10.1]</w:t>
      </w:r>
    </w:p>
    <w:p>
      <w:pPr>
        <w:spacing w:after="0" w:line="561" w:lineRule="exact"/>
        <w:rPr>
          <w:sz w:val="20"/>
          <w:szCs w:val="20"/>
          <w:color w:val="auto"/>
        </w:rPr>
      </w:pPr>
    </w:p>
    <w:p>
      <w:pPr>
        <w:sectPr>
          <w:pgSz w:w="11900" w:h="16838" w:orient="portrait"/>
          <w:cols w:equalWidth="0" w:num="2">
            <w:col w:w="6340" w:space="200"/>
            <w:col w:w="4860"/>
          </w:cols>
          <w:pgMar w:left="240" w:top="134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10.6(b)†</w:t>
            </w: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Specimen form of Award Agreement for Nonemployee Directors</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used  to  evidence  grants  of  Time-Based  Nonqualified  Stock</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Options made under The Scotts Miracle-Gro Company 2006</w:t>
            </w:r>
          </w:p>
        </w:tc>
      </w:tr>
      <w:tr>
        <w:trPr>
          <w:trHeight w:val="216"/>
        </w:trPr>
        <w:tc>
          <w:tcPr>
            <w:tcW w:w="104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2"/>
              </w:rPr>
              <w:t>Long-Term Incentive Plan (now known as The Scotts Miracle-Gro</w:t>
            </w:r>
          </w:p>
        </w:tc>
      </w:tr>
      <w:tr>
        <w:trPr>
          <w:trHeight w:val="230"/>
        </w:trPr>
        <w:tc>
          <w:tcPr>
            <w:tcW w:w="104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Company Long-Term Incentive Plan)</w:t>
            </w: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[Exhibit 10.3]</w:t>
      </w:r>
    </w:p>
    <w:p>
      <w:pPr>
        <w:spacing w:after="0" w:line="777" w:lineRule="exact"/>
        <w:rPr>
          <w:sz w:val="20"/>
          <w:szCs w:val="20"/>
          <w:color w:val="auto"/>
        </w:rPr>
      </w:pPr>
    </w:p>
    <w:p>
      <w:pPr>
        <w:sectPr>
          <w:pgSz w:w="11900" w:h="16838" w:orient="portrait"/>
          <w:cols w:equalWidth="0" w:num="2">
            <w:col w:w="6340" w:space="200"/>
            <w:col w:w="4860"/>
          </w:cols>
          <w:pgMar w:left="240" w:top="134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10.6(c)(i)†</w:t>
            </w:r>
          </w:p>
        </w:tc>
        <w:tc>
          <w:tcPr>
            <w:tcW w:w="5180" w:type="dxa"/>
            <w:vAlign w:val="bottom"/>
          </w:tcPr>
          <w:p>
            <w:pPr>
              <w:ind w:left="34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30"/>
        </w:trPr>
        <w:tc>
          <w:tcPr>
            <w:tcW w:w="112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0"/>
              </w:rPr>
              <w:t>to evidence grants of Deferred Stock Units made under The Scotts</w:t>
            </w:r>
          </w:p>
        </w:tc>
      </w:tr>
    </w:tbl>
    <w:p>
      <w:pPr>
        <w:jc w:val="both"/>
        <w:ind w:left="1500"/>
        <w:spacing w:after="0" w:line="255" w:lineRule="auto"/>
        <w:rPr>
          <w:sz w:val="20"/>
          <w:szCs w:val="20"/>
          <w:color w:val="auto"/>
        </w:rPr>
      </w:pPr>
      <w:r>
        <w:rPr>
          <w:rFonts w:ascii="Arial" w:cs="Arial" w:eastAsia="Arial" w:hAnsi="Arial"/>
          <w:sz w:val="18"/>
          <w:szCs w:val="18"/>
          <w:color w:val="auto"/>
        </w:rPr>
        <w:t>Miracle-Gro Company Amended and Restated 2006 Long-Term Incentive Plan (now known as The Scotts Miracle-Gro Company Long-Term Incentive Plan)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2009 filed May 6, 2009 [Exhibit 10.1]</w:t>
      </w:r>
    </w:p>
    <w:p>
      <w:pPr>
        <w:spacing w:after="0" w:line="789" w:lineRule="exact"/>
        <w:rPr>
          <w:sz w:val="20"/>
          <w:szCs w:val="20"/>
          <w:color w:val="auto"/>
        </w:rPr>
      </w:pPr>
    </w:p>
    <w:p>
      <w:pPr>
        <w:sectPr>
          <w:pgSz w:w="11900" w:h="16838" w:orient="portrait"/>
          <w:cols w:equalWidth="0" w:num="2">
            <w:col w:w="6340" w:space="200"/>
            <w:col w:w="4860"/>
          </w:cols>
          <w:pgMar w:left="240" w:top="1341"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10.6(c)(ii)†</w:t>
      </w:r>
      <w:r>
        <w:rPr>
          <w:sz w:val="20"/>
          <w:szCs w:val="20"/>
          <w:color w:val="auto"/>
        </w:rPr>
        <w:tab/>
      </w:r>
      <w:r>
        <w:rPr>
          <w:rFonts w:ascii="Arial" w:cs="Arial" w:eastAsia="Arial" w:hAnsi="Arial"/>
          <w:sz w:val="16"/>
          <w:szCs w:val="16"/>
          <w:color w:val="auto"/>
        </w:rPr>
        <w:t>Deferred Stock Unit Award Agreement for Nonemployee Directors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(with Related Dividend Equivalents) used to evidence grant of</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Deferred Stock Units made on January 20, 2012 to Adam Hanft</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under The Scotts Miracle-Gro Company Amended and Restated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Long-Term Incentive Plan (now known as The Scotts Miracle-Gro</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Company Long-Term Incentive Plan)</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filed February 8, 2012 [Exhibit 10.5]</w:t>
      </w:r>
    </w:p>
    <w:p>
      <w:pPr>
        <w:spacing w:after="0" w:line="772" w:lineRule="exact"/>
        <w:rPr>
          <w:sz w:val="20"/>
          <w:szCs w:val="20"/>
          <w:color w:val="auto"/>
        </w:rPr>
      </w:pPr>
    </w:p>
    <w:p>
      <w:pPr>
        <w:sectPr>
          <w:pgSz w:w="11900" w:h="16838" w:orient="portrait"/>
          <w:cols w:equalWidth="0" w:num="2">
            <w:col w:w="6340" w:space="200"/>
            <w:col w:w="4860"/>
          </w:cols>
          <w:pgMar w:left="240" w:top="1341" w:right="259" w:bottom="1440" w:gutter="0" w:footer="0" w:header="0"/>
          <w:type w:val="continuous"/>
        </w:sectPr>
      </w:pPr>
    </w:p>
    <w:p>
      <w:pPr>
        <w:ind w:left="40"/>
        <w:spacing w:after="0"/>
        <w:tabs>
          <w:tab w:leader="none" w:pos="1480" w:val="left"/>
        </w:tabs>
        <w:rPr>
          <w:sz w:val="20"/>
          <w:szCs w:val="20"/>
          <w:color w:val="auto"/>
        </w:rPr>
      </w:pPr>
      <w:r>
        <w:rPr>
          <w:rFonts w:ascii="Arial" w:cs="Arial" w:eastAsia="Arial" w:hAnsi="Arial"/>
          <w:sz w:val="18"/>
          <w:szCs w:val="18"/>
          <w:color w:val="auto"/>
        </w:rPr>
        <w:t>10.6(c)(iii)†</w:t>
      </w:r>
      <w:r>
        <w:rPr>
          <w:sz w:val="20"/>
          <w:szCs w:val="20"/>
          <w:color w:val="auto"/>
        </w:rPr>
        <w:tab/>
      </w:r>
      <w:r>
        <w:rPr>
          <w:rFonts w:ascii="Arial" w:cs="Arial" w:eastAsia="Arial" w:hAnsi="Arial"/>
          <w:sz w:val="18"/>
          <w:szCs w:val="18"/>
          <w:color w:val="auto"/>
        </w:rPr>
        <w:t>Specimen form of Deferred Stock Unit Award Agreement for</w:t>
      </w:r>
    </w:p>
    <w:p>
      <w:pPr>
        <w:spacing w:after="0" w:line="23" w:lineRule="exact"/>
        <w:rPr>
          <w:sz w:val="20"/>
          <w:szCs w:val="20"/>
          <w:color w:val="auto"/>
        </w:rPr>
      </w:pPr>
    </w:p>
    <w:p>
      <w:pPr>
        <w:ind w:left="1500"/>
        <w:spacing w:after="0" w:line="261" w:lineRule="auto"/>
        <w:rPr>
          <w:sz w:val="20"/>
          <w:szCs w:val="20"/>
          <w:color w:val="auto"/>
        </w:rPr>
      </w:pPr>
      <w:r>
        <w:rPr>
          <w:rFonts w:ascii="Arial" w:cs="Arial" w:eastAsia="Arial" w:hAnsi="Arial"/>
          <w:sz w:val="18"/>
          <w:szCs w:val="18"/>
          <w:color w:val="auto"/>
        </w:rPr>
        <w:t>Nonemployee Directors (with Related Dividend Equivalents) used to evidence grants under the Long-Term Incentive Plan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10.3]</w:t>
      </w:r>
    </w:p>
    <w:p>
      <w:pPr>
        <w:sectPr>
          <w:pgSz w:w="11900" w:h="16838" w:orient="portrait"/>
          <w:cols w:equalWidth="0" w:num="2">
            <w:col w:w="6340" w:space="200"/>
            <w:col w:w="4860"/>
          </w:cols>
          <w:pgMar w:left="240" w:top="1341" w:right="25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1100" w:type="dxa"/>
            <w:vAlign w:val="bottom"/>
          </w:tcPr>
          <w:p>
            <w:pPr>
              <w:ind w:left="40"/>
              <w:spacing w:after="0"/>
              <w:rPr>
                <w:sz w:val="20"/>
                <w:szCs w:val="20"/>
                <w:color w:val="auto"/>
              </w:rPr>
            </w:pPr>
            <w:r>
              <w:rPr>
                <w:rFonts w:ascii="Arial" w:cs="Arial" w:eastAsia="Arial" w:hAnsi="Arial"/>
                <w:sz w:val="18"/>
                <w:szCs w:val="18"/>
                <w:color w:val="auto"/>
              </w:rPr>
              <w:t>10.6(d)†</w:t>
            </w:r>
          </w:p>
        </w:tc>
        <w:tc>
          <w:tcPr>
            <w:tcW w:w="5260" w:type="dxa"/>
            <w:vAlign w:val="bottom"/>
          </w:tcPr>
          <w:p>
            <w:pPr>
              <w:ind w:left="44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Nonemployee  Directors  Retainer  Deferrals  (with  Related</w:t>
            </w:r>
          </w:p>
        </w:tc>
      </w:tr>
      <w:tr>
        <w:trPr>
          <w:trHeight w:val="216"/>
        </w:trPr>
        <w:tc>
          <w:tcPr>
            <w:tcW w:w="11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8"/>
              </w:rPr>
              <w:t>Dividend Equivalents) used to evidence grants which may be</w:t>
            </w:r>
          </w:p>
        </w:tc>
      </w:tr>
      <w:tr>
        <w:trPr>
          <w:trHeight w:val="230"/>
        </w:trPr>
        <w:tc>
          <w:tcPr>
            <w:tcW w:w="110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made under the Long-Term Incentive Plan</w:t>
            </w: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10.6(e)†</w:t>
            </w:r>
          </w:p>
        </w:tc>
        <w:tc>
          <w:tcPr>
            <w:tcW w:w="5260" w:type="dxa"/>
            <w:vAlign w:val="bottom"/>
          </w:tcPr>
          <w:p>
            <w:pPr>
              <w:ind w:left="440"/>
              <w:spacing w:after="0"/>
              <w:rPr>
                <w:sz w:val="20"/>
                <w:szCs w:val="20"/>
                <w:color w:val="auto"/>
              </w:rPr>
            </w:pPr>
            <w:r>
              <w:rPr>
                <w:rFonts w:ascii="Arial" w:cs="Arial" w:eastAsia="Arial" w:hAnsi="Arial"/>
                <w:sz w:val="18"/>
                <w:szCs w:val="18"/>
                <w:color w:val="auto"/>
                <w:w w:val="94"/>
              </w:rPr>
              <w:t>Specimen form of Award Agreement used to evidence grants of</w:t>
            </w:r>
          </w:p>
        </w:tc>
      </w:tr>
      <w:tr>
        <w:trPr>
          <w:trHeight w:val="216"/>
        </w:trPr>
        <w:tc>
          <w:tcPr>
            <w:tcW w:w="11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3"/>
              </w:rPr>
              <w:t>Restricted Stock Units, Performance Shares, Nonqualified Stock</w:t>
            </w:r>
          </w:p>
        </w:tc>
      </w:tr>
      <w:tr>
        <w:trPr>
          <w:trHeight w:val="216"/>
        </w:trPr>
        <w:tc>
          <w:tcPr>
            <w:tcW w:w="11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8"/>
              </w:rPr>
              <w:t>Options, Incentive Stock Options, Restricted Stock and Stock</w:t>
            </w:r>
          </w:p>
        </w:tc>
      </w:tr>
      <w:tr>
        <w:trPr>
          <w:trHeight w:val="230"/>
        </w:trPr>
        <w:tc>
          <w:tcPr>
            <w:tcW w:w="110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Appreciation  Rights  made  under  The  Scotts  Miracle-Gro</w:t>
            </w:r>
          </w:p>
        </w:tc>
      </w:tr>
    </w:tbl>
    <w:p>
      <w:pPr>
        <w:jc w:val="both"/>
        <w:ind w:left="1540" w:right="20"/>
        <w:spacing w:after="0" w:line="255" w:lineRule="auto"/>
        <w:rPr>
          <w:sz w:val="20"/>
          <w:szCs w:val="20"/>
          <w:color w:val="auto"/>
        </w:rPr>
      </w:pPr>
      <w:r>
        <w:rPr>
          <w:rFonts w:ascii="Arial" w:cs="Arial" w:eastAsia="Arial" w:hAnsi="Arial"/>
          <w:sz w:val="18"/>
          <w:szCs w:val="18"/>
          <w:color w:val="auto"/>
        </w:rPr>
        <w:t>Company 2006 Long-Term Incentive Plan (now known as The Scotts Miracle-Gro Company Long-Term Incentive Plan) [pre-October 30, 2007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10.4]</w:t>
      </w:r>
    </w:p>
    <w:p>
      <w:pPr>
        <w:spacing w:after="0" w:line="3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2005 filed February 9, 2006 [Exhibit 10(b)]</w:t>
      </w:r>
    </w:p>
    <w:p>
      <w:pPr>
        <w:spacing w:after="0" w:line="989" w:lineRule="exact"/>
        <w:rPr>
          <w:sz w:val="20"/>
          <w:szCs w:val="20"/>
          <w:color w:val="auto"/>
        </w:rPr>
      </w:pPr>
    </w:p>
    <w:p>
      <w:pPr>
        <w:sectPr>
          <w:pgSz w:w="11900" w:h="16838" w:orient="portrait"/>
          <w:cols w:equalWidth="0" w:num="2">
            <w:col w:w="6360" w:space="200"/>
            <w:col w:w="4840"/>
          </w:cols>
          <w:pgMar w:left="240" w:top="1341" w:right="259" w:bottom="1440" w:gutter="0" w:footer="0" w:header="0"/>
        </w:sect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10.6(f)(i)†</w:t>
            </w: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Form of Restricted Stock Unit Award Agreement for Employees</w:t>
            </w:r>
          </w:p>
        </w:tc>
      </w:tr>
      <w:tr>
        <w:trPr>
          <w:trHeight w:val="216"/>
        </w:trPr>
        <w:tc>
          <w:tcPr>
            <w:tcW w:w="112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7"/>
              </w:rPr>
              <w:t>(with Related Dividend Equivalents) used to evidence grant of</w:t>
            </w:r>
          </w:p>
        </w:tc>
      </w:tr>
      <w:tr>
        <w:trPr>
          <w:trHeight w:val="216"/>
        </w:trPr>
        <w:tc>
          <w:tcPr>
            <w:tcW w:w="112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9"/>
              </w:rPr>
              <w:t>Restricted Stock Units made on April 1, 2013 to Lawrence A.</w:t>
            </w:r>
          </w:p>
        </w:tc>
      </w:tr>
      <w:tr>
        <w:trPr>
          <w:trHeight w:val="216"/>
        </w:trPr>
        <w:tc>
          <w:tcPr>
            <w:tcW w:w="112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w w:val="95"/>
              </w:rPr>
              <w:t>Hilsheimer under The Scotts Miracle-Gro Company Long-Term</w:t>
            </w:r>
          </w:p>
        </w:tc>
      </w:tr>
      <w:tr>
        <w:trPr>
          <w:trHeight w:val="230"/>
        </w:trPr>
        <w:tc>
          <w:tcPr>
            <w:tcW w:w="1120" w:type="dxa"/>
            <w:vAlign w:val="bottom"/>
          </w:tcPr>
          <w:p>
            <w:pPr>
              <w:spacing w:after="0"/>
              <w:rPr>
                <w:sz w:val="20"/>
                <w:szCs w:val="20"/>
                <w:color w:val="auto"/>
              </w:rPr>
            </w:pPr>
          </w:p>
        </w:tc>
        <w:tc>
          <w:tcPr>
            <w:tcW w:w="5200" w:type="dxa"/>
            <w:vAlign w:val="bottom"/>
          </w:tcPr>
          <w:p>
            <w:pPr>
              <w:ind w:left="380"/>
              <w:spacing w:after="0"/>
              <w:rPr>
                <w:sz w:val="20"/>
                <w:szCs w:val="20"/>
                <w:color w:val="auto"/>
              </w:rPr>
            </w:pPr>
            <w:r>
              <w:rPr>
                <w:rFonts w:ascii="Arial" w:cs="Arial" w:eastAsia="Arial" w:hAnsi="Arial"/>
                <w:sz w:val="18"/>
                <w:szCs w:val="18"/>
                <w:color w:val="auto"/>
              </w:rPr>
              <w:t>Incentive Plan</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10.1]</w:t>
      </w:r>
    </w:p>
    <w:p>
      <w:pPr>
        <w:spacing w:after="0" w:line="572" w:lineRule="exact"/>
        <w:rPr>
          <w:sz w:val="20"/>
          <w:szCs w:val="20"/>
          <w:color w:val="auto"/>
        </w:rPr>
      </w:pPr>
    </w:p>
    <w:p>
      <w:pPr>
        <w:sectPr>
          <w:pgSz w:w="11900" w:h="16838" w:orient="portrait"/>
          <w:cols w:equalWidth="0" w:num="2">
            <w:col w:w="6360" w:space="200"/>
            <w:col w:w="4840"/>
          </w:cols>
          <w:pgMar w:left="240" w:top="1341" w:right="259" w:bottom="1440" w:gutter="0" w:footer="0" w:header="0"/>
          <w:type w:val="continuous"/>
        </w:sectPr>
      </w:pPr>
    </w:p>
    <w:p>
      <w:pPr>
        <w:ind w:left="40"/>
        <w:spacing w:after="0"/>
        <w:tabs>
          <w:tab w:leader="none" w:pos="1520" w:val="left"/>
        </w:tabs>
        <w:rPr>
          <w:sz w:val="20"/>
          <w:szCs w:val="20"/>
          <w:color w:val="auto"/>
        </w:rPr>
      </w:pPr>
      <w:r>
        <w:rPr>
          <w:rFonts w:ascii="Arial" w:cs="Arial" w:eastAsia="Arial" w:hAnsi="Arial"/>
          <w:sz w:val="18"/>
          <w:szCs w:val="18"/>
          <w:color w:val="auto"/>
        </w:rPr>
        <w:t>10.6(f)(ii)†</w:t>
      </w:r>
      <w:r>
        <w:rPr>
          <w:sz w:val="20"/>
          <w:szCs w:val="20"/>
          <w:color w:val="auto"/>
        </w:rPr>
        <w:tab/>
      </w:r>
      <w:r>
        <w:rPr>
          <w:rFonts w:ascii="Arial" w:cs="Arial" w:eastAsia="Arial" w:hAnsi="Arial"/>
          <w:sz w:val="17"/>
          <w:szCs w:val="17"/>
          <w:color w:val="auto"/>
        </w:rPr>
        <w:t>Form of Restricted Stock Unit Award Agreement for Employees</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(with Related Dividend Equivalents) used to evidence grant of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Restricted Stock Units made on December 11, 2013 to James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Hagedorn under The Scotts Miracle-Gro Company Long-Term</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Incentive Plan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28, 2013 filed February 6, 2014 [Exhibit 10.10]</w:t>
      </w:r>
    </w:p>
    <w:p>
      <w:pPr>
        <w:spacing w:after="0" w:line="556" w:lineRule="exact"/>
        <w:rPr>
          <w:sz w:val="20"/>
          <w:szCs w:val="20"/>
          <w:color w:val="auto"/>
        </w:rPr>
      </w:pPr>
    </w:p>
    <w:p>
      <w:pPr>
        <w:sectPr>
          <w:pgSz w:w="11900" w:h="16838" w:orient="portrait"/>
          <w:cols w:equalWidth="0" w:num="2">
            <w:col w:w="6360" w:space="200"/>
            <w:col w:w="4840"/>
          </w:cols>
          <w:pgMar w:left="240" w:top="1341" w:right="259" w:bottom="1440" w:gutter="0" w:footer="0" w:header="0"/>
          <w:type w:val="continuous"/>
        </w:sectPr>
      </w:pPr>
    </w:p>
    <w:p>
      <w:pPr>
        <w:ind w:left="40"/>
        <w:spacing w:after="0"/>
        <w:tabs>
          <w:tab w:leader="none" w:pos="1520" w:val="left"/>
        </w:tabs>
        <w:rPr>
          <w:sz w:val="20"/>
          <w:szCs w:val="20"/>
          <w:color w:val="auto"/>
        </w:rPr>
      </w:pPr>
      <w:r>
        <w:rPr>
          <w:rFonts w:ascii="Arial" w:cs="Arial" w:eastAsia="Arial" w:hAnsi="Arial"/>
          <w:sz w:val="18"/>
          <w:szCs w:val="18"/>
          <w:color w:val="auto"/>
        </w:rPr>
        <w:t>10.6(f)(iii)†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40"/>
        <w:spacing w:after="0"/>
        <w:tabs>
          <w:tab w:leader="none" w:pos="2140" w:val="left"/>
          <w:tab w:leader="none" w:pos="2760" w:val="left"/>
          <w:tab w:leader="none" w:pos="4260" w:val="left"/>
          <w:tab w:leader="none" w:pos="4880" w:val="left"/>
          <w:tab w:leader="none" w:pos="5660" w:val="left"/>
        </w:tabs>
        <w:rPr>
          <w:sz w:val="20"/>
          <w:szCs w:val="20"/>
          <w:color w:val="auto"/>
        </w:rPr>
      </w:pPr>
      <w:r>
        <w:rPr>
          <w:rFonts w:ascii="Arial" w:cs="Arial" w:eastAsia="Arial" w:hAnsi="Arial"/>
          <w:sz w:val="18"/>
          <w:szCs w:val="18"/>
          <w:color w:val="auto"/>
        </w:rPr>
        <w:t>Third</w:t>
        <w:tab/>
        <w:t>Party</w:t>
        <w:tab/>
        <w:t>Service-Providers</w:t>
        <w:tab/>
        <w:t>(with</w:t>
        <w:tab/>
        <w:t>Related</w:t>
      </w:r>
      <w:r>
        <w:rPr>
          <w:sz w:val="20"/>
          <w:szCs w:val="20"/>
          <w:color w:val="auto"/>
        </w:rPr>
        <w:tab/>
      </w:r>
      <w:r>
        <w:rPr>
          <w:rFonts w:ascii="Arial" w:cs="Arial" w:eastAsia="Arial" w:hAnsi="Arial"/>
          <w:sz w:val="16"/>
          <w:szCs w:val="16"/>
          <w:color w:val="auto"/>
        </w:rPr>
        <w:t>Dividend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Equivalents) used to evidence grants which may be made under</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Long-Term Incentive Plan</w:t>
      </w:r>
    </w:p>
    <w:p>
      <w:pPr>
        <w:spacing w:after="0" w:line="170"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8"/>
          <w:szCs w:val="18"/>
          <w:color w:val="auto"/>
        </w:rPr>
        <w:t>10.6(f)(iv)†</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40" w:right="20"/>
        <w:spacing w:after="0" w:line="323" w:lineRule="auto"/>
        <w:rPr>
          <w:sz w:val="20"/>
          <w:szCs w:val="20"/>
          <w:color w:val="auto"/>
        </w:rPr>
      </w:pPr>
      <w:r>
        <w:rPr>
          <w:rFonts w:ascii="Arial" w:cs="Arial" w:eastAsia="Arial" w:hAnsi="Arial"/>
          <w:sz w:val="16"/>
          <w:szCs w:val="16"/>
          <w:color w:val="auto"/>
        </w:rPr>
        <w:t>Employees (with Related Dividend Equivalents) used to evidence grants which may be made under the Long-Term Incentive Plan</w:t>
      </w:r>
    </w:p>
    <w:p>
      <w:pPr>
        <w:spacing w:after="0" w:line="98"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8"/>
          <w:szCs w:val="18"/>
          <w:color w:val="auto"/>
        </w:rPr>
        <w:t>10.6(g)†</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40" w:right="20"/>
        <w:spacing w:after="0" w:line="323" w:lineRule="auto"/>
        <w:rPr>
          <w:sz w:val="20"/>
          <w:szCs w:val="20"/>
          <w:color w:val="auto"/>
        </w:rPr>
      </w:pPr>
      <w:r>
        <w:rPr>
          <w:rFonts w:ascii="Arial" w:cs="Arial" w:eastAsia="Arial" w:hAnsi="Arial"/>
          <w:sz w:val="16"/>
          <w:szCs w:val="16"/>
          <w:color w:val="auto"/>
        </w:rPr>
        <w:t>Employees (with Related Dividend Equivalents) used to evidence grants which may be made under the Long-Term Incentive Plan</w:t>
      </w:r>
    </w:p>
    <w:p>
      <w:pPr>
        <w:spacing w:after="0" w:line="9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10.6(h)(i)†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Options made under The Scotts Miracle-Gro Company 2006</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Long-Term Incentive Plan (now known as The Scotts Miracle-Gro</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Company Long-Term Incentive Plan) [October 30, 2007 through</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October 8, 2008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10.5]</w:t>
      </w:r>
    </w:p>
    <w:p>
      <w:pPr>
        <w:spacing w:after="0" w:line="3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10.8]</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10.6]</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filed November 29, 2007 [Exhibit 10(t)(3)]</w:t>
      </w:r>
    </w:p>
    <w:p>
      <w:pPr>
        <w:spacing w:after="0" w:line="788" w:lineRule="exact"/>
        <w:rPr>
          <w:sz w:val="20"/>
          <w:szCs w:val="20"/>
          <w:color w:val="auto"/>
        </w:rPr>
      </w:pPr>
    </w:p>
    <w:p>
      <w:pPr>
        <w:sectPr>
          <w:pgSz w:w="11900" w:h="16838" w:orient="portrait"/>
          <w:cols w:equalWidth="0" w:num="2">
            <w:col w:w="6360" w:space="200"/>
            <w:col w:w="4840"/>
          </w:cols>
          <w:pgMar w:left="240" w:top="1341" w:right="259" w:bottom="1440" w:gutter="0" w:footer="0" w:header="0"/>
          <w:type w:val="continuous"/>
        </w:sectPr>
      </w:pPr>
    </w:p>
    <w:p>
      <w:pPr>
        <w:ind w:left="40"/>
        <w:spacing w:after="0"/>
        <w:tabs>
          <w:tab w:leader="none" w:pos="1520" w:val="left"/>
        </w:tabs>
        <w:rPr>
          <w:sz w:val="20"/>
          <w:szCs w:val="20"/>
          <w:color w:val="auto"/>
        </w:rPr>
      </w:pPr>
      <w:r>
        <w:rPr>
          <w:rFonts w:ascii="Arial" w:cs="Arial" w:eastAsia="Arial" w:hAnsi="Arial"/>
          <w:sz w:val="18"/>
          <w:szCs w:val="18"/>
          <w:color w:val="auto"/>
        </w:rPr>
        <w:t>10.6(h)(ii)†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40"/>
        <w:spacing w:after="0"/>
        <w:tabs>
          <w:tab w:leader="none" w:pos="2140" w:val="left"/>
          <w:tab w:leader="none" w:pos="3220" w:val="left"/>
          <w:tab w:leader="none" w:pos="4100" w:val="left"/>
          <w:tab w:leader="none" w:pos="5100" w:val="left"/>
          <w:tab w:leader="none" w:pos="5960" w:val="left"/>
        </w:tabs>
        <w:rPr>
          <w:sz w:val="20"/>
          <w:szCs w:val="20"/>
          <w:color w:val="auto"/>
        </w:rPr>
      </w:pPr>
      <w:r>
        <w:rPr>
          <w:rFonts w:ascii="Arial" w:cs="Arial" w:eastAsia="Arial" w:hAnsi="Arial"/>
          <w:sz w:val="18"/>
          <w:szCs w:val="18"/>
          <w:color w:val="auto"/>
        </w:rPr>
        <w:t>Scotts</w:t>
        <w:tab/>
        <w:t>Miracle-Gro</w:t>
        <w:tab/>
        <w:t>Company</w:t>
        <w:tab/>
        <w:t>Long-Term</w:t>
        <w:tab/>
        <w:t>Incentive</w:t>
      </w:r>
      <w:r>
        <w:rPr>
          <w:sz w:val="20"/>
          <w:szCs w:val="20"/>
          <w:color w:val="auto"/>
        </w:rPr>
        <w:tab/>
      </w:r>
      <w:r>
        <w:rPr>
          <w:rFonts w:ascii="Arial" w:cs="Arial" w:eastAsia="Arial" w:hAnsi="Arial"/>
          <w:sz w:val="16"/>
          <w:szCs w:val="16"/>
          <w:color w:val="auto"/>
        </w:rPr>
        <w:t>Plan)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[January 20, 2010 through January 19, 2012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filed February 11, 2010 [Exhibit 10.4]</w:t>
      </w:r>
    </w:p>
    <w:p>
      <w:pPr>
        <w:spacing w:after="0" w:line="788" w:lineRule="exact"/>
        <w:rPr>
          <w:sz w:val="20"/>
          <w:szCs w:val="20"/>
          <w:color w:val="auto"/>
        </w:rPr>
      </w:pPr>
    </w:p>
    <w:p>
      <w:pPr>
        <w:sectPr>
          <w:pgSz w:w="11900" w:h="16838" w:orient="portrait"/>
          <w:cols w:equalWidth="0" w:num="2">
            <w:col w:w="6360" w:space="200"/>
            <w:col w:w="4840"/>
          </w:cols>
          <w:pgMar w:left="240" w:top="1341" w:right="259" w:bottom="1440" w:gutter="0" w:footer="0" w:header="0"/>
          <w:type w:val="continuous"/>
        </w:sectPr>
      </w:pPr>
    </w:p>
    <w:p>
      <w:pPr>
        <w:ind w:left="40"/>
        <w:spacing w:after="0"/>
        <w:tabs>
          <w:tab w:leader="none" w:pos="1520" w:val="left"/>
        </w:tabs>
        <w:rPr>
          <w:sz w:val="20"/>
          <w:szCs w:val="20"/>
          <w:color w:val="auto"/>
        </w:rPr>
      </w:pPr>
      <w:r>
        <w:rPr>
          <w:rFonts w:ascii="Arial" w:cs="Arial" w:eastAsia="Arial" w:hAnsi="Arial"/>
          <w:sz w:val="18"/>
          <w:szCs w:val="18"/>
          <w:color w:val="auto"/>
        </w:rPr>
        <w:t>10.6(h)(iii)†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Scotts Miracle-Gro Company Long-Term Incentive Plan) [January</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20, 2012 through January 17, 2013 version]</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filed February 8, 2012 [Exhibit 10.3]</w:t>
      </w:r>
    </w:p>
    <w:p>
      <w:pPr>
        <w:spacing w:after="0" w:line="802" w:lineRule="exact"/>
        <w:rPr>
          <w:sz w:val="20"/>
          <w:szCs w:val="20"/>
          <w:color w:val="auto"/>
        </w:rPr>
      </w:pPr>
    </w:p>
    <w:p>
      <w:pPr>
        <w:sectPr>
          <w:pgSz w:w="11900" w:h="16838" w:orient="portrait"/>
          <w:cols w:equalWidth="0" w:num="2">
            <w:col w:w="6360" w:space="200"/>
            <w:col w:w="4840"/>
          </w:cols>
          <w:pgMar w:left="240" w:top="1341" w:right="25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1341" w:right="2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1220" w:type="dxa"/>
            <w:vAlign w:val="bottom"/>
          </w:tcPr>
          <w:p>
            <w:pPr>
              <w:ind w:left="40"/>
              <w:spacing w:after="0"/>
              <w:rPr>
                <w:sz w:val="20"/>
                <w:szCs w:val="20"/>
                <w:color w:val="auto"/>
              </w:rPr>
            </w:pPr>
            <w:r>
              <w:rPr>
                <w:rFonts w:ascii="Arial" w:cs="Arial" w:eastAsia="Arial" w:hAnsi="Arial"/>
                <w:sz w:val="18"/>
                <w:szCs w:val="18"/>
                <w:color w:val="auto"/>
              </w:rPr>
              <w:t>10.6(h)(iv)†</w:t>
            </w:r>
          </w:p>
        </w:tc>
        <w:tc>
          <w:tcPr>
            <w:tcW w:w="5140" w:type="dxa"/>
            <w:vAlign w:val="bottom"/>
          </w:tcPr>
          <w:p>
            <w:pPr>
              <w:ind w:left="32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2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1"/>
              </w:rPr>
              <w:t>for Employees used to evidence grants which may be made under</w:t>
            </w:r>
          </w:p>
        </w:tc>
      </w:tr>
      <w:tr>
        <w:trPr>
          <w:trHeight w:val="230"/>
        </w:trPr>
        <w:tc>
          <w:tcPr>
            <w:tcW w:w="12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the Long-Term Incentive Plan</w:t>
            </w:r>
          </w:p>
        </w:tc>
      </w:tr>
      <w:tr>
        <w:trPr>
          <w:trHeight w:val="377"/>
        </w:trPr>
        <w:tc>
          <w:tcPr>
            <w:tcW w:w="1220" w:type="dxa"/>
            <w:vAlign w:val="bottom"/>
          </w:tcPr>
          <w:p>
            <w:pPr>
              <w:ind w:left="40"/>
              <w:spacing w:after="0"/>
              <w:rPr>
                <w:sz w:val="20"/>
                <w:szCs w:val="20"/>
                <w:color w:val="auto"/>
              </w:rPr>
            </w:pPr>
            <w:r>
              <w:rPr>
                <w:rFonts w:ascii="Arial" w:cs="Arial" w:eastAsia="Arial" w:hAnsi="Arial"/>
                <w:sz w:val="18"/>
                <w:szCs w:val="18"/>
                <w:color w:val="auto"/>
              </w:rPr>
              <w:t>10.7(a)†</w:t>
            </w:r>
          </w:p>
        </w:tc>
        <w:tc>
          <w:tcPr>
            <w:tcW w:w="5140" w:type="dxa"/>
            <w:vAlign w:val="bottom"/>
          </w:tcPr>
          <w:p>
            <w:pPr>
              <w:ind w:left="320"/>
              <w:spacing w:after="0"/>
              <w:rPr>
                <w:sz w:val="20"/>
                <w:szCs w:val="20"/>
                <w:color w:val="auto"/>
              </w:rPr>
            </w:pPr>
            <w:r>
              <w:rPr>
                <w:rFonts w:ascii="Arial" w:cs="Arial" w:eastAsia="Arial" w:hAnsi="Arial"/>
                <w:sz w:val="18"/>
                <w:szCs w:val="18"/>
                <w:color w:val="auto"/>
                <w:w w:val="99"/>
              </w:rPr>
              <w:t>The Scotts Company LLC Amended and Restated Executive</w:t>
            </w:r>
          </w:p>
        </w:tc>
      </w:tr>
      <w:tr>
        <w:trPr>
          <w:trHeight w:val="230"/>
        </w:trPr>
        <w:tc>
          <w:tcPr>
            <w:tcW w:w="12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Incentive Plan (effective as of January 30, 2014)</w:t>
            </w:r>
          </w:p>
        </w:tc>
      </w:tr>
      <w:tr>
        <w:trPr>
          <w:trHeight w:val="377"/>
        </w:trPr>
        <w:tc>
          <w:tcPr>
            <w:tcW w:w="1220" w:type="dxa"/>
            <w:vAlign w:val="bottom"/>
          </w:tcPr>
          <w:p>
            <w:pPr>
              <w:spacing w:after="0"/>
              <w:rPr>
                <w:sz w:val="20"/>
                <w:szCs w:val="20"/>
                <w:color w:val="auto"/>
              </w:rPr>
            </w:pPr>
            <w:r>
              <w:rPr>
                <w:rFonts w:ascii="Arial" w:cs="Arial" w:eastAsia="Arial" w:hAnsi="Arial"/>
                <w:sz w:val="18"/>
                <w:szCs w:val="18"/>
                <w:color w:val="auto"/>
              </w:rPr>
              <w:t>10.7(b)(i)†</w:t>
            </w:r>
          </w:p>
        </w:tc>
        <w:tc>
          <w:tcPr>
            <w:tcW w:w="5140" w:type="dxa"/>
            <w:vAlign w:val="bottom"/>
          </w:tcPr>
          <w:p>
            <w:pPr>
              <w:ind w:left="32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30"/>
        </w:trPr>
        <w:tc>
          <w:tcPr>
            <w:tcW w:w="12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8"/>
              </w:rPr>
              <w:t>Nonsolicitation Agreement for employees participating in The</w:t>
            </w:r>
          </w:p>
        </w:tc>
      </w:tr>
    </w:tbl>
    <w:p>
      <w:pPr>
        <w:jc w:val="both"/>
        <w:ind w:left="1540"/>
        <w:spacing w:after="0" w:line="255" w:lineRule="auto"/>
        <w:rPr>
          <w:sz w:val="20"/>
          <w:szCs w:val="20"/>
          <w:color w:val="auto"/>
        </w:rPr>
      </w:pPr>
      <w:r>
        <w:rPr>
          <w:rFonts w:ascii="Arial" w:cs="Arial" w:eastAsia="Arial" w:hAnsi="Arial"/>
          <w:sz w:val="18"/>
          <w:szCs w:val="18"/>
          <w:color w:val="auto"/>
        </w:rPr>
        <w:t>Scotts Company Executive/Management Incentive Plan (now known as The Scotts Company LLC Amended and Restated Executive Incentive Plan) [2005 version]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10.7]</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February 5, 2014 [Exhibit 10.1]</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filed November 25, 2008 [Exhibit 10.2(b)(i)]</w:t>
      </w:r>
    </w:p>
    <w:p>
      <w:pPr>
        <w:spacing w:after="0" w:line="573" w:lineRule="exact"/>
        <w:rPr>
          <w:sz w:val="20"/>
          <w:szCs w:val="20"/>
          <w:color w:val="auto"/>
        </w:rPr>
      </w:pPr>
    </w:p>
    <w:p>
      <w:pPr>
        <w:sectPr>
          <w:pgSz w:w="11900" w:h="16838" w:orient="portrait"/>
          <w:cols w:equalWidth="0" w:num="2">
            <w:col w:w="6360" w:space="220"/>
            <w:col w:w="4820"/>
          </w:cols>
          <w:pgMar w:left="240" w:top="1341" w:right="259" w:bottom="1440" w:gutter="0" w:footer="0" w:header="0"/>
        </w:sectPr>
      </w:pPr>
    </w:p>
    <w:p>
      <w:pPr>
        <w:spacing w:after="0"/>
        <w:tabs>
          <w:tab w:leader="none" w:pos="1520" w:val="left"/>
        </w:tabs>
        <w:rPr>
          <w:sz w:val="20"/>
          <w:szCs w:val="20"/>
          <w:color w:val="auto"/>
        </w:rPr>
      </w:pPr>
      <w:r>
        <w:rPr>
          <w:rFonts w:ascii="Arial" w:cs="Arial" w:eastAsia="Arial" w:hAnsi="Arial"/>
          <w:sz w:val="18"/>
          <w:szCs w:val="18"/>
          <w:color w:val="auto"/>
        </w:rPr>
        <w:t>10.7(b)(ii)†</w:t>
      </w:r>
      <w:r>
        <w:rPr>
          <w:sz w:val="20"/>
          <w:szCs w:val="20"/>
          <w:color w:val="auto"/>
        </w:rPr>
        <w:tab/>
      </w:r>
      <w:r>
        <w:rPr>
          <w:rFonts w:ascii="Arial" w:cs="Arial" w:eastAsia="Arial" w:hAnsi="Arial"/>
          <w:sz w:val="17"/>
          <w:szCs w:val="17"/>
          <w:color w:val="auto"/>
        </w:rPr>
        <w:t>Specimen form of Employee Confidentiality, Noncompetition,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Nonsolicitation Agreement for employees participating in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Executive/Management Incentive Plan (now</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known as The Scotts Company LLC Amended and Restated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Executive Incentive Plan) [post-2005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filed August 10, 2006 [Exhibit 10.1]</w:t>
      </w:r>
    </w:p>
    <w:p>
      <w:pPr>
        <w:spacing w:after="0" w:line="572" w:lineRule="exact"/>
        <w:rPr>
          <w:sz w:val="20"/>
          <w:szCs w:val="20"/>
          <w:color w:val="auto"/>
        </w:rPr>
      </w:pPr>
    </w:p>
    <w:p>
      <w:pPr>
        <w:sectPr>
          <w:pgSz w:w="11900" w:h="16838" w:orient="portrait"/>
          <w:cols w:equalWidth="0" w:num="2">
            <w:col w:w="6360" w:space="220"/>
            <w:col w:w="4820"/>
          </w:cols>
          <w:pgMar w:left="240" w:top="1341" w:right="259" w:bottom="1440" w:gutter="0" w:footer="0" w:header="0"/>
          <w:type w:val="continuous"/>
        </w:sectPr>
      </w:pPr>
    </w:p>
    <w:p>
      <w:pPr>
        <w:ind w:left="40"/>
        <w:spacing w:after="0"/>
        <w:tabs>
          <w:tab w:leader="none" w:pos="1520" w:val="left"/>
          <w:tab w:leader="none" w:pos="2460" w:val="left"/>
          <w:tab w:leader="none" w:pos="3800" w:val="left"/>
          <w:tab w:leader="none" w:pos="5240" w:val="left"/>
        </w:tabs>
        <w:rPr>
          <w:sz w:val="20"/>
          <w:szCs w:val="20"/>
          <w:color w:val="auto"/>
        </w:rPr>
      </w:pPr>
      <w:r>
        <w:rPr>
          <w:rFonts w:ascii="Arial" w:cs="Arial" w:eastAsia="Arial" w:hAnsi="Arial"/>
          <w:sz w:val="18"/>
          <w:szCs w:val="18"/>
          <w:color w:val="auto"/>
        </w:rPr>
        <w:t>10.7(b)(iii)†</w:t>
      </w:r>
      <w:r>
        <w:rPr>
          <w:sz w:val="20"/>
          <w:szCs w:val="20"/>
          <w:color w:val="auto"/>
        </w:rPr>
        <w:tab/>
      </w:r>
      <w:r>
        <w:rPr>
          <w:rFonts w:ascii="Arial" w:cs="Arial" w:eastAsia="Arial" w:hAnsi="Arial"/>
          <w:sz w:val="18"/>
          <w:szCs w:val="18"/>
          <w:color w:val="auto"/>
        </w:rPr>
        <w:t>Employee</w:t>
        <w:tab/>
        <w:t>Confidentiality,</w:t>
        <w:tab/>
        <w:t>Noncompetition,</w:t>
      </w:r>
      <w:r>
        <w:rPr>
          <w:sz w:val="20"/>
          <w:szCs w:val="20"/>
          <w:color w:val="auto"/>
        </w:rPr>
        <w:tab/>
      </w:r>
      <w:r>
        <w:rPr>
          <w:rFonts w:ascii="Arial" w:cs="Arial" w:eastAsia="Arial" w:hAnsi="Arial"/>
          <w:sz w:val="16"/>
          <w:szCs w:val="16"/>
          <w:color w:val="auto"/>
        </w:rPr>
        <w:t>Nonsolicitation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Agreement, dated as of December 12, 2013, by and between The</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Scotts Company LLC, all companies controlled by, controlling or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common control with The Scotts Company LLC, and James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Hagedorn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10.2]</w:t>
      </w:r>
    </w:p>
    <w:p>
      <w:pPr>
        <w:spacing w:after="0" w:line="777" w:lineRule="exact"/>
        <w:rPr>
          <w:sz w:val="20"/>
          <w:szCs w:val="20"/>
          <w:color w:val="auto"/>
        </w:rPr>
      </w:pPr>
    </w:p>
    <w:p>
      <w:pPr>
        <w:sectPr>
          <w:pgSz w:w="11900" w:h="16838" w:orient="portrait"/>
          <w:cols w:equalWidth="0" w:num="2">
            <w:col w:w="6360" w:space="220"/>
            <w:col w:w="4820"/>
          </w:cols>
          <w:pgMar w:left="240" w:top="134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10.7(c)†</w:t>
            </w:r>
          </w:p>
        </w:tc>
        <w:tc>
          <w:tcPr>
            <w:tcW w:w="5280" w:type="dxa"/>
            <w:vAlign w:val="bottom"/>
          </w:tcPr>
          <w:p>
            <w:pPr>
              <w:ind w:left="460"/>
              <w:spacing w:after="0"/>
              <w:rPr>
                <w:sz w:val="20"/>
                <w:szCs w:val="20"/>
                <w:color w:val="auto"/>
              </w:rPr>
            </w:pPr>
            <w:r>
              <w:rPr>
                <w:rFonts w:ascii="Arial" w:cs="Arial" w:eastAsia="Arial" w:hAnsi="Arial"/>
                <w:sz w:val="18"/>
                <w:szCs w:val="18"/>
                <w:color w:val="auto"/>
                <w:w w:val="91"/>
              </w:rPr>
              <w:t>Form of Retention Award Agreement evidencing the payment of a</w:t>
            </w:r>
          </w:p>
        </w:tc>
      </w:tr>
      <w:tr>
        <w:trPr>
          <w:trHeight w:val="216"/>
        </w:trPr>
        <w:tc>
          <w:tcPr>
            <w:tcW w:w="1040" w:type="dxa"/>
            <w:vAlign w:val="bottom"/>
          </w:tcPr>
          <w:p>
            <w:pPr>
              <w:spacing w:after="0"/>
              <w:rPr>
                <w:sz w:val="18"/>
                <w:szCs w:val="18"/>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5"/>
              </w:rPr>
              <w:t>cash bonus on April 12, 2013 and the grant of Restricted Stock</w:t>
            </w:r>
          </w:p>
        </w:tc>
      </w:tr>
      <w:tr>
        <w:trPr>
          <w:trHeight w:val="216"/>
        </w:trPr>
        <w:tc>
          <w:tcPr>
            <w:tcW w:w="1040" w:type="dxa"/>
            <w:vAlign w:val="bottom"/>
          </w:tcPr>
          <w:p>
            <w:pPr>
              <w:spacing w:after="0"/>
              <w:rPr>
                <w:sz w:val="18"/>
                <w:szCs w:val="18"/>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7"/>
              </w:rPr>
              <w:t>Units on May 8, 2013 under The Scotts Miracle-Gro Company</w:t>
            </w:r>
          </w:p>
        </w:tc>
      </w:tr>
      <w:tr>
        <w:trPr>
          <w:trHeight w:val="216"/>
        </w:trPr>
        <w:tc>
          <w:tcPr>
            <w:tcW w:w="1040" w:type="dxa"/>
            <w:vAlign w:val="bottom"/>
          </w:tcPr>
          <w:p>
            <w:pPr>
              <w:spacing w:after="0"/>
              <w:rPr>
                <w:sz w:val="18"/>
                <w:szCs w:val="18"/>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8"/>
              </w:rPr>
              <w:t>Amended and Restated 2006 Long-Term Incentive Plan (now</w:t>
            </w:r>
          </w:p>
        </w:tc>
      </w:tr>
      <w:tr>
        <w:trPr>
          <w:trHeight w:val="230"/>
        </w:trPr>
        <w:tc>
          <w:tcPr>
            <w:tcW w:w="1040" w:type="dxa"/>
            <w:vAlign w:val="bottom"/>
          </w:tcPr>
          <w:p>
            <w:pPr>
              <w:spacing w:after="0"/>
              <w:rPr>
                <w:sz w:val="20"/>
                <w:szCs w:val="20"/>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2"/>
              </w:rPr>
              <w:t>known as The Scotts Miracle-Gro Company Long-Term Incentive</w:t>
            </w:r>
          </w:p>
        </w:tc>
      </w:tr>
    </w:tbl>
    <w:p>
      <w:pPr>
        <w:ind w:left="1540"/>
        <w:spacing w:after="0" w:line="323" w:lineRule="auto"/>
        <w:rPr>
          <w:sz w:val="20"/>
          <w:szCs w:val="20"/>
          <w:color w:val="auto"/>
        </w:rPr>
      </w:pPr>
      <w:r>
        <w:rPr>
          <w:rFonts w:ascii="Arial" w:cs="Arial" w:eastAsia="Arial" w:hAnsi="Arial"/>
          <w:sz w:val="16"/>
          <w:szCs w:val="16"/>
          <w:color w:val="auto"/>
        </w:rPr>
        <w:t>Plan) to Thomas Coleman (executed by The Scotts Company LLC on May 14, 2013 and by Thomas Coleman on May 16, 2013)</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10.2]</w:t>
      </w:r>
    </w:p>
    <w:p>
      <w:pPr>
        <w:spacing w:after="0" w:line="1004" w:lineRule="exact"/>
        <w:rPr>
          <w:sz w:val="20"/>
          <w:szCs w:val="20"/>
          <w:color w:val="auto"/>
        </w:rPr>
      </w:pPr>
    </w:p>
    <w:p>
      <w:pPr>
        <w:sectPr>
          <w:pgSz w:w="11900" w:h="16838" w:orient="portrait"/>
          <w:cols w:equalWidth="0" w:num="2">
            <w:col w:w="6360" w:space="220"/>
            <w:col w:w="4820"/>
          </w:cols>
          <w:pgMar w:left="240" w:top="1341"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10.7(d)†</w:t>
            </w:r>
          </w:p>
        </w:tc>
        <w:tc>
          <w:tcPr>
            <w:tcW w:w="5560" w:type="dxa"/>
            <w:vAlign w:val="bottom"/>
          </w:tcPr>
          <w:p>
            <w:pPr>
              <w:ind w:left="440"/>
              <w:spacing w:after="0"/>
              <w:rPr>
                <w:sz w:val="20"/>
                <w:szCs w:val="20"/>
                <w:color w:val="auto"/>
              </w:rPr>
            </w:pPr>
            <w:r>
              <w:rPr>
                <w:rFonts w:ascii="Arial" w:cs="Arial" w:eastAsia="Arial" w:hAnsi="Arial"/>
                <w:sz w:val="18"/>
                <w:szCs w:val="18"/>
                <w:color w:val="auto"/>
                <w:w w:val="96"/>
              </w:rPr>
              <w:t>Executive Officers of The Scotts Miracle-Gro Company who are   *</w:t>
            </w:r>
          </w:p>
        </w:tc>
      </w:tr>
      <w:tr>
        <w:trPr>
          <w:trHeight w:val="230"/>
        </w:trPr>
        <w:tc>
          <w:tcPr>
            <w:tcW w:w="1060" w:type="dxa"/>
            <w:vAlign w:val="bottom"/>
          </w:tcPr>
          <w:p>
            <w:pPr>
              <w:spacing w:after="0"/>
              <w:rPr>
                <w:sz w:val="20"/>
                <w:szCs w:val="20"/>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parties to form of Employee Confidentiality, Noncompetition,</w:t>
            </w:r>
          </w:p>
        </w:tc>
      </w:tr>
    </w:tbl>
    <w:p>
      <w:pPr>
        <w:ind w:left="1540"/>
        <w:spacing w:after="0"/>
        <w:rPr>
          <w:sz w:val="20"/>
          <w:szCs w:val="20"/>
          <w:color w:val="auto"/>
        </w:rPr>
      </w:pPr>
      <w:r>
        <w:rPr>
          <w:rFonts w:ascii="Arial" w:cs="Arial" w:eastAsia="Arial" w:hAnsi="Arial"/>
          <w:sz w:val="18"/>
          <w:szCs w:val="18"/>
          <w:color w:val="auto"/>
        </w:rPr>
        <w:t>Nonsolicitation Agreement for employees participating in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Scotts Company LLC Amended and Restated Executive Incentive</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Plan incorporated in this Annual Report on Form 10-K as Exhibit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10.7(b)(ii)</w:t>
      </w:r>
    </w:p>
    <w:p>
      <w:pPr>
        <w:sectPr>
          <w:pgSz w:w="11900" w:h="16838" w:orient="portrait"/>
          <w:cols w:equalWidth="0" w:num="1">
            <w:col w:w="11400"/>
          </w:cols>
          <w:pgMar w:left="240" w:top="1341" w:right="259" w:bottom="144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10.8†</w:t>
            </w:r>
          </w:p>
        </w:tc>
        <w:tc>
          <w:tcPr>
            <w:tcW w:w="5220" w:type="dxa"/>
            <w:vAlign w:val="bottom"/>
          </w:tcPr>
          <w:p>
            <w:pPr>
              <w:ind w:left="40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88"/>
              </w:rPr>
              <w:t>Amended and Restated as of January 1, 2015 (executed December</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31, 2014)</w:t>
            </w:r>
          </w:p>
        </w:tc>
      </w:tr>
      <w:tr>
        <w:trPr>
          <w:trHeight w:val="377"/>
        </w:trPr>
        <w:tc>
          <w:tcPr>
            <w:tcW w:w="1140" w:type="dxa"/>
            <w:vAlign w:val="bottom"/>
          </w:tcPr>
          <w:p>
            <w:pPr>
              <w:ind w:left="40"/>
              <w:spacing w:after="0"/>
              <w:rPr>
                <w:sz w:val="20"/>
                <w:szCs w:val="20"/>
                <w:color w:val="auto"/>
              </w:rPr>
            </w:pPr>
            <w:r>
              <w:rPr>
                <w:rFonts w:ascii="Arial" w:cs="Arial" w:eastAsia="Arial" w:hAnsi="Arial"/>
                <w:sz w:val="18"/>
                <w:szCs w:val="18"/>
                <w:color w:val="auto"/>
              </w:rPr>
              <w:t>10.9†</w:t>
            </w:r>
          </w:p>
        </w:tc>
        <w:tc>
          <w:tcPr>
            <w:tcW w:w="5220" w:type="dxa"/>
            <w:vAlign w:val="bottom"/>
          </w:tcPr>
          <w:p>
            <w:pPr>
              <w:ind w:left="40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Scotts Miracle-Gro Company (effective as of May 1, 2014)</w:t>
            </w:r>
          </w:p>
        </w:tc>
      </w:tr>
      <w:tr>
        <w:trPr>
          <w:trHeight w:val="593"/>
        </w:trPr>
        <w:tc>
          <w:tcPr>
            <w:tcW w:w="1140" w:type="dxa"/>
            <w:vAlign w:val="bottom"/>
          </w:tcPr>
          <w:p>
            <w:pPr>
              <w:spacing w:after="0"/>
              <w:rPr>
                <w:sz w:val="20"/>
                <w:szCs w:val="20"/>
                <w:color w:val="auto"/>
              </w:rPr>
            </w:pPr>
            <w:r>
              <w:rPr>
                <w:rFonts w:ascii="Arial" w:cs="Arial" w:eastAsia="Arial" w:hAnsi="Arial"/>
                <w:sz w:val="18"/>
                <w:szCs w:val="18"/>
                <w:color w:val="auto"/>
              </w:rPr>
              <w:t>10.10(a)†</w:t>
            </w:r>
          </w:p>
        </w:tc>
        <w:tc>
          <w:tcPr>
            <w:tcW w:w="5220" w:type="dxa"/>
            <w:vAlign w:val="bottom"/>
          </w:tcPr>
          <w:p>
            <w:pPr>
              <w:ind w:left="400"/>
              <w:spacing w:after="0"/>
              <w:rPr>
                <w:sz w:val="20"/>
                <w:szCs w:val="20"/>
                <w:color w:val="auto"/>
              </w:rPr>
            </w:pPr>
            <w:r>
              <w:rPr>
                <w:rFonts w:ascii="Arial" w:cs="Arial" w:eastAsia="Arial" w:hAnsi="Arial"/>
                <w:sz w:val="18"/>
                <w:szCs w:val="18"/>
                <w:color w:val="auto"/>
                <w:w w:val="90"/>
              </w:rPr>
              <w:t>Executive Severance Agreement, dated as of December 11, 2013,</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3"/>
              </w:rPr>
              <w:t>by and between The Scotts Company LLC and James Hagedorn</w:t>
            </w:r>
          </w:p>
        </w:tc>
      </w:tr>
      <w:tr>
        <w:trPr>
          <w:trHeight w:val="377"/>
        </w:trPr>
        <w:tc>
          <w:tcPr>
            <w:tcW w:w="1140" w:type="dxa"/>
            <w:vAlign w:val="bottom"/>
          </w:tcPr>
          <w:p>
            <w:pPr>
              <w:ind w:left="40"/>
              <w:spacing w:after="0"/>
              <w:rPr>
                <w:sz w:val="20"/>
                <w:szCs w:val="20"/>
                <w:color w:val="auto"/>
              </w:rPr>
            </w:pPr>
            <w:r>
              <w:rPr>
                <w:rFonts w:ascii="Arial" w:cs="Arial" w:eastAsia="Arial" w:hAnsi="Arial"/>
                <w:sz w:val="18"/>
                <w:szCs w:val="18"/>
                <w:color w:val="auto"/>
              </w:rPr>
              <w:t>10.10(b)†</w:t>
            </w:r>
          </w:p>
        </w:tc>
        <w:tc>
          <w:tcPr>
            <w:tcW w:w="5220" w:type="dxa"/>
            <w:vAlign w:val="bottom"/>
          </w:tcPr>
          <w:p>
            <w:pPr>
              <w:ind w:left="400"/>
              <w:spacing w:after="0"/>
              <w:rPr>
                <w:sz w:val="20"/>
                <w:szCs w:val="20"/>
                <w:color w:val="auto"/>
              </w:rPr>
            </w:pPr>
            <w:r>
              <w:rPr>
                <w:rFonts w:ascii="Arial" w:cs="Arial" w:eastAsia="Arial" w:hAnsi="Arial"/>
                <w:sz w:val="18"/>
                <w:szCs w:val="18"/>
                <w:color w:val="auto"/>
                <w:w w:val="90"/>
              </w:rPr>
              <w:t>Separation Agreement and Release of All Claims, by and between</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5"/>
              </w:rPr>
              <w:t>The Scotts Company LLC (executed on January 21, 2014) and</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James R. Lyski (executed on January 22, 2014)</w:t>
            </w:r>
          </w:p>
        </w:tc>
      </w:tr>
      <w:tr>
        <w:trPr>
          <w:trHeight w:val="608"/>
        </w:trPr>
        <w:tc>
          <w:tcPr>
            <w:tcW w:w="1140" w:type="dxa"/>
            <w:vAlign w:val="bottom"/>
          </w:tcPr>
          <w:p>
            <w:pPr>
              <w:spacing w:after="0"/>
              <w:rPr>
                <w:sz w:val="24"/>
                <w:szCs w:val="24"/>
                <w:color w:val="auto"/>
              </w:rPr>
            </w:pPr>
          </w:p>
        </w:tc>
        <w:tc>
          <w:tcPr>
            <w:tcW w:w="5220" w:type="dxa"/>
            <w:vAlign w:val="bottom"/>
          </w:tcPr>
          <w:p>
            <w:pPr>
              <w:ind w:left="4440"/>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27, 2014 filed February 5, 2015 [Exhibit 10.2]</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2014 filed November 25, 2014 [Exhibit 10.9]</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23, 2014 [Exhibit 10.1]</w:t>
      </w:r>
    </w:p>
    <w:p>
      <w:pPr>
        <w:sectPr>
          <w:pgSz w:w="11900" w:h="16838" w:orient="portrait"/>
          <w:cols w:equalWidth="0" w:num="2">
            <w:col w:w="6360" w:space="220"/>
            <w:col w:w="4820"/>
          </w:cols>
          <w:pgMar w:left="240" w:top="1341" w:right="25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10.10(c)†</w:t>
            </w:r>
          </w:p>
        </w:tc>
        <w:tc>
          <w:tcPr>
            <w:tcW w:w="5220" w:type="dxa"/>
            <w:vAlign w:val="bottom"/>
          </w:tcPr>
          <w:p>
            <w:pPr>
              <w:ind w:left="400"/>
              <w:spacing w:after="0"/>
              <w:rPr>
                <w:sz w:val="20"/>
                <w:szCs w:val="20"/>
                <w:color w:val="auto"/>
              </w:rPr>
            </w:pPr>
            <w:r>
              <w:rPr>
                <w:rFonts w:ascii="Arial" w:cs="Arial" w:eastAsia="Arial" w:hAnsi="Arial"/>
                <w:sz w:val="18"/>
                <w:szCs w:val="18"/>
                <w:color w:val="auto"/>
                <w:w w:val="89"/>
              </w:rPr>
              <w:t>Consulting Agreement, dated as of February 7, 2014, between The</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8"/>
              </w:rPr>
              <w:t>Scotts Miracle-Gro Company and Dr. Michael Porter [expired</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December 31, 2014]</w:t>
            </w:r>
          </w:p>
        </w:tc>
      </w:tr>
      <w:tr>
        <w:trPr>
          <w:trHeight w:val="377"/>
        </w:trPr>
        <w:tc>
          <w:tcPr>
            <w:tcW w:w="1140" w:type="dxa"/>
            <w:vAlign w:val="bottom"/>
          </w:tcPr>
          <w:p>
            <w:pPr>
              <w:ind w:left="40"/>
              <w:spacing w:after="0"/>
              <w:rPr>
                <w:sz w:val="20"/>
                <w:szCs w:val="20"/>
                <w:color w:val="auto"/>
              </w:rPr>
            </w:pPr>
            <w:r>
              <w:rPr>
                <w:rFonts w:ascii="Arial" w:cs="Arial" w:eastAsia="Arial" w:hAnsi="Arial"/>
                <w:sz w:val="18"/>
                <w:szCs w:val="18"/>
                <w:color w:val="auto"/>
              </w:rPr>
              <w:t>10.10(d)†</w:t>
            </w:r>
          </w:p>
        </w:tc>
        <w:tc>
          <w:tcPr>
            <w:tcW w:w="5220" w:type="dxa"/>
            <w:vAlign w:val="bottom"/>
          </w:tcPr>
          <w:p>
            <w:pPr>
              <w:ind w:left="400"/>
              <w:spacing w:after="0"/>
              <w:rPr>
                <w:sz w:val="20"/>
                <w:szCs w:val="20"/>
                <w:color w:val="auto"/>
              </w:rPr>
            </w:pPr>
            <w:r>
              <w:rPr>
                <w:rFonts w:ascii="Arial" w:cs="Arial" w:eastAsia="Arial" w:hAnsi="Arial"/>
                <w:sz w:val="18"/>
                <w:szCs w:val="18"/>
                <w:color w:val="auto"/>
                <w:w w:val="92"/>
              </w:rPr>
              <w:t>Separation Agreement and Release of All Claims, entered into by</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7"/>
              </w:rPr>
              <w:t>and between The Scotts Company LLC (executed on April 15,</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4"/>
              </w:rPr>
              <w:t>2014) and Lawrence A. Hilsheimer (executed on April 17, 2014)</w:t>
            </w:r>
          </w:p>
        </w:tc>
      </w:tr>
      <w:tr>
        <w:trPr>
          <w:trHeight w:val="377"/>
        </w:trPr>
        <w:tc>
          <w:tcPr>
            <w:tcW w:w="1140" w:type="dxa"/>
            <w:vAlign w:val="bottom"/>
          </w:tcPr>
          <w:p>
            <w:pPr>
              <w:ind w:left="40"/>
              <w:spacing w:after="0"/>
              <w:rPr>
                <w:sz w:val="20"/>
                <w:szCs w:val="20"/>
                <w:color w:val="auto"/>
              </w:rPr>
            </w:pPr>
            <w:r>
              <w:rPr>
                <w:rFonts w:ascii="Arial" w:cs="Arial" w:eastAsia="Arial" w:hAnsi="Arial"/>
                <w:sz w:val="18"/>
                <w:szCs w:val="18"/>
                <w:color w:val="auto"/>
              </w:rPr>
              <w:t>10.10(e)†</w:t>
            </w:r>
          </w:p>
        </w:tc>
        <w:tc>
          <w:tcPr>
            <w:tcW w:w="5220" w:type="dxa"/>
            <w:vAlign w:val="bottom"/>
          </w:tcPr>
          <w:p>
            <w:pPr>
              <w:ind w:left="400"/>
              <w:spacing w:after="0"/>
              <w:rPr>
                <w:sz w:val="20"/>
                <w:szCs w:val="20"/>
                <w:color w:val="auto"/>
              </w:rPr>
            </w:pPr>
            <w:r>
              <w:rPr>
                <w:rFonts w:ascii="Arial" w:cs="Arial" w:eastAsia="Arial" w:hAnsi="Arial"/>
                <w:sz w:val="18"/>
                <w:szCs w:val="18"/>
                <w:color w:val="auto"/>
                <w:w w:val="92"/>
              </w:rPr>
              <w:t>Separation Agreement and Release of All Claims, entered into as</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1"/>
              </w:rPr>
              <w:t>of December 18, 2014, by and between The Scotts Company LLC</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and Barry W. Sanders</w:t>
            </w:r>
          </w:p>
        </w:tc>
      </w:tr>
      <w:tr>
        <w:trPr>
          <w:trHeight w:val="377"/>
        </w:trPr>
        <w:tc>
          <w:tcPr>
            <w:tcW w:w="1140" w:type="dxa"/>
            <w:vAlign w:val="bottom"/>
          </w:tcPr>
          <w:p>
            <w:pPr>
              <w:ind w:left="40"/>
              <w:spacing w:after="0"/>
              <w:rPr>
                <w:sz w:val="20"/>
                <w:szCs w:val="20"/>
                <w:color w:val="auto"/>
              </w:rPr>
            </w:pPr>
            <w:r>
              <w:rPr>
                <w:rFonts w:ascii="Arial" w:cs="Arial" w:eastAsia="Arial" w:hAnsi="Arial"/>
                <w:sz w:val="18"/>
                <w:szCs w:val="18"/>
                <w:color w:val="auto"/>
              </w:rPr>
              <w:t>10.10(f)†</w:t>
            </w:r>
          </w:p>
        </w:tc>
        <w:tc>
          <w:tcPr>
            <w:tcW w:w="5220" w:type="dxa"/>
            <w:vAlign w:val="bottom"/>
          </w:tcPr>
          <w:p>
            <w:pPr>
              <w:ind w:left="400"/>
              <w:spacing w:after="0"/>
              <w:rPr>
                <w:sz w:val="20"/>
                <w:szCs w:val="20"/>
                <w:color w:val="auto"/>
              </w:rPr>
            </w:pPr>
            <w:r>
              <w:rPr>
                <w:rFonts w:ascii="Arial" w:cs="Arial" w:eastAsia="Arial" w:hAnsi="Arial"/>
                <w:sz w:val="18"/>
                <w:szCs w:val="18"/>
                <w:color w:val="auto"/>
                <w:w w:val="91"/>
              </w:rPr>
              <w:t>Consulting Agreement, dated March 6, 2015, between The Scotts</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Company LLC and Hanft Projects LLC</w:t>
            </w:r>
          </w:p>
        </w:tc>
      </w:tr>
      <w:tr>
        <w:trPr>
          <w:trHeight w:val="593"/>
        </w:trPr>
        <w:tc>
          <w:tcPr>
            <w:tcW w:w="1140" w:type="dxa"/>
            <w:vAlign w:val="bottom"/>
          </w:tcPr>
          <w:p>
            <w:pPr>
              <w:spacing w:after="0"/>
              <w:rPr>
                <w:sz w:val="20"/>
                <w:szCs w:val="20"/>
                <w:color w:val="auto"/>
              </w:rPr>
            </w:pPr>
            <w:r>
              <w:rPr>
                <w:rFonts w:ascii="Arial" w:cs="Arial" w:eastAsia="Arial" w:hAnsi="Arial"/>
                <w:sz w:val="18"/>
                <w:szCs w:val="18"/>
                <w:color w:val="auto"/>
              </w:rPr>
              <w:t>10.11(a)†</w:t>
            </w:r>
          </w:p>
        </w:tc>
        <w:tc>
          <w:tcPr>
            <w:tcW w:w="5220" w:type="dxa"/>
            <w:vAlign w:val="bottom"/>
          </w:tcPr>
          <w:p>
            <w:pPr>
              <w:ind w:left="400"/>
              <w:spacing w:after="0"/>
              <w:rPr>
                <w:sz w:val="20"/>
                <w:szCs w:val="20"/>
                <w:color w:val="auto"/>
              </w:rPr>
            </w:pPr>
            <w:r>
              <w:rPr>
                <w:rFonts w:ascii="Arial" w:cs="Arial" w:eastAsia="Arial" w:hAnsi="Arial"/>
                <w:sz w:val="18"/>
                <w:szCs w:val="18"/>
                <w:color w:val="auto"/>
                <w:w w:val="92"/>
              </w:rPr>
              <w:t>The Scotts Company LLC Executive Severance Plan, adopted on</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May 4, 2011</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10.11(b)†</w:t>
            </w:r>
          </w:p>
        </w:tc>
        <w:tc>
          <w:tcPr>
            <w:tcW w:w="5220" w:type="dxa"/>
            <w:vAlign w:val="bottom"/>
          </w:tcPr>
          <w:p>
            <w:pPr>
              <w:ind w:left="400"/>
              <w:spacing w:after="0"/>
              <w:rPr>
                <w:sz w:val="20"/>
                <w:szCs w:val="20"/>
                <w:color w:val="auto"/>
              </w:rPr>
            </w:pPr>
            <w:r>
              <w:rPr>
                <w:rFonts w:ascii="Arial" w:cs="Arial" w:eastAsia="Arial" w:hAnsi="Arial"/>
                <w:sz w:val="18"/>
                <w:szCs w:val="18"/>
                <w:color w:val="auto"/>
                <w:w w:val="97"/>
              </w:rPr>
              <w:t>Form  of  Tier  1  Participation  Agreement  under  The  Scotts</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10.11(c)†</w:t>
            </w:r>
          </w:p>
        </w:tc>
        <w:tc>
          <w:tcPr>
            <w:tcW w:w="5220" w:type="dxa"/>
            <w:vAlign w:val="bottom"/>
          </w:tcPr>
          <w:p>
            <w:pPr>
              <w:ind w:left="400"/>
              <w:spacing w:after="0"/>
              <w:rPr>
                <w:sz w:val="20"/>
                <w:szCs w:val="20"/>
                <w:color w:val="auto"/>
              </w:rPr>
            </w:pPr>
            <w:r>
              <w:rPr>
                <w:rFonts w:ascii="Arial" w:cs="Arial" w:eastAsia="Arial" w:hAnsi="Arial"/>
                <w:sz w:val="18"/>
                <w:szCs w:val="18"/>
                <w:color w:val="auto"/>
                <w:w w:val="94"/>
              </w:rPr>
              <w:t>Executive Officers of The Scotts Miracle-Gro Company who are</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1"/>
              </w:rPr>
              <w:t>parties to form of Tier 1 Participation Agreement under The Scotts</w:t>
            </w:r>
          </w:p>
        </w:tc>
      </w:tr>
      <w:tr>
        <w:trPr>
          <w:trHeight w:val="216"/>
        </w:trPr>
        <w:tc>
          <w:tcPr>
            <w:tcW w:w="114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w w:val="98"/>
              </w:rPr>
              <w:t>Company LLC Executive Severance Plan incorporated in this</w:t>
            </w:r>
          </w:p>
        </w:tc>
      </w:tr>
      <w:tr>
        <w:trPr>
          <w:trHeight w:val="230"/>
        </w:trPr>
        <w:tc>
          <w:tcPr>
            <w:tcW w:w="114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Annual Report on Form 10-K as Exhibit 10.11(b)</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10.8]</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April 17, 2014 [Exhibit 10.1]</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19, 2014 [Exhibit 10.1]</w:t>
      </w:r>
    </w:p>
    <w:p>
      <w:pPr>
        <w:spacing w:after="0" w:line="3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10.2]</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32" w:lineRule="exact"/>
        <w:rPr>
          <w:sz w:val="20"/>
          <w:szCs w:val="20"/>
          <w:color w:val="auto"/>
        </w:rPr>
      </w:pPr>
    </w:p>
    <w:p>
      <w:pPr>
        <w:sectPr>
          <w:pgSz w:w="11900" w:h="16838" w:orient="portrait"/>
          <w:cols w:equalWidth="0" w:num="2">
            <w:col w:w="6360" w:space="200"/>
            <w:col w:w="4840"/>
          </w:cols>
          <w:pgMar w:left="240" w:top="1340" w:right="259" w:bottom="1440" w:gutter="0" w:footer="0" w:header="0"/>
        </w:sectPr>
      </w:pPr>
    </w:p>
    <w:p>
      <w:pPr>
        <w:jc w:val="both"/>
        <w:ind w:left="1540" w:hanging="1498"/>
        <w:spacing w:after="0" w:line="257" w:lineRule="auto"/>
        <w:tabs>
          <w:tab w:leader="none" w:pos="152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Amended and Restated Exclusive Agency and Marketing Agreement, effective as of September 30, 1998, and amended and restated as of November 11, 1998, by and between Monsanto Company and The Scotts Company LLC (as successor to The Scotts Company, an Ohio corporation)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filed December 15, 2005 [Exhibit 10(x)]</w:t>
      </w:r>
    </w:p>
    <w:p>
      <w:pPr>
        <w:spacing w:after="0" w:line="573" w:lineRule="exact"/>
        <w:rPr>
          <w:sz w:val="20"/>
          <w:szCs w:val="20"/>
          <w:color w:val="auto"/>
        </w:rPr>
      </w:pPr>
    </w:p>
    <w:p>
      <w:pPr>
        <w:sectPr>
          <w:pgSz w:w="11900" w:h="16838" w:orient="portrait"/>
          <w:cols w:equalWidth="0" w:num="2">
            <w:col w:w="6360" w:space="200"/>
            <w:col w:w="4840"/>
          </w:cols>
          <w:pgMar w:left="240" w:top="1340"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10.12(b)</w:t>
            </w: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as of September 30, 1998, between Monsanto Company and The</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4"/>
              </w:rPr>
              <w:t>Scotts Company LLC (as successor to The Scotts Company, an</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Ohio corporation)</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filed November 24, 2009 [Exhibit 10.17(b)]</w:t>
      </w:r>
    </w:p>
    <w:p>
      <w:pPr>
        <w:spacing w:after="0" w:line="572" w:lineRule="exact"/>
        <w:rPr>
          <w:sz w:val="20"/>
          <w:szCs w:val="20"/>
          <w:color w:val="auto"/>
        </w:rPr>
      </w:pPr>
    </w:p>
    <w:p>
      <w:pPr>
        <w:sectPr>
          <w:pgSz w:w="11900" w:h="16838" w:orient="portrait"/>
          <w:cols w:equalWidth="0" w:num="2">
            <w:col w:w="6360" w:space="200"/>
            <w:col w:w="4840"/>
          </w:cols>
          <w:pgMar w:left="240" w:top="1340"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10.12(c)</w:t>
            </w: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as of September 30, 1998, between Monsanto Company and The</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10.12(d)</w:t>
            </w:r>
          </w:p>
        </w:tc>
        <w:tc>
          <w:tcPr>
            <w:tcW w:w="5260" w:type="dxa"/>
            <w:vAlign w:val="bottom"/>
          </w:tcPr>
          <w:p>
            <w:pPr>
              <w:ind w:left="440"/>
              <w:spacing w:after="0"/>
              <w:rPr>
                <w:sz w:val="20"/>
                <w:szCs w:val="20"/>
                <w:color w:val="auto"/>
              </w:rPr>
            </w:pPr>
            <w:r>
              <w:rPr>
                <w:rFonts w:ascii="Arial" w:cs="Arial" w:eastAsia="Arial" w:hAnsi="Arial"/>
                <w:sz w:val="18"/>
                <w:szCs w:val="18"/>
                <w:color w:val="auto"/>
                <w:w w:val="97"/>
              </w:rPr>
              <w:t>Amendment to Amended and Restated Exclusive Agency and</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5"/>
              </w:rPr>
              <w:t>Marketing  Agreement,  dated  as  of  May  15,  2015,  between</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Monsanto Company and The Scotts Company 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10.12(e)</w:t>
            </w:r>
          </w:p>
        </w:tc>
        <w:tc>
          <w:tcPr>
            <w:tcW w:w="5260" w:type="dxa"/>
            <w:vAlign w:val="bottom"/>
          </w:tcPr>
          <w:p>
            <w:pPr>
              <w:ind w:left="440"/>
              <w:spacing w:after="0"/>
              <w:rPr>
                <w:sz w:val="20"/>
                <w:szCs w:val="20"/>
                <w:color w:val="auto"/>
              </w:rPr>
            </w:pPr>
            <w:r>
              <w:rPr>
                <w:rFonts w:ascii="Arial" w:cs="Arial" w:eastAsia="Arial" w:hAnsi="Arial"/>
                <w:sz w:val="18"/>
                <w:szCs w:val="18"/>
                <w:color w:val="auto"/>
                <w:w w:val="93"/>
              </w:rPr>
              <w:t>Lawn and Garden Brand Extension Agreement, dated as of May</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15, 2015, between Monsanto Company and The Scotts Company</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10.12(f)</w:t>
            </w:r>
          </w:p>
        </w:tc>
        <w:tc>
          <w:tcPr>
            <w:tcW w:w="5260" w:type="dxa"/>
            <w:vAlign w:val="bottom"/>
          </w:tcPr>
          <w:p>
            <w:pPr>
              <w:ind w:left="440"/>
              <w:spacing w:after="0"/>
              <w:rPr>
                <w:sz w:val="20"/>
                <w:szCs w:val="20"/>
                <w:color w:val="auto"/>
              </w:rPr>
            </w:pPr>
            <w:r>
              <w:rPr>
                <w:rFonts w:ascii="Arial" w:cs="Arial" w:eastAsia="Arial" w:hAnsi="Arial"/>
                <w:sz w:val="18"/>
                <w:szCs w:val="18"/>
                <w:color w:val="auto"/>
                <w:w w:val="93"/>
              </w:rPr>
              <w:t>Commercialization and Technology Agreement, dated as of May</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1"/>
              </w:rPr>
              <w:t>15, 2015, between Monsanto Company and The Scotts Company</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5260" w:type="dxa"/>
            <w:vAlign w:val="bottom"/>
          </w:tcPr>
          <w:p>
            <w:pPr>
              <w:ind w:left="440"/>
              <w:spacing w:after="0"/>
              <w:rPr>
                <w:sz w:val="20"/>
                <w:szCs w:val="20"/>
                <w:color w:val="auto"/>
              </w:rPr>
            </w:pPr>
            <w:r>
              <w:rPr>
                <w:rFonts w:ascii="Arial" w:cs="Arial" w:eastAsia="Arial" w:hAnsi="Arial"/>
                <w:sz w:val="18"/>
                <w:szCs w:val="18"/>
                <w:color w:val="auto"/>
                <w:w w:val="98"/>
              </w:rPr>
              <w:t>Purchase Agreement, dated December 13, 2010, among The</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5"/>
              </w:rPr>
              <w:t>Scotts Miracle-Gro Company, the subsidiary guarantors named</w:t>
            </w:r>
          </w:p>
        </w:tc>
      </w:tr>
    </w:tbl>
    <w:p>
      <w:pPr>
        <w:ind w:left="1540" w:right="20"/>
        <w:spacing w:after="0" w:line="323" w:lineRule="auto"/>
        <w:rPr>
          <w:sz w:val="20"/>
          <w:szCs w:val="20"/>
          <w:color w:val="auto"/>
        </w:rPr>
      </w:pPr>
      <w:r>
        <w:rPr>
          <w:rFonts w:ascii="Arial" w:cs="Arial" w:eastAsia="Arial" w:hAnsi="Arial"/>
          <w:sz w:val="16"/>
          <w:szCs w:val="16"/>
          <w:color w:val="auto"/>
        </w:rPr>
        <w:t>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filed November 25, 2008 [Exhibit 10.18(b)]</w:t>
      </w:r>
    </w:p>
    <w:p>
      <w:pPr>
        <w:spacing w:after="0" w:line="3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10.2]</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10.3]</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10.4]</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10.1]</w:t>
      </w:r>
    </w:p>
    <w:p>
      <w:pPr>
        <w:spacing w:after="0" w:line="663" w:lineRule="exact"/>
        <w:rPr>
          <w:sz w:val="20"/>
          <w:szCs w:val="20"/>
          <w:color w:val="auto"/>
        </w:rPr>
      </w:pPr>
    </w:p>
    <w:p>
      <w:pPr>
        <w:sectPr>
          <w:pgSz w:w="11900" w:h="16838" w:orient="portrait"/>
          <w:cols w:equalWidth="0" w:num="2">
            <w:col w:w="6360" w:space="200"/>
            <w:col w:w="4840"/>
          </w:cols>
          <w:pgMar w:left="240" w:top="1340" w:right="25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00"/>
          </w:cols>
          <w:pgMar w:left="240" w:top="1340" w:right="259" w:bottom="1440" w:gutter="0" w:footer="0" w:header="0"/>
          <w:type w:val="continuous"/>
        </w:sectPr>
      </w:pPr>
    </w:p>
    <w:bookmarkStart w:id="124" w:name="page125"/>
    <w:bookmarkEnd w:id="124"/>
    <w:p>
      <w:pPr>
        <w:jc w:val="both"/>
        <w:ind w:left="1500" w:hanging="1498"/>
        <w:spacing w:after="0" w:line="276" w:lineRule="auto"/>
        <w:tabs>
          <w:tab w:leader="none" w:pos="148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7"/>
          <w:szCs w:val="17"/>
          <w:color w:val="auto"/>
        </w:rPr>
        <w:t>Master Accounts Receivable Purchase Agreement, dated as of November 15, 2012, by and among The Scotts Miracle-Gro Company, The Scotts Company LLC, The Bank of Nova Scotia, Suntrust Bank, RB Receivables LLC and Mizuho Corporate Bank, Ltd., as Administrative Agent and as a Bank</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2012 [Exhibit 10.16]</w:t>
      </w:r>
    </w:p>
    <w:p>
      <w:pPr>
        <w:spacing w:after="0" w:line="572" w:lineRule="exact"/>
        <w:rPr>
          <w:sz w:val="20"/>
          <w:szCs w:val="20"/>
          <w:color w:val="auto"/>
        </w:rPr>
      </w:pPr>
    </w:p>
    <w:p>
      <w:pPr>
        <w:sectPr>
          <w:pgSz w:w="11900" w:h="16838" w:orient="portrait"/>
          <w:cols w:equalWidth="0" w:num="2">
            <w:col w:w="6320" w:space="200"/>
            <w:col w:w="4820"/>
          </w:cols>
          <w:pgMar w:left="280" w:top="1341" w:right="279" w:bottom="1440" w:gutter="0" w:footer="0" w:header="0"/>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10.14(b)</w:t>
            </w:r>
          </w:p>
        </w:tc>
        <w:tc>
          <w:tcPr>
            <w:tcW w:w="5260" w:type="dxa"/>
            <w:vAlign w:val="bottom"/>
          </w:tcPr>
          <w:p>
            <w:pPr>
              <w:ind w:left="440"/>
              <w:spacing w:after="0"/>
              <w:rPr>
                <w:sz w:val="20"/>
                <w:szCs w:val="20"/>
                <w:color w:val="auto"/>
              </w:rPr>
            </w:pPr>
            <w:r>
              <w:rPr>
                <w:rFonts w:ascii="Arial" w:cs="Arial" w:eastAsia="Arial" w:hAnsi="Arial"/>
                <w:sz w:val="18"/>
                <w:szCs w:val="18"/>
                <w:color w:val="auto"/>
                <w:w w:val="96"/>
              </w:rPr>
              <w:t>First Amendment, dated as of October 25, 2013, to the Master</w:t>
            </w:r>
          </w:p>
        </w:tc>
      </w:tr>
      <w:tr>
        <w:trPr>
          <w:trHeight w:val="216"/>
        </w:trPr>
        <w:tc>
          <w:tcPr>
            <w:tcW w:w="10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0"/>
              </w:rPr>
              <w:t>Accounts Receivable Purchase Agreement, dated as of November</w:t>
            </w:r>
          </w:p>
        </w:tc>
      </w:tr>
      <w:tr>
        <w:trPr>
          <w:trHeight w:val="230"/>
        </w:trPr>
        <w:tc>
          <w:tcPr>
            <w:tcW w:w="1060" w:type="dxa"/>
            <w:vAlign w:val="bottom"/>
          </w:tcPr>
          <w:p>
            <w:pPr>
              <w:spacing w:after="0"/>
              <w:rPr>
                <w:sz w:val="20"/>
                <w:szCs w:val="20"/>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w w:val="95"/>
              </w:rPr>
              <w:t>15, 2012, among The Scotts Miracle-Gro Company, The Scotts</w:t>
            </w:r>
          </w:p>
        </w:tc>
      </w:tr>
    </w:tbl>
    <w:p>
      <w:pPr>
        <w:jc w:val="both"/>
        <w:ind w:left="1500" w:right="20"/>
        <w:spacing w:after="0" w:line="255" w:lineRule="auto"/>
        <w:rPr>
          <w:sz w:val="20"/>
          <w:szCs w:val="20"/>
          <w:color w:val="auto"/>
        </w:rPr>
      </w:pPr>
      <w:r>
        <w:rPr>
          <w:rFonts w:ascii="Arial" w:cs="Arial" w:eastAsia="Arial" w:hAnsi="Arial"/>
          <w:sz w:val="18"/>
          <w:szCs w:val="18"/>
          <w:color w:val="auto"/>
        </w:rPr>
        <w:t>Company LLC, The Bank of Nova Scotia, Suntrust Bank, RB Receivables LLC and Mizuho Bank, Ltd., as Administrative Agent and as a Bank</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31, 2013 [Exhibit 10.1]</w:t>
      </w:r>
    </w:p>
    <w:p>
      <w:pPr>
        <w:spacing w:after="0" w:line="994" w:lineRule="exact"/>
        <w:rPr>
          <w:sz w:val="20"/>
          <w:szCs w:val="20"/>
          <w:color w:val="auto"/>
        </w:rPr>
      </w:pPr>
    </w:p>
    <w:p>
      <w:pPr>
        <w:sectPr>
          <w:pgSz w:w="11900" w:h="16838" w:orient="portrait"/>
          <w:cols w:equalWidth="0" w:num="2">
            <w:col w:w="6320" w:space="200"/>
            <w:col w:w="482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10.14(c)</w:t>
            </w:r>
          </w:p>
        </w:tc>
        <w:tc>
          <w:tcPr>
            <w:tcW w:w="5280" w:type="dxa"/>
            <w:vAlign w:val="bottom"/>
          </w:tcPr>
          <w:p>
            <w:pPr>
              <w:ind w:left="460"/>
              <w:spacing w:after="0"/>
              <w:rPr>
                <w:sz w:val="20"/>
                <w:szCs w:val="20"/>
                <w:color w:val="auto"/>
              </w:rPr>
            </w:pPr>
            <w:r>
              <w:rPr>
                <w:rFonts w:ascii="Arial" w:cs="Arial" w:eastAsia="Arial" w:hAnsi="Arial"/>
                <w:sz w:val="18"/>
                <w:szCs w:val="18"/>
                <w:color w:val="auto"/>
                <w:w w:val="93"/>
              </w:rPr>
              <w:t>Second Amendment, dated as of August 29, 2014, to the Master</w:t>
            </w:r>
          </w:p>
        </w:tc>
      </w:tr>
      <w:tr>
        <w:trPr>
          <w:trHeight w:val="216"/>
        </w:trPr>
        <w:tc>
          <w:tcPr>
            <w:tcW w:w="1040" w:type="dxa"/>
            <w:vAlign w:val="bottom"/>
          </w:tcPr>
          <w:p>
            <w:pPr>
              <w:spacing w:after="0"/>
              <w:rPr>
                <w:sz w:val="18"/>
                <w:szCs w:val="18"/>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0"/>
              </w:rPr>
              <w:t>Accounts Receivable Purchase Agreement, dated as of November</w:t>
            </w:r>
          </w:p>
        </w:tc>
      </w:tr>
      <w:tr>
        <w:trPr>
          <w:trHeight w:val="216"/>
        </w:trPr>
        <w:tc>
          <w:tcPr>
            <w:tcW w:w="1040" w:type="dxa"/>
            <w:vAlign w:val="bottom"/>
          </w:tcPr>
          <w:p>
            <w:pPr>
              <w:spacing w:after="0"/>
              <w:rPr>
                <w:sz w:val="18"/>
                <w:szCs w:val="18"/>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5"/>
              </w:rPr>
              <w:t>15, 2012, among The Scotts Miracle-Gro Company, The Scotts</w:t>
            </w:r>
          </w:p>
        </w:tc>
      </w:tr>
      <w:tr>
        <w:trPr>
          <w:trHeight w:val="230"/>
        </w:trPr>
        <w:tc>
          <w:tcPr>
            <w:tcW w:w="1040" w:type="dxa"/>
            <w:vAlign w:val="bottom"/>
          </w:tcPr>
          <w:p>
            <w:pPr>
              <w:spacing w:after="0"/>
              <w:rPr>
                <w:sz w:val="20"/>
                <w:szCs w:val="20"/>
                <w:color w:val="auto"/>
              </w:rPr>
            </w:pPr>
          </w:p>
        </w:tc>
        <w:tc>
          <w:tcPr>
            <w:tcW w:w="5280" w:type="dxa"/>
            <w:vAlign w:val="bottom"/>
          </w:tcPr>
          <w:p>
            <w:pPr>
              <w:ind w:left="460"/>
              <w:spacing w:after="0"/>
              <w:rPr>
                <w:sz w:val="20"/>
                <w:szCs w:val="20"/>
                <w:color w:val="auto"/>
              </w:rPr>
            </w:pPr>
            <w:r>
              <w:rPr>
                <w:rFonts w:ascii="Arial" w:cs="Arial" w:eastAsia="Arial" w:hAnsi="Arial"/>
                <w:sz w:val="18"/>
                <w:szCs w:val="18"/>
                <w:color w:val="auto"/>
                <w:w w:val="99"/>
              </w:rPr>
              <w:t>Company LLC, The Bank of Nova Scotia, Suntrust Bank, RB</w:t>
            </w:r>
          </w:p>
        </w:tc>
      </w:tr>
    </w:tbl>
    <w:p>
      <w:pPr>
        <w:ind w:left="1500"/>
        <w:spacing w:after="0" w:line="261" w:lineRule="auto"/>
        <w:rPr>
          <w:sz w:val="20"/>
          <w:szCs w:val="20"/>
          <w:color w:val="auto"/>
        </w:rPr>
      </w:pPr>
      <w:r>
        <w:rPr>
          <w:rFonts w:ascii="Arial" w:cs="Arial" w:eastAsia="Arial" w:hAnsi="Arial"/>
          <w:sz w:val="18"/>
          <w:szCs w:val="18"/>
          <w:color w:val="auto"/>
        </w:rPr>
        <w:t>Receivables LLC and Mizuho Corporate Bank, Ltd., as Administrative Agent and as a Bank</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September 4, 2014 [Exhibit 10.1]</w:t>
      </w:r>
    </w:p>
    <w:p>
      <w:pPr>
        <w:spacing w:after="0" w:line="994" w:lineRule="exact"/>
        <w:rPr>
          <w:sz w:val="20"/>
          <w:szCs w:val="20"/>
          <w:color w:val="auto"/>
        </w:rPr>
      </w:pPr>
    </w:p>
    <w:p>
      <w:pPr>
        <w:sectPr>
          <w:pgSz w:w="11900" w:h="16838" w:orient="portrait"/>
          <w:cols w:equalWidth="0" w:num="2">
            <w:col w:w="6320" w:space="200"/>
            <w:col w:w="482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10.15</w:t>
            </w:r>
          </w:p>
        </w:tc>
        <w:tc>
          <w:tcPr>
            <w:tcW w:w="2360" w:type="dxa"/>
            <w:vAlign w:val="bottom"/>
          </w:tcPr>
          <w:p>
            <w:pPr>
              <w:ind w:left="560"/>
              <w:spacing w:after="0"/>
              <w:rPr>
                <w:sz w:val="20"/>
                <w:szCs w:val="20"/>
                <w:color w:val="auto"/>
              </w:rPr>
            </w:pPr>
            <w:r>
              <w:rPr>
                <w:rFonts w:ascii="Arial" w:cs="Arial" w:eastAsia="Arial" w:hAnsi="Arial"/>
                <w:sz w:val="18"/>
                <w:szCs w:val="18"/>
                <w:color w:val="auto"/>
                <w:w w:val="94"/>
              </w:rPr>
              <w:t>Amended and Restated</w:t>
            </w:r>
          </w:p>
        </w:tc>
        <w:tc>
          <w:tcPr>
            <w:tcW w:w="3020" w:type="dxa"/>
            <w:vAlign w:val="bottom"/>
          </w:tcPr>
          <w:p>
            <w:pPr>
              <w:jc w:val="right"/>
              <w:spacing w:after="0"/>
              <w:rPr>
                <w:sz w:val="20"/>
                <w:szCs w:val="20"/>
                <w:color w:val="auto"/>
              </w:rPr>
            </w:pPr>
            <w:r>
              <w:rPr>
                <w:rFonts w:ascii="Arial" w:cs="Arial" w:eastAsia="Arial" w:hAnsi="Arial"/>
                <w:sz w:val="18"/>
                <w:szCs w:val="18"/>
                <w:color w:val="auto"/>
                <w:w w:val="97"/>
              </w:rPr>
              <w:t>Master Accounts Receivable Purchase</w:t>
            </w:r>
          </w:p>
        </w:tc>
      </w:tr>
      <w:tr>
        <w:trPr>
          <w:trHeight w:val="216"/>
        </w:trPr>
        <w:tc>
          <w:tcPr>
            <w:tcW w:w="940" w:type="dxa"/>
            <w:vAlign w:val="bottom"/>
          </w:tcPr>
          <w:p>
            <w:pPr>
              <w:spacing w:after="0"/>
              <w:rPr>
                <w:sz w:val="18"/>
                <w:szCs w:val="18"/>
                <w:color w:val="auto"/>
              </w:rPr>
            </w:pPr>
          </w:p>
        </w:tc>
        <w:tc>
          <w:tcPr>
            <w:tcW w:w="2360" w:type="dxa"/>
            <w:vAlign w:val="bottom"/>
          </w:tcPr>
          <w:p>
            <w:pPr>
              <w:ind w:left="560"/>
              <w:spacing w:after="0"/>
              <w:rPr>
                <w:sz w:val="20"/>
                <w:szCs w:val="20"/>
                <w:color w:val="auto"/>
              </w:rPr>
            </w:pPr>
            <w:r>
              <w:rPr>
                <w:rFonts w:ascii="Arial" w:cs="Arial" w:eastAsia="Arial" w:hAnsi="Arial"/>
                <w:sz w:val="18"/>
                <w:szCs w:val="18"/>
                <w:color w:val="auto"/>
                <w:w w:val="95"/>
              </w:rPr>
              <w:t>Agreement, dated as of</w:t>
            </w:r>
          </w:p>
        </w:tc>
        <w:tc>
          <w:tcPr>
            <w:tcW w:w="3020" w:type="dxa"/>
            <w:vAlign w:val="bottom"/>
          </w:tcPr>
          <w:p>
            <w:pPr>
              <w:jc w:val="right"/>
              <w:spacing w:after="0"/>
              <w:rPr>
                <w:sz w:val="20"/>
                <w:szCs w:val="20"/>
                <w:color w:val="auto"/>
              </w:rPr>
            </w:pPr>
            <w:r>
              <w:rPr>
                <w:rFonts w:ascii="Arial" w:cs="Arial" w:eastAsia="Arial" w:hAnsi="Arial"/>
                <w:sz w:val="18"/>
                <w:szCs w:val="18"/>
                <w:color w:val="auto"/>
                <w:w w:val="93"/>
              </w:rPr>
              <w:t>September 25, 2015, among The Scotts</w:t>
            </w:r>
          </w:p>
        </w:tc>
      </w:tr>
      <w:tr>
        <w:trPr>
          <w:trHeight w:val="216"/>
        </w:trPr>
        <w:tc>
          <w:tcPr>
            <w:tcW w:w="940" w:type="dxa"/>
            <w:vAlign w:val="bottom"/>
          </w:tcPr>
          <w:p>
            <w:pPr>
              <w:spacing w:after="0"/>
              <w:rPr>
                <w:sz w:val="18"/>
                <w:szCs w:val="18"/>
                <w:color w:val="auto"/>
              </w:rPr>
            </w:pPr>
          </w:p>
        </w:tc>
        <w:tc>
          <w:tcPr>
            <w:tcW w:w="2360" w:type="dxa"/>
            <w:vAlign w:val="bottom"/>
          </w:tcPr>
          <w:p>
            <w:pPr>
              <w:ind w:left="560"/>
              <w:spacing w:after="0"/>
              <w:rPr>
                <w:sz w:val="20"/>
                <w:szCs w:val="20"/>
                <w:color w:val="auto"/>
              </w:rPr>
            </w:pPr>
            <w:r>
              <w:rPr>
                <w:rFonts w:ascii="Arial" w:cs="Arial" w:eastAsia="Arial" w:hAnsi="Arial"/>
                <w:sz w:val="18"/>
                <w:szCs w:val="18"/>
                <w:color w:val="auto"/>
                <w:w w:val="98"/>
              </w:rPr>
              <w:t>Miracle-Gro Company,</w:t>
            </w:r>
          </w:p>
        </w:tc>
        <w:tc>
          <w:tcPr>
            <w:tcW w:w="3020" w:type="dxa"/>
            <w:vAlign w:val="bottom"/>
          </w:tcPr>
          <w:p>
            <w:pPr>
              <w:jc w:val="right"/>
              <w:spacing w:after="0"/>
              <w:rPr>
                <w:sz w:val="20"/>
                <w:szCs w:val="20"/>
                <w:color w:val="auto"/>
              </w:rPr>
            </w:pPr>
            <w:r>
              <w:rPr>
                <w:rFonts w:ascii="Arial" w:cs="Arial" w:eastAsia="Arial" w:hAnsi="Arial"/>
                <w:sz w:val="18"/>
                <w:szCs w:val="18"/>
                <w:color w:val="auto"/>
              </w:rPr>
              <w:t>The Scotts Company LLC, the Banks</w:t>
            </w:r>
          </w:p>
        </w:tc>
      </w:tr>
      <w:tr>
        <w:trPr>
          <w:trHeight w:val="230"/>
        </w:trPr>
        <w:tc>
          <w:tcPr>
            <w:tcW w:w="940" w:type="dxa"/>
            <w:vAlign w:val="bottom"/>
          </w:tcPr>
          <w:p>
            <w:pPr>
              <w:spacing w:after="0"/>
              <w:rPr>
                <w:sz w:val="20"/>
                <w:szCs w:val="20"/>
                <w:color w:val="auto"/>
              </w:rPr>
            </w:pPr>
          </w:p>
        </w:tc>
        <w:tc>
          <w:tcPr>
            <w:tcW w:w="5380" w:type="dxa"/>
            <w:vAlign w:val="bottom"/>
            <w:gridSpan w:val="2"/>
          </w:tcPr>
          <w:p>
            <w:pPr>
              <w:ind w:left="560"/>
              <w:spacing w:after="0"/>
              <w:rPr>
                <w:sz w:val="20"/>
                <w:szCs w:val="20"/>
                <w:color w:val="auto"/>
              </w:rPr>
            </w:pPr>
            <w:r>
              <w:rPr>
                <w:rFonts w:ascii="Arial" w:cs="Arial" w:eastAsia="Arial" w:hAnsi="Arial"/>
                <w:sz w:val="18"/>
                <w:szCs w:val="18"/>
                <w:color w:val="auto"/>
                <w:w w:val="99"/>
              </w:rPr>
              <w:t>party thereto and Mizuho Bank, Ltd., as Administrative Agent</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September 30, 2015 [Exhibit 10.1]</w:t>
      </w:r>
    </w:p>
    <w:p>
      <w:pPr>
        <w:spacing w:after="0" w:line="561" w:lineRule="exact"/>
        <w:rPr>
          <w:sz w:val="20"/>
          <w:szCs w:val="20"/>
          <w:color w:val="auto"/>
        </w:rPr>
      </w:pPr>
    </w:p>
    <w:p>
      <w:pPr>
        <w:sectPr>
          <w:pgSz w:w="11900" w:h="16838" w:orient="portrait"/>
          <w:cols w:equalWidth="0" w:num="2">
            <w:col w:w="6320" w:space="200"/>
            <w:col w:w="482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10.16</w:t>
            </w:r>
          </w:p>
        </w:tc>
        <w:tc>
          <w:tcPr>
            <w:tcW w:w="5380" w:type="dxa"/>
            <w:vAlign w:val="bottom"/>
          </w:tcPr>
          <w:p>
            <w:pPr>
              <w:ind w:left="560"/>
              <w:spacing w:after="0"/>
              <w:rPr>
                <w:sz w:val="20"/>
                <w:szCs w:val="20"/>
                <w:color w:val="auto"/>
              </w:rPr>
            </w:pPr>
            <w:r>
              <w:rPr>
                <w:rFonts w:ascii="Arial" w:cs="Arial" w:eastAsia="Arial" w:hAnsi="Arial"/>
                <w:sz w:val="18"/>
                <w:szCs w:val="18"/>
                <w:color w:val="auto"/>
                <w:w w:val="93"/>
              </w:rPr>
              <w:t>Purchase Agreement, dated October 7, 2015, among The Scotts</w:t>
            </w:r>
          </w:p>
        </w:tc>
      </w:tr>
      <w:tr>
        <w:trPr>
          <w:trHeight w:val="230"/>
        </w:trPr>
        <w:tc>
          <w:tcPr>
            <w:tcW w:w="94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w w:val="94"/>
              </w:rPr>
              <w:t>Miracle-Gro Company, the subsidiary guarantors named therein</w:t>
            </w:r>
          </w:p>
        </w:tc>
      </w:tr>
    </w:tbl>
    <w:p>
      <w:pPr>
        <w:ind w:left="1500"/>
        <w:spacing w:after="0" w:line="290" w:lineRule="auto"/>
        <w:rPr>
          <w:sz w:val="20"/>
          <w:szCs w:val="20"/>
          <w:color w:val="auto"/>
        </w:rPr>
      </w:pPr>
      <w:r>
        <w:rPr>
          <w:rFonts w:ascii="Arial" w:cs="Arial" w:eastAsia="Arial" w:hAnsi="Arial"/>
          <w:sz w:val="17"/>
          <w:szCs w:val="17"/>
          <w:color w:val="auto"/>
        </w:rPr>
        <w:t>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10.1]</w:t>
      </w:r>
    </w:p>
    <w:p>
      <w:pPr>
        <w:spacing w:after="0" w:line="576" w:lineRule="exact"/>
        <w:rPr>
          <w:sz w:val="20"/>
          <w:szCs w:val="20"/>
          <w:color w:val="auto"/>
        </w:rPr>
      </w:pPr>
    </w:p>
    <w:p>
      <w:pPr>
        <w:sectPr>
          <w:pgSz w:w="11900" w:h="16838" w:orient="portrait"/>
          <w:cols w:equalWidth="0" w:num="2">
            <w:col w:w="6320" w:space="200"/>
            <w:col w:w="482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12</w:t>
            </w:r>
          </w:p>
        </w:tc>
        <w:tc>
          <w:tcPr>
            <w:tcW w:w="5340" w:type="dxa"/>
            <w:vAlign w:val="bottom"/>
          </w:tcPr>
          <w:p>
            <w:pPr>
              <w:ind w:left="420"/>
              <w:spacing w:after="0"/>
              <w:rPr>
                <w:sz w:val="20"/>
                <w:szCs w:val="20"/>
                <w:color w:val="auto"/>
              </w:rPr>
            </w:pPr>
            <w:r>
              <w:rPr>
                <w:rFonts w:ascii="Arial" w:cs="Arial" w:eastAsia="Arial" w:hAnsi="Arial"/>
                <w:sz w:val="18"/>
                <w:szCs w:val="18"/>
                <w:color w:val="auto"/>
              </w:rPr>
              <w:t>Computation of Ratio of Earnings to Fixed Charges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5340" w:type="dxa"/>
            <w:vAlign w:val="bottom"/>
          </w:tcPr>
          <w:p>
            <w:pPr>
              <w:ind w:left="420"/>
              <w:spacing w:after="0"/>
              <w:rPr>
                <w:sz w:val="20"/>
                <w:szCs w:val="20"/>
                <w:color w:val="auto"/>
              </w:rPr>
            </w:pPr>
            <w:r>
              <w:rPr>
                <w:rFonts w:ascii="Arial" w:cs="Arial" w:eastAsia="Arial" w:hAnsi="Arial"/>
                <w:sz w:val="18"/>
                <w:szCs w:val="18"/>
                <w:color w:val="auto"/>
              </w:rPr>
              <w:t>Subsidiaries of The Scotts Miracle-Gro Company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23</w:t>
            </w:r>
          </w:p>
        </w:tc>
        <w:tc>
          <w:tcPr>
            <w:tcW w:w="5340" w:type="dxa"/>
            <w:vAlign w:val="bottom"/>
          </w:tcPr>
          <w:p>
            <w:pPr>
              <w:ind w:left="420"/>
              <w:spacing w:after="0"/>
              <w:rPr>
                <w:sz w:val="20"/>
                <w:szCs w:val="20"/>
                <w:color w:val="auto"/>
              </w:rPr>
            </w:pPr>
            <w:r>
              <w:rPr>
                <w:rFonts w:ascii="Arial" w:cs="Arial" w:eastAsia="Arial" w:hAnsi="Arial"/>
                <w:sz w:val="18"/>
                <w:szCs w:val="18"/>
                <w:color w:val="auto"/>
                <w:w w:val="98"/>
              </w:rPr>
              <w:t>Consent of Independent Registered Public Accounting Firm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Deloitte &amp; Touche LLP</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24</w:t>
            </w:r>
          </w:p>
        </w:tc>
        <w:tc>
          <w:tcPr>
            <w:tcW w:w="5340" w:type="dxa"/>
            <w:vAlign w:val="bottom"/>
          </w:tcPr>
          <w:p>
            <w:pPr>
              <w:ind w:left="420"/>
              <w:spacing w:after="0"/>
              <w:rPr>
                <w:sz w:val="20"/>
                <w:szCs w:val="20"/>
                <w:color w:val="auto"/>
              </w:rPr>
            </w:pPr>
            <w:r>
              <w:rPr>
                <w:rFonts w:ascii="Arial" w:cs="Arial" w:eastAsia="Arial" w:hAnsi="Arial"/>
                <w:sz w:val="18"/>
                <w:szCs w:val="18"/>
                <w:color w:val="auto"/>
                <w:w w:val="99"/>
              </w:rPr>
              <w:t>Powers of Attorney of Executive Officers and Directors of The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Scotts Miracle-Gro Company</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tcPr>
          <w:p>
            <w:pPr>
              <w:ind w:left="420"/>
              <w:spacing w:after="0"/>
              <w:rPr>
                <w:sz w:val="20"/>
                <w:szCs w:val="20"/>
                <w:color w:val="auto"/>
              </w:rPr>
            </w:pPr>
            <w:r>
              <w:rPr>
                <w:rFonts w:ascii="Arial" w:cs="Arial" w:eastAsia="Arial" w:hAnsi="Arial"/>
                <w:sz w:val="18"/>
                <w:szCs w:val="18"/>
                <w:color w:val="auto"/>
                <w:w w:val="98"/>
              </w:rPr>
              <w:t>Rule  13a-14(a)/15d-14(a)  Certifications  (Principal  Executive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340" w:type="dxa"/>
            <w:vAlign w:val="bottom"/>
          </w:tcPr>
          <w:p>
            <w:pPr>
              <w:ind w:left="420"/>
              <w:spacing w:after="0"/>
              <w:rPr>
                <w:sz w:val="20"/>
                <w:szCs w:val="20"/>
                <w:color w:val="auto"/>
              </w:rPr>
            </w:pPr>
            <w:r>
              <w:rPr>
                <w:rFonts w:ascii="Arial" w:cs="Arial" w:eastAsia="Arial" w:hAnsi="Arial"/>
                <w:sz w:val="18"/>
                <w:szCs w:val="18"/>
                <w:color w:val="auto"/>
              </w:rPr>
              <w:t>Rule  13a-14(a)/15d-14(a)  Certifications  (Principal  Financial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tcPr>
          <w:p>
            <w:pPr>
              <w:ind w:left="420"/>
              <w:spacing w:after="0"/>
              <w:rPr>
                <w:sz w:val="20"/>
                <w:szCs w:val="20"/>
                <w:color w:val="auto"/>
              </w:rPr>
            </w:pPr>
            <w:r>
              <w:rPr>
                <w:rFonts w:ascii="Arial" w:cs="Arial" w:eastAsia="Arial" w:hAnsi="Arial"/>
                <w:sz w:val="18"/>
                <w:szCs w:val="18"/>
                <w:color w:val="auto"/>
                <w:w w:val="97"/>
              </w:rPr>
              <w:t>Section  1350  Certifications  (Principal  Executive  Officer  and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Principal Financial Officer)</w:t>
            </w:r>
          </w:p>
        </w:tc>
        <w:tc>
          <w:tcPr>
            <w:tcW w:w="1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tcPr>
          <w:p>
            <w:pPr>
              <w:ind w:left="420"/>
              <w:spacing w:after="0"/>
              <w:rPr>
                <w:sz w:val="20"/>
                <w:szCs w:val="20"/>
                <w:color w:val="auto"/>
              </w:rPr>
            </w:pPr>
            <w:r>
              <w:rPr>
                <w:rFonts w:ascii="Arial" w:cs="Arial" w:eastAsia="Arial" w:hAnsi="Arial"/>
                <w:sz w:val="18"/>
                <w:szCs w:val="18"/>
                <w:color w:val="auto"/>
              </w:rPr>
              <w:t>XBRL Instance Document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Schema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40"/>
          </w:cols>
          <w:pgMar w:left="280" w:top="1341" w:right="27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340"/>
          </w:cols>
          <w:pgMar w:left="280" w:top="1341" w:right="279" w:bottom="1440" w:gutter="0" w:footer="0" w:header="0"/>
          <w:type w:val="continuous"/>
        </w:sectPr>
      </w:pPr>
    </w:p>
    <w:bookmarkStart w:id="125" w:name="page126"/>
    <w:bookmarkEnd w:id="125"/>
    <w:p>
      <w:pPr>
        <w:ind w:left="685" w:hanging="685"/>
        <w:spacing w:after="0"/>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 w:lineRule="exact"/>
        <w:rPr>
          <w:sz w:val="20"/>
          <w:szCs w:val="20"/>
          <w:color w:val="auto"/>
        </w:rPr>
      </w:pPr>
    </w:p>
    <w:p>
      <w:pPr>
        <w:ind w:left="685" w:hanging="685"/>
        <w:spacing w:after="0"/>
        <w:tabs>
          <w:tab w:leader="none" w:pos="685"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7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184"/>
          </w:cols>
          <w:pgMar w:left="275" w:top="1016"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4.1(f)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611505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414020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THE GUARANTORS PARTY HERETO, as Guarantors</w:t>
      </w: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60"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6.625% Senior Notes due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FIFTH SUPPLEMENTAL INDENTURE DATED AS OF</w:t>
      </w: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October 26, 2015</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60"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December 16, 2010</w:t>
      </w:r>
    </w:p>
    <w:p>
      <w:pPr>
        <w:spacing w:after="0" w:line="26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1593850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1396365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39"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FIFTH SUPPLEMENTAL INDENTURE</w:t>
      </w:r>
    </w:p>
    <w:p>
      <w:pPr>
        <w:spacing w:after="0" w:line="2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FIFTH SUPPLEMENTAL INDENTURE, dated as of October 26, 2015 (this “</w:t>
      </w:r>
      <w:r>
        <w:rPr>
          <w:rFonts w:ascii="Arial" w:cs="Arial" w:eastAsia="Arial" w:hAnsi="Arial"/>
          <w:sz w:val="21"/>
          <w:szCs w:val="21"/>
          <w:b w:val="1"/>
          <w:bCs w:val="1"/>
          <w:i w:val="1"/>
          <w:iCs w:val="1"/>
          <w:color w:val="auto"/>
        </w:rPr>
        <w:t>Fifth Supplemental Indenture</w:t>
      </w:r>
      <w:r>
        <w:rPr>
          <w:rFonts w:ascii="Arial" w:cs="Arial" w:eastAsia="Arial" w:hAnsi="Arial"/>
          <w:sz w:val="21"/>
          <w:szCs w:val="21"/>
          <w:color w:val="auto"/>
        </w:rPr>
        <w:t>”), is by and among The Scotts Miracle-Gro Company, an Ohio corporation (such corporation and any successor,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the existing Guarantors (as defined in the Indenture referred to herein) (the “</w:t>
      </w:r>
      <w:r>
        <w:rPr>
          <w:rFonts w:ascii="Arial" w:cs="Arial" w:eastAsia="Arial" w:hAnsi="Arial"/>
          <w:sz w:val="21"/>
          <w:szCs w:val="21"/>
          <w:b w:val="1"/>
          <w:bCs w:val="1"/>
          <w:i w:val="1"/>
          <w:iCs w:val="1"/>
          <w:color w:val="auto"/>
        </w:rPr>
        <w:t>Existing Guarantors</w:t>
      </w:r>
      <w:r>
        <w:rPr>
          <w:rFonts w:ascii="Arial" w:cs="Arial" w:eastAsia="Arial" w:hAnsi="Arial"/>
          <w:sz w:val="21"/>
          <w:szCs w:val="21"/>
          <w:color w:val="auto"/>
        </w:rPr>
        <w:t>”), HGCI, Inc., a Nevada corporation (“</w:t>
      </w:r>
      <w:r>
        <w:rPr>
          <w:rFonts w:ascii="Arial" w:cs="Arial" w:eastAsia="Arial" w:hAnsi="Arial"/>
          <w:sz w:val="21"/>
          <w:szCs w:val="21"/>
          <w:b w:val="1"/>
          <w:bCs w:val="1"/>
          <w:i w:val="1"/>
          <w:iCs w:val="1"/>
          <w:color w:val="auto"/>
        </w:rPr>
        <w:t>HGCI</w:t>
      </w:r>
      <w:r>
        <w:rPr>
          <w:rFonts w:ascii="Arial" w:cs="Arial" w:eastAsia="Arial" w:hAnsi="Arial"/>
          <w:sz w:val="21"/>
          <w:szCs w:val="21"/>
          <w:color w:val="auto"/>
        </w:rPr>
        <w:t>”), GenSource, Inc., an Ohio corporation (“</w:t>
      </w:r>
      <w:r>
        <w:rPr>
          <w:rFonts w:ascii="Arial" w:cs="Arial" w:eastAsia="Arial" w:hAnsi="Arial"/>
          <w:sz w:val="21"/>
          <w:szCs w:val="21"/>
          <w:b w:val="1"/>
          <w:bCs w:val="1"/>
          <w:i w:val="1"/>
          <w:iCs w:val="1"/>
          <w:color w:val="auto"/>
        </w:rPr>
        <w:t>GenSource</w:t>
      </w:r>
      <w:r>
        <w:rPr>
          <w:rFonts w:ascii="Arial" w:cs="Arial" w:eastAsia="Arial" w:hAnsi="Arial"/>
          <w:sz w:val="21"/>
          <w:szCs w:val="21"/>
          <w:color w:val="auto"/>
        </w:rPr>
        <w:t>,” and together with HGCI, the “</w:t>
      </w:r>
      <w:r>
        <w:rPr>
          <w:rFonts w:ascii="Arial" w:cs="Arial" w:eastAsia="Arial" w:hAnsi="Arial"/>
          <w:sz w:val="21"/>
          <w:szCs w:val="21"/>
          <w:b w:val="1"/>
          <w:bCs w:val="1"/>
          <w:i w:val="1"/>
          <w:iCs w:val="1"/>
          <w:color w:val="auto"/>
        </w:rPr>
        <w:t>New Guarantors</w:t>
      </w:r>
      <w:r>
        <w:rPr>
          <w:rFonts w:ascii="Arial" w:cs="Arial" w:eastAsia="Arial" w:hAnsi="Arial"/>
          <w:sz w:val="21"/>
          <w:szCs w:val="21"/>
          <w:color w:val="auto"/>
        </w:rPr>
        <w:t>”), and U.S. Bank National Association, a national banking association, as trustee under the Indenture referred to herein (such corporation and any successor,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 The New Guarantors and the Existing Guarantors are sometimes referred to collectively herein as the “</w:t>
      </w:r>
      <w:r>
        <w:rPr>
          <w:rFonts w:ascii="Arial" w:cs="Arial" w:eastAsia="Arial" w:hAnsi="Arial"/>
          <w:sz w:val="21"/>
          <w:szCs w:val="21"/>
          <w:b w:val="1"/>
          <w:bCs w:val="1"/>
          <w:i w:val="1"/>
          <w:iCs w:val="1"/>
          <w:color w:val="auto"/>
        </w:rPr>
        <w:t>Guarantors</w:t>
      </w:r>
      <w:r>
        <w:rPr>
          <w:rFonts w:ascii="Arial" w:cs="Arial" w:eastAsia="Arial" w:hAnsi="Arial"/>
          <w:sz w:val="21"/>
          <w:szCs w:val="21"/>
          <w:color w:val="auto"/>
        </w:rPr>
        <w:t>,” or individually as a “</w:t>
      </w:r>
      <w:r>
        <w:rPr>
          <w:rFonts w:ascii="Arial" w:cs="Arial" w:eastAsia="Arial" w:hAnsi="Arial"/>
          <w:sz w:val="21"/>
          <w:szCs w:val="21"/>
          <w:b w:val="1"/>
          <w:bCs w:val="1"/>
          <w:i w:val="1"/>
          <w:iCs w:val="1"/>
          <w:color w:val="auto"/>
        </w:rPr>
        <w:t>Guarantor</w:t>
      </w:r>
      <w:r>
        <w:rPr>
          <w:rFonts w:ascii="Arial" w:cs="Arial" w:eastAsia="Arial" w:hAnsi="Arial"/>
          <w:sz w:val="21"/>
          <w:szCs w:val="21"/>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WHEREAS, the Company, the Existing Guarantors and the Trustee are parties to an indenture, dated as of December 16, 2010, as supplemented by the First Supplemental Indenture dated as of September 28, 2011, by and among the Company, the subsidiary guarantors named therein and the Trustee, as further supplemented by the Second Supplemental Indenture, dated as of September 30, 2013, by and among the Company, the subsidiary guarantors named therein and the Trustee, as further supplemented by the Third Supplemental Indenture, dated as of February 25, 2014, by and among the Company, the subsidiary guarantors named therein and the Trustee, and as further supplemented by the Fourth Supplemental Indenture, dated as of March 27, 2015, by and among the Company, the subsidiary guarantors named therein and the Trustee (as so supplemented,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relating to the Company’s 6.625% Senior Notes due 2020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Fifth Supplemental Indenture have been complied with.</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Guarantors, the Existing Guarantors, the Company and the Trustee mutually covenant and agree for the equal and ratable benefit of the Holders of the Securities as follows:</w:t>
      </w:r>
    </w:p>
    <w:p>
      <w:pPr>
        <w:spacing w:after="0" w:line="226" w:lineRule="exact"/>
        <w:rPr>
          <w:sz w:val="20"/>
          <w:szCs w:val="20"/>
          <w:color w:val="auto"/>
        </w:rPr>
      </w:pPr>
    </w:p>
    <w:p>
      <w:pPr>
        <w:ind w:left="1040" w:hanging="384"/>
        <w:spacing w:after="0"/>
        <w:tabs>
          <w:tab w:leader="none" w:pos="104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 Indenture.</w:t>
      </w:r>
    </w:p>
    <w:p>
      <w:pPr>
        <w:spacing w:after="0" w:line="294" w:lineRule="exact"/>
        <w:rPr>
          <w:rFonts w:ascii="Arial" w:cs="Arial" w:eastAsia="Arial" w:hAnsi="Arial"/>
          <w:sz w:val="19"/>
          <w:szCs w:val="19"/>
          <w:color w:val="auto"/>
        </w:rPr>
      </w:pPr>
    </w:p>
    <w:p>
      <w:pPr>
        <w:jc w:val="both"/>
        <w:ind w:firstLine="656"/>
        <w:spacing w:after="0" w:line="312" w:lineRule="auto"/>
        <w:tabs>
          <w:tab w:leader="none" w:pos="108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Joinder of New Guarantors</w:t>
      </w:r>
      <w:r>
        <w:rPr>
          <w:rFonts w:ascii="Arial" w:cs="Arial" w:eastAsia="Arial" w:hAnsi="Arial"/>
          <w:sz w:val="19"/>
          <w:szCs w:val="19"/>
          <w:color w:val="auto"/>
        </w:rPr>
        <w:t>. The New Guarantors hereby join in the Indenture as a “Guarantor” thereunder. The New Guarantors hereby assume the duties and obligations of Guarantors under the Indenture. The New Guarantors agree to keep and perform all of the covenants, obligations and conditions of Guarantors under the Indenture, on the terms and subject to the</w:t>
      </w:r>
    </w:p>
    <w:p>
      <w:pPr>
        <w:sectPr>
          <w:pgSz w:w="11900" w:h="16838" w:orient="portrait"/>
          <w:cols w:equalWidth="0" w:num="1">
            <w:col w:w="11420"/>
          </w:cols>
          <w:pgMar w:left="240" w:top="369"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conditions set forth in Article X of the Indenture, and to be bound by all other applicable provisions of the Indenture. Upon request from time to time by the Trustee, the New Guarantors shall execute and deliver to the Trustee a notation relating to the New Guarantors’ Guarantee, substantially in the form attached as Exhibit E to the Indenture.</w:t>
      </w:r>
    </w:p>
    <w:p>
      <w:pPr>
        <w:spacing w:after="0" w:line="226" w:lineRule="exact"/>
        <w:rPr>
          <w:sz w:val="20"/>
          <w:szCs w:val="20"/>
          <w:color w:val="auto"/>
        </w:rPr>
      </w:pPr>
    </w:p>
    <w:p>
      <w:pPr>
        <w:ind w:firstLine="656"/>
        <w:spacing w:after="0" w:line="263" w:lineRule="auto"/>
        <w:tabs>
          <w:tab w:leader="none" w:pos="117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Effect of Fifth Supplemental Indenture</w:t>
      </w:r>
      <w:r>
        <w:rPr>
          <w:rFonts w:ascii="Arial" w:cs="Arial" w:eastAsia="Arial" w:hAnsi="Arial"/>
          <w:sz w:val="22"/>
          <w:szCs w:val="22"/>
          <w:color w:val="auto"/>
        </w:rPr>
        <w:t>. Except as amended by this Fifth Supplemental Indenture, the terms and provisions of the Indenture shall remain in full force and effect.</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FIFTH SUPPLEMENTAL INDENTURE WITHOUT GIVING EFFECT TO APPLICABLE PRINCIPLES OF CONFLICTS OF LAW TO THE EXTENT THAT THE APPLICATION OF THE LAWS OF ANOTHER JURISDICTION WOULD BE REQUIRED THEREBY.</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053"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Fifth Supplemental Indenture. Each signed copy shall be an original, but all of them together represent the same agreement. This Fifth Supplemental Indenture may be executed in multiple counterparts which, when taken together, shall constitute one instrument.</w:t>
      </w:r>
    </w:p>
    <w:p>
      <w:pPr>
        <w:spacing w:after="0" w:line="226" w:lineRule="exact"/>
        <w:rPr>
          <w:rFonts w:ascii="Arial" w:cs="Arial" w:eastAsia="Arial" w:hAnsi="Arial"/>
          <w:sz w:val="22"/>
          <w:szCs w:val="22"/>
          <w:color w:val="auto"/>
        </w:rPr>
      </w:pPr>
    </w:p>
    <w:p>
      <w:pPr>
        <w:ind w:left="1040" w:hanging="384"/>
        <w:spacing w:after="0"/>
        <w:tabs>
          <w:tab w:leader="none" w:pos="10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94" w:lineRule="exact"/>
        <w:rPr>
          <w:rFonts w:ascii="Arial" w:cs="Arial" w:eastAsia="Arial" w:hAnsi="Arial"/>
          <w:sz w:val="19"/>
          <w:szCs w:val="19"/>
          <w:color w:val="auto"/>
        </w:rPr>
      </w:pPr>
    </w:p>
    <w:p>
      <w:pPr>
        <w:jc w:val="both"/>
        <w:ind w:firstLine="656"/>
        <w:spacing w:after="0" w:line="271" w:lineRule="auto"/>
        <w:tabs>
          <w:tab w:leader="none" w:pos="104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Trustee</w:t>
      </w:r>
      <w:r>
        <w:rPr>
          <w:rFonts w:ascii="Arial" w:cs="Arial" w:eastAsia="Arial" w:hAnsi="Arial"/>
          <w:sz w:val="21"/>
          <w:szCs w:val="21"/>
          <w:color w:val="auto"/>
        </w:rPr>
        <w:t>. Except as otherwise expressly provided herein, no duties, responsibilities or liabilities are assumed, or shall be construed to be assumed, by the Trustee by reason of this Fifth Supplemental Indenture. This Fifth Supplemental Indenture is executed and accepted by the Trustee subject to all the terms and conditions set forth in the Indenture.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29" w:name="page130"/>
    <w:bookmarkEnd w:id="12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Fifth Supplemental Indenture to be duly executed and delivered all as of the day and year first above written.</w:t>
      </w:r>
    </w:p>
    <w:p>
      <w:pPr>
        <w:spacing w:after="0" w:line="358"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6620"/>
        <w:spacing w:after="0" w:line="238" w:lineRule="auto"/>
        <w:rPr>
          <w:sz w:val="20"/>
          <w:szCs w:val="20"/>
          <w:color w:val="auto"/>
        </w:rPr>
      </w:pPr>
      <w:r>
        <w:rPr>
          <w:rFonts w:ascii="Arial" w:cs="Arial" w:eastAsia="Arial" w:hAnsi="Arial"/>
          <w:sz w:val="22"/>
          <w:szCs w:val="22"/>
          <w:color w:val="auto"/>
        </w:rPr>
        <w:t>Name: Thomas Randal Coleman</w:t>
      </w:r>
    </w:p>
    <w:p>
      <w:pPr>
        <w:ind w:left="6620"/>
        <w:spacing w:after="0"/>
        <w:rPr>
          <w:sz w:val="20"/>
          <w:szCs w:val="20"/>
          <w:color w:val="auto"/>
        </w:rPr>
      </w:pPr>
      <w:r>
        <w:rPr>
          <w:rFonts w:ascii="Arial" w:cs="Arial" w:eastAsia="Arial" w:hAnsi="Arial"/>
          <w:sz w:val="21"/>
          <w:szCs w:val="21"/>
          <w:color w:val="auto"/>
        </w:rPr>
        <w:t>Title: Executive Vice President and Chief Financial</w:t>
      </w:r>
    </w:p>
    <w:p>
      <w:pPr>
        <w:spacing w:after="0" w:line="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NEW GUARANTORS:</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AIMEE M. DELUCA</w:t>
      </w:r>
    </w:p>
    <w:p>
      <w:pPr>
        <w:ind w:left="6620"/>
        <w:spacing w:after="0" w:line="238" w:lineRule="auto"/>
        <w:rPr>
          <w:sz w:val="20"/>
          <w:szCs w:val="20"/>
          <w:color w:val="auto"/>
        </w:rPr>
      </w:pPr>
      <w:r>
        <w:rPr>
          <w:rFonts w:ascii="Arial" w:cs="Arial" w:eastAsia="Arial" w:hAnsi="Arial"/>
          <w:sz w:val="22"/>
          <w:szCs w:val="22"/>
          <w:color w:val="auto"/>
        </w:rPr>
        <w:t>Name: Aimee M. DeLuca</w:t>
      </w:r>
    </w:p>
    <w:p>
      <w:pPr>
        <w:ind w:left="66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WEAVER</w:t>
      </w:r>
    </w:p>
    <w:p>
      <w:pPr>
        <w:ind w:left="6620"/>
        <w:spacing w:after="0" w:line="238" w:lineRule="auto"/>
        <w:rPr>
          <w:sz w:val="20"/>
          <w:szCs w:val="20"/>
          <w:color w:val="auto"/>
        </w:rPr>
      </w:pPr>
      <w:r>
        <w:rPr>
          <w:rFonts w:ascii="Arial" w:cs="Arial" w:eastAsia="Arial" w:hAnsi="Arial"/>
          <w:sz w:val="22"/>
          <w:szCs w:val="22"/>
          <w:color w:val="auto"/>
        </w:rPr>
        <w:t>Name: Mark J. Weaver</w:t>
      </w:r>
    </w:p>
    <w:p>
      <w:pPr>
        <w:ind w:left="662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420"/>
          </w:cols>
          <w:pgMar w:left="240" w:top="375" w:right="239" w:bottom="1440" w:gutter="0" w:footer="0" w:header="0"/>
        </w:sectPr>
      </w:pPr>
    </w:p>
    <w:bookmarkStart w:id="130" w:name="page131"/>
    <w:bookmarkEnd w:id="130"/>
    <w:p>
      <w:pPr>
        <w:ind w:left="5420"/>
        <w:spacing w:after="0"/>
        <w:rPr>
          <w:sz w:val="20"/>
          <w:szCs w:val="20"/>
          <w:color w:val="auto"/>
        </w:rPr>
      </w:pPr>
      <w:r>
        <w:rPr>
          <w:rFonts w:ascii="Arial" w:cs="Arial" w:eastAsia="Arial" w:hAnsi="Arial"/>
          <w:sz w:val="22"/>
          <w:szCs w:val="22"/>
          <w:b w:val="1"/>
          <w:bCs w:val="1"/>
          <w:color w:val="auto"/>
        </w:rPr>
        <w:t>EXISTING GUARANTORS:</w:t>
      </w:r>
    </w:p>
    <w:p>
      <w:pPr>
        <w:spacing w:after="0" w:line="23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EG SYSTEMS, INC.</w:t>
      </w:r>
    </w:p>
    <w:p>
      <w:pPr>
        <w:ind w:left="5420"/>
        <w:spacing w:after="0" w:line="238" w:lineRule="auto"/>
        <w:rPr>
          <w:sz w:val="20"/>
          <w:szCs w:val="20"/>
          <w:color w:val="auto"/>
        </w:rPr>
      </w:pPr>
      <w:r>
        <w:rPr>
          <w:rFonts w:ascii="Arial" w:cs="Arial" w:eastAsia="Arial" w:hAnsi="Arial"/>
          <w:sz w:val="22"/>
          <w:szCs w:val="22"/>
          <w:color w:val="auto"/>
        </w:rPr>
        <w:t>GUTWEIN &amp; CO., INC.</w:t>
      </w:r>
    </w:p>
    <w:p>
      <w:pPr>
        <w:ind w:left="5420"/>
        <w:spacing w:after="0" w:line="230" w:lineRule="auto"/>
        <w:rPr>
          <w:sz w:val="20"/>
          <w:szCs w:val="20"/>
          <w:color w:val="auto"/>
        </w:rPr>
      </w:pPr>
      <w:r>
        <w:rPr>
          <w:rFonts w:ascii="Arial" w:cs="Arial" w:eastAsia="Arial" w:hAnsi="Arial"/>
          <w:sz w:val="22"/>
          <w:szCs w:val="22"/>
          <w:color w:val="auto"/>
        </w:rPr>
        <w:t>HYPONEX CORPORATION</w:t>
      </w:r>
    </w:p>
    <w:p>
      <w:pPr>
        <w:ind w:left="5420"/>
        <w:spacing w:after="0" w:line="231" w:lineRule="auto"/>
        <w:rPr>
          <w:sz w:val="20"/>
          <w:szCs w:val="20"/>
          <w:color w:val="auto"/>
        </w:rPr>
      </w:pPr>
      <w:r>
        <w:rPr>
          <w:rFonts w:ascii="Arial" w:cs="Arial" w:eastAsia="Arial" w:hAnsi="Arial"/>
          <w:sz w:val="22"/>
          <w:szCs w:val="22"/>
          <w:color w:val="auto"/>
        </w:rPr>
        <w:t>MIRACLE-GRO LAWN PRODUCTS, INC.</w:t>
      </w:r>
    </w:p>
    <w:p>
      <w:pPr>
        <w:ind w:left="5420"/>
        <w:spacing w:after="0" w:line="231" w:lineRule="auto"/>
        <w:rPr>
          <w:sz w:val="20"/>
          <w:szCs w:val="20"/>
          <w:color w:val="auto"/>
        </w:rPr>
      </w:pPr>
      <w:r>
        <w:rPr>
          <w:rFonts w:ascii="Arial" w:cs="Arial" w:eastAsia="Arial" w:hAnsi="Arial"/>
          <w:sz w:val="22"/>
          <w:szCs w:val="22"/>
          <w:color w:val="auto"/>
        </w:rPr>
        <w:t>ROD MCLELLAN COMPANY</w:t>
      </w:r>
    </w:p>
    <w:p>
      <w:pPr>
        <w:ind w:left="5420"/>
        <w:spacing w:after="0" w:line="230" w:lineRule="auto"/>
        <w:rPr>
          <w:sz w:val="20"/>
          <w:szCs w:val="20"/>
          <w:color w:val="auto"/>
        </w:rPr>
      </w:pPr>
      <w:r>
        <w:rPr>
          <w:rFonts w:ascii="Arial" w:cs="Arial" w:eastAsia="Arial" w:hAnsi="Arial"/>
          <w:sz w:val="22"/>
          <w:szCs w:val="22"/>
          <w:color w:val="auto"/>
        </w:rPr>
        <w:t>SANFORD SCIENTIFIC, INC.</w:t>
      </w:r>
    </w:p>
    <w:p>
      <w:pPr>
        <w:ind w:left="5420"/>
        <w:spacing w:after="0" w:line="231" w:lineRule="auto"/>
        <w:rPr>
          <w:sz w:val="20"/>
          <w:szCs w:val="20"/>
          <w:color w:val="auto"/>
        </w:rPr>
      </w:pPr>
      <w:r>
        <w:rPr>
          <w:rFonts w:ascii="Arial" w:cs="Arial" w:eastAsia="Arial" w:hAnsi="Arial"/>
          <w:sz w:val="22"/>
          <w:szCs w:val="22"/>
          <w:color w:val="auto"/>
        </w:rPr>
        <w:t>SCOTTS TEMECULA OPERATIONS, LLC</w:t>
      </w:r>
    </w:p>
    <w:p>
      <w:pPr>
        <w:ind w:left="5420"/>
        <w:spacing w:after="0" w:line="231" w:lineRule="auto"/>
        <w:rPr>
          <w:sz w:val="20"/>
          <w:szCs w:val="20"/>
          <w:color w:val="auto"/>
        </w:rPr>
      </w:pPr>
      <w:r>
        <w:rPr>
          <w:rFonts w:ascii="Arial" w:cs="Arial" w:eastAsia="Arial" w:hAnsi="Arial"/>
          <w:sz w:val="22"/>
          <w:szCs w:val="22"/>
          <w:color w:val="auto"/>
        </w:rPr>
        <w:t>SCOTTS MANUFACTURING COMPANY</w:t>
      </w:r>
    </w:p>
    <w:p>
      <w:pPr>
        <w:ind w:left="5420"/>
        <w:spacing w:after="0" w:line="230" w:lineRule="auto"/>
        <w:rPr>
          <w:sz w:val="20"/>
          <w:szCs w:val="20"/>
          <w:color w:val="auto"/>
        </w:rPr>
      </w:pPr>
      <w:r>
        <w:rPr>
          <w:rFonts w:ascii="Arial" w:cs="Arial" w:eastAsia="Arial" w:hAnsi="Arial"/>
          <w:sz w:val="22"/>
          <w:szCs w:val="22"/>
          <w:color w:val="auto"/>
        </w:rPr>
        <w:t>SCOTTS PRODUCTS CO.</w:t>
      </w:r>
    </w:p>
    <w:p>
      <w:pPr>
        <w:ind w:left="5420"/>
        <w:spacing w:after="0" w:line="231" w:lineRule="auto"/>
        <w:rPr>
          <w:sz w:val="20"/>
          <w:szCs w:val="20"/>
          <w:color w:val="auto"/>
        </w:rPr>
      </w:pPr>
      <w:r>
        <w:rPr>
          <w:rFonts w:ascii="Arial" w:cs="Arial" w:eastAsia="Arial" w:hAnsi="Arial"/>
          <w:sz w:val="22"/>
          <w:szCs w:val="22"/>
          <w:color w:val="auto"/>
        </w:rPr>
        <w:t>SCOTTS PROFESSIONAL PRODUCTS CO.</w:t>
      </w:r>
    </w:p>
    <w:p>
      <w:pPr>
        <w:ind w:left="5420"/>
        <w:spacing w:after="0" w:line="231" w:lineRule="auto"/>
        <w:rPr>
          <w:sz w:val="20"/>
          <w:szCs w:val="20"/>
          <w:color w:val="auto"/>
        </w:rPr>
      </w:pPr>
      <w:r>
        <w:rPr>
          <w:rFonts w:ascii="Arial" w:cs="Arial" w:eastAsia="Arial" w:hAnsi="Arial"/>
          <w:sz w:val="22"/>
          <w:szCs w:val="22"/>
          <w:color w:val="auto"/>
        </w:rPr>
        <w:t>SMG GROWING MEDIA, INC.</w:t>
      </w:r>
    </w:p>
    <w:p>
      <w:pPr>
        <w:ind w:left="5420"/>
        <w:spacing w:after="0" w:line="230" w:lineRule="auto"/>
        <w:rPr>
          <w:sz w:val="20"/>
          <w:szCs w:val="20"/>
          <w:color w:val="auto"/>
        </w:rPr>
      </w:pPr>
      <w:r>
        <w:rPr>
          <w:rFonts w:ascii="Arial" w:cs="Arial" w:eastAsia="Arial" w:hAnsi="Arial"/>
          <w:sz w:val="22"/>
          <w:szCs w:val="22"/>
          <w:color w:val="auto"/>
        </w:rPr>
        <w:t>SMGM LLC</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5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5420"/>
        <w:spacing w:after="0" w:line="238" w:lineRule="auto"/>
        <w:rPr>
          <w:sz w:val="20"/>
          <w:szCs w:val="20"/>
          <w:color w:val="auto"/>
        </w:rPr>
      </w:pPr>
      <w:r>
        <w:rPr>
          <w:rFonts w:ascii="Arial" w:cs="Arial" w:eastAsia="Arial" w:hAnsi="Arial"/>
          <w:sz w:val="22"/>
          <w:szCs w:val="22"/>
          <w:color w:val="auto"/>
        </w:rPr>
        <w:t>Name: Thomas Randal Coleman</w:t>
      </w:r>
    </w:p>
    <w:p>
      <w:pPr>
        <w:jc w:val="right"/>
        <w:spacing w:after="0" w:line="230" w:lineRule="auto"/>
        <w:rPr>
          <w:sz w:val="20"/>
          <w:szCs w:val="20"/>
          <w:color w:val="auto"/>
        </w:rPr>
      </w:pPr>
      <w:r>
        <w:rPr>
          <w:rFonts w:ascii="Arial" w:cs="Arial" w:eastAsia="Arial" w:hAnsi="Arial"/>
          <w:sz w:val="22"/>
          <w:szCs w:val="22"/>
          <w:color w:val="auto"/>
        </w:rPr>
        <w:t>Title: Executive Vice President and Chief Financial</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SLS FRANCHISE SYSTEMS LLC</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WALTER</w:t>
      </w:r>
    </w:p>
    <w:p>
      <w:pPr>
        <w:ind w:left="5420"/>
        <w:spacing w:after="0" w:line="238" w:lineRule="auto"/>
        <w:rPr>
          <w:sz w:val="20"/>
          <w:szCs w:val="20"/>
          <w:color w:val="auto"/>
        </w:rPr>
      </w:pPr>
      <w:r>
        <w:rPr>
          <w:rFonts w:ascii="Arial" w:cs="Arial" w:eastAsia="Arial" w:hAnsi="Arial"/>
          <w:sz w:val="22"/>
          <w:szCs w:val="22"/>
          <w:color w:val="auto"/>
        </w:rPr>
        <w:t>Name: Robert Walter</w:t>
      </w:r>
    </w:p>
    <w:p>
      <w:pPr>
        <w:ind w:left="54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HAWTHORNE HYDROPONICS LLC</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THE HAWTHORNE GARDENING COMPANY</w:t>
      </w:r>
    </w:p>
    <w:p>
      <w:pPr>
        <w:spacing w:after="0" w:line="200" w:lineRule="exact"/>
        <w:rPr>
          <w:sz w:val="20"/>
          <w:szCs w:val="20"/>
          <w:color w:val="auto"/>
        </w:rPr>
      </w:pPr>
    </w:p>
    <w:p>
      <w:pPr>
        <w:spacing w:after="0" w:line="27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WEAVER</w:t>
      </w:r>
    </w:p>
    <w:p>
      <w:pPr>
        <w:ind w:left="5420"/>
        <w:spacing w:after="0" w:line="238" w:lineRule="auto"/>
        <w:rPr>
          <w:sz w:val="20"/>
          <w:szCs w:val="20"/>
          <w:color w:val="auto"/>
        </w:rPr>
      </w:pPr>
      <w:r>
        <w:rPr>
          <w:rFonts w:ascii="Arial" w:cs="Arial" w:eastAsia="Arial" w:hAnsi="Arial"/>
          <w:sz w:val="22"/>
          <w:szCs w:val="22"/>
          <w:color w:val="auto"/>
        </w:rPr>
        <w:t>Name: Mark J. Weaver</w:t>
      </w:r>
    </w:p>
    <w:p>
      <w:pPr>
        <w:ind w:left="54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860"/>
          </w:cols>
          <w:pgMar w:left="1440" w:top="517" w:right="599" w:bottom="1440" w:gutter="0" w:footer="0" w:header="0"/>
        </w:sectPr>
      </w:pPr>
    </w:p>
    <w:bookmarkStart w:id="131" w:name="page132"/>
    <w:bookmarkEnd w:id="131"/>
    <w:p>
      <w:pPr>
        <w:ind w:left="5420"/>
        <w:spacing w:after="0"/>
        <w:rPr>
          <w:sz w:val="20"/>
          <w:szCs w:val="20"/>
          <w:color w:val="auto"/>
        </w:rPr>
      </w:pPr>
      <w:r>
        <w:rPr>
          <w:rFonts w:ascii="Arial" w:cs="Arial" w:eastAsia="Arial" w:hAnsi="Arial"/>
          <w:sz w:val="22"/>
          <w:szCs w:val="22"/>
          <w:color w:val="auto"/>
        </w:rPr>
        <w:t>OMS INVESTMENTS, INC.</w:t>
      </w:r>
    </w:p>
    <w:p>
      <w:pPr>
        <w:ind w:left="5420"/>
        <w:spacing w:after="0" w:line="238" w:lineRule="auto"/>
        <w:rPr>
          <w:sz w:val="20"/>
          <w:szCs w:val="20"/>
          <w:color w:val="auto"/>
        </w:rPr>
      </w:pPr>
      <w:r>
        <w:rPr>
          <w:rFonts w:ascii="Arial" w:cs="Arial" w:eastAsia="Arial" w:hAnsi="Arial"/>
          <w:sz w:val="22"/>
          <w:szCs w:val="22"/>
          <w:color w:val="auto"/>
        </w:rPr>
        <w:t>SWISS FARMS PRODUCTS, INC.</w:t>
      </w:r>
    </w:p>
    <w:p>
      <w:pPr>
        <w:ind w:left="5420"/>
        <w:spacing w:after="0"/>
        <w:rPr>
          <w:sz w:val="20"/>
          <w:szCs w:val="20"/>
          <w:color w:val="auto"/>
        </w:rPr>
      </w:pPr>
      <w:r>
        <w:rPr>
          <w:rFonts w:ascii="Arial" w:cs="Arial" w:eastAsia="Arial" w:hAnsi="Arial"/>
          <w:sz w:val="21"/>
          <w:szCs w:val="21"/>
          <w:color w:val="auto"/>
        </w:rPr>
        <w:t>SCOTTS-SIERRA INVESTMENTS, LLC</w:t>
      </w:r>
    </w:p>
    <w:p>
      <w:pPr>
        <w:spacing w:after="0" w:line="200" w:lineRule="exact"/>
        <w:rPr>
          <w:sz w:val="20"/>
          <w:szCs w:val="20"/>
          <w:color w:val="auto"/>
        </w:rPr>
      </w:pPr>
    </w:p>
    <w:p>
      <w:pPr>
        <w:spacing w:after="0" w:line="27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AIMEE M. DELUCA</w:t>
      </w:r>
    </w:p>
    <w:p>
      <w:pPr>
        <w:ind w:left="5420"/>
        <w:spacing w:after="0" w:line="238" w:lineRule="auto"/>
        <w:rPr>
          <w:sz w:val="20"/>
          <w:szCs w:val="20"/>
          <w:color w:val="auto"/>
        </w:rPr>
      </w:pPr>
      <w:r>
        <w:rPr>
          <w:rFonts w:ascii="Arial" w:cs="Arial" w:eastAsia="Arial" w:hAnsi="Arial"/>
          <w:sz w:val="22"/>
          <w:szCs w:val="22"/>
          <w:color w:val="auto"/>
        </w:rPr>
        <w:t>Name: Aimee M. DeLuca</w:t>
      </w:r>
    </w:p>
    <w:p>
      <w:pPr>
        <w:ind w:left="542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S-3</w:t>
      </w:r>
    </w:p>
    <w:p>
      <w:pPr>
        <w:sectPr>
          <w:pgSz w:w="11900" w:h="16838" w:orient="portrait"/>
          <w:cols w:equalWidth="0" w:num="1">
            <w:col w:w="9240"/>
          </w:cols>
          <w:pgMar w:left="1440" w:top="523" w:right="1219" w:bottom="1440" w:gutter="0" w:footer="0" w:header="0"/>
        </w:sectPr>
      </w:pPr>
    </w:p>
    <w:bookmarkStart w:id="132" w:name="page133"/>
    <w:bookmarkEnd w:id="132"/>
    <w:p>
      <w:pPr>
        <w:ind w:left="5420"/>
        <w:spacing w:after="0"/>
        <w:rPr>
          <w:sz w:val="20"/>
          <w:szCs w:val="20"/>
          <w:color w:val="auto"/>
        </w:rPr>
      </w:pPr>
      <w:r>
        <w:rPr>
          <w:rFonts w:ascii="Arial" w:cs="Arial" w:eastAsia="Arial" w:hAnsi="Arial"/>
          <w:sz w:val="22"/>
          <w:szCs w:val="22"/>
          <w:b w:val="1"/>
          <w:bCs w:val="1"/>
          <w:color w:val="auto"/>
        </w:rPr>
        <w:t>TRUSTEE:</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KATHERINE ESBER</w:t>
      </w:r>
    </w:p>
    <w:p>
      <w:pPr>
        <w:ind w:left="5420"/>
        <w:spacing w:after="0" w:line="238" w:lineRule="auto"/>
        <w:rPr>
          <w:sz w:val="20"/>
          <w:szCs w:val="20"/>
          <w:color w:val="auto"/>
        </w:rPr>
      </w:pPr>
      <w:r>
        <w:rPr>
          <w:rFonts w:ascii="Arial" w:cs="Arial" w:eastAsia="Arial" w:hAnsi="Arial"/>
          <w:sz w:val="22"/>
          <w:szCs w:val="22"/>
          <w:color w:val="auto"/>
        </w:rPr>
        <w:t>Name: Katherine Esber</w:t>
      </w:r>
    </w:p>
    <w:p>
      <w:pPr>
        <w:ind w:left="5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S-4</w:t>
      </w:r>
    </w:p>
    <w:p>
      <w:pPr>
        <w:sectPr>
          <w:pgSz w:w="11900" w:h="16838" w:orient="portrait"/>
          <w:cols w:equalWidth="0" w:num="1">
            <w:col w:w="9100"/>
          </w:cols>
          <w:pgMar w:left="1440" w:top="774" w:right="1359" w:bottom="1440" w:gutter="0" w:footer="0" w:header="0"/>
        </w:sectPr>
      </w:pPr>
    </w:p>
    <w:bookmarkStart w:id="133" w:name="page134"/>
    <w:bookmarkEnd w:id="13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88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889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24, 2015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2015 (the “Form 10-K”).</w:t>
      </w:r>
    </w:p>
    <w:p>
      <w:pPr>
        <w:spacing w:after="0" w:line="21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THOMAS RANDAL COLEMAN</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4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Date of Employee Confidentiality,</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Name and Principal Position</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Noncompetition, Nonsolicitation</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with The Scotts Miracle-Gro Company</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7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77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 Financial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May 15, 2006</w:t>
            </w:r>
          </w:p>
        </w:tc>
      </w:tr>
      <w:tr>
        <w:trPr>
          <w:trHeight w:val="56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Michael C. Lukemire, Executive Vice President and Chief Operating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553"/>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 Corporate Secretary and Chief</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230"/>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Compliance Officer</w:t>
            </w:r>
          </w:p>
        </w:tc>
        <w:tc>
          <w:tcPr>
            <w:tcW w:w="3980" w:type="dxa"/>
            <w:vAlign w:val="bottom"/>
          </w:tcPr>
          <w:p>
            <w:pPr>
              <w:spacing w:after="0"/>
              <w:rPr>
                <w:sz w:val="20"/>
                <w:szCs w:val="20"/>
                <w:color w:val="auto"/>
              </w:rPr>
            </w:pPr>
          </w:p>
        </w:tc>
      </w:tr>
      <w:tr>
        <w:trPr>
          <w:trHeight w:val="567"/>
        </w:trPr>
        <w:tc>
          <w:tcPr>
            <w:tcW w:w="7440" w:type="dxa"/>
            <w:vAlign w:val="bottom"/>
            <w:gridSpan w:val="2"/>
          </w:tcPr>
          <w:p>
            <w:pPr>
              <w:ind w:left="80"/>
              <w:spacing w:after="0"/>
              <w:rPr>
                <w:sz w:val="20"/>
                <w:szCs w:val="20"/>
                <w:color w:val="auto"/>
              </w:rPr>
            </w:pPr>
            <w:r>
              <w:rPr>
                <w:rFonts w:ascii="Arial" w:cs="Arial" w:eastAsia="Arial" w:hAnsi="Arial"/>
                <w:sz w:val="18"/>
                <w:szCs w:val="18"/>
                <w:color w:val="auto"/>
                <w:w w:val="97"/>
              </w:rPr>
              <w:t>Denise S. Stump, Executive Vice President, Global Human Resources and Chief Ethics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bl>
    <w:p>
      <w:pPr>
        <w:sectPr>
          <w:pgSz w:w="11900" w:h="16838" w:orient="portrait"/>
          <w:cols w:equalWidth="0" w:num="1">
            <w:col w:w="11420"/>
          </w:cols>
          <w:pgMar w:left="240" w:top="98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Executive Officers of</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Miracle-Gro Company</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who are parties to form of</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Tier 1 Participation Agreement under</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The Scotts Company LLC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Effective Date of</w:t>
            </w:r>
          </w:p>
        </w:tc>
      </w:tr>
      <w:tr>
        <w:trPr>
          <w:trHeight w:val="297"/>
        </w:trPr>
        <w:tc>
          <w:tcPr>
            <w:tcW w:w="5220" w:type="dxa"/>
            <w:vAlign w:val="bottom"/>
            <w:gridSpan w:val="2"/>
          </w:tcPr>
          <w:p>
            <w:pPr>
              <w:ind w:left="1540"/>
              <w:spacing w:after="0"/>
              <w:rPr>
                <w:sz w:val="20"/>
                <w:szCs w:val="20"/>
                <w:color w:val="auto"/>
              </w:rPr>
            </w:pPr>
            <w:r>
              <w:rPr>
                <w:rFonts w:ascii="Arial" w:cs="Arial" w:eastAsia="Arial" w:hAnsi="Arial"/>
                <w:sz w:val="18"/>
                <w:szCs w:val="18"/>
                <w:color w:val="auto"/>
              </w:rPr>
              <w:t>Name and Principal Position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Tier 1 Participation</w:t>
            </w:r>
          </w:p>
        </w:tc>
      </w:tr>
      <w:tr>
        <w:trPr>
          <w:trHeight w:val="29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with The Scotts Miracle-Gro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5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492"/>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Denise S. Stump, Executive Vice President, Global Human</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November 5, 2011</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Resources and Chief Ethics Officer</w:t>
            </w:r>
          </w:p>
        </w:tc>
        <w:tc>
          <w:tcPr>
            <w:tcW w:w="3740" w:type="dxa"/>
            <w:vAlign w:val="bottom"/>
          </w:tcPr>
          <w:p>
            <w:pPr>
              <w:spacing w:after="0"/>
              <w:rPr>
                <w:sz w:val="20"/>
                <w:szCs w:val="20"/>
                <w:color w:val="auto"/>
              </w:rPr>
            </w:pPr>
          </w:p>
        </w:tc>
      </w:tr>
      <w:tr>
        <w:trPr>
          <w:trHeight w:val="553"/>
        </w:trPr>
        <w:tc>
          <w:tcPr>
            <w:tcW w:w="5220" w:type="dxa"/>
            <w:vAlign w:val="bottom"/>
            <w:gridSpan w:val="2"/>
          </w:tcPr>
          <w:p>
            <w:pPr>
              <w:ind w:left="80"/>
              <w:spacing w:after="0"/>
              <w:rPr>
                <w:sz w:val="20"/>
                <w:szCs w:val="20"/>
                <w:color w:val="auto"/>
              </w:rPr>
            </w:pPr>
            <w:r>
              <w:rPr>
                <w:rFonts w:ascii="Arial" w:cs="Arial" w:eastAsia="Arial" w:hAnsi="Arial"/>
                <w:sz w:val="18"/>
                <w:szCs w:val="18"/>
                <w:color w:val="auto"/>
                <w:w w:val="94"/>
              </w:rPr>
              <w:t>Michael C. Lukemire, Executive Vice President and Chief Operating</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Officer</w:t>
            </w:r>
          </w:p>
        </w:tc>
        <w:tc>
          <w:tcPr>
            <w:tcW w:w="3740" w:type="dxa"/>
            <w:vAlign w:val="bottom"/>
          </w:tcPr>
          <w:p>
            <w:pPr>
              <w:spacing w:after="0"/>
              <w:rPr>
                <w:sz w:val="20"/>
                <w:szCs w:val="20"/>
                <w:color w:val="auto"/>
              </w:rPr>
            </w:pPr>
          </w:p>
        </w:tc>
      </w:tr>
      <w:tr>
        <w:trPr>
          <w:trHeight w:val="553"/>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July 10, 2013</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Corporate Secretary and Chief Compliance Officer</w:t>
            </w:r>
          </w:p>
        </w:tc>
        <w:tc>
          <w:tcPr>
            <w:tcW w:w="3740" w:type="dxa"/>
            <w:vAlign w:val="bottom"/>
          </w:tcPr>
          <w:p>
            <w:pPr>
              <w:spacing w:after="0"/>
              <w:rPr>
                <w:sz w:val="20"/>
                <w:szCs w:val="20"/>
                <w:color w:val="auto"/>
              </w:rPr>
            </w:pPr>
          </w:p>
        </w:tc>
      </w:tr>
      <w:tr>
        <w:trPr>
          <w:trHeight w:val="553"/>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15, 2014</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740" w:type="dxa"/>
            <w:vAlign w:val="bottom"/>
          </w:tcPr>
          <w:p>
            <w:pPr>
              <w:spacing w:after="0"/>
              <w:rPr>
                <w:sz w:val="20"/>
                <w:szCs w:val="20"/>
                <w:color w:val="auto"/>
              </w:rPr>
            </w:pPr>
          </w:p>
        </w:tc>
      </w:tr>
    </w:tbl>
    <w:p>
      <w:pPr>
        <w:sectPr>
          <w:pgSz w:w="11900" w:h="16838" w:orient="portrait"/>
          <w:cols w:equalWidth="0" w:num="1">
            <w:col w:w="10220"/>
          </w:cols>
          <w:pgMar w:left="1440" w:top="985"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w w:val="91"/>
              </w:rPr>
              <w:t>Exhibit 12</w:t>
            </w:r>
          </w:p>
        </w:tc>
        <w:tc>
          <w:tcPr>
            <w:tcW w:w="0" w:type="dxa"/>
            <w:vAlign w:val="bottom"/>
          </w:tcPr>
          <w:p>
            <w:pPr>
              <w:spacing w:after="0"/>
              <w:rPr>
                <w:sz w:val="1"/>
                <w:szCs w:val="1"/>
                <w:color w:val="auto"/>
              </w:rPr>
            </w:pPr>
          </w:p>
        </w:tc>
      </w:tr>
      <w:tr>
        <w:trPr>
          <w:trHeight w:val="41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The Scotts Miracle-Gro 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0"/>
        </w:trPr>
        <w:tc>
          <w:tcPr>
            <w:tcW w:w="60" w:type="dxa"/>
            <w:vAlign w:val="bottom"/>
          </w:tcPr>
          <w:p>
            <w:pPr>
              <w:spacing w:after="0"/>
              <w:rPr>
                <w:sz w:val="24"/>
                <w:szCs w:val="24"/>
                <w:color w:val="auto"/>
              </w:rPr>
            </w:pPr>
          </w:p>
        </w:tc>
        <w:tc>
          <w:tcPr>
            <w:tcW w:w="5120" w:type="dxa"/>
            <w:vAlign w:val="bottom"/>
          </w:tcPr>
          <w:p>
            <w:pPr>
              <w:ind w:left="8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5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3"/>
                <w:szCs w:val="23"/>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77.2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adjusted earnings available for payment of fixed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Fixed Charges: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76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3"/>
                <w:szCs w:val="23"/>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Rental expense representative of interest factor</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 w:right="20" w:hanging="322"/>
        <w:spacing w:after="0" w:line="334"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pacing w:after="0" w:line="1" w:lineRule="exact"/>
        <w:rPr>
          <w:rFonts w:ascii="Arial" w:cs="Arial" w:eastAsia="Arial" w:hAnsi="Arial"/>
          <w:sz w:val="16"/>
          <w:szCs w:val="16"/>
          <w:color w:val="auto"/>
        </w:rPr>
      </w:pPr>
    </w:p>
    <w:p>
      <w:pPr>
        <w:ind w:left="560" w:hanging="32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ectPr>
          <w:pgSz w:w="11900" w:h="16838" w:orient="portrait"/>
          <w:cols w:equalWidth="0" w:num="1">
            <w:col w:w="11420"/>
          </w:cols>
          <w:pgMar w:left="240" w:top="64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700"/>
        <w:spacing w:after="0" w:line="324" w:lineRule="auto"/>
        <w:rPr>
          <w:sz w:val="20"/>
          <w:szCs w:val="20"/>
          <w:color w:val="auto"/>
        </w:rPr>
      </w:pPr>
      <w:r>
        <w:rPr>
          <w:rFonts w:ascii="Arial" w:cs="Arial" w:eastAsia="Arial" w:hAnsi="Arial"/>
          <w:sz w:val="18"/>
          <w:szCs w:val="18"/>
          <w:color w:val="auto"/>
        </w:rPr>
        <w:t>Directly owned subsidiaries are located at the left margin, each subsidiary tier thereunder is indented. Subsidiaries are listed under the names of their respective parent entities. Unless otherwise noted, the subsidiaries are wholly-owned.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EG Systems,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SLS Franchise Systems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Switzerland Holdings, SA</w:t>
            </w:r>
          </w:p>
        </w:tc>
        <w:tc>
          <w:tcPr>
            <w:tcW w:w="25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SMGM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Scotts-Sierra Investments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ASEF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Asia,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Australia Pty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920" w:type="dxa"/>
            <w:vAlign w:val="bottom"/>
            <w:gridSpan w:val="2"/>
          </w:tcPr>
          <w:p>
            <w:pPr>
              <w:ind w:left="420"/>
              <w:spacing w:after="0"/>
              <w:rPr>
                <w:sz w:val="20"/>
                <w:szCs w:val="20"/>
                <w:color w:val="auto"/>
              </w:rPr>
            </w:pPr>
            <w:r>
              <w:rPr>
                <w:rFonts w:ascii="Arial" w:cs="Arial" w:eastAsia="Arial" w:hAnsi="Arial"/>
                <w:sz w:val="18"/>
                <w:szCs w:val="18"/>
                <w:color w:val="auto"/>
              </w:rPr>
              <w:t>Scotts Gardening Fertilizer (Wuhan) Co., Ltd.</w:t>
            </w:r>
          </w:p>
        </w:tc>
        <w:tc>
          <w:tcPr>
            <w:tcW w:w="2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Canada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Czech s.r.o.</w:t>
            </w:r>
          </w:p>
        </w:tc>
        <w:tc>
          <w:tcPr>
            <w:tcW w:w="250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368"/>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523"/>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39.2%.</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OMS Investments, Inc. owns 0.1% and Scotts-Sierra Investments LLC owns the remaining 99.9%.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Scotts Company LLC owns 0.5% and Scotts-Sierra Investments LLC owns the remaining 99.5%.</w:t>
      </w:r>
    </w:p>
    <w:p>
      <w:pPr>
        <w:sectPr>
          <w:pgSz w:w="11900" w:h="16838" w:orient="portrait"/>
          <w:cols w:equalWidth="0" w:num="1">
            <w:col w:w="11420"/>
          </w:cols>
          <w:pgMar w:left="240" w:top="148" w:right="239" w:bottom="1440" w:gutter="0" w:footer="0" w:header="0"/>
        </w:sectPr>
      </w:pPr>
    </w:p>
    <w:bookmarkStart w:id="138" w:name="page139"/>
    <w:bookmarkEnd w:id="138"/>
    <w:p>
      <w:pPr>
        <w:ind w:left="260"/>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Turf-Seed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180" w:space="720"/>
            <w:col w:w="1279"/>
          </w:cols>
          <w:pgMar w:left="280" w:top="1178"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033-47073, 333-06061, 333-27561, 333-72715, 333-76697, 333-104490, 333-124503, 333-131466, 333-147397, 333-153925, 333-154364 and 333-186187 on Form S-8, Registration Statement No. 333-178473 on Form S-4 and Registration Statement No. 333-185493 on Form S-3 of our reports dated November 24, 2015 relating to the consolidated financial statements and consolidated financial statement schedules of The Scotts Miracle-Gro Company and subsidiaries (the “Company”), and the effectiveness of the Company’s internal control over financial reporting, appearing in this Annual Report on Form 10-K of The Scotts Miracle-Gro Company for the fiscal year ended September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2015</w:t>
      </w:r>
    </w:p>
    <w:p>
      <w:pPr>
        <w:sectPr>
          <w:pgSz w:w="11900" w:h="16838" w:orient="portrait"/>
          <w:cols w:equalWidth="0" w:num="1">
            <w:col w:w="11420"/>
          </w:cols>
          <w:pgMar w:left="240" w:top="7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_</w:t>
      </w:r>
      <w:r>
        <w:rPr>
          <w:rFonts w:ascii="Arial" w:cs="Arial" w:eastAsia="Arial" w:hAnsi="Arial"/>
          <w:sz w:val="21"/>
          <w:szCs w:val="21"/>
          <w:u w:val="single" w:color="auto"/>
          <w:color w:val="auto"/>
        </w:rPr>
        <w:t>5th</w:t>
      </w:r>
      <w:r>
        <w:rPr>
          <w:rFonts w:ascii="Arial" w:cs="Arial" w:eastAsia="Arial" w:hAnsi="Arial"/>
          <w:sz w:val="21"/>
          <w:szCs w:val="21"/>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D. Finn</w:t>
      </w:r>
    </w:p>
    <w:p>
      <w:pPr>
        <w:sectPr>
          <w:pgSz w:w="11900" w:h="16838" w:orient="portrait"/>
          <w:cols w:equalWidth="0" w:num="1">
            <w:col w:w="11420"/>
          </w:cols>
          <w:pgMar w:left="240" w:top="121" w:right="23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2nd</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360"/>
          </w:cols>
          <w:pgMar w:left="240" w:top="360" w:right="29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2nd</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60" w:right="29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2nd</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MICHELLE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Michelle A. Johnson</w:t>
      </w:r>
    </w:p>
    <w:p>
      <w:pPr>
        <w:sectPr>
          <w:pgSz w:w="11900" w:h="16838" w:orient="portrait"/>
          <w:cols w:equalWidth="0" w:num="1">
            <w:col w:w="11360"/>
          </w:cols>
          <w:pgMar w:left="240" w:top="360" w:right="29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1st</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_</w:t>
      </w:r>
      <w:r>
        <w:rPr>
          <w:rFonts w:ascii="Arial" w:cs="Arial" w:eastAsia="Arial" w:hAnsi="Arial"/>
          <w:sz w:val="21"/>
          <w:szCs w:val="21"/>
          <w:u w:val="single" w:color="auto"/>
          <w:color w:val="auto"/>
        </w:rPr>
        <w:t>30th</w:t>
      </w:r>
      <w:r>
        <w:rPr>
          <w:rFonts w:ascii="Arial" w:cs="Arial" w:eastAsia="Arial" w:hAnsi="Arial"/>
          <w:sz w:val="21"/>
          <w:szCs w:val="21"/>
          <w:color w:val="auto"/>
        </w:rPr>
        <w:t>_ day of 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executed this Power of Attorney this __</w:t>
      </w:r>
      <w:r>
        <w:rPr>
          <w:rFonts w:ascii="Arial" w:cs="Arial" w:eastAsia="Arial" w:hAnsi="Arial"/>
          <w:sz w:val="19"/>
          <w:szCs w:val="19"/>
          <w:u w:val="single" w:color="auto"/>
          <w:color w:val="auto"/>
        </w:rPr>
        <w:t>2nd</w:t>
      </w:r>
      <w:r>
        <w:rPr>
          <w:rFonts w:ascii="Arial" w:cs="Arial" w:eastAsia="Arial" w:hAnsi="Arial"/>
          <w:sz w:val="19"/>
          <w:szCs w:val="19"/>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13335</wp:posOffset>
            </wp:positionV>
            <wp:extent cx="24523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60" w:right="29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executed this Power of Attorney this _</w:t>
      </w:r>
      <w:r>
        <w:rPr>
          <w:rFonts w:ascii="Arial" w:cs="Arial" w:eastAsia="Arial" w:hAnsi="Arial"/>
          <w:sz w:val="19"/>
          <w:szCs w:val="19"/>
          <w:u w:val="single" w:color="auto"/>
          <w:color w:val="auto"/>
        </w:rPr>
        <w:t>2nd</w:t>
      </w:r>
      <w:r>
        <w:rPr>
          <w:rFonts w:ascii="Arial" w:cs="Arial" w:eastAsia="Arial" w:hAnsi="Arial"/>
          <w:sz w:val="19"/>
          <w:szCs w:val="19"/>
          <w:color w:val="auto"/>
        </w:rPr>
        <w:t>__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F.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F. McCann</w:t>
      </w:r>
    </w:p>
    <w:p>
      <w:pPr>
        <w:sectPr>
          <w:pgSz w:w="11900" w:h="16838" w:orient="portrait"/>
          <w:cols w:equalWidth="0" w:num="1">
            <w:col w:w="11360"/>
          </w:cols>
          <w:pgMar w:left="240" w:top="359" w:right="29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executed this Power of Attorney this _</w:t>
      </w:r>
      <w:r>
        <w:rPr>
          <w:rFonts w:ascii="Arial" w:cs="Arial" w:eastAsia="Arial" w:hAnsi="Arial"/>
          <w:sz w:val="19"/>
          <w:szCs w:val="19"/>
          <w:u w:val="single" w:color="auto"/>
          <w:color w:val="auto"/>
        </w:rPr>
        <w:t>2nd</w:t>
      </w:r>
      <w:r>
        <w:rPr>
          <w:rFonts w:ascii="Arial" w:cs="Arial" w:eastAsia="Arial" w:hAnsi="Arial"/>
          <w:sz w:val="19"/>
          <w:szCs w:val="19"/>
          <w:color w:val="auto"/>
        </w:rPr>
        <w:t>__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2nd</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360"/>
          </w:cols>
          <w:pgMar w:left="240" w:top="360" w:right="29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2015,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WITNESS WHEREOF, the undersigned has executed this Power of Attorney this _</w:t>
      </w:r>
      <w:r>
        <w:rPr>
          <w:rFonts w:ascii="Arial" w:cs="Arial" w:eastAsia="Arial" w:hAnsi="Arial"/>
          <w:sz w:val="22"/>
          <w:szCs w:val="22"/>
          <w:u w:val="single" w:color="auto"/>
          <w:color w:val="auto"/>
        </w:rPr>
        <w:t>2nd</w:t>
      </w:r>
      <w:r>
        <w:rPr>
          <w:rFonts w:ascii="Arial" w:cs="Arial" w:eastAsia="Arial" w:hAnsi="Arial"/>
          <w:sz w:val="22"/>
          <w:szCs w:val="22"/>
          <w:color w:val="auto"/>
        </w:rPr>
        <w:t>_ day of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11420"/>
          </w:cols>
          <w:pgMar w:left="240" w:top="36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2015;</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President, Chief Executive Officer and Chairman of the Board</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2015;</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2015 as filed with the Securities and Exchange Commission on the date hereof (the “Report”), the undersigned James Hagedorn, President,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President,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November 24, 2015</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24, 2015</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2"/>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7"/>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2"/>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lvl w:ilvl="1">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2019-12-29T13:47:17Z</dcterms:created>
  <dcterms:modified xsi:type="dcterms:W3CDTF">2019-12-29T13:47:17Z</dcterms:modified>
</cp:coreProperties>
</file>