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7" w:lineRule="exact"/>
        <w:rPr>
          <w:sz w:val="24"/>
          <w:szCs w:val="24"/>
          <w:color w:val="auto"/>
        </w:rPr>
      </w:pPr>
    </w:p>
    <w:p>
      <w:pPr>
        <w:ind w:left="540" w:right="19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29, 1996</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9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For the transition period from ____________ to ____________</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Commission file number 0-19768</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SCOTTS COMPANY</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4180" w:type="dxa"/>
            <w:vAlign w:val="bottom"/>
          </w:tcPr>
          <w:p>
            <w:pPr>
              <w:jc w:val="right"/>
              <w:ind w:right="2192"/>
              <w:spacing w:after="0"/>
              <w:rPr>
                <w:sz w:val="20"/>
                <w:szCs w:val="20"/>
                <w:color w:val="auto"/>
              </w:rPr>
            </w:pPr>
            <w:r>
              <w:rPr>
                <w:rFonts w:ascii="Courier New" w:cs="Courier New" w:eastAsia="Courier New" w:hAnsi="Courier New"/>
                <w:sz w:val="18"/>
                <w:szCs w:val="18"/>
                <w:color w:val="auto"/>
              </w:rPr>
              <w:t>Ohio</w:t>
            </w:r>
          </w:p>
        </w:tc>
        <w:tc>
          <w:tcPr>
            <w:tcW w:w="28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31-1199481</w:t>
            </w:r>
          </w:p>
        </w:tc>
      </w:tr>
      <w:tr>
        <w:trPr>
          <w:trHeight w:val="203"/>
        </w:trPr>
        <w:tc>
          <w:tcPr>
            <w:tcW w:w="41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88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1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88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14111 Scottslawn Road</w:t>
      </w:r>
    </w:p>
    <w:p>
      <w:pPr>
        <w:ind w:left="2960"/>
        <w:spacing w:after="0" w:line="238" w:lineRule="auto"/>
        <w:rPr>
          <w:sz w:val="20"/>
          <w:szCs w:val="20"/>
          <w:color w:val="auto"/>
        </w:rPr>
      </w:pPr>
      <w:r>
        <w:rPr>
          <w:rFonts w:ascii="Courier New" w:cs="Courier New" w:eastAsia="Courier New" w:hAnsi="Courier New"/>
          <w:sz w:val="18"/>
          <w:szCs w:val="18"/>
          <w:color w:val="auto"/>
        </w:rPr>
        <w:t>Marysville, Ohio 43041</w:t>
      </w:r>
    </w:p>
    <w:p>
      <w:pPr>
        <w:ind w:left="2000"/>
        <w:spacing w:after="0"/>
        <w:rPr>
          <w:sz w:val="20"/>
          <w:szCs w:val="20"/>
          <w:color w:val="auto"/>
        </w:rPr>
      </w:pPr>
      <w:r>
        <w:rPr>
          <w:rFonts w:ascii="Courier New" w:cs="Courier New" w:eastAsia="Courier New" w:hAnsi="Courier New"/>
          <w:sz w:val="18"/>
          <w:szCs w:val="18"/>
          <w:color w:val="auto"/>
        </w:rPr>
        <w:t>(Address of principal executive offices)</w:t>
      </w:r>
    </w:p>
    <w:p>
      <w:pPr>
        <w:ind w:left="3580"/>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(513) 644-0011</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No change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 if changed</w:t>
      </w:r>
    </w:p>
    <w:p>
      <w:pPr>
        <w:jc w:val="center"/>
        <w:ind w:right="1879"/>
        <w:spacing w:after="0"/>
        <w:rPr>
          <w:sz w:val="20"/>
          <w:szCs w:val="20"/>
          <w:color w:val="auto"/>
        </w:rPr>
      </w:pPr>
      <w:r>
        <w:rPr>
          <w:rFonts w:ascii="Courier New" w:cs="Courier New" w:eastAsia="Courier New" w:hAnsi="Courier New"/>
          <w:sz w:val="18"/>
          <w:szCs w:val="18"/>
          <w:color w:val="auto"/>
        </w:rPr>
        <w:t>since last report.)</w:t>
      </w:r>
    </w:p>
    <w:p>
      <w:pPr>
        <w:spacing w:after="0" w:line="206" w:lineRule="exact"/>
        <w:rPr>
          <w:sz w:val="24"/>
          <w:szCs w:val="24"/>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380"/>
        <w:spacing w:after="0"/>
        <w:tabs>
          <w:tab w:leader="none" w:pos="6000" w:val="left"/>
          <w:tab w:leader="none" w:pos="71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spacing w:after="0" w:line="207" w:lineRule="exact"/>
        <w:rPr>
          <w:sz w:val="24"/>
          <w:szCs w:val="24"/>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sectPr>
      </w:pP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18,575,021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Common Shares, voting, no par value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August 5, 1996</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4"/>
          <w:szCs w:val="24"/>
          <w:color w:val="auto"/>
        </w:rPr>
      </w:pPr>
    </w:p>
    <w:p>
      <w:pPr>
        <w:sectPr>
          <w:pgSz w:w="11900" w:h="16838" w:orient="portrait"/>
          <w:cols w:equalWidth="0" w:num="2">
            <w:col w:w="4960" w:space="320"/>
            <w:col w:w="493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Page 1 of 19 pages</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Exhibit Index at page 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18"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7380"/>
        <w:spacing w:after="0"/>
        <w:rPr>
          <w:sz w:val="20"/>
          <w:szCs w:val="20"/>
          <w:color w:val="auto"/>
        </w:rPr>
      </w:pPr>
      <w:r>
        <w:rPr>
          <w:rFonts w:ascii="Courier New" w:cs="Courier New" w:eastAsia="Courier New" w:hAnsi="Courier New"/>
          <w:sz w:val="16"/>
          <w:szCs w:val="16"/>
          <w:color w:val="auto"/>
        </w:rPr>
        <w:t>Page No.</w:t>
      </w:r>
    </w:p>
    <w:p>
      <w:pPr>
        <w:sectPr>
          <w:pgSz w:w="11900" w:h="16838"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Part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4"/>
          <w:szCs w:val="24"/>
          <w:color w:val="auto"/>
        </w:rPr>
      </w:pPr>
    </w:p>
    <w:p>
      <w:pPr>
        <w:sectPr>
          <w:pgSz w:w="11900" w:h="16838" w:orient="portrait"/>
          <w:cols w:equalWidth="0" w:num="2">
            <w:col w:w="420" w:space="220"/>
            <w:col w:w="9579"/>
          </w:cols>
          <w:pgMar w:left="240" w:top="447" w:right="1440" w:bottom="0" w:gutter="0" w:footer="0" w:header="0"/>
          <w:type w:val="continuous"/>
        </w:sectPr>
      </w:pPr>
    </w:p>
    <w:p>
      <w:pPr>
        <w:spacing w:after="0" w:line="1" w:lineRule="exact"/>
        <w:rPr>
          <w:sz w:val="24"/>
          <w:szCs w:val="24"/>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 (unaudited)</w:t>
      </w:r>
    </w:p>
    <w:p>
      <w:pPr>
        <w:ind w:left="420"/>
        <w:spacing w:after="0" w:line="238" w:lineRule="auto"/>
        <w:rPr>
          <w:sz w:val="20"/>
          <w:szCs w:val="20"/>
          <w:color w:val="auto"/>
        </w:rPr>
      </w:pPr>
      <w:r>
        <w:rPr>
          <w:rFonts w:ascii="Courier New" w:cs="Courier New" w:eastAsia="Courier New" w:hAnsi="Courier New"/>
          <w:sz w:val="18"/>
          <w:szCs w:val="18"/>
          <w:color w:val="auto"/>
        </w:rPr>
        <w:t>Consolidated Statements of Income - Three month and nine</w:t>
      </w:r>
    </w:p>
    <w:p>
      <w:pPr>
        <w:spacing w:after="0" w:line="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month periods ended July 1, 1995 and June 29, 1996 ...............</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2">
            <w:col w:w="7600" w:space="200"/>
            <w:col w:w="2419"/>
          </w:cols>
          <w:pgMar w:left="240" w:top="447" w:right="1440" w:bottom="0" w:gutter="0" w:footer="0" w:header="0"/>
          <w:type w:val="continuous"/>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Consolidated Statements of Cash Flows - Nine month</w:t>
      </w:r>
    </w:p>
    <w:p>
      <w:pPr>
        <w:ind w:left="640"/>
        <w:spacing w:after="0"/>
        <w:tabs>
          <w:tab w:leader="dot" w:pos="7780" w:val="left"/>
        </w:tabs>
        <w:rPr>
          <w:sz w:val="20"/>
          <w:szCs w:val="20"/>
          <w:color w:val="auto"/>
        </w:rPr>
      </w:pPr>
      <w:r>
        <w:rPr>
          <w:rFonts w:ascii="Courier New" w:cs="Courier New" w:eastAsia="Courier New" w:hAnsi="Courier New"/>
          <w:sz w:val="18"/>
          <w:szCs w:val="18"/>
          <w:color w:val="auto"/>
        </w:rPr>
        <w:t>periods ended July 1, 1995 and June 29, 1996</w:t>
      </w:r>
      <w:r>
        <w:rPr>
          <w:sz w:val="20"/>
          <w:szCs w:val="20"/>
          <w:color w:val="auto"/>
        </w:rPr>
        <w:tab/>
      </w:r>
      <w:r>
        <w:rPr>
          <w:rFonts w:ascii="Courier New" w:cs="Courier New" w:eastAsia="Courier New" w:hAnsi="Courier New"/>
          <w:sz w:val="16"/>
          <w:szCs w:val="16"/>
          <w:color w:val="auto"/>
        </w:rPr>
        <w:t>4</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Consolidated Balance Sheets - July 1, 1995,</w:t>
      </w:r>
    </w:p>
    <w:p>
      <w:pPr>
        <w:ind w:left="640"/>
        <w:spacing w:after="0"/>
        <w:tabs>
          <w:tab w:leader="dot" w:pos="7780" w:val="left"/>
        </w:tabs>
        <w:rPr>
          <w:sz w:val="20"/>
          <w:szCs w:val="20"/>
          <w:color w:val="auto"/>
        </w:rPr>
      </w:pPr>
      <w:r>
        <w:rPr>
          <w:rFonts w:ascii="Courier New" w:cs="Courier New" w:eastAsia="Courier New" w:hAnsi="Courier New"/>
          <w:sz w:val="18"/>
          <w:szCs w:val="18"/>
          <w:color w:val="auto"/>
        </w:rPr>
        <w:t>June 29, 1996 and September 30, 1995</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ind w:left="420"/>
        <w:spacing w:after="0"/>
        <w:tabs>
          <w:tab w:leader="dot" w:pos="7460" w:val="left"/>
        </w:tabs>
        <w:rPr>
          <w:sz w:val="20"/>
          <w:szCs w:val="20"/>
          <w:color w:val="auto"/>
        </w:rPr>
      </w:pPr>
      <w:r>
        <w:rPr>
          <w:rFonts w:ascii="Courier New" w:cs="Courier New" w:eastAsia="Courier New" w:hAnsi="Courier New"/>
          <w:sz w:val="18"/>
          <w:szCs w:val="18"/>
          <w:color w:val="auto"/>
        </w:rPr>
        <w:t>Notes to Consolidated Financial Statements</w:t>
      </w:r>
      <w:r>
        <w:rPr>
          <w:sz w:val="20"/>
          <w:szCs w:val="20"/>
          <w:color w:val="auto"/>
        </w:rPr>
        <w:tab/>
      </w:r>
      <w:r>
        <w:rPr>
          <w:rFonts w:ascii="Courier New" w:cs="Courier New" w:eastAsia="Courier New" w:hAnsi="Courier New"/>
          <w:sz w:val="16"/>
          <w:szCs w:val="16"/>
          <w:color w:val="auto"/>
        </w:rPr>
        <w:t>6-10</w:t>
      </w:r>
    </w:p>
    <w:p>
      <w:pPr>
        <w:spacing w:after="0" w:line="20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ind w:left="420"/>
        <w:spacing w:after="0"/>
        <w:tabs>
          <w:tab w:leader="dot" w:pos="7360" w:val="left"/>
        </w:tabs>
        <w:rPr>
          <w:sz w:val="20"/>
          <w:szCs w:val="20"/>
          <w:color w:val="auto"/>
        </w:rPr>
      </w:pPr>
      <w:r>
        <w:rPr>
          <w:rFonts w:ascii="Courier New" w:cs="Courier New" w:eastAsia="Courier New" w:hAnsi="Courier New"/>
          <w:sz w:val="18"/>
          <w:szCs w:val="18"/>
          <w:color w:val="auto"/>
        </w:rPr>
        <w:t>Financial Condition and Results of Operations</w:t>
      </w:r>
      <w:r>
        <w:rPr>
          <w:sz w:val="20"/>
          <w:szCs w:val="20"/>
          <w:color w:val="auto"/>
        </w:rPr>
        <w:tab/>
      </w:r>
      <w:r>
        <w:rPr>
          <w:rFonts w:ascii="Courier New" w:cs="Courier New" w:eastAsia="Courier New" w:hAnsi="Courier New"/>
          <w:sz w:val="16"/>
          <w:szCs w:val="16"/>
          <w:color w:val="auto"/>
        </w:rPr>
        <w:t>11-14</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Part</w:t>
        <w:tab/>
        <w:t>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220"/>
        <w:spacing w:after="0"/>
        <w:tabs>
          <w:tab w:leader="none" w:pos="1140" w:val="left"/>
          <w:tab w:leader="dot" w:pos="7680" w:val="left"/>
        </w:tabs>
        <w:rPr>
          <w:sz w:val="20"/>
          <w:szCs w:val="20"/>
          <w:color w:val="auto"/>
        </w:rPr>
      </w:pPr>
      <w:r>
        <w:rPr>
          <w:rFonts w:ascii="Courier New" w:cs="Courier New" w:eastAsia="Courier New" w:hAnsi="Courier New"/>
          <w:sz w:val="18"/>
          <w:szCs w:val="18"/>
          <w:color w:val="auto"/>
        </w:rPr>
        <w:t>Item 6.</w:t>
        <w:tab/>
        <w:t>Exhibits and Reports on Form 8K</w:t>
      </w:r>
      <w:r>
        <w:rPr>
          <w:sz w:val="20"/>
          <w:szCs w:val="20"/>
          <w:color w:val="auto"/>
        </w:rPr>
        <w:tab/>
      </w: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4"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204"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Exhibit Index</w:t>
      </w:r>
      <w:r>
        <w:rPr>
          <w:sz w:val="20"/>
          <w:szCs w:val="20"/>
          <w:color w:val="auto"/>
        </w:rPr>
        <w:tab/>
      </w: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8"/>
          <w:szCs w:val="18"/>
          <w:color w:val="auto"/>
        </w:rPr>
        <w:t>PART I - FINANCIAL INFORMATION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ITEM 1. FINANCIAL STATEMENTS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2220"/>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Three Months Ended</w:t>
            </w:r>
          </w:p>
        </w:tc>
        <w:tc>
          <w:tcPr>
            <w:tcW w:w="260" w:type="dxa"/>
            <w:vAlign w:val="bottom"/>
          </w:tcPr>
          <w:p>
            <w:pPr>
              <w:spacing w:after="0"/>
              <w:rPr>
                <w:sz w:val="17"/>
                <w:szCs w:val="17"/>
                <w:color w:val="auto"/>
              </w:rPr>
            </w:pPr>
          </w:p>
        </w:tc>
        <w:tc>
          <w:tcPr>
            <w:tcW w:w="23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3"/>
              </w:rPr>
              <w:t>-------------------</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July 1</w:t>
            </w:r>
          </w:p>
        </w:tc>
        <w:tc>
          <w:tcPr>
            <w:tcW w:w="1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June 29</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July 1</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June 29</w:t>
            </w:r>
          </w:p>
        </w:tc>
      </w:tr>
      <w:tr>
        <w:trPr>
          <w:trHeight w:val="203"/>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33"/>
              <w:spacing w:after="0" w:line="203" w:lineRule="exact"/>
              <w:rPr>
                <w:sz w:val="20"/>
                <w:szCs w:val="20"/>
                <w:color w:val="auto"/>
              </w:rPr>
            </w:pPr>
            <w:r>
              <w:rPr>
                <w:rFonts w:ascii="Courier New" w:cs="Courier New" w:eastAsia="Courier New" w:hAnsi="Courier New"/>
                <w:sz w:val="18"/>
                <w:szCs w:val="18"/>
                <w:color w:val="auto"/>
              </w:rPr>
              <w:t>1995</w:t>
            </w:r>
          </w:p>
        </w:tc>
        <w:tc>
          <w:tcPr>
            <w:tcW w:w="1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1995</w:t>
            </w:r>
          </w:p>
        </w:tc>
        <w:tc>
          <w:tcPr>
            <w:tcW w:w="2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sales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229,028</w:t>
            </w:r>
          </w:p>
        </w:tc>
        <w:tc>
          <w:tcPr>
            <w:tcW w:w="12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6"/>
              </w:rPr>
              <w:t>$ 247,965</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$ 563,139</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$ 617,117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 ......................</w:t>
            </w:r>
          </w:p>
        </w:tc>
        <w:tc>
          <w:tcPr>
            <w:tcW w:w="260" w:type="dxa"/>
            <w:vAlign w:val="bottom"/>
          </w:tcPr>
          <w:p>
            <w:pPr>
              <w:spacing w:after="0"/>
              <w:rPr>
                <w:sz w:val="17"/>
                <w:szCs w:val="17"/>
                <w:color w:val="auto"/>
              </w:rPr>
            </w:pP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120,515</w:t>
            </w:r>
          </w:p>
        </w:tc>
        <w:tc>
          <w:tcPr>
            <w:tcW w:w="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133,122</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297,925</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332,671</w:t>
            </w:r>
          </w:p>
        </w:tc>
      </w:tr>
      <w:tr>
        <w:trPr>
          <w:trHeight w:val="203"/>
        </w:trPr>
        <w:tc>
          <w:tcPr>
            <w:tcW w:w="3960" w:type="dxa"/>
            <w:vAlign w:val="bottom"/>
          </w:tcPr>
          <w:p>
            <w:pPr>
              <w:spacing w:after="0"/>
              <w:rPr>
                <w:sz w:val="17"/>
                <w:szCs w:val="17"/>
                <w:color w:val="auto"/>
              </w:rPr>
            </w:pPr>
          </w:p>
        </w:tc>
        <w:tc>
          <w:tcPr>
            <w:tcW w:w="15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Gross profit .......................</w:t>
            </w:r>
          </w:p>
        </w:tc>
        <w:tc>
          <w:tcPr>
            <w:tcW w:w="260" w:type="dxa"/>
            <w:vAlign w:val="bottom"/>
          </w:tcPr>
          <w:p>
            <w:pPr>
              <w:spacing w:after="0"/>
              <w:rPr>
                <w:sz w:val="24"/>
                <w:szCs w:val="24"/>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108,513</w:t>
            </w:r>
          </w:p>
        </w:tc>
        <w:tc>
          <w:tcPr>
            <w:tcW w:w="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114,843</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265,214</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284,446</w:t>
            </w:r>
          </w:p>
        </w:tc>
      </w:tr>
      <w:tr>
        <w:trPr>
          <w:trHeight w:val="203"/>
        </w:trPr>
        <w:tc>
          <w:tcPr>
            <w:tcW w:w="3960" w:type="dxa"/>
            <w:vAlign w:val="bottom"/>
          </w:tcPr>
          <w:p>
            <w:pPr>
              <w:spacing w:after="0"/>
              <w:rPr>
                <w:sz w:val="17"/>
                <w:szCs w:val="17"/>
                <w:color w:val="auto"/>
              </w:rPr>
            </w:pPr>
          </w:p>
        </w:tc>
        <w:tc>
          <w:tcPr>
            <w:tcW w:w="15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Marketing ..........................</w:t>
            </w:r>
          </w:p>
        </w:tc>
        <w:tc>
          <w:tcPr>
            <w:tcW w:w="260" w:type="dxa"/>
            <w:vAlign w:val="bottom"/>
          </w:tcPr>
          <w:p>
            <w:pPr>
              <w:spacing w:after="0"/>
              <w:rPr>
                <w:sz w:val="24"/>
                <w:szCs w:val="24"/>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34,627</w:t>
            </w:r>
          </w:p>
        </w:tc>
        <w:tc>
          <w:tcPr>
            <w:tcW w:w="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44,805</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95,537</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116,530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 .......................</w:t>
            </w:r>
          </w:p>
        </w:tc>
        <w:tc>
          <w:tcPr>
            <w:tcW w:w="260" w:type="dxa"/>
            <w:vAlign w:val="bottom"/>
          </w:tcPr>
          <w:p>
            <w:pPr>
              <w:spacing w:after="0"/>
              <w:rPr>
                <w:sz w:val="17"/>
                <w:szCs w:val="17"/>
                <w:color w:val="auto"/>
              </w:rPr>
            </w:pP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35,714</w:t>
            </w:r>
          </w:p>
        </w:tc>
        <w:tc>
          <w:tcPr>
            <w:tcW w:w="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32,748</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80,733</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77,939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260" w:type="dxa"/>
            <w:vAlign w:val="bottom"/>
          </w:tcPr>
          <w:p>
            <w:pPr>
              <w:spacing w:after="0"/>
              <w:rPr>
                <w:sz w:val="17"/>
                <w:szCs w:val="17"/>
                <w:color w:val="auto"/>
              </w:rPr>
            </w:pP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7,344</w:t>
            </w:r>
          </w:p>
        </w:tc>
        <w:tc>
          <w:tcPr>
            <w:tcW w:w="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7,785</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20,308</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24,811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260" w:type="dxa"/>
            <w:vAlign w:val="bottom"/>
          </w:tcPr>
          <w:p>
            <w:pPr>
              <w:spacing w:after="0"/>
              <w:rPr>
                <w:sz w:val="17"/>
                <w:szCs w:val="17"/>
                <w:color w:val="auto"/>
              </w:rPr>
            </w:pP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2,515</w:t>
            </w:r>
          </w:p>
        </w:tc>
        <w:tc>
          <w:tcPr>
            <w:tcW w:w="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2,420</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8,243</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goodwill and .......</w:t>
            </w:r>
          </w:p>
        </w:tc>
        <w:tc>
          <w:tcPr>
            <w:tcW w:w="260" w:type="dxa"/>
            <w:vAlign w:val="bottom"/>
          </w:tcPr>
          <w:p>
            <w:pPr>
              <w:spacing w:after="0"/>
              <w:rPr>
                <w:sz w:val="17"/>
                <w:szCs w:val="17"/>
                <w:color w:val="auto"/>
              </w:rPr>
            </w:pP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1,571</w:t>
            </w:r>
          </w:p>
        </w:tc>
        <w:tc>
          <w:tcPr>
            <w:tcW w:w="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2,199</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3,798</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6,607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w:t>
            </w:r>
          </w:p>
        </w:tc>
        <w:tc>
          <w:tcPr>
            <w:tcW w:w="260" w:type="dxa"/>
            <w:vAlign w:val="bottom"/>
          </w:tcPr>
          <w:p>
            <w:pPr>
              <w:spacing w:after="0"/>
              <w:rPr>
                <w:sz w:val="17"/>
                <w:szCs w:val="17"/>
                <w:color w:val="auto"/>
              </w:rPr>
            </w:pPr>
          </w:p>
        </w:tc>
        <w:tc>
          <w:tcPr>
            <w:tcW w:w="126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(511)</w:t>
            </w:r>
          </w:p>
        </w:tc>
        <w:tc>
          <w:tcPr>
            <w:tcW w:w="1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w:t>
            </w: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Unusual expenses ...................</w:t>
            </w:r>
          </w:p>
        </w:tc>
        <w:tc>
          <w:tcPr>
            <w:tcW w:w="260" w:type="dxa"/>
            <w:vAlign w:val="bottom"/>
          </w:tcPr>
          <w:p>
            <w:pPr>
              <w:spacing w:after="0"/>
              <w:rPr>
                <w:sz w:val="17"/>
                <w:szCs w:val="17"/>
                <w:color w:val="auto"/>
              </w:rPr>
            </w:pPr>
          </w:p>
        </w:tc>
        <w:tc>
          <w:tcPr>
            <w:tcW w:w="1260" w:type="dxa"/>
            <w:vAlign w:val="bottom"/>
          </w:tcPr>
          <w:p>
            <w:pPr>
              <w:jc w:val="right"/>
              <w:ind w:right="533"/>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3,322</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8,553</w:t>
            </w:r>
          </w:p>
        </w:tc>
      </w:tr>
      <w:tr>
        <w:trPr>
          <w:trHeight w:val="203"/>
        </w:trPr>
        <w:tc>
          <w:tcPr>
            <w:tcW w:w="3960" w:type="dxa"/>
            <w:vAlign w:val="bottom"/>
          </w:tcPr>
          <w:p>
            <w:pPr>
              <w:spacing w:after="0"/>
              <w:rPr>
                <w:sz w:val="17"/>
                <w:szCs w:val="17"/>
                <w:color w:val="auto"/>
              </w:rPr>
            </w:pPr>
          </w:p>
        </w:tc>
        <w:tc>
          <w:tcPr>
            <w:tcW w:w="15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Income from operations .............</w:t>
            </w:r>
          </w:p>
        </w:tc>
        <w:tc>
          <w:tcPr>
            <w:tcW w:w="260" w:type="dxa"/>
            <w:vAlign w:val="bottom"/>
          </w:tcPr>
          <w:p>
            <w:pPr>
              <w:spacing w:after="0"/>
              <w:rPr>
                <w:sz w:val="24"/>
                <w:szCs w:val="24"/>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27,253</w:t>
            </w:r>
          </w:p>
        </w:tc>
        <w:tc>
          <w:tcPr>
            <w:tcW w:w="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21,855</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56,780</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42,904</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Interest expense ...................</w:t>
            </w:r>
          </w:p>
        </w:tc>
        <w:tc>
          <w:tcPr>
            <w:tcW w:w="260" w:type="dxa"/>
            <w:vAlign w:val="bottom"/>
          </w:tcPr>
          <w:p>
            <w:pPr>
              <w:spacing w:after="0"/>
              <w:rPr>
                <w:sz w:val="24"/>
                <w:szCs w:val="24"/>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6,838</w:t>
            </w:r>
          </w:p>
        </w:tc>
        <w:tc>
          <w:tcPr>
            <w:tcW w:w="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6,911</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20,646</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21,630</w:t>
            </w:r>
          </w:p>
        </w:tc>
      </w:tr>
      <w:tr>
        <w:trPr>
          <w:trHeight w:val="203"/>
        </w:trPr>
        <w:tc>
          <w:tcPr>
            <w:tcW w:w="3960" w:type="dxa"/>
            <w:vAlign w:val="bottom"/>
          </w:tcPr>
          <w:p>
            <w:pPr>
              <w:spacing w:after="0"/>
              <w:rPr>
                <w:sz w:val="17"/>
                <w:szCs w:val="17"/>
                <w:color w:val="auto"/>
              </w:rPr>
            </w:pPr>
          </w:p>
        </w:tc>
        <w:tc>
          <w:tcPr>
            <w:tcW w:w="15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Income before income taxes .........</w:t>
            </w:r>
          </w:p>
        </w:tc>
        <w:tc>
          <w:tcPr>
            <w:tcW w:w="260" w:type="dxa"/>
            <w:vAlign w:val="bottom"/>
          </w:tcPr>
          <w:p>
            <w:pPr>
              <w:spacing w:after="0"/>
              <w:rPr>
                <w:sz w:val="24"/>
                <w:szCs w:val="24"/>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20,415</w:t>
            </w:r>
          </w:p>
        </w:tc>
        <w:tc>
          <w:tcPr>
            <w:tcW w:w="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14,944</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36,134</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21,274</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Income taxes .......................</w:t>
            </w:r>
          </w:p>
        </w:tc>
        <w:tc>
          <w:tcPr>
            <w:tcW w:w="260" w:type="dxa"/>
            <w:vAlign w:val="bottom"/>
          </w:tcPr>
          <w:p>
            <w:pPr>
              <w:spacing w:after="0"/>
              <w:rPr>
                <w:sz w:val="24"/>
                <w:szCs w:val="24"/>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7,389</w:t>
            </w:r>
          </w:p>
        </w:tc>
        <w:tc>
          <w:tcPr>
            <w:tcW w:w="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7,338</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13,912</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10,212</w:t>
            </w:r>
          </w:p>
        </w:tc>
      </w:tr>
      <w:tr>
        <w:trPr>
          <w:trHeight w:val="203"/>
        </w:trPr>
        <w:tc>
          <w:tcPr>
            <w:tcW w:w="3960" w:type="dxa"/>
            <w:vAlign w:val="bottom"/>
          </w:tcPr>
          <w:p>
            <w:pPr>
              <w:spacing w:after="0"/>
              <w:rPr>
                <w:sz w:val="17"/>
                <w:szCs w:val="17"/>
                <w:color w:val="auto"/>
              </w:rPr>
            </w:pPr>
          </w:p>
        </w:tc>
        <w:tc>
          <w:tcPr>
            <w:tcW w:w="15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income .........................</w:t>
            </w:r>
          </w:p>
        </w:tc>
        <w:tc>
          <w:tcPr>
            <w:tcW w:w="260" w:type="dxa"/>
            <w:vAlign w:val="bottom"/>
          </w:tcPr>
          <w:p>
            <w:pPr>
              <w:spacing w:after="0"/>
              <w:rPr>
                <w:sz w:val="24"/>
                <w:szCs w:val="24"/>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13,026</w:t>
            </w:r>
          </w:p>
        </w:tc>
        <w:tc>
          <w:tcPr>
            <w:tcW w:w="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7,606</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22,222</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11,062</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Preferred stock dividend ...........</w:t>
            </w:r>
          </w:p>
        </w:tc>
        <w:tc>
          <w:tcPr>
            <w:tcW w:w="260" w:type="dxa"/>
            <w:vAlign w:val="bottom"/>
          </w:tcPr>
          <w:p>
            <w:pPr>
              <w:spacing w:after="0"/>
              <w:rPr>
                <w:sz w:val="24"/>
                <w:szCs w:val="24"/>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1,122</w:t>
            </w:r>
          </w:p>
        </w:tc>
        <w:tc>
          <w:tcPr>
            <w:tcW w:w="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2,438</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1,122</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7,313</w:t>
            </w:r>
          </w:p>
        </w:tc>
      </w:tr>
      <w:tr>
        <w:trPr>
          <w:trHeight w:val="203"/>
        </w:trPr>
        <w:tc>
          <w:tcPr>
            <w:tcW w:w="3960" w:type="dxa"/>
            <w:vAlign w:val="bottom"/>
          </w:tcPr>
          <w:p>
            <w:pPr>
              <w:spacing w:after="0"/>
              <w:rPr>
                <w:sz w:val="17"/>
                <w:szCs w:val="17"/>
                <w:color w:val="auto"/>
              </w:rPr>
            </w:pPr>
          </w:p>
        </w:tc>
        <w:tc>
          <w:tcPr>
            <w:tcW w:w="15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Income available to common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11,904</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5,168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21,100</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3,749</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shareholders .....................</w:t>
            </w:r>
          </w:p>
        </w:tc>
        <w:tc>
          <w:tcPr>
            <w:tcW w:w="260" w:type="dxa"/>
            <w:vAlign w:val="bottom"/>
          </w:tcPr>
          <w:p>
            <w:pPr>
              <w:spacing w:after="0"/>
              <w:rPr>
                <w:sz w:val="17"/>
                <w:szCs w:val="17"/>
                <w:color w:val="auto"/>
              </w:rPr>
            </w:pP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w w:val="94"/>
              </w:rPr>
              <w:t>========</w:t>
            </w:r>
          </w:p>
        </w:tc>
        <w:tc>
          <w:tcPr>
            <w:tcW w:w="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Income per common share (Note 7)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.55</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1.09</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w:t>
            </w:r>
          </w:p>
        </w:tc>
      </w:tr>
      <w:tr>
        <w:trPr>
          <w:trHeight w:val="203"/>
        </w:trPr>
        <w:tc>
          <w:tcPr>
            <w:tcW w:w="3960" w:type="dxa"/>
            <w:vAlign w:val="bottom"/>
          </w:tcPr>
          <w:p>
            <w:pPr>
              <w:spacing w:after="0"/>
              <w:rPr>
                <w:sz w:val="17"/>
                <w:szCs w:val="17"/>
                <w:color w:val="auto"/>
              </w:rPr>
            </w:pPr>
          </w:p>
        </w:tc>
        <w:tc>
          <w:tcPr>
            <w:tcW w:w="15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Common shares used in net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income per common share computation</w:t>
            </w:r>
          </w:p>
        </w:tc>
        <w:tc>
          <w:tcPr>
            <w:tcW w:w="260" w:type="dxa"/>
            <w:vAlign w:val="bottom"/>
          </w:tcPr>
          <w:p>
            <w:pPr>
              <w:spacing w:after="0"/>
              <w:rPr>
                <w:sz w:val="17"/>
                <w:szCs w:val="17"/>
                <w:color w:val="auto"/>
              </w:rPr>
            </w:pPr>
          </w:p>
        </w:tc>
        <w:tc>
          <w:tcPr>
            <w:tcW w:w="12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23,580</w:t>
            </w:r>
          </w:p>
        </w:tc>
        <w:tc>
          <w:tcPr>
            <w:tcW w:w="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29,352</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20,380</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19,068</w:t>
            </w:r>
          </w:p>
        </w:tc>
      </w:tr>
      <w:tr>
        <w:trPr>
          <w:trHeight w:val="203"/>
        </w:trPr>
        <w:tc>
          <w:tcPr>
            <w:tcW w:w="3960" w:type="dxa"/>
            <w:vAlign w:val="bottom"/>
          </w:tcPr>
          <w:p>
            <w:pPr>
              <w:spacing w:after="0"/>
              <w:rPr>
                <w:sz w:val="17"/>
                <w:szCs w:val="17"/>
                <w:color w:val="auto"/>
              </w:rPr>
            </w:pPr>
          </w:p>
        </w:tc>
        <w:tc>
          <w:tcPr>
            <w:tcW w:w="15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6060" w:type="dxa"/>
            <w:vAlign w:val="bottom"/>
          </w:tcPr>
          <w:p>
            <w:pPr>
              <w:jc w:val="right"/>
              <w:ind w:right="1112"/>
              <w:spacing w:after="0" w:line="202" w:lineRule="exact"/>
              <w:rPr>
                <w:sz w:val="20"/>
                <w:szCs w:val="20"/>
                <w:color w:val="auto"/>
              </w:rPr>
            </w:pPr>
            <w:r>
              <w:rPr>
                <w:rFonts w:ascii="Courier New" w:cs="Courier New" w:eastAsia="Courier New" w:hAnsi="Courier New"/>
                <w:sz w:val="18"/>
                <w:szCs w:val="18"/>
                <w:color w:val="auto"/>
              </w:rPr>
              <w:t>(in thousands)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July 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June 29</w:t>
            </w:r>
          </w:p>
        </w:tc>
      </w:t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income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22,222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$ 11,062</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Depreciation and amortization ..................</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18,427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22,067</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Equity in income of affiliates .................</w:t>
            </w: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Postretirement benefits ........................</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Unusual charges, net ...........................</w:t>
            </w: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6,734</w:t>
            </w:r>
          </w:p>
        </w:tc>
      </w:tr>
      <w:tr>
        <w:trPr>
          <w:trHeight w:val="203"/>
        </w:trPr>
        <w:tc>
          <w:tcPr>
            <w:tcW w:w="60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Net increase (decrease) in certain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components of working capital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(15,036)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30,294</w:t>
            </w:r>
          </w:p>
        </w:tc>
      </w:tr>
      <w:tr>
        <w:trPr>
          <w:trHeight w:val="203"/>
        </w:trPr>
        <w:tc>
          <w:tcPr>
            <w:tcW w:w="60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Net change in other assets and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liabilities and other adjustments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6,384</w:t>
            </w:r>
          </w:p>
        </w:tc>
      </w:tr>
      <w:tr>
        <w:trPr>
          <w:trHeight w:val="203"/>
        </w:trPr>
        <w:tc>
          <w:tcPr>
            <w:tcW w:w="606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provided by operating activities</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25,652</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76,327</w:t>
            </w:r>
          </w:p>
        </w:tc>
      </w:tr>
      <w:tr>
        <w:trPr>
          <w:trHeight w:val="203"/>
        </w:trPr>
        <w:tc>
          <w:tcPr>
            <w:tcW w:w="606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Investment in plant and equipment, net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(15,697)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(10,972)</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 Affiliate</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1100" w:type="dxa"/>
            <w:vAlign w:val="bottom"/>
          </w:tcPr>
          <w:p>
            <w:pPr>
              <w:spacing w:after="0"/>
              <w:rPr>
                <w:sz w:val="17"/>
                <w:szCs w:val="17"/>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acquired in merger with Miracle-Gro .............</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6,448</w:t>
            </w:r>
          </w:p>
        </w:tc>
        <w:tc>
          <w:tcPr>
            <w:tcW w:w="110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used in investing activities ...</w:t>
            </w:r>
          </w:p>
        </w:tc>
        <w:tc>
          <w:tcPr>
            <w:tcW w:w="2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(9,499)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(10,972)</w:t>
            </w:r>
          </w:p>
        </w:tc>
      </w:tr>
      <w:tr>
        <w:trPr>
          <w:trHeight w:val="203"/>
        </w:trPr>
        <w:tc>
          <w:tcPr>
            <w:tcW w:w="606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Borrowings under term debt ...........................</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113,500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Payments on term and other debt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Revolving lines of credit and bank line of credit, net</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(128,121)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(49,657)</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Purchase of Common Shares ............................</w:t>
            </w: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(4,176)</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Issuance of Common Shares ............................</w:t>
            </w: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7,406</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financing costs incurred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Dividends on preferred stock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(7,313)</w:t>
            </w:r>
          </w:p>
        </w:tc>
      </w:tr>
      <w:tr>
        <w:trPr>
          <w:trHeight w:val="203"/>
        </w:trPr>
        <w:tc>
          <w:tcPr>
            <w:tcW w:w="606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used in financing activities ...</w:t>
            </w:r>
          </w:p>
        </w:tc>
        <w:tc>
          <w:tcPr>
            <w:tcW w:w="2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(17,569)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(54,016)</w:t>
            </w:r>
          </w:p>
        </w:tc>
      </w:tr>
      <w:tr>
        <w:trPr>
          <w:trHeight w:val="203"/>
        </w:trPr>
        <w:tc>
          <w:tcPr>
            <w:tcW w:w="606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Effect of exchange rate changes on cash ................</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1,393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(1,458)</w:t>
            </w:r>
          </w:p>
        </w:tc>
      </w:tr>
      <w:tr>
        <w:trPr>
          <w:trHeight w:val="203"/>
        </w:trPr>
        <w:tc>
          <w:tcPr>
            <w:tcW w:w="606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(decrease) increase in cash ........................</w:t>
            </w:r>
          </w:p>
        </w:tc>
        <w:tc>
          <w:tcPr>
            <w:tcW w:w="2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9,881</w:t>
            </w:r>
          </w:p>
        </w:tc>
      </w:tr>
      <w:tr>
        <w:trPr>
          <w:trHeight w:val="405"/>
        </w:trPr>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at beginning of period ............................</w:t>
            </w:r>
          </w:p>
        </w:tc>
        <w:tc>
          <w:tcPr>
            <w:tcW w:w="26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10,695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7,028</w:t>
            </w:r>
          </w:p>
        </w:tc>
      </w:tr>
      <w:tr>
        <w:trPr>
          <w:trHeight w:val="203"/>
        </w:trPr>
        <w:tc>
          <w:tcPr>
            <w:tcW w:w="606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at end of period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10,672</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$ 16,909</w:t>
            </w:r>
          </w:p>
        </w:tc>
      </w:tr>
      <w:tr>
        <w:trPr>
          <w:trHeight w:val="203"/>
        </w:trPr>
        <w:tc>
          <w:tcPr>
            <w:tcW w:w="606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paid, net of amount capitalized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17,610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$ 18,158</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10,855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3,799</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Detail of Miracle-Gro merger transactions: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Fair value of assets acquired ......................</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235,564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Liabilities assumed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(39,875)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Class A Convertible Preferred Stock issued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 Miracle-Gro merger transactions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(177,255)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Warrants issued in Miracle-Gro merger transactions .</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(14,434)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17" w:right="1440" w:bottom="159" w:gutter="0" w:footer="0" w:header="0"/>
        </w:sectPr>
      </w:pPr>
    </w:p>
    <w:bookmarkStart w:id="4" w:name="page5"/>
    <w:bookmarkEnd w:id="4"/>
    <w:p>
      <w:pPr>
        <w:ind w:left="2220"/>
        <w:spacing w:after="0"/>
        <w:rPr>
          <w:sz w:val="20"/>
          <w:szCs w:val="20"/>
          <w:color w:val="auto"/>
        </w:rPr>
      </w:pPr>
      <w:r>
        <w:rPr>
          <w:rFonts w:ascii="Courier New" w:cs="Courier New" w:eastAsia="Courier New" w:hAnsi="Courier New"/>
          <w:sz w:val="18"/>
          <w:szCs w:val="18"/>
          <w:color w:val="auto"/>
        </w:rPr>
        <w:t>THE SCOTTS COMPANY AND SUBSIDIARIES</w:t>
      </w:r>
    </w:p>
    <w:p>
      <w:pPr>
        <w:ind w:left="2740"/>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10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ASSETS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July 1</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June 29</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September 30</w:t>
            </w:r>
          </w:p>
        </w:tc>
      </w:tr>
      <w:tr>
        <w:trPr>
          <w:trHeight w:val="203"/>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10,672</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16,909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7,028</w:t>
            </w:r>
          </w:p>
        </w:tc>
      </w:tr>
      <w:tr>
        <w:trPr>
          <w:trHeight w:val="203"/>
        </w:trPr>
        <w:tc>
          <w:tcPr>
            <w:tcW w:w="628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$4,313, $5,153 and $3,406, respectively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142,309</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124,290</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176,525</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Inventories, net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155,550</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157,495</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143,953</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Prepaid and other assets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20,838</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21,958</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23,354</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329,369</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320,652</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350,860</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Property, plant and equipment, net .......................</w:t>
            </w:r>
          </w:p>
        </w:tc>
        <w:tc>
          <w:tcPr>
            <w:tcW w:w="3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145,721</w:t>
            </w:r>
          </w:p>
        </w:tc>
        <w:tc>
          <w:tcPr>
            <w:tcW w:w="3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143,331</w:t>
            </w:r>
          </w:p>
        </w:tc>
        <w:tc>
          <w:tcPr>
            <w:tcW w:w="2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148,754</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Trademarks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89,469</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87,561</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89,250</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intangibles, net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25,932</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20,812</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24,421</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Goodwill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185,810</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181,380</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179,988</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20,858</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14,244</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15,772</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Assets .........................................</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$ 797,159</w:t>
            </w:r>
          </w:p>
        </w:tc>
        <w:tc>
          <w:tcPr>
            <w:tcW w:w="15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$ 767,980</w:t>
            </w:r>
          </w:p>
        </w:tc>
        <w:tc>
          <w:tcPr>
            <w:tcW w:w="12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$ 809,045</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2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LIABILITIES AND SHAREHOLDERS' EQUITY</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Revolving credit line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14,545</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1,811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Current portion of term debt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508</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421</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62,820</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54,019</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63,207</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liabilities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38,874</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47,087</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41,409</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taxes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17,925</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26,092</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18,728</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134,672</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129,009</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123,862</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Term debt, less current portion ..........................</w:t>
            </w:r>
          </w:p>
        </w:tc>
        <w:tc>
          <w:tcPr>
            <w:tcW w:w="3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243,041</w:t>
            </w:r>
          </w:p>
        </w:tc>
        <w:tc>
          <w:tcPr>
            <w:tcW w:w="3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220,799</w:t>
            </w:r>
          </w:p>
        </w:tc>
        <w:tc>
          <w:tcPr>
            <w:tcW w:w="2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272,025</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Postretirement benefits other than pensions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27,256</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27,324</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27,159</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liabilities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7,929</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5,036</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5,209</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Liabilities ....................................</w:t>
            </w:r>
          </w:p>
        </w:tc>
        <w:tc>
          <w:tcPr>
            <w:tcW w:w="3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412,898</w:t>
            </w:r>
          </w:p>
        </w:tc>
        <w:tc>
          <w:tcPr>
            <w:tcW w:w="3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382,168</w:t>
            </w:r>
          </w:p>
        </w:tc>
        <w:tc>
          <w:tcPr>
            <w:tcW w:w="2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428,255</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Class A Convertible Preferred Stock, no par value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177,255</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177,255</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177,255</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 Shares, no par value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211</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 in excess of par value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207,569</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207,572</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207,551</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34,975</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36,423</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32,672</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Cumulative translation adjustments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5,692</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2,110</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4,082</w:t>
            </w:r>
          </w:p>
        </w:tc>
      </w:tr>
      <w:tr>
        <w:trPr>
          <w:trHeight w:val="203"/>
        </w:trPr>
        <w:tc>
          <w:tcPr>
            <w:tcW w:w="6280" w:type="dxa"/>
            <w:vAlign w:val="bottom"/>
          </w:tcPr>
          <w:p>
            <w:pPr>
              <w:jc w:val="right"/>
              <w:ind w:right="2712"/>
              <w:spacing w:after="0" w:line="203" w:lineRule="exact"/>
              <w:rPr>
                <w:sz w:val="20"/>
                <w:szCs w:val="20"/>
                <w:color w:val="auto"/>
              </w:rPr>
            </w:pPr>
            <w:r>
              <w:rPr>
                <w:rFonts w:ascii="Courier New" w:cs="Courier New" w:eastAsia="Courier New" w:hAnsi="Courier New"/>
                <w:sz w:val="18"/>
                <w:szCs w:val="18"/>
                <w:color w:val="auto"/>
              </w:rPr>
              <w:t>Treasury stock, 2,415 shares on</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280" w:type="dxa"/>
            <w:vAlign w:val="bottom"/>
          </w:tcPr>
          <w:p>
            <w:pPr>
              <w:jc w:val="right"/>
              <w:ind w:right="2712"/>
              <w:spacing w:after="0" w:line="203" w:lineRule="exact"/>
              <w:rPr>
                <w:sz w:val="20"/>
                <w:szCs w:val="20"/>
                <w:color w:val="auto"/>
              </w:rPr>
            </w:pPr>
            <w:r>
              <w:rPr>
                <w:rFonts w:ascii="Courier New" w:cs="Courier New" w:eastAsia="Courier New" w:hAnsi="Courier New"/>
                <w:sz w:val="18"/>
                <w:szCs w:val="18"/>
                <w:color w:val="auto"/>
              </w:rPr>
              <w:t>July 1, 1995, 2,184 shares on</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28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rPr>
              <w:t>June 29, 1996 and 2,388 shares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on September 30, 1995 at cost ........................</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(41,441)</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(37,759)</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(40,981)</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Shareholders' Equity ...........................</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384,261</w:t>
            </w:r>
          </w:p>
        </w:tc>
        <w:tc>
          <w:tcPr>
            <w:tcW w:w="3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385,812</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380,790</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Liabilities and Shareholders' Equity ...........</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$ 797,159</w:t>
            </w:r>
          </w:p>
        </w:tc>
        <w:tc>
          <w:tcPr>
            <w:tcW w:w="15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$ 767,980</w:t>
            </w:r>
          </w:p>
        </w:tc>
        <w:tc>
          <w:tcPr>
            <w:tcW w:w="12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$ 809,045</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340"/>
          </w:cols>
          <w:pgMar w:left="240" w:top="1122" w:right="1319" w:bottom="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580"/>
        <w:spacing w:after="0"/>
        <w:rPr>
          <w:sz w:val="20"/>
          <w:szCs w:val="20"/>
          <w:color w:val="auto"/>
        </w:rPr>
      </w:pPr>
      <w:r>
        <w:rPr>
          <w:rFonts w:ascii="Courier New" w:cs="Courier New" w:eastAsia="Courier New" w:hAnsi="Courier New"/>
          <w:sz w:val="18"/>
          <w:szCs w:val="18"/>
          <w:color w:val="auto"/>
        </w:rPr>
        <w:t>THE SCOTTS COMPANY AND SUBSIDIARIES</w:t>
      </w:r>
    </w:p>
    <w:p>
      <w:pPr>
        <w:ind w:left="11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7"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The Scotts Company ("Scotts") and its wholly owned subsidiaries, Hyponex Corporation ("Hyponex"), Republic Tool and Manufacturing Corp. ("Republic"), Scotts-Sierra Horticultural Products Company ("Sierra") and Scotts' Miracle-Gro Products, Inc. ("Miracle-Gro"), (collectively, the "Company"), are engaged in the manufacture and sale of lawn care and garden products. All material intercompany transactions have been eliminated.</w:t>
      </w:r>
    </w:p>
    <w:p>
      <w:pPr>
        <w:spacing w:after="0" w:line="211" w:lineRule="exact"/>
        <w:rPr>
          <w:sz w:val="20"/>
          <w:szCs w:val="20"/>
          <w:color w:val="auto"/>
        </w:rPr>
      </w:pPr>
    </w:p>
    <w:p>
      <w:pPr>
        <w:jc w:val="both"/>
        <w:ind w:left="540" w:right="1999" w:firstLine="527"/>
        <w:spacing w:after="0" w:line="238" w:lineRule="auto"/>
        <w:rPr>
          <w:sz w:val="20"/>
          <w:szCs w:val="20"/>
          <w:color w:val="auto"/>
        </w:rPr>
      </w:pPr>
      <w:r>
        <w:rPr>
          <w:rFonts w:ascii="Courier New" w:cs="Courier New" w:eastAsia="Courier New" w:hAnsi="Courier New"/>
          <w:sz w:val="18"/>
          <w:szCs w:val="18"/>
          <w:color w:val="auto"/>
        </w:rPr>
        <w:t>The consolidated balance sheets as of July 1, 1995 and June 29, 1996, the related consolidated statements of income for the three and nine month periods ended July 1, 1995 and June 29, 1996 and the related consolidated statements of cash flows for the nine month periods ended July 1, 1995 and June 29, 1996 are unaudited; however, in the opinion of management, such financial statements contain all adjustments necessary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1995 Annual Report on Form 10-K/A.</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Inventories</w:t>
      </w:r>
    </w:p>
    <w:p>
      <w:pPr>
        <w:ind w:left="54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p>
      <w:pPr>
        <w:jc w:val="right"/>
        <w:ind w:right="1999"/>
        <w:spacing w:after="0"/>
        <w:tabs>
          <w:tab w:leader="none" w:pos="5880" w:val="left"/>
          <w:tab w:leader="none" w:pos="5360" w:val="left"/>
          <w:tab w:leader="none" w:pos="4940" w:val="left"/>
          <w:tab w:leader="none" w:pos="3680" w:val="left"/>
          <w:tab w:leader="none" w:pos="3260" w:val="left"/>
          <w:tab w:leader="none" w:pos="2300" w:val="left"/>
          <w:tab w:leader="none" w:pos="1460" w:val="left"/>
          <w:tab w:leader="none" w:pos="940" w:val="left"/>
        </w:tabs>
        <w:rPr>
          <w:sz w:val="20"/>
          <w:szCs w:val="20"/>
          <w:color w:val="auto"/>
        </w:rPr>
      </w:pPr>
      <w:r>
        <w:rPr>
          <w:rFonts w:ascii="Courier New" w:cs="Courier New" w:eastAsia="Courier New" w:hAnsi="Courier New"/>
          <w:sz w:val="18"/>
          <w:szCs w:val="18"/>
          <w:color w:val="auto"/>
        </w:rPr>
        <w:t>Inventories,</w:t>
        <w:tab/>
        <w:t>net</w:t>
        <w:tab/>
        <w:t>of</w:t>
        <w:tab/>
        <w:t>allowances</w:t>
        <w:tab/>
        <w:t>of</w:t>
        <w:tab/>
        <w:t>$5,736,</w:t>
        <w:tab/>
        <w:t>$6,782</w:t>
        <w:tab/>
        <w:t>and</w:t>
      </w:r>
      <w:r>
        <w:rPr>
          <w:sz w:val="20"/>
          <w:szCs w:val="20"/>
          <w:color w:val="auto"/>
        </w:rPr>
        <w:tab/>
      </w:r>
      <w:r>
        <w:rPr>
          <w:rFonts w:ascii="Courier New" w:cs="Courier New" w:eastAsia="Courier New" w:hAnsi="Courier New"/>
          <w:sz w:val="16"/>
          <w:szCs w:val="16"/>
          <w:color w:val="auto"/>
        </w:rPr>
        <w:t>$6,711,</w:t>
      </w:r>
    </w:p>
    <w:tbl>
      <w:tblPr>
        <w:tblLayout w:type="fixed"/>
        <w:tblInd w:w="540" w:type="dxa"/>
        <w:tblCellMar>
          <w:top w:w="0" w:type="dxa"/>
          <w:left w:w="0" w:type="dxa"/>
          <w:bottom w:w="0" w:type="dxa"/>
          <w:right w:w="0" w:type="dxa"/>
        </w:tblCellMar>
      </w:tblP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consisted of:</w:t>
            </w: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1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July 1</w:t>
            </w: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June 29</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2900" w:type="dxa"/>
            <w:vAlign w:val="bottom"/>
          </w:tcPr>
          <w:p>
            <w:pPr>
              <w:spacing w:after="0"/>
              <w:rPr>
                <w:sz w:val="17"/>
                <w:szCs w:val="17"/>
                <w:color w:val="auto"/>
              </w:rPr>
            </w:pP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900" w:type="dxa"/>
            <w:vAlign w:val="bottom"/>
          </w:tcPr>
          <w:p>
            <w:pPr>
              <w:spacing w:after="0"/>
              <w:rPr>
                <w:sz w:val="17"/>
                <w:szCs w:val="17"/>
                <w:color w:val="auto"/>
              </w:rPr>
            </w:pP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Raw materials</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$ 66,246</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$ 51,318</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$ 71,431</w:t>
            </w:r>
          </w:p>
        </w:tc>
      </w:tr>
      <w:tr>
        <w:trPr>
          <w:trHeight w:val="203"/>
        </w:trPr>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Finished products</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89,304</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106,177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72,522</w:t>
            </w:r>
          </w:p>
        </w:tc>
      </w:tr>
      <w:tr>
        <w:trPr>
          <w:trHeight w:val="203"/>
        </w:trPr>
        <w:tc>
          <w:tcPr>
            <w:tcW w:w="290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Total Inventories</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$155,550</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$157,495</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$143,953</w:t>
            </w:r>
          </w:p>
        </w:tc>
      </w:tr>
      <w:tr>
        <w:trPr>
          <w:trHeight w:val="203"/>
        </w:trPr>
        <w:tc>
          <w:tcPr>
            <w:tcW w:w="2900" w:type="dxa"/>
            <w:vAlign w:val="bottom"/>
          </w:tcPr>
          <w:p>
            <w:pPr>
              <w:spacing w:after="0"/>
              <w:rPr>
                <w:sz w:val="17"/>
                <w:szCs w:val="17"/>
                <w:color w:val="auto"/>
              </w:rPr>
            </w:pP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Instruments</w:t>
      </w:r>
    </w:p>
    <w:p>
      <w:pPr>
        <w:spacing w:after="0" w:line="207"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The Company enters into forward foreign exchange and currency options contracts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211"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Realized and unrealized foreign exchange gains and losses are recognized and offset foreign exchange gains or losses on the underlying exposure. Unrealized gains and losses that are designated and effective as hedges on such transactions are deferred and recognized in income in the same period as the hedged transactions. The net unrealized gain deferred totaled $190,812 at June 29, 1996.</w:t>
      </w:r>
    </w:p>
    <w:p>
      <w:pPr>
        <w:spacing w:after="0" w:line="210" w:lineRule="exact"/>
        <w:rPr>
          <w:sz w:val="20"/>
          <w:szCs w:val="20"/>
          <w:color w:val="auto"/>
        </w:rPr>
      </w:pPr>
    </w:p>
    <w:p>
      <w:pPr>
        <w:jc w:val="both"/>
        <w:ind w:left="540" w:right="1999" w:firstLine="527"/>
        <w:spacing w:after="0" w:line="237" w:lineRule="auto"/>
        <w:rPr>
          <w:sz w:val="20"/>
          <w:szCs w:val="20"/>
          <w:color w:val="auto"/>
        </w:rPr>
      </w:pPr>
      <w:r>
        <w:rPr>
          <w:rFonts w:ascii="Courier New" w:cs="Courier New" w:eastAsia="Courier New" w:hAnsi="Courier New"/>
          <w:sz w:val="18"/>
          <w:szCs w:val="18"/>
          <w:color w:val="auto"/>
        </w:rPr>
        <w:t>At June 29, 1996, the Company's European operations had foreign exchange risk in various European currencies tied to the Dutch Guilder. These currencies are: the Australian Dollar, Belgian Franc, German Mark, Spanish Peseta, Italian Lira, French Franc, British Pound and the U. S. Dollar. The Company's U. S. operations have foreign exchange rate risk in the Canadian Dollar, the Dutch Guilder and the British Pound which are tied to the U. S. Dollar.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1325" w:right="1440" w:bottom="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As of June 29, 1996, the Company had outstanding forward foreign exchange contracts with a contract value of approximately $12.8 million and outstanding purchased currency options with a contract value of approximately $2.0 million. These contracts have maturity dates ranging from July 3, 1996 to October 2, 1996.</w:t>
      </w:r>
    </w:p>
    <w:p>
      <w:pPr>
        <w:spacing w:after="0" w:line="203" w:lineRule="exact"/>
        <w:rPr>
          <w:sz w:val="20"/>
          <w:szCs w:val="20"/>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Effective May 19, 1995, the Company completed the merger transactions with Stern's Miracle-Gro Products, Inc. and affiliated companies (the "Miracle-Gro Companies"). The ultimate surviving corporation is now known as Scotts' Miracle-Gro Products, Inc. ("Miracle-Gro"). Miracle-Gro is engaged in the marketing and distribution of plant foods and lawn and garden products primarily in the United States, Canada and Europe.</w:t>
      </w:r>
    </w:p>
    <w:p>
      <w:pPr>
        <w:sectPr>
          <w:pgSz w:w="11900" w:h="16838" w:orient="portrait"/>
          <w:cols w:equalWidth="0" w:num="1">
            <w:col w:w="10211"/>
          </w:cols>
          <w:pgMar w:left="248" w:top="1325" w:right="1440" w:bottom="159" w:gutter="0" w:footer="0" w:header="0"/>
        </w:sectPr>
      </w:pPr>
    </w:p>
    <w:p>
      <w:pPr>
        <w:spacing w:after="0" w:line="211" w:lineRule="exact"/>
        <w:rPr>
          <w:sz w:val="20"/>
          <w:szCs w:val="20"/>
          <w:color w:val="auto"/>
        </w:rPr>
      </w:pPr>
    </w:p>
    <w:p>
      <w:pPr>
        <w:ind w:left="532" w:firstLine="527"/>
        <w:spacing w:after="0" w:line="236" w:lineRule="auto"/>
        <w:rPr>
          <w:sz w:val="20"/>
          <w:szCs w:val="20"/>
          <w:color w:val="auto"/>
        </w:rPr>
      </w:pPr>
      <w:r>
        <w:rPr>
          <w:rFonts w:ascii="Courier New" w:cs="Courier New" w:eastAsia="Courier New" w:hAnsi="Courier New"/>
          <w:sz w:val="18"/>
          <w:szCs w:val="18"/>
          <w:color w:val="auto"/>
        </w:rPr>
        <w:t>The following pro forma Miracle-Gro Companies merger October 1, 1994.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ind w:right="1999"/>
        <w:spacing w:after="0" w:line="290" w:lineRule="auto"/>
        <w:rPr>
          <w:sz w:val="20"/>
          <w:szCs w:val="20"/>
          <w:color w:val="auto"/>
        </w:rPr>
      </w:pPr>
      <w:r>
        <w:rPr>
          <w:rFonts w:ascii="Courier New" w:cs="Courier New" w:eastAsia="Courier New" w:hAnsi="Courier New"/>
          <w:sz w:val="16"/>
          <w:szCs w:val="16"/>
          <w:color w:val="auto"/>
        </w:rPr>
        <w:t>results of  operations  give effect to the transactions  as if they had  occurred on</w:t>
      </w:r>
    </w:p>
    <w:p>
      <w:pPr>
        <w:spacing w:after="0" w:line="363" w:lineRule="exact"/>
        <w:rPr>
          <w:sz w:val="20"/>
          <w:szCs w:val="20"/>
          <w:color w:val="auto"/>
        </w:rPr>
      </w:pPr>
    </w:p>
    <w:p>
      <w:pPr>
        <w:sectPr>
          <w:pgSz w:w="11900" w:h="16838" w:orient="portrait"/>
          <w:cols w:equalWidth="0" w:num="2">
            <w:col w:w="3692" w:space="100"/>
            <w:col w:w="6419"/>
          </w:cols>
          <w:pgMar w:left="248" w:top="1325" w:right="1440" w:bottom="159" w:gutter="0" w:footer="0" w:header="0"/>
          <w:type w:val="continuous"/>
        </w:sectPr>
      </w:pPr>
    </w:p>
    <w:p>
      <w:pPr>
        <w:spacing w:after="0" w:line="3" w:lineRule="exact"/>
        <w:rPr>
          <w:sz w:val="20"/>
          <w:szCs w:val="20"/>
          <w:color w:val="auto"/>
        </w:rPr>
      </w:pPr>
    </w:p>
    <w:tbl>
      <w:tblPr>
        <w:tblLayout w:type="fixed"/>
        <w:tblInd w:w="952" w:type="dxa"/>
        <w:tblCellMar>
          <w:top w:w="0" w:type="dxa"/>
          <w:left w:w="0" w:type="dxa"/>
          <w:bottom w:w="0" w:type="dxa"/>
          <w:right w:w="0" w:type="dxa"/>
        </w:tblCellMar>
      </w:tblPr>
      <w:tr>
        <w:trPr>
          <w:trHeight w:val="204"/>
        </w:trPr>
        <w:tc>
          <w:tcPr>
            <w:tcW w:w="2780" w:type="dxa"/>
            <w:vAlign w:val="bottom"/>
          </w:tcPr>
          <w:p>
            <w:pPr>
              <w:spacing w:after="0"/>
              <w:rPr>
                <w:sz w:val="17"/>
                <w:szCs w:val="17"/>
                <w:color w:val="auto"/>
              </w:rPr>
            </w:pPr>
          </w:p>
        </w:tc>
        <w:tc>
          <w:tcPr>
            <w:tcW w:w="46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(in thousands, except per share amounts)</w:t>
            </w:r>
          </w:p>
        </w:tc>
      </w:tr>
      <w:tr>
        <w:trPr>
          <w:trHeight w:val="203"/>
        </w:trPr>
        <w:tc>
          <w:tcPr>
            <w:tcW w:w="2780" w:type="dxa"/>
            <w:vAlign w:val="bottom"/>
          </w:tcPr>
          <w:p>
            <w:pPr>
              <w:spacing w:after="0"/>
              <w:rPr>
                <w:sz w:val="17"/>
                <w:szCs w:val="17"/>
                <w:color w:val="auto"/>
              </w:rPr>
            </w:pPr>
          </w:p>
        </w:tc>
        <w:tc>
          <w:tcPr>
            <w:tcW w:w="2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2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July 1,</w:t>
            </w:r>
          </w:p>
        </w:tc>
        <w:tc>
          <w:tcPr>
            <w:tcW w:w="840" w:type="dxa"/>
            <w:vAlign w:val="bottom"/>
          </w:tcPr>
          <w:p>
            <w:pPr>
              <w:spacing w:after="0"/>
              <w:rPr>
                <w:sz w:val="17"/>
                <w:szCs w:val="17"/>
                <w:color w:val="auto"/>
              </w:rPr>
            </w:pP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July 1,</w:t>
            </w:r>
          </w:p>
        </w:tc>
      </w:tr>
      <w:tr>
        <w:trPr>
          <w:trHeight w:val="203"/>
        </w:trPr>
        <w:tc>
          <w:tcPr>
            <w:tcW w:w="2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257,874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651,491</w:t>
            </w:r>
          </w:p>
        </w:tc>
      </w:tr>
      <w:tr>
        <w:trPr>
          <w:trHeight w:val="203"/>
        </w:trPr>
        <w:tc>
          <w:tcPr>
            <w:tcW w:w="2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14,992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32,809</w:t>
            </w:r>
          </w:p>
        </w:tc>
      </w:tr>
      <w:tr>
        <w:trPr>
          <w:trHeight w:val="203"/>
        </w:trPr>
        <w:tc>
          <w:tcPr>
            <w:tcW w:w="2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80" w:type="dxa"/>
            <w:vAlign w:val="bottom"/>
          </w:tcPr>
          <w:p>
            <w:pPr>
              <w:spacing w:after="0"/>
              <w:rPr>
                <w:sz w:val="20"/>
                <w:szCs w:val="20"/>
                <w:color w:val="auto"/>
              </w:rPr>
            </w:pPr>
            <w:r>
              <w:rPr>
                <w:rFonts w:ascii="Courier New" w:cs="Courier New" w:eastAsia="Courier New" w:hAnsi="Courier New"/>
                <w:sz w:val="18"/>
                <w:szCs w:val="18"/>
                <w:color w:val="auto"/>
              </w:rPr>
              <w:t>Income per common share</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1.13</w:t>
            </w:r>
          </w:p>
        </w:tc>
      </w:tr>
      <w:tr>
        <w:trPr>
          <w:trHeight w:val="203"/>
        </w:trPr>
        <w:tc>
          <w:tcPr>
            <w:tcW w:w="2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532" w:right="1999" w:firstLine="527"/>
        <w:spacing w:after="0" w:line="273" w:lineRule="auto"/>
        <w:rPr>
          <w:sz w:val="20"/>
          <w:szCs w:val="20"/>
          <w:color w:val="auto"/>
        </w:rPr>
      </w:pPr>
      <w:r>
        <w:rPr>
          <w:rFonts w:ascii="Courier New" w:cs="Courier New" w:eastAsia="Courier New" w:hAnsi="Courier New"/>
          <w:sz w:val="16"/>
          <w:szCs w:val="16"/>
          <w:color w:val="auto"/>
        </w:rPr>
        <w:t>For purposes of computing net income per common share, Scotts' Class A Convertible Preferred Stock is considered a common stock equivalent. Pro forma primary net income per common share for the three months and nine months ended July 1, 1995 are calculated using the weighted average common shares outstanding of 29,282,000 and 29,098,000, respectively.</w:t>
      </w:r>
    </w:p>
    <w:p>
      <w:pPr>
        <w:spacing w:after="0" w:line="185"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The pro forma information provided does not purport to be indicative of actual results of operations if the merger transactions with the Miracle-Gro Companies had occurred as of October 1, 1994, and is not intended to be indicative of future results or trends.</w:t>
      </w:r>
    </w:p>
    <w:p>
      <w:pPr>
        <w:spacing w:after="0" w:line="202" w:lineRule="exact"/>
        <w:rPr>
          <w:sz w:val="20"/>
          <w:szCs w:val="20"/>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Issues</w:t>
      </w:r>
    </w:p>
    <w:p>
      <w:pPr>
        <w:spacing w:after="0" w:line="207"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In December 1995, the Financial Accounting Standards Board issued SFAS No. 123, "Accounting for Stock-Based Compensation" which changes the measurement, recognition and disclosure standards for stock-based compensation. Management is currently evaluating the provisions of SFAS No. 123 and at this time, the effects of adoption of SFAS No. 123 and the related disclosures have not been determined.</w:t>
      </w:r>
    </w:p>
    <w:p>
      <w:pPr>
        <w:spacing w:after="0" w:line="204" w:lineRule="exact"/>
        <w:rPr>
          <w:sz w:val="20"/>
          <w:szCs w:val="20"/>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Unusual Items</w:t>
      </w:r>
    </w:p>
    <w:p>
      <w:pPr>
        <w:spacing w:after="0" w:line="207" w:lineRule="exact"/>
        <w:rPr>
          <w:sz w:val="20"/>
          <w:szCs w:val="20"/>
          <w:color w:val="auto"/>
        </w:rPr>
      </w:pPr>
    </w:p>
    <w:p>
      <w:pPr>
        <w:jc w:val="both"/>
        <w:ind w:left="532" w:right="1999" w:firstLine="527"/>
        <w:spacing w:after="0" w:line="237" w:lineRule="auto"/>
        <w:rPr>
          <w:sz w:val="20"/>
          <w:szCs w:val="20"/>
          <w:color w:val="auto"/>
        </w:rPr>
      </w:pPr>
      <w:r>
        <w:rPr>
          <w:rFonts w:ascii="Courier New" w:cs="Courier New" w:eastAsia="Courier New" w:hAnsi="Courier New"/>
          <w:sz w:val="18"/>
          <w:szCs w:val="18"/>
          <w:color w:val="auto"/>
        </w:rPr>
        <w:t>For the nine months ended June 29, 1996, the Company recorded unusual charges of $8.6 million, of which $4.5 million was related to the closure of idle facilities and asset write-downs, and $4.1 million was employee severance expenses. These non-recurring charges arose as a direct result of management's commitment to reduce costs and achieve more profitable growth. As of June 29, 1996 approximately $2.2 million remained in accrued liabilities related to these charges. It is currently anticipated the remaining balance will be expended by the end of fiscal 1996.</w:t>
      </w:r>
    </w:p>
    <w:p>
      <w:pPr>
        <w:spacing w:after="0" w:line="208"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1"/>
          </w:cols>
          <w:pgMar w:left="248" w:top="1325" w:right="1440" w:bottom="159" w:gutter="0" w:footer="0" w:header="0"/>
          <w:type w:val="continuous"/>
        </w:sectPr>
      </w:pPr>
    </w:p>
    <w:bookmarkStart w:id="9" w:name="page10"/>
    <w:bookmarkEnd w:id="9"/>
    <w:p>
      <w:pPr>
        <w:ind w:left="2320"/>
        <w:spacing w:after="0"/>
        <w:rPr>
          <w:sz w:val="20"/>
          <w:szCs w:val="20"/>
          <w:color w:val="auto"/>
        </w:rPr>
      </w:pPr>
      <w:r>
        <w:rPr>
          <w:rFonts w:ascii="Courier New" w:cs="Courier New" w:eastAsia="Courier New" w:hAnsi="Courier New"/>
          <w:sz w:val="18"/>
          <w:szCs w:val="18"/>
          <w:color w:val="auto"/>
        </w:rPr>
        <w:t>THE SCOTTS COMPANY AND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Computation</w:t>
      </w:r>
    </w:p>
    <w:p>
      <w:pPr>
        <w:spacing w:after="0" w:line="207" w:lineRule="exact"/>
        <w:rPr>
          <w:sz w:val="20"/>
          <w:szCs w:val="20"/>
          <w:color w:val="auto"/>
        </w:rPr>
      </w:pPr>
    </w:p>
    <w:p>
      <w:pPr>
        <w:jc w:val="both"/>
        <w:ind w:left="540" w:right="1999" w:firstLine="527"/>
        <w:spacing w:after="0" w:line="235" w:lineRule="auto"/>
        <w:rPr>
          <w:sz w:val="20"/>
          <w:szCs w:val="20"/>
          <w:color w:val="auto"/>
        </w:rPr>
      </w:pPr>
      <w:r>
        <w:rPr>
          <w:rFonts w:ascii="Courier New" w:cs="Courier New" w:eastAsia="Courier New" w:hAnsi="Courier New"/>
          <w:sz w:val="18"/>
          <w:szCs w:val="18"/>
          <w:color w:val="auto"/>
        </w:rPr>
        <w:t>The following table presents information necessary to calculate net income per common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c>
          <w:tcPr>
            <w:tcW w:w="2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July 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29,</w:t>
            </w:r>
          </w:p>
        </w:tc>
        <w:tc>
          <w:tcPr>
            <w:tcW w:w="1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July 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29,</w:t>
            </w:r>
          </w:p>
        </w:tc>
      </w:tr>
      <w:tr>
        <w:trPr>
          <w:trHeight w:val="203"/>
        </w:trPr>
        <w:tc>
          <w:tcPr>
            <w:tcW w:w="43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income .............................</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$13,026</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$ 7,606</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$22,222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$11,062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 Convertible Preferred</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dividend .....................</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7,313</w:t>
            </w:r>
          </w:p>
        </w:tc>
      </w:tr>
      <w:tr>
        <w:trPr>
          <w:trHeight w:val="203"/>
        </w:trPr>
        <w:tc>
          <w:tcPr>
            <w:tcW w:w="4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used in net income per</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share calculation ...........</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$13,026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$ 7,606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$22,222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$ 3,749</w:t>
            </w:r>
          </w:p>
        </w:tc>
      </w:tr>
      <w:tr>
        <w:trPr>
          <w:trHeight w:val="203"/>
        </w:trPr>
        <w:tc>
          <w:tcPr>
            <w:tcW w:w="4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 during the period ......</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18,667</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18,941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18,667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18,832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Assuming conversion of Class A</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Convertible Preferred Stock ........</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4,562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10,263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1,520</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Assuming exercise of options</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using the Treasury Stock ...........</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236</w:t>
            </w:r>
          </w:p>
        </w:tc>
      </w:tr>
      <w:tr>
        <w:trPr>
          <w:trHeight w:val="203"/>
        </w:trPr>
        <w:tc>
          <w:tcPr>
            <w:tcW w:w="4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Method</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outstanding as adjusted .....</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23,580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29,352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20,380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19,068</w:t>
            </w:r>
          </w:p>
        </w:tc>
      </w:tr>
      <w:tr>
        <w:trPr>
          <w:trHeight w:val="203"/>
        </w:trPr>
        <w:tc>
          <w:tcPr>
            <w:tcW w:w="4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Income per common share ...............</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.55</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.26</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1.09</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.20</w:t>
            </w:r>
          </w:p>
        </w:tc>
      </w:tr>
      <w:tr>
        <w:trPr>
          <w:trHeight w:val="203"/>
        </w:trPr>
        <w:tc>
          <w:tcPr>
            <w:tcW w:w="4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40" w:right="1999"/>
        <w:spacing w:after="0" w:line="237" w:lineRule="auto"/>
        <w:rPr>
          <w:sz w:val="20"/>
          <w:szCs w:val="20"/>
          <w:color w:val="auto"/>
        </w:rPr>
      </w:pPr>
      <w:r>
        <w:rPr>
          <w:rFonts w:ascii="Courier New" w:cs="Courier New" w:eastAsia="Courier New" w:hAnsi="Courier New"/>
          <w:sz w:val="18"/>
          <w:szCs w:val="18"/>
          <w:color w:val="auto"/>
        </w:rPr>
        <w:t>The earnings per share computation is based on the weighted average number of common shares and common share equivalents (stock options, Class A Convertible Preferred Stock and warrants) outstanding each period. The shares of Class A Convertible Preferred Stock were issued in connection with the Miracle-Gro merger transactions on May 19, 1995. These shares were not considered in the earnings per share computation for the nine months ended June 29, 1996 because they were antidilutive for such period.</w:t>
      </w:r>
    </w:p>
    <w:p>
      <w:pPr>
        <w:spacing w:after="0" w:line="212" w:lineRule="exact"/>
        <w:rPr>
          <w:sz w:val="20"/>
          <w:szCs w:val="20"/>
          <w:color w:val="auto"/>
        </w:rPr>
      </w:pPr>
    </w:p>
    <w:p>
      <w:pPr>
        <w:jc w:val="both"/>
        <w:ind w:left="540" w:right="1999"/>
        <w:spacing w:after="0" w:line="235" w:lineRule="auto"/>
        <w:rPr>
          <w:sz w:val="20"/>
          <w:szCs w:val="20"/>
          <w:color w:val="auto"/>
        </w:rPr>
      </w:pPr>
      <w:r>
        <w:rPr>
          <w:rFonts w:ascii="Courier New" w:cs="Courier New" w:eastAsia="Courier New" w:hAnsi="Courier New"/>
          <w:sz w:val="18"/>
          <w:szCs w:val="18"/>
          <w:color w:val="auto"/>
        </w:rPr>
        <w:t>Fully diluted net income per common share is not materially different from primary net income per common share.</w:t>
      </w:r>
    </w:p>
    <w:p>
      <w:pPr>
        <w:spacing w:after="0" w:line="203"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Purchase</w:t>
      </w:r>
    </w:p>
    <w:p>
      <w:pPr>
        <w:spacing w:after="0" w:line="206" w:lineRule="exact"/>
        <w:rPr>
          <w:rFonts w:ascii="Courier New" w:cs="Courier New" w:eastAsia="Courier New" w:hAnsi="Courier New"/>
          <w:sz w:val="18"/>
          <w:szCs w:val="18"/>
          <w:color w:val="auto"/>
        </w:rPr>
      </w:pPr>
    </w:p>
    <w:p>
      <w:pPr>
        <w:jc w:val="both"/>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May 1996, the Board of Directors authorized the purchase of up to 550,000 of the Company's common shares in the open market. The common shares will be held as treasury shares and will be used for the exercise of employee stock options. As of June 29, 1996, 227,300 common shares have been repurchased for an aggregate price of $4.2 million. The additional 322,700 common shares were purchased by July 24,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1325" w:right="1440" w:bottom="767" w:gutter="0" w:footer="0" w:header="0"/>
        </w:sectPr>
      </w:pPr>
    </w:p>
    <w:bookmarkStart w:id="10" w:name="page11"/>
    <w:bookmarkEnd w:id="10"/>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2" w:hanging="532"/>
        <w:spacing w:after="0"/>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6" w:lineRule="exact"/>
        <w:rPr>
          <w:rFonts w:ascii="Courier New" w:cs="Courier New" w:eastAsia="Courier New" w:hAnsi="Courier New"/>
          <w:sz w:val="18"/>
          <w:szCs w:val="18"/>
          <w:color w:val="auto"/>
        </w:rPr>
      </w:pPr>
    </w:p>
    <w:p>
      <w:pPr>
        <w:jc w:val="both"/>
        <w:ind w:left="53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the more significant of the Company's identified contingencies.</w:t>
      </w:r>
    </w:p>
    <w:p>
      <w:pPr>
        <w:spacing w:after="0" w:line="212" w:lineRule="exact"/>
        <w:rPr>
          <w:rFonts w:ascii="Courier New" w:cs="Courier New" w:eastAsia="Courier New" w:hAnsi="Courier New"/>
          <w:sz w:val="18"/>
          <w:szCs w:val="18"/>
          <w:color w:val="auto"/>
        </w:rPr>
      </w:pPr>
    </w:p>
    <w:p>
      <w:pPr>
        <w:jc w:val="both"/>
        <w:ind w:left="532"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As a result of the joint and several liability of PRP's, the Company may be subject to financial participation in the costs of the remediation plan, if any. However, management does not believe any such obligations would have a significant adverse effect on the Company's results of operations or financial condition.</w:t>
      </w:r>
    </w:p>
    <w:p>
      <w:pPr>
        <w:spacing w:after="0" w:line="208" w:lineRule="exact"/>
        <w:rPr>
          <w:rFonts w:ascii="Courier New" w:cs="Courier New" w:eastAsia="Courier New" w:hAnsi="Courier New"/>
          <w:sz w:val="18"/>
          <w:szCs w:val="18"/>
          <w:color w:val="auto"/>
        </w:rPr>
      </w:pPr>
    </w:p>
    <w:p>
      <w:pPr>
        <w:jc w:val="both"/>
        <w:ind w:left="532" w:right="19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July 1990, the Philadelphia district of the Army Corps of Engineers directed that peat harvesting operations be discontinued at Hyponex's Lafayette, New Jersey facility, and the Company complied. In May 1992, the Department of Justice in the U. 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395" w:lineRule="exact"/>
        <w:rPr>
          <w:rFonts w:ascii="Courier New" w:cs="Courier New" w:eastAsia="Courier New" w:hAnsi="Courier New"/>
          <w:sz w:val="18"/>
          <w:szCs w:val="18"/>
          <w:color w:val="auto"/>
        </w:rPr>
      </w:pPr>
    </w:p>
    <w:p>
      <w:pPr>
        <w:jc w:val="both"/>
        <w:ind w:left="532" w:right="19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this proceeding will have a material adverse effect on its financial condition or results of operations.</w:t>
      </w:r>
    </w:p>
    <w:p>
      <w:pPr>
        <w:spacing w:after="0" w:line="185" w:lineRule="exact"/>
        <w:rPr>
          <w:rFonts w:ascii="Courier New" w:cs="Courier New" w:eastAsia="Courier New" w:hAnsi="Courier New"/>
          <w:sz w:val="18"/>
          <w:szCs w:val="18"/>
          <w:color w:val="auto"/>
        </w:rPr>
      </w:pPr>
    </w:p>
    <w:p>
      <w:pPr>
        <w:jc w:val="both"/>
        <w:ind w:left="532" w:right="1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January 30, 1996, the United States Environmental Protection Agency (the "U. S. EPA") served a Complaint and Notice of Opportunity for Hearing upon Sierra's wholly-owned subsidiary, Scotts-Sierra Crop Protection Company ("Crop Protection"). The Complaint alleged labeling violations under the Federal Insecticide, Fungicide and Rodenticide Act ("FIFRA") during 1992 and 1993 and proposed penalties totaling $785,000, the maximum allowable under FIFRA according to management's calculations. On April 18, 1996, an EPA Administrative Law judge dismissed the EPA's complaint without prejudice, due to deficiencies in the pleadings. However, on April 30, 1996, the U.S. EPA filed a second amended complaint correcting such deficiencies. Based upon Crop Protection's good faith</w:t>
      </w:r>
    </w:p>
    <w:p>
      <w:pPr>
        <w:spacing w:after="0" w:line="200" w:lineRule="exact"/>
        <w:rPr>
          <w:sz w:val="20"/>
          <w:szCs w:val="20"/>
          <w:color w:val="auto"/>
        </w:rPr>
      </w:pPr>
    </w:p>
    <w:p>
      <w:pPr>
        <w:spacing w:after="0" w:line="387"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1"/>
          </w:cols>
          <w:pgMar w:left="248" w:top="717" w:right="1440" w:bottom="970" w:gutter="0" w:footer="0" w:header="0"/>
        </w:sectPr>
      </w:pPr>
    </w:p>
    <w:bookmarkStart w:id="11" w:name="page12"/>
    <w:bookmarkEnd w:id="11"/>
    <w:p>
      <w:pPr>
        <w:ind w:left="1040"/>
        <w:spacing w:after="0"/>
        <w:rPr>
          <w:sz w:val="20"/>
          <w:szCs w:val="20"/>
          <w:color w:val="auto"/>
        </w:rPr>
      </w:pPr>
      <w:r>
        <w:rPr>
          <w:rFonts w:ascii="Courier New" w:cs="Courier New" w:eastAsia="Courier New" w:hAnsi="Courier New"/>
          <w:sz w:val="18"/>
          <w:szCs w:val="18"/>
          <w:color w:val="auto"/>
        </w:rPr>
        <w:t>THE SCOTTS COMPANY AND SUBSIDIARIES</w:t>
      </w:r>
    </w:p>
    <w:p>
      <w:pPr>
        <w:ind w:left="62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compliance actions and FIFRA's provisions for "gravity-based" penalty reductions, management believes Crop Protection's maximum liability in this action to be $200,000. The Company does not believe that the outcome of this proceeding will have a material adverse effect on its financial condition or results of operations.</w:t>
      </w:r>
    </w:p>
    <w:p>
      <w:pPr>
        <w:spacing w:after="0" w:line="209"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During 1993 and 1994, Stern's Miracle-Gro Products, Inc. ("Miracle-Gro Products") discussed with Pursell Industries, Inc. ("Pursell") the feasibility of forming a joint venture to produce and market a line of slow-release lawn food, and in October 1993, signed a non-binding "heads of agreement." After the merger transactions between the Company and the Miracle-Gro Companies were announced, Pursell demanded that Miracle-Gro Products reimburse it for monies allegedly spent by Pursell in connection with the proposed project. Because Miracle-Gro Products did not believe that any such monies were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Products owed no monies to Pursell relating to the proposed project and that no joint venture was formed. Pursell moved to dismiss the New York Action in favor of the Alabama action described below, which motion was granted August 7, 1995.</w:t>
      </w:r>
    </w:p>
    <w:p>
      <w:pPr>
        <w:spacing w:after="0" w:line="209"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On March 2, 1995, Pursell instituted an action in the United States District Court for the Northern District of Alabama, Pursell Industries, Inc. v. Stern's Miracle-Gro Products, Inc., CV-95-C-0524-S (the "Alabama Action"), alleging, among other things, that a joint venture was formed, that Miracle-Gro Products breached an alleged joint venture contract, committed fraud, and breached an alleged fiduciary duty owed Pursell by not informing Pursell of negotiations concerning the merger transactions. On December 18, 1995, Pursell filed an amended complaint in the Alabama Action in which Scotts was named as an additional party defendant. The amended complaint contains a number of allegations and seeks compensatory damages in excess of $10 million, punitive damages of $20 million, treble damages as allowed by law and injunctive relief with respect to the advertising and trade dress allegations. The Company does not believe that the amended complaint has any merit and intends to vigorously defend that action.</w:t>
      </w:r>
    </w:p>
    <w:p>
      <w:pPr>
        <w:spacing w:after="0" w:line="20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On April 14, 1996, in response to discussions with Scotts regarding the possible infringement upon certain Scotts' patents by one or several of Pursell's controlled-release fertilizers, Pursell instituted a second action in the United States District Court for the Northern District of Alabama, Pursell Industries, Inc. v. The Scotts Company, CV-96-AR-931-S (the "Patent Action"). Pursell has alleged, among other things, that Scotts' marking of its Poly-S fertilizers with Scotts' patents constitutes false marking under 35 U.S.C. Sec. 292 and that Scotts' conduct constitutes unfair competition. The complaint seeks declarations that, among other things, Scotts' patents are invalid and that Pursell has not infringed any of Scotts' patents. It further seeks that Scotts be enjoined from bringing a patent infringement suit against Pursell and requests that Pursell be awarded its costs of the action and such other relief as deemed proper. The Company does not believe that this action has merit and intends to vigorously defend it and to possibly bring counterclaims against Pursell.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9679"/>
          </w:cols>
          <w:pgMar w:left="780" w:top="1325" w:right="1440" w:bottom="1440" w:gutter="0" w:footer="0" w:header="0"/>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w:t>
      </w:r>
    </w:p>
    <w:p>
      <w:pPr>
        <w:ind w:left="960"/>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NET SALES BY BUSINESS GROUP</w:t>
      </w: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05"/>
        </w:trPr>
        <w:tc>
          <w:tcPr>
            <w:tcW w:w="2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60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July 1,1995</w:t>
            </w:r>
          </w:p>
        </w:tc>
        <w:tc>
          <w:tcPr>
            <w:tcW w:w="25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June 29, 1996</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2740" w:type="dxa"/>
            <w:vAlign w:val="bottom"/>
          </w:tcPr>
          <w:p>
            <w:pPr>
              <w:spacing w:after="0"/>
              <w:rPr>
                <w:sz w:val="17"/>
                <w:szCs w:val="17"/>
                <w:color w:val="auto"/>
              </w:rPr>
            </w:pP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Consumer Lawn</w:t>
            </w:r>
          </w:p>
        </w:tc>
        <w:tc>
          <w:tcPr>
            <w:tcW w:w="2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$ 152,326</w:t>
            </w:r>
          </w:p>
        </w:tc>
        <w:tc>
          <w:tcPr>
            <w:tcW w:w="25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$ 143,796</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Consumer Garden</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20,761</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47,819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Professional</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39,265</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36,903</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16,676</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19,447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$ 229,028</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$ 247,965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5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Nine Months Ended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60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July 1,1995</w:t>
            </w:r>
          </w:p>
        </w:tc>
        <w:tc>
          <w:tcPr>
            <w:tcW w:w="25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June 29, 1996</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2740" w:type="dxa"/>
            <w:vAlign w:val="bottom"/>
          </w:tcPr>
          <w:p>
            <w:pPr>
              <w:spacing w:after="0"/>
              <w:rPr>
                <w:sz w:val="17"/>
                <w:szCs w:val="17"/>
                <w:color w:val="auto"/>
              </w:rPr>
            </w:pP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Consumer Lawn</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$ 380,139</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$ 355,277</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Consumer Garden</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29,891</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107,136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Professional</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101,244</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98,234</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51,865</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56,470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$ 563,139</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$ 617,117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June 29, 1996, versus Three Months Ended</w:t>
      </w:r>
    </w:p>
    <w:p>
      <w:pPr>
        <w:ind w:left="960"/>
        <w:spacing w:after="0" w:line="238" w:lineRule="auto"/>
        <w:rPr>
          <w:sz w:val="20"/>
          <w:szCs w:val="20"/>
          <w:color w:val="auto"/>
        </w:rPr>
      </w:pPr>
      <w:r>
        <w:rPr>
          <w:rFonts w:ascii="Courier New" w:cs="Courier New" w:eastAsia="Courier New" w:hAnsi="Courier New"/>
          <w:sz w:val="18"/>
          <w:szCs w:val="18"/>
          <w:color w:val="auto"/>
        </w:rPr>
        <w:t>July 1, 1995</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sales increased 8.3% to $248.0 million. The increase is primarily attributable to the inclusion of Miracle-Gro, partially offset by the unfavorable impact of a cool, wet spring on all Business Groups and a Consumer Lawn Business Group promotion program incentivizing retailers to purchase their spring 1996 requirements in the latter part of 1995 and the first quarter of 1996. On a pro forma basis, assuming the Miracle-Gro merger transactions occurred October 1, 1994, net sales decreased by $9.9 million or 3.8%.</w:t>
      </w:r>
    </w:p>
    <w:p>
      <w:pPr>
        <w:spacing w:after="0" w:line="212"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Consumer Lawn Business Group had net sales of $143.8 million, a decrease of 5.6%. The decrease is attributable to the cool, wet spring and the retailer promotion program incentivizing early purchases. The retailer promotion resulted in large trade inventories entering the 1996 selling season. Sales decreases in fertilizers and organics were partially offset by increased seed sales. The Consumer Garden Business Group had net sales of $47.8 million, an increase of 130.3% due principally to the inclusion of Miracle-Gro for the full period in 1996. Professional Business Group net sales decreased 6.0% to $36.9 million due to poor weather in its major markets, resulting in decreased volume. International sales increased 16.6% to $19.4 million, primarily from increased volume.</w:t>
      </w:r>
    </w:p>
    <w:p>
      <w:pPr>
        <w:spacing w:after="0" w:line="216"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Cost of sales represented 53.7% of net sales, up 1.1% compared to 52.6% of net sales last year. The increase was attributable to higher raw material costs and higher manufacturing unit costs resulting from lower sales volumes.</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919" w:right="1440" w:bottom="767" w:gutter="0" w:footer="0" w:header="0"/>
        </w:sectPr>
      </w:pPr>
    </w:p>
    <w:bookmarkStart w:id="13" w:name="page14"/>
    <w:bookmarkEnd w:id="13"/>
    <w:p>
      <w:pPr>
        <w:jc w:val="both"/>
        <w:ind w:right="1999"/>
        <w:spacing w:after="0" w:line="270" w:lineRule="auto"/>
        <w:rPr>
          <w:sz w:val="20"/>
          <w:szCs w:val="20"/>
          <w:color w:val="auto"/>
        </w:rPr>
      </w:pPr>
      <w:r>
        <w:rPr>
          <w:rFonts w:ascii="Courier New" w:cs="Courier New" w:eastAsia="Courier New" w:hAnsi="Courier New"/>
          <w:sz w:val="16"/>
          <w:szCs w:val="16"/>
          <w:color w:val="auto"/>
        </w:rPr>
        <w:t>Operating expenses increased approximately 14.4% due partially to the inclusion of Miracle-Gro. Marketing expenses increased 29.4% as a result of the inclusion of Miracle-Gro, increased national brand advertising and additional investment in the International business, partially offset by lower retailer promotions. Distribution expenses decreased 8.3% as a result of a sales mix including Miracle-Gro, which has a proportionately lower distribution cost. General and administrative expenses increased 6% due to the inclusion of Miracle-Gro. Other income decreased 43.1% principally due to net foreign exchange losses. Amortization of goodwill and other intangibles increased as a result of the merger with Miracle-Gro. Unusual expenses of $3.3 million were recorded for facility closings and asset write-downs.</w:t>
      </w:r>
    </w:p>
    <w:p>
      <w:pPr>
        <w:spacing w:after="0" w:line="392"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Company's effective tax rate increased from 36.2% to 49.1%. This resulted from the combination of lower income before taxes and an increase in nondeductible amortization of goodwill and intangible assets in 1996. Additionally, the prior year's tax rate included a one-time benefit associated with the disposition of the Peter's consumer water soluble fertilizer business in 1995.</w:t>
      </w:r>
    </w:p>
    <w:p>
      <w:pPr>
        <w:spacing w:after="0" w:line="210"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income of $7.6 million decreased $5.4 million from 1995. Among the significant items impacting 1996 results were the positive impact of Miracle-Gro, offset by lower Consumer Lawn and Professional sales volumes, $3.3 million of charges for the facility closing and asset write-downs and higher effective tax rate.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Nine Months Ended June 29, 1996 versus Nine Months Ended July 1, 1995</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sales increased to $617.1 million, up 9.6%. The increase is primarily attributable to the inclusion of Miracle-Gro, partially offset by the unfavorable impact of the extended cool, wet spring on all Business Groups, a Consumer Lawn Business Group promotion program which incentivized retailers to purchase spring requirements in the latter part of 1995 and the first quarter of 1996, and the divestiture of the Peter's U.S. consumer water soluble fertilizer business. On a pro forma basis, net sales decreased by $34.4 million or 5.3%.</w:t>
      </w:r>
    </w:p>
    <w:p>
      <w:pPr>
        <w:spacing w:after="0" w:line="212"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Consumer Lawn Business Group had net sales of $355.3 million, a decrease of 6.5%. The decrease is attributable to the retailer promotion program which resulted in unusually large trade inventories entering the 1996 selling season and unfavorable spring weather in most parts of the country. Sales decreases in fertilizers, spreaders and organics were partially offset by sales increases in seed. The Consumer Garden Business Group had net sales of $107.1 million, an increase of 258.4% due to the inclusion of Miracle-Gro, partially offset by the divestiture of the Peter's U.S. consumer water soluble fertilizer business. Professional Business Group net sales decreased 3.0% due to lower volume as a result of the poor weather in its major markets. International sales increased 8.9% to $56.5 million, primarily from increased volume.</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Cost of sales represented 53.9% of net sales, up 1% compared to 52.9% of net sales last year. The increase was principally attributable to higher raw material costs and higher manufacturing unit costs resulting from lower sales volumes.</w:t>
      </w:r>
    </w:p>
    <w:p>
      <w:pPr>
        <w:spacing w:after="0" w:line="207"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Operating expenses increased 15.9% partially due to the inclusion of Miracle-Gro. Marketing expenses increased 22.0% due to the inclusion of Miracle-Gro, increased national advertising and additional investment in the International business, partially offset by lower promotions to retailers. Distribution costs decreased 3.5% as a result of a sales mix, including Miracle-Gro, which has a proportionately lower distribution cost. General and administrative costs increased 22.2% due to the inclusion of Miracle-Gro and increased bad debt expense. Other income increased 378.9% principally due to an increase in income of unconsolidated businesses. Amortization of goodwill and other intangibles increased as a result of the merger transactions with Miracle-Gro. Unusual expenses of $8.6 million were recorded for restructuring charges related to personnel reductions, facilities closings and asset write-downs.</w:t>
      </w:r>
    </w:p>
    <w:p>
      <w:pPr>
        <w:spacing w:after="0" w:line="207"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Interest expense increased 4.8%. The increase was caused primarily by an increase in borrowing levels in the first quarter.</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23" w:right="1440" w:bottom="767" w:gutter="0" w:footer="0" w:header="0"/>
        </w:sectPr>
      </w:pPr>
    </w:p>
    <w:bookmarkStart w:id="14" w:name="page15"/>
    <w:bookmarkEnd w:id="14"/>
    <w:p>
      <w:pPr>
        <w:jc w:val="both"/>
        <w:ind w:right="1999"/>
        <w:spacing w:after="0" w:line="237" w:lineRule="auto"/>
        <w:rPr>
          <w:sz w:val="20"/>
          <w:szCs w:val="20"/>
          <w:color w:val="auto"/>
        </w:rPr>
      </w:pPr>
      <w:r>
        <w:rPr>
          <w:rFonts w:ascii="Courier New" w:cs="Courier New" w:eastAsia="Courier New" w:hAnsi="Courier New"/>
          <w:sz w:val="18"/>
          <w:szCs w:val="18"/>
          <w:color w:val="auto"/>
        </w:rPr>
        <w:t>The Company's effective tax rate increased from 38.5% to 48.0% in 1996. This resulted from the combination of lower income before taxes and an increase in nondeductible amortization of goodwill and intangible assets, and the one-time benefit in 1995 of the sale of the Peter's consumer water soluble fertilizer business.</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income of $11.1 million decreased by $11.2 million from 1995. Among the significant items impacting the 1996 results were the positive impact from Miracle-Gro, offset by lower sales volumes in the Consumer Lawn and Professional Business Groups, a $8.6 million charge for unusual items and the higher effective tax rate.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of June 29, 1996</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Current assets of $320.7 million decreased by $30.2 million compared with current assets at September 30, 1995 and by $8.7 million compared with current assets at July 1, 1995. At September 30, 1995 receivables were higher than normal due to the promotional program which incentivized retailers to purchase their spring 1996 requirements early. As of June 29, 1996 the majority of those receivables had been collected. Compared to September 30, 1995, inventories as of June 30, 1996 were higher due to the seasonal nature of the Company's business. Compared to July 1, 1995, current assets decreased principally as a result of the impact of the unfavorable spring weather on sales and receivables.</w:t>
      </w:r>
    </w:p>
    <w:p>
      <w:pPr>
        <w:spacing w:after="0" w:line="215"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Current liabilities of $129.0 increased by $5.1 million from September 30, 1995 and decreased by $5.7 million as compared with current liabilities at July 1, 1995. The increase compared with September 30, 1995 is due to higher accrued expenses resulting from accrued severance and higher seasonal average borrowings which increased accrued interest. Accrued taxes increased as a result of the higher effective tax rate and the timing of tax payments. The increases were partially offset by lower trade payables. The decrease compared with July 1, 1995 is caused by decreased short-term borrowings and trade payables partially offset by increased accrued expenses and taxes.</w:t>
      </w:r>
    </w:p>
    <w:p>
      <w:pPr>
        <w:spacing w:after="0" w:line="21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Long-term debt decreased by $51.2 million compared with long-term debt at September 30, 1995 and by $22.2 million compared with long-term debt at July 1, 1995. The decrease compared with September 30, 1995 is principally the result of cash generated from operations during the first nine months of 1996 offset by capital expenditures and preferred stock dividends.</w:t>
      </w:r>
    </w:p>
    <w:p>
      <w:pPr>
        <w:spacing w:after="0" w:line="209" w:lineRule="exact"/>
        <w:rPr>
          <w:sz w:val="20"/>
          <w:szCs w:val="20"/>
          <w:color w:val="auto"/>
        </w:rPr>
      </w:pPr>
    </w:p>
    <w:p>
      <w:pPr>
        <w:jc w:val="both"/>
        <w:ind w:right="1999"/>
        <w:spacing w:after="0" w:line="270" w:lineRule="auto"/>
        <w:rPr>
          <w:sz w:val="20"/>
          <w:szCs w:val="20"/>
          <w:color w:val="auto"/>
        </w:rPr>
      </w:pPr>
      <w:r>
        <w:rPr>
          <w:rFonts w:ascii="Courier New" w:cs="Courier New" w:eastAsia="Courier New" w:hAnsi="Courier New"/>
          <w:sz w:val="16"/>
          <w:szCs w:val="16"/>
          <w:color w:val="auto"/>
        </w:rPr>
        <w:t>Shareholders' equity at June 29, 1996 increased by $5.0 million compared with shareholders' equity at September 30, 1995 and by $1.6 million compared with shareholders' equity at July 1, 1995. The increase compared with September 30, 1995 reflects net income for the nine months of $11.1 million and the issuance of treasury stock for options exercised of $7.4 million, offset by Class A Convertible Preferred Stock dividends of $7.3 million, repurchase of treasury stock of $4.2 million and the change in the cumulative foreign currency adjustment of $2.0 million. The increase compared with July 1, 1995 reflects net income for the twelve months ended June 29, 1996 of $11.2 million and the issuance of treasury stock for options exercised of $7.8 million, offset by Class A Convertible Preferred Stock dividends of $9.8 million, repurchase of treasury stock of $4.2 million and the change in the cumulative foreign currency adjustment of $3.6 million.</w:t>
      </w:r>
    </w:p>
    <w:p>
      <w:pPr>
        <w:spacing w:after="0" w:line="38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Capital expenditures for the year ended September 30, 1996 are expected to be approximately $20.0 million. The Company's Credit Agreement restricts the amount the Company may spend on capital expenditures to $50 million per year for fiscal 1996 and each year thereafter. Fiscal 1996 capital expenditures are expected to be financed with cash provided by operations and utilization of available credit facilities.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15" w:name="page16"/>
    <w:bookmarkEnd w:id="15"/>
    <w:p>
      <w:pPr>
        <w:spacing w:after="0" w:line="93"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The Company has foreign exchange rate risk related to international earnings and cash flows. During fiscal 1995, a management program was designed to minimize the exposure to adverse currency impacts on the cash value of the Company's non-local currency receivables and payables, as well as the associated earnings impact. The Company has entered into forward foreign exchange contracts and purchased currency options tied to the economic value of receivables,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is intended to minimize but cannot completely eliminate the Company's exposure to adverse foreign currency movements.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As of June 29, 1996, the Company's European operations had foreign exchange risk in various currencies tied to the Dutch Guilder. These currencies include the Australian Dollar, Belgian Franc, German Mark, Spanish Peseta, Italian Lira, French Franc, British Pound and the U.S. Dollar. The Company's U.S. operations had foreign exchange rate risk in the Canadian Dollar, Dutch Guilder and the British Pound which are tied to the U.S. Dollar. As of June 29, 1996, outstanding foreign exchange forward contracts had a contract value of approximately $12.8 million and outstanding purchased currency options had a contract value of approximately $2.0 million. These contracts have maturity dates ranging from July 3, 1996 to October 2, 1996.</w:t>
      </w:r>
    </w:p>
    <w:p>
      <w:pPr>
        <w:spacing w:after="0" w:line="215"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primary sources of liquidity for the Company are funds generated by operations and borrowings under the Company's Credit Agreement. As amended, the Credit Agreement provides, up to $375 million through March 31, 2000, and does not contain a term loan facility.</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 the opinion of the Company's management, cash flows from operations and capital resources will be sufficient to meet debt service and working capital needs during the 1996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Company is subject to the effect of changing prices. The Company has, however, generally been able to pass along inflationary increases in its costs by increasing the prices of its products.</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Selective price increases for products which contain urea became effective at the beginning of 1996. The price increases offset higher urea prices experienced by the Company. In addition, the Company has entered into a supply agreement through the year 2000, under which the Company is required to purchase set tonnage of urea at a set price.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 December 1995, the Financial Accounting Standards Board issued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Company's management continually evaluates the Company's contingencies, including various lawsuits and claims which arise in the normal course of business. In the opinion of management, its assessment of contingencies is reasonable and the related reserves, in the aggregate, are adequate; however, there can be no assurance that future quarterly or annual operating results will not be materially affected by final resolution of these matters. Additional information with respect to the more significant of these matters is described in footnote number 9 to the Company's Consolidated Financial Statements.</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1440" w:right="1440" w:bottom="767"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jc w:val="both"/>
        <w:ind w:left="860" w:right="1999"/>
        <w:spacing w:after="0" w:line="236" w:lineRule="auto"/>
        <w:rPr>
          <w:sz w:val="20"/>
          <w:szCs w:val="20"/>
          <w:color w:val="auto"/>
        </w:rPr>
      </w:pPr>
      <w:r>
        <w:rPr>
          <w:rFonts w:ascii="Courier New" w:cs="Courier New" w:eastAsia="Courier New" w:hAnsi="Courier New"/>
          <w:sz w:val="18"/>
          <w:szCs w:val="18"/>
          <w:color w:val="auto"/>
        </w:rPr>
        <w:t>Please see the information provided in Footnote 9 to the Company's Consolidated Financial Statements on pages 9 and 10 of this Report, which information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2-3</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 Other Information</w:t>
      </w:r>
    </w:p>
    <w:p>
      <w:pPr>
        <w:spacing w:after="0" w:line="207" w:lineRule="exact"/>
        <w:rPr>
          <w:sz w:val="20"/>
          <w:szCs w:val="20"/>
          <w:color w:val="auto"/>
        </w:rPr>
      </w:pPr>
    </w:p>
    <w:p>
      <w:pPr>
        <w:jc w:val="both"/>
        <w:ind w:left="860" w:right="1999"/>
        <w:spacing w:after="0" w:line="237" w:lineRule="auto"/>
        <w:rPr>
          <w:sz w:val="20"/>
          <w:szCs w:val="20"/>
          <w:color w:val="auto"/>
        </w:rPr>
      </w:pPr>
      <w:r>
        <w:rPr>
          <w:rFonts w:ascii="Courier New" w:cs="Courier New" w:eastAsia="Courier New" w:hAnsi="Courier New"/>
          <w:sz w:val="18"/>
          <w:szCs w:val="18"/>
          <w:color w:val="auto"/>
        </w:rPr>
        <w:t>On August 7, 1996, the Company issued a press release, attached hereto as Exhibit 99, regarding the election of Charles M. Berger as the Company's Chairman of the Board, President and Chief Executive Officer. Mr. Berger succeeds Tadd C. Seitz as Chairman and filled the President and CEO position that Mr. Seitz had resumed on an interim basis, at the Board's request, in February 1996.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7" w:lineRule="exact"/>
        <w:rPr>
          <w:sz w:val="20"/>
          <w:szCs w:val="20"/>
          <w:color w:val="auto"/>
        </w:rPr>
      </w:pPr>
    </w:p>
    <w:p>
      <w:pPr>
        <w:ind w:left="1580" w:right="1999" w:hanging="519"/>
        <w:spacing w:after="0" w:line="235"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17 for a list of the exhibits included herewith.</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fiscal quarter ended June 29,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919" w:right="1440" w:bottom="1440" w:gutter="0" w:footer="0" w:header="0"/>
        </w:sectPr>
      </w:pPr>
    </w:p>
    <w:bookmarkStart w:id="17" w:name="page18"/>
    <w:bookmarkEnd w:id="17"/>
    <w:p>
      <w:pPr>
        <w:ind w:left="358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160" w:space="120"/>
            <w:col w:w="493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August 9, 1996</w:t>
      </w:r>
      <w:r>
        <w:rPr>
          <w:sz w:val="20"/>
          <w:szCs w:val="20"/>
          <w:color w:val="auto"/>
        </w:rPr>
        <w:tab/>
      </w:r>
      <w:r>
        <w:rPr>
          <w:rFonts w:ascii="Courier New" w:cs="Courier New" w:eastAsia="Courier New" w:hAnsi="Courier New"/>
          <w:sz w:val="16"/>
          <w:szCs w:val="16"/>
          <w:color w:val="auto"/>
        </w:rPr>
        <w:t>/s/ Paul D. Yeager</w:t>
      </w:r>
    </w:p>
    <w:p>
      <w:pPr>
        <w:ind w:left="5380"/>
        <w:spacing w:after="0" w:line="238" w:lineRule="auto"/>
        <w:rPr>
          <w:sz w:val="20"/>
          <w:szCs w:val="20"/>
          <w:color w:val="auto"/>
        </w:rPr>
      </w:pPr>
      <w:r>
        <w:rPr>
          <w:rFonts w:ascii="Courier New" w:cs="Courier New" w:eastAsia="Courier New" w:hAnsi="Courier New"/>
          <w:sz w:val="18"/>
          <w:szCs w:val="18"/>
          <w:color w:val="auto"/>
        </w:rPr>
        <w:t>__________________________</w:t>
      </w:r>
    </w:p>
    <w:p>
      <w:pPr>
        <w:ind w:left="5380"/>
        <w:spacing w:after="0"/>
        <w:rPr>
          <w:sz w:val="20"/>
          <w:szCs w:val="20"/>
          <w:color w:val="auto"/>
        </w:rPr>
      </w:pPr>
      <w:r>
        <w:rPr>
          <w:rFonts w:ascii="Courier New" w:cs="Courier New" w:eastAsia="Courier New" w:hAnsi="Courier New"/>
          <w:sz w:val="18"/>
          <w:szCs w:val="18"/>
          <w:color w:val="auto"/>
        </w:rPr>
        <w:t>Paul D. Yeager</w:t>
      </w:r>
    </w:p>
    <w:p>
      <w:pPr>
        <w:ind w:left="5380"/>
        <w:spacing w:after="0" w:line="237" w:lineRule="auto"/>
        <w:rPr>
          <w:sz w:val="20"/>
          <w:szCs w:val="20"/>
          <w:color w:val="auto"/>
        </w:rPr>
      </w:pPr>
      <w:r>
        <w:rPr>
          <w:rFonts w:ascii="Courier New" w:cs="Courier New" w:eastAsia="Courier New" w:hAnsi="Courier New"/>
          <w:sz w:val="18"/>
          <w:szCs w:val="18"/>
          <w:color w:val="auto"/>
        </w:rPr>
        <w:t>Executive Vice President</w:t>
      </w:r>
    </w:p>
    <w:p>
      <w:pPr>
        <w:ind w:left="538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723" w:right="1440" w:bottom="1440" w:gutter="0" w:footer="0" w:header="0"/>
          <w:type w:val="continuous"/>
        </w:sectPr>
      </w:pPr>
    </w:p>
    <w:bookmarkStart w:id="18" w:name="page19"/>
    <w:bookmarkEnd w:id="18"/>
    <w:p>
      <w:pPr>
        <w:ind w:left="244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QUARTERLY REPORT ON FORM 10-Q 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FISCAL QUARTER ENDED JUNE 29, 1996</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Page</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240" w:space="720"/>
            <w:col w:w="3920" w:space="720"/>
            <w:col w:w="2619"/>
          </w:cols>
          <w:pgMar w:left="240" w:top="919" w:right="1440" w:bottom="144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ectPr>
          <w:pgSz w:w="11900" w:h="16838" w:orient="portrait"/>
          <w:cols w:equalWidth="0" w:num="3">
            <w:col w:w="1180" w:space="720"/>
            <w:col w:w="5700" w:space="200"/>
            <w:col w:w="2419"/>
          </w:cols>
          <w:pgMar w:left="240" w:top="919" w:right="1440" w:bottom="1440"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ectPr>
          <w:pgSz w:w="11900" w:h="16838" w:orient="portrait"/>
          <w:cols w:equalWidth="0" w:num="3">
            <w:col w:w="1180" w:space="720"/>
            <w:col w:w="5700" w:space="200"/>
            <w:col w:w="24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219"/>
          </w:cols>
          <w:pgMar w:left="240" w:top="919" w:right="1440" w:bottom="1440" w:gutter="0" w:footer="0" w:header="0"/>
          <w:type w:val="continuous"/>
        </w:sectPr>
      </w:pPr>
    </w:p>
    <w:bookmarkStart w:id="19" w:name="page20"/>
    <w:bookmarkEnd w:id="1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1959" w:firstLine="527"/>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at June 29, 1996 and statement of income for the nine months ended June 29, 1996 of The Scotts Company and its subsidiaries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SEP-30-1996</w:t>
      </w:r>
    </w:p>
    <w:p>
      <w:pPr>
        <w:ind w:left="3020"/>
        <w:spacing w:after="0"/>
        <w:rPr>
          <w:sz w:val="20"/>
          <w:szCs w:val="20"/>
          <w:color w:val="auto"/>
        </w:rPr>
      </w:pPr>
      <w:r>
        <w:rPr>
          <w:rFonts w:ascii="Courier New" w:cs="Courier New" w:eastAsia="Courier New" w:hAnsi="Courier New"/>
          <w:sz w:val="18"/>
          <w:szCs w:val="18"/>
          <w:color w:val="auto"/>
        </w:rPr>
        <w:t>OCT-01-1995</w:t>
      </w:r>
    </w:p>
    <w:p>
      <w:pPr>
        <w:ind w:left="3240"/>
        <w:spacing w:after="0" w:line="237" w:lineRule="auto"/>
        <w:rPr>
          <w:sz w:val="20"/>
          <w:szCs w:val="20"/>
          <w:color w:val="auto"/>
        </w:rPr>
      </w:pPr>
      <w:r>
        <w:rPr>
          <w:rFonts w:ascii="Courier New" w:cs="Courier New" w:eastAsia="Courier New" w:hAnsi="Courier New"/>
          <w:sz w:val="18"/>
          <w:szCs w:val="18"/>
          <w:color w:val="auto"/>
        </w:rPr>
        <w:t>JUN-29-1996</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400"/>
        <w:spacing w:after="0"/>
        <w:rPr>
          <w:sz w:val="20"/>
          <w:szCs w:val="20"/>
          <w:color w:val="auto"/>
        </w:rPr>
      </w:pPr>
      <w:r>
        <w:rPr>
          <w:rFonts w:ascii="Courier New" w:cs="Courier New" w:eastAsia="Courier New" w:hAnsi="Courier New"/>
          <w:sz w:val="18"/>
          <w:szCs w:val="18"/>
          <w:color w:val="auto"/>
        </w:rPr>
        <w:t>16,909</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129,443</w:t>
      </w:r>
    </w:p>
    <w:p>
      <w:pPr>
        <w:ind w:left="3860"/>
        <w:spacing w:after="0" w:line="237" w:lineRule="auto"/>
        <w:rPr>
          <w:sz w:val="20"/>
          <w:szCs w:val="20"/>
          <w:color w:val="auto"/>
        </w:rPr>
      </w:pPr>
      <w:r>
        <w:rPr>
          <w:rFonts w:ascii="Courier New" w:cs="Courier New" w:eastAsia="Courier New" w:hAnsi="Courier New"/>
          <w:sz w:val="18"/>
          <w:szCs w:val="18"/>
          <w:color w:val="auto"/>
        </w:rPr>
        <w:t>5,153</w:t>
      </w:r>
    </w:p>
    <w:p>
      <w:pPr>
        <w:ind w:left="3760"/>
        <w:spacing w:after="0"/>
        <w:rPr>
          <w:sz w:val="20"/>
          <w:szCs w:val="20"/>
          <w:color w:val="auto"/>
        </w:rPr>
      </w:pPr>
      <w:r>
        <w:rPr>
          <w:rFonts w:ascii="Courier New" w:cs="Courier New" w:eastAsia="Courier New" w:hAnsi="Courier New"/>
          <w:sz w:val="18"/>
          <w:szCs w:val="18"/>
          <w:color w:val="auto"/>
        </w:rPr>
        <w:t>157,495</w:t>
      </w:r>
    </w:p>
    <w:p>
      <w:pPr>
        <w:ind w:left="3240"/>
        <w:spacing w:after="0" w:line="237" w:lineRule="auto"/>
        <w:rPr>
          <w:sz w:val="20"/>
          <w:szCs w:val="20"/>
          <w:color w:val="auto"/>
        </w:rPr>
      </w:pPr>
      <w:r>
        <w:rPr>
          <w:rFonts w:ascii="Courier New" w:cs="Courier New" w:eastAsia="Courier New" w:hAnsi="Courier New"/>
          <w:sz w:val="18"/>
          <w:szCs w:val="18"/>
          <w:color w:val="auto"/>
        </w:rPr>
        <w:t>320,652</w:t>
      </w:r>
    </w:p>
    <w:p>
      <w:pPr>
        <w:ind w:left="4280"/>
        <w:spacing w:after="0" w:line="238" w:lineRule="auto"/>
        <w:rPr>
          <w:sz w:val="20"/>
          <w:szCs w:val="20"/>
          <w:color w:val="auto"/>
        </w:rPr>
      </w:pPr>
      <w:r>
        <w:rPr>
          <w:rFonts w:ascii="Courier New" w:cs="Courier New" w:eastAsia="Courier New" w:hAnsi="Courier New"/>
          <w:sz w:val="18"/>
          <w:szCs w:val="18"/>
          <w:color w:val="auto"/>
        </w:rPr>
        <w:t>236,446</w:t>
      </w:r>
    </w:p>
    <w:p>
      <w:pPr>
        <w:ind w:left="3540"/>
        <w:spacing w:after="0"/>
        <w:rPr>
          <w:sz w:val="20"/>
          <w:szCs w:val="20"/>
          <w:color w:val="auto"/>
        </w:rPr>
      </w:pPr>
      <w:r>
        <w:rPr>
          <w:rFonts w:ascii="Courier New" w:cs="Courier New" w:eastAsia="Courier New" w:hAnsi="Courier New"/>
          <w:sz w:val="18"/>
          <w:szCs w:val="18"/>
          <w:color w:val="auto"/>
        </w:rPr>
        <w:t>93,115</w:t>
      </w:r>
    </w:p>
    <w:p>
      <w:pPr>
        <w:ind w:left="3440"/>
        <w:spacing w:after="0" w:line="237" w:lineRule="auto"/>
        <w:rPr>
          <w:sz w:val="20"/>
          <w:szCs w:val="20"/>
          <w:color w:val="auto"/>
        </w:rPr>
      </w:pPr>
      <w:r>
        <w:rPr>
          <w:rFonts w:ascii="Courier New" w:cs="Courier New" w:eastAsia="Courier New" w:hAnsi="Courier New"/>
          <w:sz w:val="18"/>
          <w:szCs w:val="18"/>
          <w:color w:val="auto"/>
        </w:rPr>
        <w:t>767,980</w:t>
      </w:r>
    </w:p>
    <w:p>
      <w:pPr>
        <w:ind w:left="2700"/>
        <w:spacing w:after="0"/>
        <w:rPr>
          <w:sz w:val="20"/>
          <w:szCs w:val="20"/>
          <w:color w:val="auto"/>
        </w:rPr>
      </w:pPr>
      <w:r>
        <w:rPr>
          <w:rFonts w:ascii="Courier New" w:cs="Courier New" w:eastAsia="Courier New" w:hAnsi="Courier New"/>
          <w:sz w:val="18"/>
          <w:szCs w:val="18"/>
          <w:color w:val="auto"/>
        </w:rPr>
        <w:t>129,009</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177,255</w:t>
      </w:r>
    </w:p>
    <w:p>
      <w:pPr>
        <w:ind w:left="4500"/>
        <w:spacing w:after="0" w:line="238" w:lineRule="auto"/>
        <w:rPr>
          <w:sz w:val="20"/>
          <w:szCs w:val="20"/>
          <w:color w:val="auto"/>
        </w:rPr>
      </w:pPr>
      <w:r>
        <w:rPr>
          <w:rFonts w:ascii="Courier New" w:cs="Courier New" w:eastAsia="Courier New" w:hAnsi="Courier New"/>
          <w:sz w:val="18"/>
          <w:szCs w:val="18"/>
          <w:color w:val="auto"/>
        </w:rPr>
        <w:t>211</w:t>
      </w:r>
    </w:p>
    <w:p>
      <w:pPr>
        <w:ind w:left="3860"/>
        <w:spacing w:after="0"/>
        <w:rPr>
          <w:sz w:val="20"/>
          <w:szCs w:val="20"/>
          <w:color w:val="auto"/>
        </w:rPr>
      </w:pPr>
      <w:r>
        <w:rPr>
          <w:rFonts w:ascii="Courier New" w:cs="Courier New" w:eastAsia="Courier New" w:hAnsi="Courier New"/>
          <w:sz w:val="18"/>
          <w:szCs w:val="18"/>
          <w:color w:val="auto"/>
        </w:rPr>
        <w:t>208,346</w:t>
      </w:r>
    </w:p>
    <w:p>
      <w:pPr>
        <w:ind w:left="1960"/>
        <w:spacing w:after="0" w:line="237" w:lineRule="auto"/>
        <w:rPr>
          <w:sz w:val="20"/>
          <w:szCs w:val="20"/>
          <w:color w:val="auto"/>
        </w:rPr>
      </w:pPr>
      <w:r>
        <w:rPr>
          <w:rFonts w:ascii="Courier New" w:cs="Courier New" w:eastAsia="Courier New" w:hAnsi="Courier New"/>
          <w:sz w:val="18"/>
          <w:szCs w:val="18"/>
          <w:color w:val="auto"/>
        </w:rPr>
        <w:t>767,980</w:t>
      </w:r>
    </w:p>
    <w:p>
      <w:pPr>
        <w:ind w:left="4180"/>
        <w:spacing w:after="0"/>
        <w:rPr>
          <w:sz w:val="20"/>
          <w:szCs w:val="20"/>
          <w:color w:val="auto"/>
        </w:rPr>
      </w:pPr>
      <w:r>
        <w:rPr>
          <w:rFonts w:ascii="Courier New" w:cs="Courier New" w:eastAsia="Courier New" w:hAnsi="Courier New"/>
          <w:sz w:val="18"/>
          <w:szCs w:val="18"/>
          <w:color w:val="auto"/>
        </w:rPr>
        <w:t>617,117</w:t>
      </w:r>
    </w:p>
    <w:p>
      <w:pPr>
        <w:ind w:left="3240"/>
        <w:spacing w:after="0" w:line="237" w:lineRule="auto"/>
        <w:rPr>
          <w:sz w:val="20"/>
          <w:szCs w:val="20"/>
          <w:color w:val="auto"/>
        </w:rPr>
      </w:pPr>
      <w:r>
        <w:rPr>
          <w:rFonts w:ascii="Courier New" w:cs="Courier New" w:eastAsia="Courier New" w:hAnsi="Courier New"/>
          <w:sz w:val="18"/>
          <w:szCs w:val="18"/>
          <w:color w:val="auto"/>
        </w:rPr>
        <w:t>617,533</w:t>
      </w:r>
    </w:p>
    <w:p>
      <w:pPr>
        <w:ind w:left="4400"/>
        <w:spacing w:after="0"/>
        <w:rPr>
          <w:sz w:val="20"/>
          <w:szCs w:val="20"/>
          <w:color w:val="auto"/>
        </w:rPr>
      </w:pPr>
      <w:r>
        <w:rPr>
          <w:rFonts w:ascii="Courier New" w:cs="Courier New" w:eastAsia="Courier New" w:hAnsi="Courier New"/>
          <w:sz w:val="18"/>
          <w:szCs w:val="18"/>
          <w:color w:val="auto"/>
        </w:rPr>
        <w:t>332,671</w:t>
      </w:r>
    </w:p>
    <w:p>
      <w:pPr>
        <w:ind w:left="3540"/>
        <w:spacing w:after="0" w:line="237" w:lineRule="auto"/>
        <w:rPr>
          <w:sz w:val="20"/>
          <w:szCs w:val="20"/>
          <w:color w:val="auto"/>
        </w:rPr>
      </w:pPr>
      <w:r>
        <w:rPr>
          <w:rFonts w:ascii="Courier New" w:cs="Courier New" w:eastAsia="Courier New" w:hAnsi="Courier New"/>
          <w:sz w:val="18"/>
          <w:szCs w:val="18"/>
          <w:color w:val="auto"/>
        </w:rPr>
        <w:t>575,099</w:t>
      </w:r>
    </w:p>
    <w:p>
      <w:pPr>
        <w:ind w:left="3440"/>
        <w:spacing w:after="0"/>
        <w:rPr>
          <w:sz w:val="20"/>
          <w:szCs w:val="20"/>
          <w:color w:val="auto"/>
        </w:rPr>
      </w:pPr>
      <w:r>
        <w:rPr>
          <w:rFonts w:ascii="Courier New" w:cs="Courier New" w:eastAsia="Courier New" w:hAnsi="Courier New"/>
          <w:sz w:val="18"/>
          <w:szCs w:val="18"/>
          <w:color w:val="auto"/>
        </w:rPr>
        <w:t>(470)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line="238" w:lineRule="auto"/>
        <w:rPr>
          <w:sz w:val="20"/>
          <w:szCs w:val="20"/>
          <w:color w:val="auto"/>
        </w:rPr>
      </w:pPr>
      <w:r>
        <w:rPr>
          <w:rFonts w:ascii="Courier New" w:cs="Courier New" w:eastAsia="Courier New" w:hAnsi="Courier New"/>
          <w:sz w:val="18"/>
          <w:szCs w:val="18"/>
          <w:color w:val="auto"/>
        </w:rPr>
        <w:t>21,630</w:t>
      </w:r>
    </w:p>
    <w:p>
      <w:pPr>
        <w:ind w:left="3440"/>
        <w:spacing w:after="0"/>
        <w:rPr>
          <w:sz w:val="20"/>
          <w:szCs w:val="20"/>
          <w:color w:val="auto"/>
        </w:rPr>
      </w:pPr>
      <w:r>
        <w:rPr>
          <w:rFonts w:ascii="Courier New" w:cs="Courier New" w:eastAsia="Courier New" w:hAnsi="Courier New"/>
          <w:sz w:val="18"/>
          <w:szCs w:val="18"/>
          <w:color w:val="auto"/>
        </w:rPr>
        <w:t>21,274</w:t>
      </w:r>
    </w:p>
    <w:p>
      <w:pPr>
        <w:ind w:left="3760"/>
        <w:spacing w:after="0" w:line="237" w:lineRule="auto"/>
        <w:rPr>
          <w:sz w:val="20"/>
          <w:szCs w:val="20"/>
          <w:color w:val="auto"/>
        </w:rPr>
      </w:pPr>
      <w:r>
        <w:rPr>
          <w:rFonts w:ascii="Courier New" w:cs="Courier New" w:eastAsia="Courier New" w:hAnsi="Courier New"/>
          <w:sz w:val="18"/>
          <w:szCs w:val="18"/>
          <w:color w:val="auto"/>
        </w:rPr>
        <w:t>10,212</w:t>
      </w:r>
    </w:p>
    <w:p>
      <w:pPr>
        <w:ind w:left="3020"/>
        <w:spacing w:after="0"/>
        <w:rPr>
          <w:sz w:val="20"/>
          <w:szCs w:val="20"/>
          <w:color w:val="auto"/>
        </w:rPr>
      </w:pPr>
      <w:r>
        <w:rPr>
          <w:rFonts w:ascii="Courier New" w:cs="Courier New" w:eastAsia="Courier New" w:hAnsi="Courier New"/>
          <w:sz w:val="18"/>
          <w:szCs w:val="18"/>
          <w:color w:val="auto"/>
        </w:rPr>
        <w:t>11,062</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line="238" w:lineRule="auto"/>
        <w:rPr>
          <w:sz w:val="20"/>
          <w:szCs w:val="20"/>
          <w:color w:val="auto"/>
        </w:rPr>
      </w:pPr>
      <w:r>
        <w:rPr>
          <w:rFonts w:ascii="Courier New" w:cs="Courier New" w:eastAsia="Courier New" w:hAnsi="Courier New"/>
          <w:sz w:val="18"/>
          <w:szCs w:val="18"/>
          <w:color w:val="auto"/>
        </w:rPr>
        <w:t>11,062</w:t>
      </w:r>
    </w:p>
    <w:p>
      <w:pPr>
        <w:ind w:left="3980"/>
        <w:spacing w:after="0"/>
        <w:rPr>
          <w:sz w:val="20"/>
          <w:szCs w:val="20"/>
          <w:color w:val="auto"/>
        </w:rPr>
      </w:pPr>
      <w:r>
        <w:rPr>
          <w:rFonts w:ascii="Courier New" w:cs="Courier New" w:eastAsia="Courier New" w:hAnsi="Courier New"/>
          <w:sz w:val="18"/>
          <w:szCs w:val="18"/>
          <w:color w:val="auto"/>
        </w:rPr>
        <w:t>.20</w:t>
      </w:r>
    </w:p>
    <w:p>
      <w:pPr>
        <w:ind w:left="3980"/>
        <w:spacing w:after="0" w:line="237" w:lineRule="auto"/>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179"/>
          </w:cols>
          <w:pgMar w:left="280" w:top="744" w:right="1440" w:bottom="1440" w:gutter="0" w:footer="0" w:header="0"/>
        </w:sectPr>
      </w:pPr>
    </w:p>
    <w:bookmarkStart w:id="20" w:name="page21"/>
    <w:bookmarkEnd w:id="20"/>
    <w:p>
      <w:pPr>
        <w:ind w:left="2540"/>
        <w:spacing w:after="0"/>
        <w:rPr>
          <w:sz w:val="20"/>
          <w:szCs w:val="20"/>
          <w:color w:val="auto"/>
        </w:rPr>
      </w:pPr>
      <w:r>
        <w:rPr>
          <w:rFonts w:ascii="Courier New" w:cs="Courier New" w:eastAsia="Courier New" w:hAnsi="Courier New"/>
          <w:sz w:val="18"/>
          <w:szCs w:val="18"/>
          <w:color w:val="auto"/>
        </w:rPr>
        <w:t>Scotts Names Charles M. Berger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New Chairman,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Marysville, Ohio, August 7,1996 - The Scotts Company (NYSE; SMG) announced that its Board of Directors has elected Charles M. Berger as the Company's Chairman of the Board, President and Chief Executive Officer, effective today, August 7. Berger succeeds Tadd C. Seitz as Chairman as well as filling the President and CEO position that Seitz had resumed on an interim basis in February at the Board's request.</w:t>
      </w:r>
    </w:p>
    <w:p>
      <w:pPr>
        <w:spacing w:after="0" w:line="210"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Seitz, who had been Scotts' President and CEO from 1983 to April 1995 and Chairman since 1989, said, "The Board of Directors was diligent in its search for the right person to lead The Scotts Company. We found that person in Chuck Berger."</w:t>
      </w:r>
    </w:p>
    <w:p>
      <w:pPr>
        <w:spacing w:after="0" w:line="207" w:lineRule="exact"/>
        <w:rPr>
          <w:sz w:val="20"/>
          <w:szCs w:val="20"/>
          <w:color w:val="auto"/>
        </w:rPr>
      </w:pPr>
    </w:p>
    <w:p>
      <w:pPr>
        <w:jc w:val="both"/>
        <w:ind w:right="1999"/>
        <w:spacing w:after="0" w:line="270" w:lineRule="auto"/>
        <w:rPr>
          <w:sz w:val="20"/>
          <w:szCs w:val="20"/>
          <w:color w:val="auto"/>
        </w:rPr>
      </w:pPr>
      <w:r>
        <w:rPr>
          <w:rFonts w:ascii="Courier New" w:cs="Courier New" w:eastAsia="Courier New" w:hAnsi="Courier New"/>
          <w:sz w:val="16"/>
          <w:szCs w:val="16"/>
          <w:color w:val="auto"/>
        </w:rPr>
        <w:t>Berger comes to Scotts from H. J. Heinz Company where he served as Chairman, President and CEO of Weight Watchers International. During his term as the Heinz affiliate's CEO from 1978 to 1991, he grew primary and franchisee sales from $200 million to $1 billion. Berger was most recently Chairman and CEO of Heinz India Pvt. Ltd. (Bombay) and previously served as Director of Corporate Planning at Heinz World Headquarters. During his 32-year career at Heinz, he also held the positions of Product Manager for Heinz Ketchup; General Manager, Marketing, for all Heinz grocery products; and Managing Director of Heinz Italy, the largest Heinz affiliate in Europe. He is also a former Director of Stern's Miracle-Gro Products, Inc., which merged with Scotts in May 1995.</w:t>
      </w:r>
    </w:p>
    <w:p>
      <w:pPr>
        <w:spacing w:after="0" w:line="18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"Chuck Berger brings to The Scotts Company an ideal combination of consumer brand experience - both domestic and international - and a clear understanding of shareholder value," noted Horace Hagedorn, founder of Miracle-Gro and Vice Chairman of The Scotts Board.</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Berger stated that he is "eager to build on the solid foundation of the Scotts and Miracle-Gro brands as well as the legacy that Tadd Seitz and Horace Hagedorn have created in the merger of these two great companies."</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Headquartered in Marysville, Ohio, for more than 125 years, The Scotts Company is the world's leading producer and marketer of products for do-it-yourself lawn care and gardening, professional turf care and horticulture. The Company's industry-leading brands include Scotts(R), Turf Builder(R), Miracle-Gro(R) and Osmocote(R). Scotts products are sold in the United States, Canada, the United Kingdom, Continental Europe, Southeast Asia, the Middle East, Australia, New Zealand and several Latin American countries.</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 please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Kerry Bierman</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513/644-0011</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19</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2019-12-19T23:57:46Z</dcterms:created>
  <dcterms:modified xsi:type="dcterms:W3CDTF">2019-12-19T23:57:46Z</dcterms:modified>
</cp:coreProperties>
</file>