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quarterly period ended June 29, 2019</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00" w:hanging="665"/>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93" w:lineRule="exact"/>
        <w:rPr>
          <w:sz w:val="24"/>
          <w:szCs w:val="24"/>
          <w:color w:val="auto"/>
        </w:rPr>
      </w:pPr>
    </w:p>
    <w:p>
      <w:pPr>
        <w:ind w:left="400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147" w:lineRule="exact"/>
        <w:rPr>
          <w:sz w:val="24"/>
          <w:szCs w:val="24"/>
          <w:color w:val="auto"/>
        </w:rPr>
      </w:pPr>
    </w:p>
    <w:p>
      <w:pPr>
        <w:ind w:left="2560"/>
        <w:spacing w:after="0"/>
        <w:tabs>
          <w:tab w:leader="none" w:pos="8220" w:val="left"/>
        </w:tabs>
        <w:rPr>
          <w:sz w:val="20"/>
          <w:szCs w:val="20"/>
          <w:color w:val="auto"/>
        </w:rPr>
      </w:pPr>
      <w:r>
        <w:rPr>
          <w:rFonts w:ascii="Arial" w:cs="Arial" w:eastAsia="Arial" w:hAnsi="Arial"/>
          <w:sz w:val="17"/>
          <w:szCs w:val="17"/>
          <w:b w:val="1"/>
          <w:bCs w:val="1"/>
          <w:color w:val="auto"/>
        </w:rPr>
        <w:t>Ohio</w:t>
      </w:r>
      <w:r>
        <w:rPr>
          <w:sz w:val="20"/>
          <w:szCs w:val="20"/>
          <w:color w:val="auto"/>
        </w:rPr>
        <w:tab/>
      </w:r>
      <w:r>
        <w:rPr>
          <w:rFonts w:ascii="Arial" w:cs="Arial" w:eastAsia="Arial" w:hAnsi="Arial"/>
          <w:sz w:val="17"/>
          <w:szCs w:val="17"/>
          <w:b w:val="1"/>
          <w:bCs w:val="1"/>
          <w:color w:val="auto"/>
        </w:rPr>
        <w:t>31-1414921</w:t>
      </w:r>
    </w:p>
    <w:p>
      <w:pPr>
        <w:spacing w:after="0" w:line="76" w:lineRule="exact"/>
        <w:rPr>
          <w:sz w:val="24"/>
          <w:szCs w:val="24"/>
          <w:color w:val="auto"/>
        </w:rPr>
      </w:pPr>
    </w:p>
    <w:p>
      <w:pPr>
        <w:ind w:left="1840"/>
        <w:spacing w:after="0"/>
        <w:tabs>
          <w:tab w:leader="none" w:pos="81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00"/>
        <w:spacing w:after="0"/>
        <w:tabs>
          <w:tab w:leader="none" w:pos="80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0" w:lineRule="exact"/>
        <w:rPr>
          <w:sz w:val="24"/>
          <w:szCs w:val="24"/>
          <w:color w:val="auto"/>
        </w:rPr>
      </w:pPr>
    </w:p>
    <w:p>
      <w:pPr>
        <w:ind w:left="1900"/>
        <w:spacing w:after="0"/>
        <w:tabs>
          <w:tab w:leader="none" w:pos="8420" w:val="left"/>
        </w:tabs>
        <w:rPr>
          <w:sz w:val="20"/>
          <w:szCs w:val="20"/>
          <w:color w:val="auto"/>
        </w:rPr>
      </w:pPr>
      <w:r>
        <w:rPr>
          <w:rFonts w:ascii="Arial" w:cs="Arial" w:eastAsia="Arial" w:hAnsi="Arial"/>
          <w:sz w:val="17"/>
          <w:szCs w:val="17"/>
          <w:b w:val="1"/>
          <w:bCs w:val="1"/>
          <w:color w:val="auto"/>
        </w:rPr>
        <w:t>14111 Scottslawn Road</w:t>
      </w:r>
      <w:r>
        <w:rPr>
          <w:sz w:val="20"/>
          <w:szCs w:val="20"/>
          <w:color w:val="auto"/>
        </w:rPr>
        <w:tab/>
      </w:r>
      <w:r>
        <w:rPr>
          <w:rFonts w:ascii="Arial" w:cs="Arial" w:eastAsia="Arial" w:hAnsi="Arial"/>
          <w:sz w:val="15"/>
          <w:szCs w:val="15"/>
          <w:b w:val="1"/>
          <w:bCs w:val="1"/>
          <w:color w:val="auto"/>
        </w:rPr>
        <w:t>43041</w:t>
      </w:r>
    </w:p>
    <w:p>
      <w:pPr>
        <w:spacing w:after="0" w:line="75" w:lineRule="exact"/>
        <w:rPr>
          <w:sz w:val="24"/>
          <w:szCs w:val="24"/>
          <w:color w:val="auto"/>
        </w:rPr>
      </w:pPr>
    </w:p>
    <w:p>
      <w:pPr>
        <w:ind w:left="1620"/>
        <w:spacing w:after="0"/>
        <w:tabs>
          <w:tab w:leader="none" w:pos="3580" w:val="left"/>
        </w:tabs>
        <w:rPr>
          <w:sz w:val="20"/>
          <w:szCs w:val="20"/>
          <w:color w:val="auto"/>
        </w:rPr>
      </w:pPr>
      <w:r>
        <w:rPr>
          <w:rFonts w:ascii="Arial" w:cs="Arial" w:eastAsia="Arial" w:hAnsi="Arial"/>
          <w:sz w:val="17"/>
          <w:szCs w:val="17"/>
          <w:b w:val="1"/>
          <w:bCs w:val="1"/>
          <w:color w:val="auto"/>
        </w:rPr>
        <w:t>Marysville,</w:t>
      </w:r>
      <w:r>
        <w:rPr>
          <w:sz w:val="20"/>
          <w:szCs w:val="20"/>
          <w:color w:val="auto"/>
        </w:rPr>
        <w:tab/>
      </w:r>
      <w:r>
        <w:rPr>
          <w:rFonts w:ascii="Arial" w:cs="Arial" w:eastAsia="Arial" w:hAnsi="Arial"/>
          <w:sz w:val="17"/>
          <w:szCs w:val="17"/>
          <w:b w:val="1"/>
          <w:bCs w:val="1"/>
          <w:color w:val="auto"/>
        </w:rPr>
        <w:t>Ohio</w:t>
      </w:r>
    </w:p>
    <w:p>
      <w:pPr>
        <w:spacing w:after="0" w:line="62" w:lineRule="exact"/>
        <w:rPr>
          <w:sz w:val="24"/>
          <w:szCs w:val="24"/>
          <w:color w:val="auto"/>
        </w:rPr>
      </w:pPr>
    </w:p>
    <w:p>
      <w:pPr>
        <w:ind w:left="1540"/>
        <w:spacing w:after="0"/>
        <w:tabs>
          <w:tab w:leader="none" w:pos="830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97" w:lineRule="exact"/>
        <w:rPr>
          <w:sz w:val="24"/>
          <w:szCs w:val="24"/>
          <w:color w:val="auto"/>
        </w:rPr>
      </w:pPr>
    </w:p>
    <w:p>
      <w:pPr>
        <w:ind w:left="1080"/>
        <w:spacing w:after="0"/>
        <w:tabs>
          <w:tab w:leader="none" w:pos="4520" w:val="left"/>
          <w:tab w:leader="none" w:pos="77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68" w:lineRule="exact"/>
        <w:rPr>
          <w:sz w:val="24"/>
          <w:szCs w:val="24"/>
          <w:color w:val="auto"/>
        </w:rPr>
      </w:pPr>
    </w:p>
    <w:p>
      <w:pPr>
        <w:ind w:left="440"/>
        <w:spacing w:after="0"/>
        <w:tabs>
          <w:tab w:leader="none" w:pos="4940" w:val="left"/>
          <w:tab w:leader="none" w:pos="896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41" w:lineRule="exact"/>
        <w:rPr>
          <w:sz w:val="24"/>
          <w:szCs w:val="24"/>
          <w:color w:val="auto"/>
        </w:rPr>
      </w:pPr>
    </w:p>
    <w:p>
      <w:pPr>
        <w:jc w:val="both"/>
        <w:spacing w:after="0" w:line="26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color w:val="auto"/>
        </w:rPr>
        <w:t>Yes</w:t>
      </w:r>
      <w:r>
        <w:rPr>
          <w:rFonts w:ascii="Arial" w:cs="Arial" w:eastAsia="Arial" w:hAnsi="Arial"/>
          <w:sz w:val="17"/>
          <w:szCs w:val="17"/>
          <w:color w:val="auto"/>
        </w:rPr>
        <w:t xml:space="preserve"> </w:t>
      </w:r>
      <w:r>
        <w:rPr>
          <w:rFonts w:ascii="MS PGothic" w:cs="MS PGothic" w:eastAsia="MS PGothic" w:hAnsi="MS PGothic"/>
          <w:sz w:val="21"/>
          <w:szCs w:val="21"/>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p>
    <w:p>
      <w:pPr>
        <w:spacing w:after="0" w:line="85" w:lineRule="exact"/>
        <w:rPr>
          <w:sz w:val="24"/>
          <w:szCs w:val="24"/>
          <w:color w:val="auto"/>
        </w:rPr>
      </w:pPr>
    </w:p>
    <w:p>
      <w:pPr>
        <w:jc w:val="both"/>
        <w:spacing w:after="0" w:line="26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6"/>
          <w:szCs w:val="16"/>
          <w:color w:val="auto"/>
        </w:rPr>
        <w:t>Yes</w:t>
      </w:r>
      <w:r>
        <w:rPr>
          <w:rFonts w:ascii="Arial" w:cs="Arial" w:eastAsia="Arial" w:hAnsi="Arial"/>
          <w:sz w:val="15"/>
          <w:szCs w:val="15"/>
          <w:color w:val="auto"/>
        </w:rPr>
        <w:t xml:space="preserve">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1560" w:type="dxa"/>
        <w:tblCellMar>
          <w:top w:w="0" w:type="dxa"/>
          <w:left w:w="0" w:type="dxa"/>
          <w:bottom w:w="0" w:type="dxa"/>
          <w:right w:w="0" w:type="dxa"/>
        </w:tblCellMar>
      </w:tblPr>
      <w:tr>
        <w:trPr>
          <w:trHeight w:val="312"/>
        </w:trPr>
        <w:tc>
          <w:tcPr>
            <w:tcW w:w="2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380" w:type="dxa"/>
            <w:vAlign w:val="bottom"/>
          </w:tcPr>
          <w:p>
            <w:pPr>
              <w:ind w:left="940"/>
              <w:spacing w:after="0" w:line="221" w:lineRule="exact"/>
              <w:rPr>
                <w:sz w:val="20"/>
                <w:szCs w:val="20"/>
                <w:color w:val="auto"/>
              </w:rPr>
            </w:pPr>
            <w:r>
              <w:rPr>
                <w:rFonts w:ascii="MS PGothic" w:cs="MS PGothic" w:eastAsia="MS PGothic" w:hAnsi="MS PGothic"/>
                <w:sz w:val="22"/>
                <w:szCs w:val="22"/>
                <w:color w:val="auto"/>
              </w:rPr>
              <w:t>☒</w:t>
            </w:r>
          </w:p>
        </w:tc>
        <w:tc>
          <w:tcPr>
            <w:tcW w:w="2980" w:type="dxa"/>
            <w:vAlign w:val="bottom"/>
          </w:tcPr>
          <w:p>
            <w:pPr>
              <w:ind w:left="24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820" w:type="dxa"/>
            <w:vAlign w:val="bottom"/>
          </w:tcPr>
          <w:p>
            <w:pPr>
              <w:spacing w:after="0"/>
              <w:rPr>
                <w:sz w:val="20"/>
                <w:szCs w:val="20"/>
                <w:color w:val="auto"/>
              </w:rPr>
            </w:pPr>
            <w:r>
              <w:rPr>
                <w:rFonts w:ascii="Arial" w:cs="Arial" w:eastAsia="Arial" w:hAnsi="Arial"/>
                <w:sz w:val="17"/>
                <w:szCs w:val="17"/>
                <w:color w:val="auto"/>
              </w:rPr>
              <w:t>Non-accelerated filer</w:t>
            </w:r>
          </w:p>
        </w:tc>
        <w:tc>
          <w:tcPr>
            <w:tcW w:w="13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24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2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3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84" w:lineRule="exact"/>
        <w:rPr>
          <w:sz w:val="24"/>
          <w:szCs w:val="24"/>
          <w:color w:val="auto"/>
        </w:rPr>
      </w:pPr>
    </w:p>
    <w:p>
      <w:pPr>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26" w:lineRule="exact"/>
        <w:rPr>
          <w:sz w:val="24"/>
          <w:szCs w:val="24"/>
          <w:color w:val="auto"/>
        </w:rPr>
      </w:pPr>
    </w:p>
    <w:p>
      <w:pPr>
        <w:ind w:left="40"/>
        <w:spacing w:after="0" w:line="207" w:lineRule="exact"/>
        <w:tabs>
          <w:tab w:leader="none" w:pos="4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146" w:lineRule="exact"/>
        <w:rPr>
          <w:sz w:val="24"/>
          <w:szCs w:val="24"/>
          <w:color w:val="auto"/>
        </w:rPr>
      </w:pPr>
    </w:p>
    <w:p>
      <w:pPr>
        <w:spacing w:after="0"/>
        <w:rPr>
          <w:sz w:val="20"/>
          <w:szCs w:val="20"/>
          <w:color w:val="auto"/>
        </w:rPr>
      </w:pPr>
      <w:r>
        <w:rPr>
          <w:rFonts w:ascii="Arial" w:cs="Arial" w:eastAsia="Arial" w:hAnsi="Arial"/>
          <w:sz w:val="17"/>
          <w:szCs w:val="17"/>
          <w:color w:val="auto"/>
        </w:rPr>
        <w:t>As of August 2, 2019, there were 55,496,852 Common Shares outstanding.</w:t>
      </w:r>
    </w:p>
    <w:p>
      <w:pPr>
        <w:sectPr>
          <w:pgSz w:w="11900" w:h="16838" w:orient="portrait"/>
          <w:cols w:equalWidth="0" w:num="1">
            <w:col w:w="11420"/>
          </w:cols>
          <w:pgMar w:left="240" w:top="234" w:right="239" w:bottom="1440" w:gutter="0" w:footer="0" w:header="0"/>
        </w:sect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7"/>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7"/>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Statements of Operations — Three and nine months ended June 29, 2019 and June 30, 2018</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(Loss) — Three and nine months ended June 29, 2019 and</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30, 2018</w:t>
              </w:r>
            </w:hyperlink>
          </w:p>
        </w:tc>
        <w:tc>
          <w:tcPr>
            <w:tcW w:w="140" w:type="dxa"/>
            <w:vAlign w:val="bottom"/>
          </w:tcPr>
          <w:p>
            <w:pPr>
              <w:spacing w:after="0"/>
              <w:rPr>
                <w:sz w:val="17"/>
                <w:szCs w:val="17"/>
                <w:color w:val="auto"/>
              </w:rPr>
            </w:pPr>
          </w:p>
        </w:tc>
        <w:tc>
          <w:tcPr>
            <w:tcW w:w="114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 Nine months ended June 29, 2019 and June 30, 2018</w:t>
              </w:r>
            </w:hyperlink>
          </w:p>
        </w:tc>
        <w:tc>
          <w:tcPr>
            <w:tcW w:w="118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 June 29, 2019, June 30, 2018 and September 30, 2018</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3140" w:type="dxa"/>
            <w:vAlign w:val="bottom"/>
            <w:tcBorders>
              <w:top w:val="single" w:sz="8" w:color="0000EE"/>
            </w:tcBorders>
            <w:gridSpan w:val="2"/>
          </w:tcPr>
          <w:p>
            <w:pPr>
              <w:spacing w:after="0"/>
              <w:rPr>
                <w:sz w:val="21"/>
                <w:szCs w:val="21"/>
                <w:color w:val="auto"/>
              </w:rPr>
            </w:pPr>
          </w:p>
        </w:tc>
        <w:tc>
          <w:tcPr>
            <w:tcW w:w="188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2.</w:t>
              </w:r>
            </w:hyperlink>
          </w:p>
        </w:tc>
        <w:tc>
          <w:tcPr>
            <w:tcW w:w="6460" w:type="dxa"/>
            <w:vAlign w:val="bottom"/>
            <w:gridSpan w:val="10"/>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7">
              <w:r>
                <w:rPr>
                  <w:rFonts w:ascii="Arial" w:cs="Arial" w:eastAsia="Arial" w:hAnsi="Arial"/>
                  <w:sz w:val="18"/>
                  <w:szCs w:val="18"/>
                  <w:color w:val="auto"/>
                </w:rPr>
                <w:t>Item 3.</w:t>
              </w:r>
            </w:hyperlink>
          </w:p>
        </w:tc>
        <w:tc>
          <w:tcPr>
            <w:tcW w:w="646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7">
              <w:r>
                <w:rPr>
                  <w:rFonts w:ascii="Arial" w:cs="Arial" w:eastAsia="Arial" w:hAnsi="Arial"/>
                  <w:sz w:val="18"/>
                  <w:szCs w:val="18"/>
                  <w:color w:val="auto"/>
                </w:rPr>
                <w:t>Item 4.</w:t>
              </w:r>
            </w:hyperlink>
          </w:p>
        </w:tc>
        <w:tc>
          <w:tcPr>
            <w:tcW w:w="430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7"/>
          </w:tcPr>
          <w:p>
            <w:pPr>
              <w:spacing w:after="0"/>
              <w:rPr>
                <w:rFonts w:ascii="Arial" w:cs="Arial" w:eastAsia="Arial" w:hAnsi="Arial"/>
                <w:sz w:val="18"/>
                <w:szCs w:val="18"/>
                <w:color w:val="auto"/>
              </w:rPr>
            </w:pPr>
            <w:hyperlink w:anchor="page58">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Item 1.</w:t>
              </w:r>
            </w:hyperlink>
          </w:p>
        </w:tc>
        <w:tc>
          <w:tcPr>
            <w:tcW w:w="9320" w:type="dxa"/>
            <w:vAlign w:val="bottom"/>
            <w:gridSpan w:val="1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020" w:type="dxa"/>
            <w:vAlign w:val="bottom"/>
            <w:gridSpan w:val="10"/>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9">
              <w:r>
                <w:rPr>
                  <w:rFonts w:ascii="Arial" w:cs="Arial" w:eastAsia="Arial" w:hAnsi="Arial"/>
                  <w:sz w:val="18"/>
                  <w:szCs w:val="18"/>
                  <w:color w:val="auto"/>
                </w:rPr>
                <w:t>Item 2.</w:t>
              </w:r>
            </w:hyperlink>
          </w:p>
        </w:tc>
        <w:tc>
          <w:tcPr>
            <w:tcW w:w="9320" w:type="dxa"/>
            <w:vAlign w:val="bottom"/>
            <w:gridSpan w:val="1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7"/>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Defaults Upon Senior Securities</w:t>
              </w:r>
            </w:hyperlink>
          </w:p>
        </w:tc>
        <w:tc>
          <w:tcPr>
            <w:tcW w:w="1980" w:type="dxa"/>
            <w:vAlign w:val="bottom"/>
            <w:gridSpan w:val="2"/>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700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756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2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Exhibits</w:t>
              </w:r>
            </w:hyperlink>
          </w:p>
        </w:tc>
        <w:tc>
          <w:tcPr>
            <w:tcW w:w="700" w:type="dxa"/>
            <w:vAlign w:val="bottom"/>
            <w:gridSpan w:val="2"/>
          </w:tcPr>
          <w:p>
            <w:pPr>
              <w:spacing w:after="0"/>
              <w:rPr>
                <w:sz w:val="21"/>
                <w:szCs w:val="21"/>
                <w:color w:val="auto"/>
              </w:rPr>
            </w:pPr>
          </w:p>
        </w:tc>
        <w:tc>
          <w:tcPr>
            <w:tcW w:w="8020" w:type="dxa"/>
            <w:vAlign w:val="bottom"/>
            <w:gridSpan w:val="10"/>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72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Index to Exhibits</w:t>
              </w:r>
            </w:hyperlink>
          </w:p>
        </w:tc>
        <w:tc>
          <w:tcPr>
            <w:tcW w:w="9000" w:type="dxa"/>
            <w:vAlign w:val="bottom"/>
            <w:gridSpan w:val="1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94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1,724.8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Basic income per common share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Diluted income per common share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5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3"/>
              </w:rPr>
              <w:t>Weighted-average common shares outstanding during the period plus dilutive potential</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9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Net foreign currency translation adjustment, including reclassifications to net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of $0.0, $0.0, $2.5 and $11.7,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7"/>
              </w:rPr>
              <w:t>Net unrealized gain (loss) on derivative instruments, net of tax of $(1.1), $0.9,</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$(4.7) and $2.0, respectively</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gains on derivative instruments to net income,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 of $0.0, $(0.4), $(0.7) and $(0.9),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7"/>
              </w:rPr>
              <w:t>Reclassification of net pension and other post-retirement benefit losses to net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income, net of tax of $0.2, $0.2, $0.5 and $0.5, respectively</w:t>
            </w:r>
          </w:p>
        </w:tc>
        <w:tc>
          <w:tcPr>
            <w:tcW w:w="20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224.8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224.8</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3"/>
                <w:szCs w:val="13"/>
                <w:color w:val="auto"/>
              </w:rPr>
            </w:pPr>
          </w:p>
        </w:tc>
        <w:tc>
          <w:tcPr>
            <w:tcW w:w="12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(Gain) loss on sale of business / unconsolidated affiliate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Recognition of accumulated foreign currency translation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Equity in (income) loss and distributions from unconsolidated affiliates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Post-closing working capital payment related to sale of International Business</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(investments in) loans receivable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investment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acquired businesses, net of cash acquired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8340" w:type="dxa"/>
            <w:vAlign w:val="bottom"/>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1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813"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0"/>
        </w:trPr>
        <w:tc>
          <w:tcPr>
            <w:tcW w:w="67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$7.6, $6.2 and $3.6,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Property, plant and equipment, net of accumulated depreciation of $649.9, $629.5 and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$610.5,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543.0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7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LIABILITIES AND EQUITY</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150.5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Distributions in excess of investment in unconsolidated affiliate</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2,662.2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shares outstanding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55.4, 55.4 and 55.3,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919.9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12.7, 12.7 and 12.8 shares,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urban and hydroponic gardening. The Company’s products are sold in North America, Europe and Asia.</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seasonal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unaudited condensed consolidated financial statements for the three and nine months ended June 29, 2019 and June 30, 2018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2018 (the “2018 Annual Report”), which includes a complete set of footnote disclosures, including the Company’s significant accounting policies.</w:t>
      </w:r>
    </w:p>
    <w:p>
      <w:pPr>
        <w:spacing w:after="0" w:line="9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2018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$1.8 million and $4.5 million during the nine months ended June 29, 2019 and June 30, 2018, respectively, representing unpaid liabilities incurred during each period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442"/>
              <w:spacing w:after="0" w:line="153" w:lineRule="exact"/>
              <w:rPr>
                <w:sz w:val="20"/>
                <w:szCs w:val="20"/>
                <w:color w:val="auto"/>
              </w:rPr>
            </w:pPr>
            <w:r>
              <w:rPr>
                <w:rFonts w:ascii="Arial" w:cs="Arial" w:eastAsia="Arial" w:hAnsi="Arial"/>
                <w:sz w:val="14"/>
                <w:szCs w:val="14"/>
                <w:b w:val="1"/>
                <w:bCs w:val="1"/>
                <w:color w:val="auto"/>
              </w:rPr>
              <w:t>JUNE 29,</w:t>
            </w:r>
          </w:p>
        </w:tc>
        <w:tc>
          <w:tcPr>
            <w:tcW w:w="440" w:type="dxa"/>
            <w:vAlign w:val="bottom"/>
          </w:tcPr>
          <w:p>
            <w:pPr>
              <w:spacing w:after="0"/>
              <w:rPr>
                <w:sz w:val="13"/>
                <w:szCs w:val="13"/>
                <w:color w:val="auto"/>
              </w:rPr>
            </w:pPr>
          </w:p>
        </w:tc>
        <w:tc>
          <w:tcPr>
            <w:tcW w:w="110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gridSpan w:val="2"/>
          </w:tcPr>
          <w:p>
            <w:pPr>
              <w:jc w:val="center"/>
              <w:ind w:left="782"/>
              <w:spacing w:after="0"/>
              <w:rPr>
                <w:sz w:val="20"/>
                <w:szCs w:val="20"/>
                <w:color w:val="auto"/>
              </w:rPr>
            </w:pPr>
            <w:r>
              <w:rPr>
                <w:rFonts w:ascii="Arial" w:cs="Arial" w:eastAsia="Arial" w:hAnsi="Arial"/>
                <w:sz w:val="14"/>
                <w:szCs w:val="14"/>
                <w:b w:val="1"/>
                <w:bCs w:val="1"/>
                <w:color w:val="auto"/>
                <w:w w:val="96"/>
              </w:rPr>
              <w:t>(In millions)</w:t>
            </w:r>
          </w:p>
        </w:tc>
        <w:tc>
          <w:tcPr>
            <w:tcW w:w="11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(82.8)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280" w:type="dxa"/>
            <w:vAlign w:val="bottom"/>
          </w:tcPr>
          <w:p>
            <w:pPr>
              <w:spacing w:after="0"/>
              <w:rPr>
                <w:sz w:val="21"/>
                <w:szCs w:val="21"/>
                <w:color w:val="auto"/>
              </w:rPr>
            </w:pPr>
          </w:p>
        </w:tc>
        <w:tc>
          <w:tcPr>
            <w:tcW w:w="1260" w:type="dxa"/>
            <w:vAlign w:val="bottom"/>
          </w:tcPr>
          <w:p>
            <w:pPr>
              <w:jc w:val="right"/>
              <w:ind w:right="2"/>
              <w:spacing w:after="0"/>
              <w:rPr>
                <w:sz w:val="20"/>
                <w:szCs w:val="20"/>
                <w:color w:val="auto"/>
              </w:rPr>
            </w:pPr>
            <w:r>
              <w:rPr>
                <w:rFonts w:ascii="Arial" w:cs="Arial" w:eastAsia="Arial" w:hAnsi="Arial"/>
                <w:sz w:val="18"/>
                <w:szCs w:val="18"/>
                <w:color w:val="auto"/>
              </w:rPr>
              <w:t>(126.4)</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w:t>
            </w:r>
          </w:p>
        </w:tc>
      </w:tr>
    </w:tbl>
    <w:p>
      <w:pPr>
        <w:spacing w:after="0" w:line="39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nine months ended June 29, 2019, the Company paid a post-closing net working capital adjustment obligation of $6.6 million related to the fiscal 2018 acquisition of Sunlight Supply (as defined in “NOTE 4. ACQUISITIONS AND INVESTMENTS”), which was classified as an investing activity in the “Investments in acquired businesses, net of cash acquired” line in the Condensed Consolidated Statements of Cash Flows. During the nine months ended June 30, 2018, the Company paid contingent consideration of $3.0 million related to the fiscal 2016 acquisition of Gavita Holdings B.V., and its subsidiaries (collectively, “Gavita”) and $5.2 million related to the fiscal 2017 acquisition of Agrolux Holding B.V. (now known as Hawthorne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Lighting B.V.), and its subsidiaries (collectively, “Agrolux”), which were classified as financing activities in the “Payments on seller notes” line in the Condensed Consolidated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May 2014, the Financial Accounting Standards Board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 results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4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adopted this guidance effective October 1, 2018 under the modified retrospective approach. The Company’s revenue primarily consists of product sales, which are recognized at a point in time when title transfers to customers and the Company has no further obligation to provide services related to such products. The Company’s timing of recognition of revenue is substantially unchanged under the amended guidance. The new accounting guidance required the Company to recognize earlier certain deferred revenue associated with a license agreement related to the sale of the International Business (as defined in “NOTE 3. DISCONTINUED OPERATIONS”), resulting in a cumulative adjustment to its fiscal 2019 opening balance of retained earnings of $9.1 million, other current liabilities of $1.4 million and other liabilities of $7.7 million. With the exception of this item, the adoption of the amended accounting guidance did not have a material impact on the Company’s condensed consolidated financial statements. The additional disclosures required by this guidance are presented within “NOTE 2. REVENUE RECOGNITION” and “NOTE 15. SEGMENT INFORMATION.”</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Flow Presentation</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August 2016, the FASB issued an accounting standard update that amends the guidance on the classification of certain cash receipts and payments in the statement of cash flows. The Company adopted this guidance on a retrospective basis effective October 1, 2018. The adoption of this guidance did not have a significant impact on the Company’s consolidated cash flows.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Company adopted this guidance on a prospective basis effective October 1, 2018. The adoption of this guidance did not have a significant impact on the Company’s consolidated financial position, results of operations or cash flows.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March 2017, the FASB issued an accounting standard update that requires entities to (1) disaggregate the current-service-cost component from the other components of net benefit cost (the “other components”) and present the current-service-cost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required to be applied retrospectively for the presentation of cost components in the income statement and prospectively for the capitalization of cost components. The Company adopted this guidance effective October 1, 2018 and has classified non-service-cost components of net benefit cost/income in the “Other non-operating (income) expense, net” line in the Condensed Consolidated Statements of Operations. The adoption of this guidance did not have a significant impact on the Company’s consolidated financial position, results of operations or cash flows.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22, 2017, H.R.1 (the “Act,” formerly known as the “Tax Cuts and Jobs Act”) was signed into law. The Act provides for significant changes to the U.S. Internal Revenue Code of 1986, as amended (the “Code”). Among other items, the Act implemented a territorial tax system, imposed a one-time transition tax on deemed repatriated earnings of foreign subsidiaries, and reduced the federal corporate statutory tax rate to 21% effective January 1,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Additionally, the Securities and Exchange Commission (the “SEC”) released Staff Accounting Bulletin No. 118 (“SAB 118”) which provides guidance on accounting for the Act’s impact under Accounting Standards Codification (“ASC”) Topic 740, Income Taxes (“ASC 740”). The guidance in SAB 118 allowed companies to use provisional estimates to record the effects of the Act and also provided a measurement period (not to exceed one year from the date of enactment) to complete the accounting for the impacts of the Act. The Company completed its accounting for the impacts of the Act during the first quarter of fiscal 2019.</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discussion of the impacts of the Act that are material to the Company and required disclosures related to the Act pursuant to the guidance provided under SAB 118, refer to “NOTE 11. INCOME TAXES.”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Reporting Comprehensive Income</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February 2018, the FASB issued an accounting standard update that allows a reclassification from accumulated other comprehensive income to retained earnings for stranded tax effects resulting from the Act. The Company elected to adopt this guidance effective October 1, 2018, resulting in a reclassification of $16.9 million from accumulated other comprehensive income (loss) (“AOCI”) to retained earnings upon adoption.</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June 2018, the FASB issued an accounting standard update that simplifies the accounting for share-based payments granted to nonemployees for goods and services. Under the amended accounting guidance, most of the guidance on such payments to nonemployees would be aligned with the requirements for share-based payments granted to employees. The Company elected to adopt this guidance effective October 1, 2018. The adoption of this guidance did not have a significant impact on the Company’s consolidated financial position, results of operations or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February 2016, the FASB issued its final standard on lease accounting.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as of or are entered into after the beginning of either (i) the date of adoption or (ii) the earliest comparative period presented in the financial statements. The Company will adopt the new standard on October 1, 2019 and intends to elect certain practical expedients, including the optional transition method that allows for the application of the new standard at its adoption date with no restatement of prior period amounts. The Company has made progress on its evaluation of the amended guidance, including identification of the population of leases affected, determining the information required to calculate the lease liability and right-of-use asset and implementing software to meet the reporting and disclosure requirements of this standard. The Company is in the process of finalizing its assessment of the impact of the new standard on its consolidated financial statements and is evaluating its processes and internal controls to identify any necessary changes.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Losses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an accounting standard update related to the measurement of credit losses on financial instruments. The amended accounting guidance changes the impairment model for most financial assets to require measurement and recognition of expected credit losses for financial assets held. The provisions are effective for the Company’s financial statements no later than the fiscal year beginning October 1, 2020. The Company is continuing to assess the impact of the amended guidance.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Cloud Computing Costs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August 2018, the FASB issued an accounting standard update that aligns the requirements for capitalizing implementation costs incurred in a hosting arrangement that is a service contract with the requirements for capitalizing implementation costs incurred to develop or obtain internal-use software. The provisions are effective for the Company’s financial statements no later than the fiscal year beginning October 1, 2020. The Company is continuing to assess the impact of the amended guidance.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2018, the FASB issued an accounting standard update that removes certain disclosures that are not considered cost beneficial, clarifies certain required disclosures and requires certain additional disclosures. The provisions are effective for the Company’s financial statements no later than the fiscal year beginning October 1, 2020. The Company is continuing to assess the impact of the amended guidance.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Goods and Services</w:t>
      </w:r>
    </w:p>
    <w:p>
      <w:pPr>
        <w:spacing w:after="0" w:line="17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e-commerce platforms, food and drug stores, indoor gardening and hydroponic product distributors, retailers and growers. In addition to product sales, the Company acts as the exclusive agent of Monsanto Company (“Monsanto”) for the marketing and distribution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in the United States and certain other specified countries, and performs certain other services under ancillary agreements with Monsanto. The Company also provides marketing, research and development and certain ancillary services to Bonnie Plants, Inc. (“Bonnie”). Refer to “NOTE 15. SEGMENT INFORMATION” for disaggregated revenue information and “NOTE 8. MARKETING AGREEMENT” for revenue information related to the Monsanto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Identification and Satisfaction of Performance Obligations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Product sales are recognized at a point in time when control of products transfers to customers and the Company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therefore revenue is primarily recorded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6"/>
          <w:szCs w:val="16"/>
          <w:color w:val="auto"/>
        </w:rPr>
        <w:t>Under the terms of the Second Amended and Restated Exclusive Agency and Marketing Agreement (the “Restated Marketing Agreement”), pursuant to which the Company serves as the exclusive sales and marketing agent of Monsanto with respect to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in the United States and certain other specified countries, the Company is entitled to receive an annual commission from Monsanto as consideration for the performance of the Company’s duties as agent. The annual commission payable under the Restated Marketing Agreement is equal to (1)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for program years 2017 and 2018 and (2)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in excess of $40.0 million for program year 2019. The Restated Marketing Agreement also requires the Company to make annual payments of $18.0 million to Monsanto as a contribution against the overall expenses of its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gross commission earned under the Restated Marketing Agreement and the contribution payments to Monsanto are included in the “Net sales” line in the Condensed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3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Under the terms of the Marketing, R&amp;D and Ancillary Services Agreement (the “Services Agreement”) with Bonnie and its sole shareholder, Alabama Farmers Cooperative, Inc. (“AFC”), the Company provides marketing, research and development and certain ancillary services to Bonnie. In exchange for these services, Bonnie reimburses the Company for certain costs and provides a commission fee earned based on a percentage of the growth in earnings before interest, income taxes and amortization of Bonnie’s business of planting, growing, developing, manufacturing, distributing, marketing, and selling live plants, plant food, fertilizer and potting soil (the “Bonnie Business”). The commission earned under the Services Agreement is included in the “Net sales” line in the Condensed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Transactional Price and Promotional Allowances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 returns. Commission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related to the Monsanto and Bonnie agreements is recognized over the program year as the services are being performed based upon the commission income formula in the agreements.</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Condensed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Condensed Consolidated Statements of Operations. The Company excludes from revenue any amounts collected from customers for sales or other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9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Prior to August 31, 2017, the Company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On July 5, 2017, the Company accepted the Offer and the Company completed the sale on August 31, 2017.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During the three and nine months ended June 30, 2018, the Company recorded an increase of $0.8 million and a decrease of $2.8 million, respectively, to the pre-tax gain on the sale of the International Business related to the resolution of the post-closing working capital adjustment obligation.</w:t>
      </w:r>
    </w:p>
    <w:p>
      <w:pPr>
        <w:spacing w:after="0" w:line="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and nine months ended June 30, 2018, the Company recognized $0.1 million and $1.6 million, respectively, in transaction related costs associated with the sale of the International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Wild Bird Food</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During the three and nine months ended June 29, 2019, the Company recognized a favorable adjustment of $22.5 million as a result of the final resolution of the previously disclosed settlement agreement related to the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xml:space="preserve"> legal matter. This matter relates to a class-action lawsuit filed in 2012 in connection with the sale of wild bird food products that were the subject of a voluntary recall in 2008 by the Company’s previously sold wild bird food business. In addition, during the three and nine months ended June 29, 2019, the Company recognized insurance recoveries of $8.4 million and $13.4 million, respectively, related to this matter. During the three and nine months ended June 30, 2018, the Company recognized a pre-tax charge of $65.0 million for a probable loss related to this matter. At June 29, 2019, June 30, 2018 and September 30, 2018, $20.0 million, $65.0 million and $85.0 million, respectively, was accrued for a probable loss related to this matter in the “Other current liabilities” line in the Condensed Consolidated Balance Sheets. Refer to “NOTE 12. CONTINGENCIES” for more information.</w:t>
      </w:r>
    </w:p>
    <w:p>
      <w:pPr>
        <w:spacing w:after="0" w:line="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results of discontinued operations described above and reflected within discontinued operations in the Company’s condensed consolidated financial statements for each of the periods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exit costs</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(recoveries), net</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 contribution of business</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320" w:type="dxa"/>
            <w:vAlign w:val="bottom"/>
          </w:tcPr>
          <w:p>
            <w:pPr>
              <w:ind w:left="380"/>
              <w:spacing w:after="0"/>
              <w:rPr>
                <w:sz w:val="20"/>
                <w:szCs w:val="20"/>
                <w:color w:val="auto"/>
              </w:rPr>
            </w:pPr>
            <w:r>
              <w:rPr>
                <w:rFonts w:ascii="Arial" w:cs="Arial" w:eastAsia="Arial" w:hAnsi="Arial"/>
                <w:sz w:val="18"/>
                <w:szCs w:val="18"/>
                <w:color w:val="auto"/>
                <w:w w:val="96"/>
              </w:rPr>
              <w:t>Income (loss) from discontinued operations before income taxes</w:t>
            </w:r>
          </w:p>
        </w:tc>
        <w:tc>
          <w:tcPr>
            <w:tcW w:w="1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53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vMerge w:val="restart"/>
          </w:tcPr>
          <w:p>
            <w:pPr>
              <w:jc w:val="right"/>
              <w:ind w:right="63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(used in) provided by operating activities related to discontinued operations totaled $(24.5) million and $2.1 million for the nine months ended June 29, 2019 and June 30, 2018, respectively. Cash used in investing activities related to discontinued operations was zero and $35.3 million for the nine months ended June 29, 2019 and June 30, 2018,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AND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Sunlight Supply</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June 4, 2018, the Company’s Hawthorne segment acquired substantially all of the assets and certain liabilities of Sunlight Supply, Inc., Sunlight Garden Supply, Inc., Sunlight Garden Supply, ULC, and IP Holdings, LLC, and all of the issued and outstanding equity interests of Columbia River Industrial Holdings, LLC (collectively “Sunlight Supply”). Sunlight Supply, based in Vancouver, Washington, is a leading developer, manufacturer, marketer and distributer of horticultural, organics, lighting, and hydroponics products. Prior to the transaction, Sunlight Supply served as a non-exclusive distributor of the Company. The estimated purchase price of Sunlight Supply was $459.1 million, a portion of which was paid by the issuance of 0.3 million common shares of Scotts Miracle-Gro (“Common Shares”), a non-cash investing and financing activity, with a fair value of $23.4 million based on the average share price at the time of payment. The purchase price included contingent consideration, a non-cash investing activity, with an initial fair value of $3.1 million and a maximum payout of $20.0 million, which was finalized during the third quarter of fiscal 2019 and resulted in no additional payment by the Company. The purchase price was also subject to a post-closing net working capital adjustment which was paid during the first quarter of fiscal 2019.</w:t>
      </w:r>
    </w:p>
    <w:p>
      <w:pPr>
        <w:spacing w:after="0" w:line="8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valuation of the acquired assets included (i) $5.3 million of cash, prepaid and other current assets, (ii) $19.3 million of accounts receivable, (iii) $84.3 million of inventory, (iv) $64.4 million of fixed assets, (v) $11.7 million of accounts payable and other current liabilities, (vi) $151.1 million of finite-lived identifiable intangible assets, and (vii) $146.4 million of tax-deductible goodwill. Identifiable intangible assets included tradenames of $65.1 million, customer relationships of $84.1 million and non-competes of $1.9 million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The contingent consideration related to the Sunlight Supply acquisition was required to be accounted for as a derivative instrument and was recorded at fair value in the “Other current liabilities” line in the Condensed Consolidated Balance Sheets, with changes in fair value recognized in the “Impairment, restructuring and other” line in the Condensed Consolidated Statements of Operations. The estimated fair value of the contingent consideration was $3.1 million as of June 30, 2018 and the fair value measurement was classified in Level 3 of the fair value hierarchy.</w:t>
      </w:r>
    </w:p>
    <w:p>
      <w:pPr>
        <w:spacing w:after="0" w:line="9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acquisition of Sunlight Supply also resulted in the settlement of a portion of certain previously acquired customer relationships, which resulted in a non-cash impairment charge of $17.5 million recognized in the “Impairment, restructuring and other” line in the Condensed Consolidated Statements of Operations during the third quarter of fiscal 2018 to reduce the carrying value of these previously acquired customer relationship intangible assets to an estimated fair value of $30.9 million. The estimated fair value was determined using an income-based approach, which includes market participant expectations of cash flows that an asset will generate over the remaining useful life discounted to present value using an appropriate discount rate, and has been included as part of goodwill. Additionally, the Company reduced the value of deferred tax liabilities associated with the write-off of these previously acquired customer relationship intangible assets by $7.3 million, which was recognized in the “Income tax expense from continuing operations” line in the Condensed Consolidated Statements of Operations during the third quarter of fiscal 2018.</w:t>
      </w:r>
    </w:p>
    <w:p>
      <w:pPr>
        <w:spacing w:after="0" w:line="9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Net sales for Sunlight Supply included within the Hawthorne segment for the three and nine months ended June 29, 2019 were $68.4 million and $231.4 million, respectively. The following unaudited pro forma information presents the combined results of operations as if the acquisition of Sunlight Supply had occurred at the beginning of fiscal 2017. Sunlight Supply’s pre-acquisition results have been added to the Company’s historical results. The pro forma results contained in the table below include adjustments for (i) the elimination of intercompany sales, (ii) amortization of acquired intangibles, (iii) increased depreciation expense as a result of acquisition date fair value adjustments, (iv) increased interest expense related to the financing of the acquisition, (v) removal of non-cash impairment charge of $17.5 million for the three and nine months ended June 30, 2018 related to the write-off of previously acquired customer relationship intangible assets due to the acquisition of Sunlight Supply, (vi) adjustments to tax expense based on condensed consolidated pro forma results, and (vii) the impact of Common Shares issued as part of the purchase price in connection with the acquisition. The pro forma information does not reflect the realization of any potential cost savings or other synergies from the acquisition as a result of restructuring activities and other cost savings initiatives. These pro forma results have been prepared for comparative purposes only and are not necessarily indicative of the results of operations as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they would have been had the acquisitions occurred on the assumed dates, nor are they necessarily an indication of future operating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120" w:type="dxa"/>
            <w:vAlign w:val="bottom"/>
          </w:tcPr>
          <w:p>
            <w:pPr>
              <w:jc w:val="right"/>
              <w:ind w:right="317"/>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4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 TOTAL COMPANY CONSOLIDATED PRO FORMA RESULTS</w:t>
            </w:r>
          </w:p>
        </w:tc>
        <w:tc>
          <w:tcPr>
            <w:tcW w:w="220" w:type="dxa"/>
            <w:vAlign w:val="bottom"/>
          </w:tcPr>
          <w:p>
            <w:pPr>
              <w:spacing w:after="0"/>
              <w:rPr>
                <w:sz w:val="24"/>
                <w:szCs w:val="24"/>
                <w:color w:val="auto"/>
              </w:rPr>
            </w:pPr>
          </w:p>
        </w:tc>
        <w:tc>
          <w:tcPr>
            <w:tcW w:w="2180" w:type="dxa"/>
            <w:vAlign w:val="bottom"/>
          </w:tcPr>
          <w:p>
            <w:pPr>
              <w:jc w:val="right"/>
              <w:ind w:right="679"/>
              <w:spacing w:after="0"/>
              <w:rPr>
                <w:sz w:val="20"/>
                <w:szCs w:val="20"/>
                <w:color w:val="auto"/>
              </w:rPr>
            </w:pPr>
            <w:r>
              <w:rPr>
                <w:rFonts w:ascii="Arial" w:cs="Arial" w:eastAsia="Arial" w:hAnsi="Arial"/>
                <w:sz w:val="14"/>
                <w:szCs w:val="14"/>
                <w:b w:val="1"/>
                <w:bCs w:val="1"/>
                <w:color w:val="auto"/>
              </w:rPr>
              <w:t>JUNE 30, 2018</w:t>
            </w:r>
          </w:p>
        </w:tc>
        <w:tc>
          <w:tcPr>
            <w:tcW w:w="360" w:type="dxa"/>
            <w:vAlign w:val="bottom"/>
          </w:tcPr>
          <w:p>
            <w:pPr>
              <w:spacing w:after="0"/>
              <w:rPr>
                <w:sz w:val="24"/>
                <w:szCs w:val="24"/>
                <w:color w:val="auto"/>
              </w:rPr>
            </w:pPr>
          </w:p>
        </w:tc>
        <w:tc>
          <w:tcPr>
            <w:tcW w:w="2120" w:type="dxa"/>
            <w:vAlign w:val="bottom"/>
          </w:tcPr>
          <w:p>
            <w:pPr>
              <w:jc w:val="right"/>
              <w:ind w:right="657"/>
              <w:spacing w:after="0"/>
              <w:rPr>
                <w:sz w:val="20"/>
                <w:szCs w:val="20"/>
                <w:color w:val="auto"/>
              </w:rPr>
            </w:pPr>
            <w:r>
              <w:rPr>
                <w:rFonts w:ascii="Arial" w:cs="Arial" w:eastAsia="Arial" w:hAnsi="Arial"/>
                <w:sz w:val="14"/>
                <w:szCs w:val="14"/>
                <w:b w:val="1"/>
                <w:bCs w:val="1"/>
                <w:color w:val="auto"/>
              </w:rPr>
              <w:t>JUNE 30, 2018</w:t>
            </w:r>
          </w:p>
        </w:tc>
      </w:tr>
      <w:tr>
        <w:trPr>
          <w:trHeight w:val="264"/>
        </w:trPr>
        <w:tc>
          <w:tcPr>
            <w:tcW w:w="64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60" w:type="dxa"/>
            <w:vAlign w:val="bottom"/>
            <w:tcBorders>
              <w:top w:val="single" w:sz="8" w:color="auto"/>
            </w:tcBorders>
            <w:gridSpan w:val="3"/>
          </w:tcPr>
          <w:p>
            <w:pPr>
              <w:jc w:val="right"/>
              <w:ind w:right="1277"/>
              <w:spacing w:after="0"/>
              <w:rPr>
                <w:sz w:val="20"/>
                <w:szCs w:val="20"/>
                <w:color w:val="auto"/>
              </w:rPr>
            </w:pPr>
            <w:r>
              <w:rPr>
                <w:rFonts w:ascii="Arial" w:cs="Arial" w:eastAsia="Arial" w:hAnsi="Arial"/>
                <w:sz w:val="14"/>
                <w:szCs w:val="14"/>
                <w:b w:val="1"/>
                <w:bCs w:val="1"/>
                <w:color w:val="auto"/>
              </w:rPr>
              <w:t>(In millions, except per share data)</w:t>
            </w:r>
          </w:p>
        </w:tc>
      </w:tr>
      <w:tr>
        <w:trPr>
          <w:trHeight w:val="256"/>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1,048.7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2,445.8</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Pro forma net income attributable to controlling interest</w:t>
            </w:r>
          </w:p>
        </w:tc>
        <w:tc>
          <w:tcPr>
            <w:tcW w:w="220" w:type="dxa"/>
            <w:vAlign w:val="bottom"/>
          </w:tcPr>
          <w:p>
            <w:pPr>
              <w:spacing w:after="0"/>
              <w:rPr>
                <w:sz w:val="21"/>
                <w:szCs w:val="21"/>
                <w:color w:val="auto"/>
              </w:rPr>
            </w:pPr>
          </w:p>
        </w:tc>
        <w:tc>
          <w:tcPr>
            <w:tcW w:w="2180" w:type="dxa"/>
            <w:vAlign w:val="bottom"/>
          </w:tcPr>
          <w:p>
            <w:pPr>
              <w:jc w:val="right"/>
              <w:ind w:right="39"/>
              <w:spacing w:after="0"/>
              <w:rPr>
                <w:sz w:val="20"/>
                <w:szCs w:val="20"/>
                <w:color w:val="auto"/>
              </w:rPr>
            </w:pPr>
            <w:r>
              <w:rPr>
                <w:rFonts w:ascii="Arial" w:cs="Arial" w:eastAsia="Arial" w:hAnsi="Arial"/>
                <w:sz w:val="18"/>
                <w:szCs w:val="18"/>
                <w:color w:val="auto"/>
              </w:rPr>
              <w:t>100.8</w:t>
            </w:r>
          </w:p>
        </w:tc>
        <w:tc>
          <w:tcPr>
            <w:tcW w:w="360" w:type="dxa"/>
            <w:vAlign w:val="bottom"/>
          </w:tcPr>
          <w:p>
            <w:pPr>
              <w:spacing w:after="0"/>
              <w:rPr>
                <w:sz w:val="21"/>
                <w:szCs w:val="21"/>
                <w:color w:val="auto"/>
              </w:rPr>
            </w:pPr>
          </w:p>
        </w:tc>
        <w:tc>
          <w:tcPr>
            <w:tcW w:w="2120" w:type="dxa"/>
            <w:vAlign w:val="bottom"/>
          </w:tcPr>
          <w:p>
            <w:pPr>
              <w:jc w:val="right"/>
              <w:ind w:right="17"/>
              <w:spacing w:after="0"/>
              <w:rPr>
                <w:sz w:val="20"/>
                <w:szCs w:val="20"/>
                <w:color w:val="auto"/>
              </w:rPr>
            </w:pPr>
            <w:r>
              <w:rPr>
                <w:rFonts w:ascii="Arial" w:cs="Arial" w:eastAsia="Arial" w:hAnsi="Arial"/>
                <w:sz w:val="18"/>
                <w:szCs w:val="18"/>
                <w:color w:val="auto"/>
              </w:rPr>
              <w:t>230.5</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 forma diluted net income per common share</w:t>
            </w:r>
          </w:p>
        </w:tc>
        <w:tc>
          <w:tcPr>
            <w:tcW w:w="22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1.78</w:t>
            </w:r>
          </w:p>
        </w:tc>
        <w:tc>
          <w:tcPr>
            <w:tcW w:w="360" w:type="dxa"/>
            <w:vAlign w:val="bottom"/>
            <w:shd w:val="clear" w:color="auto" w:fill="CCEEFF"/>
          </w:tcPr>
          <w:p>
            <w:pPr>
              <w:spacing w:after="0"/>
              <w:rPr>
                <w:sz w:val="21"/>
                <w:szCs w:val="21"/>
                <w:color w:val="auto"/>
              </w:rPr>
            </w:pPr>
          </w:p>
        </w:tc>
        <w:tc>
          <w:tcPr>
            <w:tcW w:w="2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3.99</w:t>
            </w: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May 26, 2016, the Company’s Hawthorne segment acquired majority control and a 75% economic interest in Gavita. Gavita’s former ownership group initially retained a 25% noncontrolling interest in Gavita consisting of ownership of 5% of the outstanding shares of Gavita and a loan with interest payable based on distributions by Gavita. The loan was recorded at fair value in the “Long-term debt” line in the Condensed Consolidated Balance Sheets. 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Condensed Consolidated Balance Sheets.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Can-Filters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11, 2017, the Company’s Hawthorne segment completed the acquisition of substantially all of the U.S. and Canadian assets of Can-Filters Group Inc. (“Can-Filters”) for $74.1 million. Based in British Columbia, Can-Filters is a leading wholesaler of ventilation products for indoor and hydroponic gardening and industrial markets worldwide. The valuation of the acquired assets included (i) $1.5 million of cash, prepaid and other current assets, (ii) $7.7 million of inventory and accounts receivable, (iii) $4.4 million of fixed assets, (iv) $0.7 million of accounts payable and other current liabilities, (v) $39.7 million of finite-lived identifiable intangible assets, and (vi) $21.5 million of tax-deductible goodwill. Identifiable intangible assets included tradenames and customer relationships with useful lives of 25 years. The estimated fair value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UNCONSOLIDATED AFFILIATES</w:t>
      </w:r>
    </w:p>
    <w:p>
      <w:pPr>
        <w:spacing w:after="0" w:line="14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On March 19, 2019, the Company entered into an agreement under which it sold, to TruGreen Companies L.L.C., a subsidiary of TruGreen Holding Corporation, all of its approximately 30% equity interest in Outdoor Home Services Holdings LLC, a lawn services joint venture between the Company and TruGreen Holding Corporation (the “TruGreen Joint Venture”). Prior to this transaction, the Company’s net investment and advances with respect to the TruGreen Joint Venture had been reduced to a liability which resulted in an amount recorded in the “Distributions in excess of investment in unconsolidated affiliate” line in the Condensed Consolidated Balance Sheets. Under the terms of the agreement, the Company received cash proceeds of $234.2 million related to the sale of its equity interest in the TruGreen Joint Venture and $18.4 million related to the payoff of second lien term loan financing, which was previously recorded in the “Other assets” line in the Condensed Consolidated Balance Sheets. During the nine months ended June 29, 2019, the Company also received a distribution from the TruGreen Joint Venture intended to cover certain required tax payments of $3.5 million, which was classified as an investing activity in the Condensed Consolidated Statements of Cash Flows. During the three and nine months ended June 29, 2019, the Company recognized a pre-tax gain of zero and $259.8 million, respectively, related to this sale in the “Other non-operating (income) expense, net” line in the Condensed Consolidated Statements of Operations. The Company also reclassified $47.1 million from deferred tax liabilities, which were previously recorded in the “Other liabilities” line in the Condensed Consolidated Balance Sheets, to accrued taxes, which are recorded in the “Other current liabilities” line in the Condensed Consolidated Balance Sheets, related to the outside basis difference in the TruGreen Joint Venture as a result of the sale of the Company’s equity interest.</w:t>
      </w:r>
    </w:p>
    <w:p>
      <w:pPr>
        <w:spacing w:after="0" w:line="10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April 1, 2019, the Company sold all of its noncontrolling equity interest in an unconsolidated affiliate whose products support the professional U.S. industrial, turf and ornamental market (the “IT&amp;O Joint Venture”) for cash proceeds of $36.6 million. During the three and nine months ended June 29, 2019, the Company recognized a pre-tax gain of $2.9 million related to this sale in the “Other non-operating (income) expense, net” line in the Condensed Consolidated Statements of Operations. During the nine months ended June 29, 2019, the Company received a distribution of net earnings from the IT&amp;O Joint Venture of $4.9 million, which was classified as an operating activity in the Condensed Consolidated Statements of Cash Flows. The Company provided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IT&amp;O Joint Venture with line of credit financing, which was fully repaid as of June 29, 2019 and had a balance of $5.0 million at June 30, 2018 which was previously recorded in the “Other assets” line in the Condensed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IMPAIRMENT, RESTRUCTURING AND OTHER</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Restructuring and other charges (recoveries),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Intangible asset impairments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 (recoveries)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nine months ended June 29, 2019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September 30, 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(recoveries) from discontinued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June 29,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restructuring accruals, as of June 29, 2019, is $1.3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recent acquisitions within the Hawthorne segment. During the three and nine months ended June 29, 2019, the Company continued to execute on its planned facility closures and consolidations which resulted in charges of $0.4 million and $8.0 million, respectively, related to Project Catalyst. The Company incurred charges of zero and $0.4 million in its U.S. Consumer segment, $(0.1) million and $2.4 million in its Hawthorne segment and zero and $0.6 million in its Other segment in the “Cost of sales—impairment, restructuring and other” line in the Condensed Consolidated Statements of Operations during the three and nine months ended June 29, 2019, respectively, related to employee termination benefits, facility closure costs and impairment of property, plant and equipment. The Company incurred charges of zero and $0.5 million in its U.S. Consumer segment, $0.5 million and $2.6 million in its Hawthorne segment, zero and $0.6 million in its Other segment and zero and $0.9 million at Corporate in the “Impairment, restructuring and other” line in the Condensed Consolidated Statements of Operations during the three and nine months ended June 29, 2019, respectively, related to employee termination benefits and facility closure costs. Costs incurred to date since the inception of Project Catalyst are $22.8 million for the Hawthorne segment, $12.5 million for the U.S. Consumer segment, $1.2 million for the Other segment and $0.9 million for Corporate.</w:t>
      </w:r>
    </w:p>
    <w:p>
      <w:pPr>
        <w:spacing w:after="0" w:line="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incurred charges of $4.5 million in its U.S. Consumer segment and $6.6 million in its Hawthorne segment in the “Cost of sales— impairment, restructuring and other” line in the Condensed Consolidated Statements of Operations during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three and nine months ended June 30, 2018 related to employee termination benefits, facility closure costs and impairment of property, plant and equipment. The Company incurred charges of $1.8 million in its Hawthorne segment in the “Impairment, restructuring and other” line in the Condensed Consolidated Statements of Operations during the three and nine months ended June 30, 2018 related to employee termination benefits. The Company’s Hawthorne segment also recognized a non-cash impairment charge of $17.5 million related to the write-off of previously acquired customer relationship intangible assets due to the acquisition of Sunlight Supply during the three and nine months ended June 30, 2018 in the “Impairment, restructuring and other” line in the Condensed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Focus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first quarter of fiscal 2016, the Company announced a series of initiatives called Project Focus designed to maximize the value of its non-core assets and focus on emerging categories of the lawn and garden industry in its core U.S. business. During the three and nine months ended June 30, 2018, the U.S. Consumer segment recognized adjustments of zero and $0.1 million, respectively, related to previously recognized termination benefits associated with Project Focus in the “Impairment, restructuring and other” line in the Condensed Consolidated Statements of Operations. Costs incurred to date since the inception of the current Project Focus initiatives are $10.0 million for the U.S. Consumer segment, $0.9 million for the Hawthorne segment and $1.2 million for the Other segment, related to transaction activity, termination benefits and facility closure costs.</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31, 2017, the Company completed the sale of the International Business. Refer to “NOTE 3. DISCONTINUED OPERATIONS” for more information. During the three and nine months ended June 30, 2018, the Company recognized $0.1 million and $1.6 million, respectively, in transaction related costs associated with the sale of the International Business in the “Income (loss) from discontinued operations, net of tax” line in the Condensed Consolidated Statements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During the three and nine months ended June 29, 2019, the Company recognized a favorable adjustment of $22.5 million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in the “Income (loss) from discontinued operations, net of tax” line in the Condensed Consolidated Statements of Operations as a result of the final resolution of the previously disclosed settlement agreement. In addition, during the three and nine months ended June 29, 2019, the Company recognized insurance recoveries of $8.4 million and $13.4 million, respectively, related to this matter in the “Income (loss) from discontinued operations, net of tax” line in the Condensed Consolidated Statements of Operations. During the three and nine months ended June 30, 2018, the Company recognized a pre-tax charge of $65.0 million for a probable loss related to this matter in the “Income (loss) from discontinued operations, net of tax” line in the Condensed Consolidated Statements of Operations. Refer to “NOTE 12. CONTINGENCIES” for more information.</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During the three and nine months ended June 29, 2019, the Company recognized favorable adjustments of zero and $0.4 million, respectively,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 During the three and nine months ended June 30, 2018, the Company recognized charges of zero and $10.2 million for a probable loss related to this matter in the “Impairment, restructuring and other” line in the Condensed Consolidated Statements of Operations. Refer to “NOTE 12. CONTINGENCIES” for more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JUNE 30,</w:t>
            </w:r>
          </w:p>
        </w:tc>
        <w:tc>
          <w:tcPr>
            <w:tcW w:w="14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60.1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481.4</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$9.4 million at June 29, 2019, $12.6 million at June 30, 2018 and $8.1 million at September 30,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MARKETING AGREEMENT</w:t>
      </w:r>
    </w:p>
    <w:p>
      <w:pPr>
        <w:spacing w:after="0" w:line="175"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The Scotts Company LLC (“Scotts LLC”) is the exclusive agent of Monsanto for the marketing and distribution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in the consumer lawn and garden market in the United States and certain other specified countries pursuant to the Restated Marketing Agreement. The Restated Marketing Agreement covers Israel, China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and every country in North America and South America that is not subject to a comprehensive U.S. trade embargo or certain other embargoes and trade restrictions. The term of the Restated Marketing Agreement will continue indefinitely for all included markets unless and until otherwise terminated in accordance therewith. During the three months ended June 29, 2019, Monsanto agreed to reimburse the Company for $20.0 million of additional expenses incurred and to be incurred by the Company for certain activities connected to the Restated Marketing Agreement and this payment was recognized in the “Net sales” line in the Condensed Consolidated Statements of Operations for the third quarter of fiscal 2019.</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July 29, 2019, the Company entered into a third amended and restated exclusive agency and marketing agreement with Monsanto (the “Third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Restated Agreement”). The Third Restated Agreement, which is effective as of August 1, 2019, amends among other things the following:</w:t>
      </w:r>
    </w:p>
    <w:p>
      <w:pPr>
        <w:spacing w:after="0" w:line="130"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the amount of commission to which the Company is entitled for Program Year 2020 and thereafter from 50% of Program EBIT in excess of $40 million to 50% of Program EBIT;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Expands the definition of Roundup Products to include products sold under the brand extensions agreement; and</w:t>
      </w:r>
    </w:p>
    <w:p>
      <w:pPr>
        <w:spacing w:after="0" w:line="144"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Updates the termination fee structure which provides for a termination fee to be payable to the Company in connection with the termination of the Third Restated Agreement (i) if the Company terminates the Third Restated Agreement for convenience Monsanto will pay the Company $175 million, (ii) upon a brand decommissioning event, Monsanto will pay the Company $375 million, and (iii) if Monsanto or its successor terminates the Third Restated Agreement as a result of a Roundup Sale or Change of Control of Monsanto, then Monsanto will pay the Company the greater of $175 million or four times an amount equal to the average of the Program EBIT for the three Program Years before the year of termination, minus $186.4 million.</w:t>
      </w:r>
    </w:p>
    <w:p>
      <w:pPr>
        <w:spacing w:after="0" w:line="11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in connection with the signing of the Third Restated Agreement, the Company entered into a separate (i) brand extension asset purchase agreement and (ii) termination agreement regarding the existing brand extension agreement. The brand extension asset purchase agreement provides for the sale by the Company to Monsanto of specified assets related to, among other things, the development, manufacture or sale of specified Roundup branded products sold outside the non-selective weedkiller category within the residential lawn and garden market. The specified assets include intellectual property, inventory, contracts and advertising, promotional and sales materials. The consideration to be paid by Monsanto is the sum of $112 million plus the value of the finished goods inventory.</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elements of the net commission and reimbursements earned under the Restated Marketing Agreement and included in “Net sales”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10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10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8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8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Reimbursements associated with Restated Marketing Agreement</w:t>
            </w:r>
          </w:p>
        </w:tc>
        <w:tc>
          <w:tcPr>
            <w:tcW w:w="8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8"/>
                <w:szCs w:val="18"/>
                <w:color w:val="auto"/>
                <w:w w:val="96"/>
              </w:rPr>
              <w:t>Total net sales associated with Restated Marketing Agreement</w:t>
            </w:r>
          </w:p>
        </w:tc>
        <w:tc>
          <w:tcPr>
            <w:tcW w:w="8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2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Company’s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JUNE 30,</w:t>
            </w:r>
          </w:p>
        </w:tc>
        <w:tc>
          <w:tcPr>
            <w:tcW w:w="140" w:type="dxa"/>
            <w:vAlign w:val="bottom"/>
          </w:tcPr>
          <w:p>
            <w:pPr>
              <w:spacing w:after="0"/>
              <w:rPr>
                <w:sz w:val="14"/>
                <w:szCs w:val="14"/>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1,084.5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492.2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 – 5.250%</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250.0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Receivables facility</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76.0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1,934.8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2,025.7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9.3</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At June 29, 2019, the Company had letters of credit outstanding in the aggregate principal amount of $20.8 million, and $1,278.8 million of borrowing availability under the Fifth A&amp;R Credit Agreement. The weighted average interest rates on average borrowings under the Fifth A&amp;R Credit Agreement and the former credit agreement were 4.6% and 4.0% for the nine months ended June 29, 2019 and June 30, 2018, respectively.</w:t>
      </w:r>
    </w:p>
    <w:p>
      <w:pPr>
        <w:spacing w:after="0" w:line="8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(i) 5.00 for the third quarter of fiscal 2019 through the first quarter of fiscal 2020, (ii) 4.75 for the second quarter of fiscal 2020 through the fourth quarter of fiscal 2020 and (iii) 4.50 for the first quarter of fiscal 2021 and thereafter. The Company’s leverage ratio was 3.68 at June 29, 2019.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June 29, 2019. The Company’s interest coverage ratio was 5.94 for the twelve months ended June 29, 2019.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Master Repurchase Agreement (including the annexes thereto, the “Repurchase Agreement”) and a Master Framework Agreement (the “Framework Agreement” and, together with the Repurchase Agreement, the “Receivables Facility”), as amended, the Company may sell a portfolio of available and eligible outstanding customer accounts receivable to the purchasers and simultaneously agree to repurchase the receivables on a weekly basis. The Company accounts for the sale of receivables under the Receivables Facility as short-term debt and continues to carry the receivables on its Condensed Consolidated Balance Sheets, primarily as a result of the Company’s requirement to repurchase receivables sold. As of June 29, 2019 and June 30, 2018, there were $316.0 million and $285.0 million, respectively, in borrowings on receivables pledged as collateral under the Receivables Facility, and the carrying value of the receivables pledged as collateral was $351.1 million and $316.7 million, respectively. As of June 29, 2019 and June 30, 2018, there was $10.8 million and $0.7 million, respectively, of availability under the Receivables Facility.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$850.0 million at June 29, 2019, $1,000.0 million at June 30, 2018 and $800.0 million at September 30, 2018, respectively. Interest payments made between the effective date and expiration date are hedged by the swap agreements, except as noted below.</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June 29, 2019 are shown in the table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jc w:val="right"/>
              <w:ind w:right="515"/>
              <w:spacing w:after="0"/>
              <w:rPr>
                <w:sz w:val="20"/>
                <w:szCs w:val="20"/>
                <w:color w:val="auto"/>
              </w:rPr>
            </w:pPr>
            <w:r>
              <w:rPr>
                <w:rFonts w:ascii="Arial" w:cs="Arial" w:eastAsia="Arial" w:hAnsi="Arial"/>
                <w:sz w:val="14"/>
                <w:szCs w:val="14"/>
                <w:b w:val="1"/>
                <w:bCs w:val="1"/>
                <w:color w:val="auto"/>
              </w:rPr>
              <w:t>Notional Amount</w:t>
            </w:r>
          </w:p>
        </w:tc>
        <w:tc>
          <w:tcPr>
            <w:tcW w:w="320" w:type="dxa"/>
            <w:vAlign w:val="bottom"/>
          </w:tcPr>
          <w:p>
            <w:pPr>
              <w:spacing w:after="0"/>
              <w:rPr>
                <w:sz w:val="14"/>
                <w:szCs w:val="14"/>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Effective</w:t>
            </w:r>
          </w:p>
        </w:tc>
        <w:tc>
          <w:tcPr>
            <w:tcW w:w="2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920" w:type="dxa"/>
            <w:vAlign w:val="bottom"/>
          </w:tcPr>
          <w:p>
            <w:pPr>
              <w:jc w:val="right"/>
              <w:ind w:right="1195"/>
              <w:spacing w:after="0"/>
              <w:rPr>
                <w:sz w:val="20"/>
                <w:szCs w:val="20"/>
                <w:color w:val="auto"/>
              </w:rPr>
            </w:pPr>
            <w:r>
              <w:rPr>
                <w:rFonts w:ascii="Arial" w:cs="Arial" w:eastAsia="Arial" w:hAnsi="Arial"/>
                <w:sz w:val="14"/>
                <w:szCs w:val="14"/>
                <w:b w:val="1"/>
                <w:bCs w:val="1"/>
                <w:color w:val="auto"/>
              </w:rPr>
              <w:t>Fixed</w:t>
            </w:r>
          </w:p>
        </w:tc>
      </w:tr>
      <w:tr>
        <w:trPr>
          <w:trHeight w:val="192"/>
        </w:trPr>
        <w:tc>
          <w:tcPr>
            <w:tcW w:w="360" w:type="dxa"/>
            <w:vAlign w:val="bottom"/>
          </w:tcPr>
          <w:p>
            <w:pPr>
              <w:spacing w:after="0"/>
              <w:rPr>
                <w:sz w:val="16"/>
                <w:szCs w:val="16"/>
                <w:color w:val="auto"/>
              </w:rPr>
            </w:pPr>
          </w:p>
        </w:tc>
        <w:tc>
          <w:tcPr>
            <w:tcW w:w="1900" w:type="dxa"/>
            <w:vAlign w:val="bottom"/>
          </w:tcPr>
          <w:p>
            <w:pPr>
              <w:jc w:val="right"/>
              <w:ind w:right="675"/>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Date (a)</w:t>
            </w:r>
          </w:p>
        </w:tc>
        <w:tc>
          <w:tcPr>
            <w:tcW w:w="2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2920" w:type="dxa"/>
            <w:vAlign w:val="bottom"/>
          </w:tcPr>
          <w:p>
            <w:pPr>
              <w:jc w:val="right"/>
              <w:ind w:right="1235"/>
              <w:spacing w:after="0"/>
              <w:rPr>
                <w:sz w:val="20"/>
                <w:szCs w:val="20"/>
                <w:color w:val="auto"/>
              </w:rPr>
            </w:pPr>
            <w:r>
              <w:rPr>
                <w:rFonts w:ascii="Arial" w:cs="Arial" w:eastAsia="Arial" w:hAnsi="Arial"/>
                <w:sz w:val="14"/>
                <w:szCs w:val="14"/>
                <w:b w:val="1"/>
                <w:bCs w:val="1"/>
                <w:color w:val="auto"/>
              </w:rPr>
              <w:t>Rate</w:t>
            </w:r>
          </w:p>
        </w:tc>
      </w:tr>
      <w:tr>
        <w:trPr>
          <w:trHeight w:val="250"/>
        </w:trPr>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w:t>
            </w:r>
          </w:p>
        </w:tc>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7/7/2021</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20" w:type="dxa"/>
            <w:vAlign w:val="bottom"/>
            <w:shd w:val="clear" w:color="auto" w:fill="CCEEFF"/>
          </w:tcPr>
          <w:p>
            <w:pPr>
              <w:spacing w:after="0"/>
              <w:rPr>
                <w:sz w:val="21"/>
                <w:szCs w:val="21"/>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 rate, prime rate or Federal Funds Effective Rate and thus the carrying value is a reasonable estimate of fair value. The fair value measurement for the Fifth A&amp;R Credit Facilities was classified in Level 2 of the fair value hierarchy.</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Based on the trading value on or around June 29, 2019, the fair value of the 5.250% Senior Notes was approximately $252.5 million. The fair value measurement for the 5.250%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Based on the trading value on or around June 29, 2019, the fair value of the 6.000% Senior Notes was approximately $414.5 million. The fair value measurement for the 6.000%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Receivables Facility fluctuated with the applicable LIBOR and thus the carrying value is a reasonable estimate of fair value. The fair value measurement for the Receivables Facility was classified in Level 2 of the fair value hierarchy.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4.7% and 4.3% for the nine months ended June 29, 2019 and June 30, 2018,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each of the periods indicated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420.3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919.9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(939.6)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354.6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359.6</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5"/>
              </w:rPr>
              <w:t>Adoption of new accounting pronouncements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(see Note 1)</w:t>
            </w:r>
          </w:p>
        </w:tc>
        <w:tc>
          <w:tcPr>
            <w:tcW w:w="1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($0.550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color w:val="auto"/>
              </w:rPr>
              <w:t>Balance at December 29,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425.9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835.4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(937.7)</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248.3</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253.2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396.4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($0.550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tcPr>
          <w:p>
            <w:pPr>
              <w:spacing w:after="0"/>
              <w:rPr>
                <w:sz w:val="22"/>
                <w:szCs w:val="22"/>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w:t>
            </w: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March 30,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426.2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1,199.2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(929.0)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617.2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622.1</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201.6</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($0.550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r>
      <w:tr>
        <w:trPr>
          <w:trHeight w:val="244"/>
        </w:trPr>
        <w:tc>
          <w:tcPr>
            <w:tcW w:w="2740" w:type="dxa"/>
            <w:vAlign w:val="bottom"/>
          </w:tcPr>
          <w:p>
            <w:pPr>
              <w:ind w:left="40"/>
              <w:spacing w:after="0"/>
              <w:rPr>
                <w:sz w:val="20"/>
                <w:szCs w:val="20"/>
                <w:color w:val="auto"/>
              </w:rPr>
            </w:pPr>
            <w:r>
              <w:rPr>
                <w:rFonts w:ascii="Arial" w:cs="Arial" w:eastAsia="Arial" w:hAnsi="Arial"/>
                <w:sz w:val="14"/>
                <w:szCs w:val="14"/>
                <w:color w:val="auto"/>
              </w:rPr>
              <w:t>Balance at June 29,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437.0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1,369.3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(927.3)</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800.4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0</wp:posOffset>
            </wp:positionV>
            <wp:extent cx="5505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-98425</wp:posOffset>
            </wp:positionV>
            <wp:extent cx="5505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407.6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978.2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(667.8)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648.8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661.7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($0.530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Acquisition of remaining noncontrolling</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interest in Gavita</w:t>
            </w:r>
          </w:p>
        </w:tc>
        <w:tc>
          <w:tcPr>
            <w:tcW w:w="1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30,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407.9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925.9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(762.8)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502.8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507.8</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149.0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($0.530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(160.2)</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color w:val="auto"/>
              </w:rPr>
              <w:t>Balance at March 30,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409.0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1,044.5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(911.4)</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490.8</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495.9</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82.8</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($0.530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tcPr>
          <w:p>
            <w:pPr>
              <w:spacing w:after="0"/>
              <w:rPr>
                <w:sz w:val="22"/>
                <w:szCs w:val="22"/>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28.4</w:t>
            </w:r>
          </w:p>
        </w:tc>
      </w:tr>
      <w:tr>
        <w:trPr>
          <w:trHeight w:val="243"/>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1,097.5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531.3</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Accumulated Other Comprehensive Loss</w:t>
      </w:r>
    </w:p>
    <w:p>
      <w:pPr>
        <w:spacing w:after="0" w:line="14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second quarter of fiscal 2019, the Company recognized a charge of $2.5 million in the “Other non-operating (income) expense, net” line in the Condensed Consolidated Statements of Operations related to the write-off of accumulated foreign currency translation loss adjustments of a foreign subsidiary that was substantially liquidated. During the second quarter of fiscal 2018, the Company repatriated cash from a foreign subsidiary resulting in the liquidation of substantially all of the assets of the subsidiary and the write-off of accumulated foreign currency translation loss adjustments of $11.7 million within the “Other non-operating (income) expense, net” line in the Condensed Consolidated Statements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August 6, 2018, the Scotts Miracle-Gro Board of Directors approved an increase in the Company’s quarterly cash dividend from $0.53 to $0.55 per Common Share. On July 30, 2019, the Scotts Miracle-Gro Board of Directors approved an increase in the Company’s quarterly cash dividend from $0.55 to $0.58 per Common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over a five 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amount of $1.0 billion through March 28, 2020.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repurchases to occur on a more regular basis, or pursuant to accelerated share repurchases. The share repurchase authorization may be suspended or discontinued by the Board of Directors at any time, and there can be no guarantee as to the timing or amount of any repurchases. There were no share repurchases under the program during the three and nine months ended June 29, 2019. During the three and nine months ended June 30, 2018, Scotts Miracle-Gro repurchased 0.6 million and 3.3 million Common Shares for $53.5 million and $310.3 million, respectively. From the inception of this share repurchase program in the fourth quarter of fiscal 2014 through June 29, 2019, Scotts Miracle-Gro repurchased approximately 8.3 million Common Shares for $714.6 million. The “Treasury share purchases” lines in the tables above include cash paid to tax authorities to satisfy statutory income tax withholding obligations related to share-based compensation of $0.1 million and $2.6 million for the three and nine months ended June 29, 2019, respectively, and $0.1 million and $3.0 million for the three and nine months ended June 30, 2018,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of Sunlight Supply</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June 4, 2018, Scotts Miracle-Gro issued 0.3 million Common Shares, which represented a carrying value of $20.7 million, out of its treasury shares for payment of a portion of the purchase price for the acquisition of Sunlight Supply.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Condensed 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of Scotts Miracle-Gro. If available, Scotts Miracle-Gro will typically use treasury shares, or if not available, newly-issued Common Shares, in satisfaction of its share-based awards.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October 30, 2017, Scotts Miracle-Gro issued 0.2 million upfront performance-based award units (the “Hawthorne PFAs”), covering a four year performance period, with an estimated fair value of $20.2 million on the date of grant, to certain Hawthorne segment employees as part of its Project Focus initiative. These awards were to vest after approximately four years subject to the achievement of specific performance goals aligned with the strategic objectives of the Company’s Project Focus initiatives. Based on the extent to which the performance goals were achieved, vested shares were to range from 50 to 250 percent of the target award amount. The performance goals were based on cumulative Hawthorne non-GAAP adjusted earnings. These performance-based award units were to accrue cash dividend equivalents payable upon vesting of the awards. During the first quarter of fiscal 2019, in light of Hawthorne’s acquisition of Sunlight Supply and the fiscal 2018 downturn in the Hawthorne business, the Company authorized the cancellation of the Hawthorne PFAs and the issuance of a one-time performance bonus grant for certain Hawthorne segment employees with targets based on specified levels of Hawthorne non-GAAP adjusted earnings, subject to participant consent. The Company issued 0.1 million one-time performance bonus award units to Hawthorne segment employees during the three and nine months ended June 29, 2019.</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5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3"/>
                <w:szCs w:val="13"/>
                <w:color w:val="auto"/>
              </w:rPr>
            </w:pPr>
          </w:p>
        </w:tc>
        <w:tc>
          <w:tcPr>
            <w:tcW w:w="120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454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3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3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163,170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187,779</w:t>
            </w: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3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246,430</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3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3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23,558</w:t>
            </w: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3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325,950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457,767</w:t>
            </w:r>
          </w:p>
        </w:tc>
      </w:tr>
      <w:tr>
        <w:trPr>
          <w:trHeight w:val="67"/>
        </w:trPr>
        <w:tc>
          <w:tcPr>
            <w:tcW w:w="4540" w:type="dxa"/>
            <w:vAlign w:val="bottom"/>
            <w:tcBorders>
              <w:bottom w:val="single" w:sz="8" w:color="CCEEFF"/>
            </w:tcBorders>
          </w:tcPr>
          <w:p>
            <w:pPr>
              <w:spacing w:after="0"/>
              <w:rPr>
                <w:sz w:val="5"/>
                <w:szCs w:val="5"/>
                <w:color w:val="auto"/>
              </w:rPr>
            </w:pPr>
          </w:p>
        </w:tc>
        <w:tc>
          <w:tcPr>
            <w:tcW w:w="38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45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4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42.4</w:t>
            </w:r>
          </w:p>
        </w:tc>
      </w:tr>
      <w:tr>
        <w:trPr>
          <w:trHeight w:val="702"/>
        </w:trPr>
        <w:tc>
          <w:tcPr>
            <w:tcW w:w="4540" w:type="dxa"/>
            <w:vAlign w:val="bottom"/>
          </w:tcPr>
          <w:p>
            <w:pPr>
              <w:spacing w:after="0"/>
              <w:rPr>
                <w:sz w:val="24"/>
                <w:szCs w:val="24"/>
                <w:color w:val="auto"/>
              </w:rPr>
            </w:pPr>
          </w:p>
        </w:tc>
        <w:tc>
          <w:tcPr>
            <w:tcW w:w="3800" w:type="dxa"/>
            <w:vAlign w:val="bottom"/>
          </w:tcPr>
          <w:p>
            <w:pPr>
              <w:jc w:val="right"/>
              <w:ind w:right="245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98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3"/>
                <w:szCs w:val="13"/>
                <w:color w:val="auto"/>
              </w:rPr>
            </w:pPr>
          </w:p>
        </w:tc>
        <w:tc>
          <w:tcPr>
            <w:tcW w:w="940" w:type="dxa"/>
            <w:vAlign w:val="bottom"/>
          </w:tcPr>
          <w:p>
            <w:pPr>
              <w:jc w:val="right"/>
              <w:ind w:right="199"/>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28.4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20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61"/>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7.7</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effective tax rates related to continuing operations for the nine months ended June 29, 2019 and June 30, 2018 were 24.8% and 8.3%,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 During the nine months ended June 30, 2018, the Company recognized a one-time $45.9 million net tax benefit adjustment reflecting the revaluation of its net deferred tax liability at the lower tax rate under the Act. In addition, as part of the Act, the Company recognized a one-time tax expense on deemed repatriated earnings and cash of foreign subsidiaries as required by the Act of $14.0 million, partially offset by the recognition and application of foreign tax credits associated with these foreign subsidiaries of $13.9 million.</w:t>
      </w:r>
    </w:p>
    <w:p>
      <w:pPr>
        <w:spacing w:after="0" w:line="11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SAB 118 provides guidance on accounting for the tax effects of the Act. In accordance with SAB 118, any necessary measurement adjustments were recorded and disclosed within one year from the enactment date within the period the adjustments were determined. Accordingly, the Company accounted for the various elements of the Act as follows:</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Statutory Tax Rate Reduction: </w:t>
      </w:r>
      <w:r>
        <w:rPr>
          <w:rFonts w:ascii="Arial" w:cs="Arial" w:eastAsia="Arial" w:hAnsi="Arial"/>
          <w:sz w:val="16"/>
          <w:szCs w:val="16"/>
          <w:color w:val="auto"/>
        </w:rPr>
        <w:t>The Act reduced the federal corporate statutory tax rate to 21% effective January 1, 2018. As the Company’s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 falls on September 30, the federal corporate statutory tax rate for fiscal 2018 was prorated to 24.5%, with the statutory tax rate for fiscal 2019 and beyond at 21%. As a result of the reduction in statutory tax rate, the Company recognized a reduction in the value of its net deferred tax liability and a net benefit of $44.6 million was recognized in the “Income tax expense from continuing operations” line in the Consolidated Statements of Operations during fiscal 2018.</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The Act requires companies to pay a mandatory one-time U.S. transition tax on deemed repatriation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undistributed earnings of foreign subsidiaries. For fiscal 2018, the Company estimated U.S. federal tax on the deemed repatriation of $21.2 million based on $97.8 million of undistributed earnings of foreign subsidiaries. This expense is largely offset by $18.2 million of foreign tax credits, $0.5 million of which was carried forward from prior periods and offset by a complete valuation allowance.</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Other Provisions of the Act: </w:t>
      </w:r>
      <w:r>
        <w:rPr>
          <w:rFonts w:ascii="Arial" w:cs="Arial" w:eastAsia="Arial" w:hAnsi="Arial"/>
          <w:sz w:val="18"/>
          <w:szCs w:val="18"/>
          <w:color w:val="auto"/>
        </w:rPr>
        <w:t>Certain other aspects of the Act not expected to have a material effect on the Company’s financial statements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2019 including those related to performance-based compensation and others related to international taxation such as Global Intangible Low-Taxed Income (“GILTI”), Foreign Derived Intangible Income (“FDII”), and the Base Erosion Anti-Abuse Tax (“BEAT”). The Company has elected to account for GILTI under the period cost method. Estimates for these provisions have been included as components of the Company’s annualized effective tax rate and recognized in the “Income tax expense from continuing operations” line in the Condensed Consolidated Statements of Operations for the nine months ended June 29, 2019.</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net deferred tax liability decreased by $31.8 million during the nine months ended June 29, 2019. This decrease was primarily comprised of the reclassification of deferred tax liabilities of $47.1 million to accrued taxes related to the outside basis difference in the TruGreen Joint Venture as the result of the sale of the Company’s equity interest, partially offset by a decrease in deferred tax assets of $19.7 million due to payments made in connection with litigation settlements and changes in litigation accrual balances.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The Company is currently under examination by certain U.S. state and local tax authorities for tax periods limited to fiscal years 2009 through 2017. Other than these examinations, the Company is no longer subject to examination by tax authorities for fiscal years prior to 2016. In addition to the aforementioned audits, certain other tax deficiency notices and refund claims for previous years remain unresolved.</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resolution of these tax matters or any events related thereto will result in a material change to its consolidated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June 29, 2019, $4.1 million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28"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have vigorously defended the consolidated action. The parties reached an agreement to settle this matter, which the parties memorialized in a settlement agreement submitted to the Court for approval on December 7, 2018. On January 31, 2019, the Court preliminarily approved the settlement, and on June 11, 2019, the Court granted final approval of the settlement. The settlement became effective on July 12, 2019. During the second quarter of fiscal 2019, the Company paid $42.5 million to the settlement fund in accordance with the settlement agreement and will make the final payment of $20.0 million during the fourth quarter of fiscal 2019. At June 29, 2019, June 30, 2018 and September 30, 2018, $20.0 million, $65.0 million and $85.0 million, respectively, was accrued for a probable loss related to this matter in the “Other current liabilities” line in the Condensed Consolidated Balance Sheets. During the three and nine months ended June 29, 2019, the Company recognized a favorable adjustment of $22.5 million in the “Income (loss) from discontinued operations, net of tax” line in the Condensed Consolidated Statements of Operations as a result of the final resolution of the previously disclosed settlement agreement. In addition, during the three and nine months ended June 29, 2019, the Company recognized insurance recoveries of $8.4 million and $13.4 million, respectively, related to this matter in the “Income (loss) from discontinued operations, net of tax” line in the Condensed Consolidated Statements of Operations.</w:t>
      </w:r>
    </w:p>
    <w:p>
      <w:pPr>
        <w:spacing w:after="0" w:line="13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was named as a defendant in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Case No. 12-cv-4727 (VB), a New York and California class action lawsuit filed August 9, 2012 in the United States District Court for the Southern District of New York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asserted claims under false advertising and other legal theories based on a marketing statement on the Company’s EZ Seed grass seed product from 2009 to 2012. The plaintiffs sought, on behalf of themselves and purported class members, various forms of monetary and non-monetary relief, including statutory damages that they contend could amount to hundreds of millions of dollars. The Company defended the action vigorously, and disputed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required the Company to pay certain attorneys’ and administrative fees and provide certain payments to the class members. The preliminary settlement was approved by the court on December 19, 2018. This case is now settled and the Company made final payment of the claims made by class members during the second quarter of fiscal 2019. At June 29, 2019, June 30, 2018 and September 30, 2018, zero, $10.2 million and $11.7 million, respectively, was accrued for a probable loss related to this matter in the “Other current liabilities” line in the Condensed Consolidated Balance Sheets. During the three and nine months ended June 29, 2019, the Company recognized favorable adjustments of zero and $0.4 million, respectively, related to this matter in the “Impairment, restructuring and other” line in the Condensed Consolidated Statements of Operations as a result of the final payment of the claims made by class members.</w:t>
      </w:r>
    </w:p>
    <w:p>
      <w:pPr>
        <w:spacing w:after="0" w:line="11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uses currency forward contracts to manage the exchange rate risk associated with intercompany loans and certain other balances denominated in foreign currencies. The notional amount of outstanding currency forward contracts was $135.4 million at June 29, 2019, $244.0 million at June 30, 2018 and $117.2 million at September 30, 2018. Contracts outstanding at June 29, 2019 will mature over the next fiscal quarter.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AOCI within the Condensed Consolidated Balance Sheets.</w:t>
      </w:r>
    </w:p>
    <w:p>
      <w:pPr>
        <w:spacing w:after="0" w:line="10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$850.0 million at June 29, 2019, $1,000.0 million at June 30, 2018 and $800.0 million at September 30, 2018. Refer to “NOTE 9. DEBT” for the terms of the swap agreements outstanding at June 29, 2019. Included in the AOCI balance at June 29, 2019 was a loss of $3.5 million related to interest rate swap agreements that is expected to be reclassified to earnings during the next twelve months, consistent with the timing of the underlying hedged transactions.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diesel and resin requirements. These financial instruments are carried at fair value within the Condensed Consolidated Balance Sheets. Changes in the fair value of derivative contracts that qualify for hedge accounting are recorded in AOCI. Realized gains or losses remain as a component of AOCI until the related inventory is sold. Upon sale of the underlying inventory, the gain or loss is reclassified to cost of sales. Changes in the fair value of derivatives that do not qualify for hedge accounting are recorded as an element of cost of sales. Included in the AOCI balance at June 29, 2019 was a loss of $0.5 million related commodity hedges that is expected to be reclassified to earnings during the next twelve months, consistent with the timing of the underlying hedged transactions.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200" w:type="dxa"/>
            <w:vAlign w:val="bottom"/>
            <w:gridSpan w:val="2"/>
          </w:tcPr>
          <w:p>
            <w:pPr>
              <w:ind w:left="720"/>
              <w:spacing w:after="0"/>
              <w:rPr>
                <w:sz w:val="20"/>
                <w:szCs w:val="20"/>
                <w:color w:val="auto"/>
              </w:rPr>
            </w:pPr>
            <w:r>
              <w:rPr>
                <w:rFonts w:ascii="Arial" w:cs="Arial" w:eastAsia="Arial" w:hAnsi="Arial"/>
                <w:sz w:val="14"/>
                <w:szCs w:val="14"/>
                <w:b w:val="1"/>
                <w:bCs w:val="1"/>
                <w:color w:val="auto"/>
              </w:rPr>
              <w:t>JUNE 29,</w:t>
            </w:r>
          </w:p>
        </w:tc>
        <w:tc>
          <w:tcPr>
            <w:tcW w:w="2140" w:type="dxa"/>
            <w:vAlign w:val="bottom"/>
            <w:gridSpan w:val="2"/>
          </w:tcPr>
          <w:p>
            <w:pPr>
              <w:ind w:left="700"/>
              <w:spacing w:after="0"/>
              <w:rPr>
                <w:sz w:val="20"/>
                <w:szCs w:val="20"/>
                <w:color w:val="auto"/>
              </w:rPr>
            </w:pPr>
            <w:r>
              <w:rPr>
                <w:rFonts w:ascii="Arial" w:cs="Arial" w:eastAsia="Arial" w:hAnsi="Arial"/>
                <w:sz w:val="14"/>
                <w:szCs w:val="14"/>
                <w:b w:val="1"/>
                <w:bCs w:val="1"/>
                <w:color w:val="auto"/>
              </w:rPr>
              <w:t>JUNE 30,</w:t>
            </w:r>
          </w:p>
        </w:tc>
        <w:tc>
          <w:tcPr>
            <w:tcW w:w="2040" w:type="dxa"/>
            <w:vAlign w:val="bottom"/>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62,500 tons</w:t>
            </w: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 tons</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88,000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Resin</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1,900,000 pounds</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4,242,000 gallons</w:t>
            </w: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5,040,000 gallons</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5,460,000 gallons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Heating Oil</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462,000 gallons</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1,092,000 gallons</w:t>
            </w: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1,218,000 gallons</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 HEDGING</w:t>
            </w:r>
          </w:p>
        </w:tc>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3"/>
                <w:szCs w:val="13"/>
                <w:color w:val="auto"/>
              </w:rPr>
            </w:pPr>
          </w:p>
        </w:tc>
        <w:tc>
          <w:tcPr>
            <w:tcW w:w="122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derivatives</w:t>
            </w: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10"/>
          </w:tcPr>
          <w:p>
            <w:pPr>
              <w:jc w:val="center"/>
              <w:ind w:right="97"/>
              <w:spacing w:after="0"/>
              <w:rPr>
                <w:sz w:val="20"/>
                <w:szCs w:val="20"/>
                <w:color w:val="auto"/>
              </w:rPr>
            </w:pPr>
            <w:r>
              <w:rPr>
                <w:rFonts w:ascii="Arial" w:cs="Arial" w:eastAsia="Arial" w:hAnsi="Arial"/>
                <w:sz w:val="14"/>
                <w:szCs w:val="14"/>
                <w:b w:val="1"/>
                <w:bCs w:val="1"/>
                <w:color w:val="auto"/>
              </w:rPr>
              <w:t>AMOUNT OF GAIN / (LOSS) RECOGNIZED IN AOCI</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920" w:type="dxa"/>
            <w:vAlign w:val="bottom"/>
          </w:tcPr>
          <w:p>
            <w:pPr>
              <w:jc w:val="center"/>
              <w:ind w:left="220"/>
              <w:spacing w:after="0" w:line="153" w:lineRule="exact"/>
              <w:rPr>
                <w:sz w:val="20"/>
                <w:szCs w:val="20"/>
                <w:color w:val="auto"/>
              </w:rPr>
            </w:pPr>
            <w:r>
              <w:rPr>
                <w:rFonts w:ascii="Arial" w:cs="Arial" w:eastAsia="Arial" w:hAnsi="Arial"/>
                <w:sz w:val="14"/>
                <w:szCs w:val="14"/>
                <w:b w:val="1"/>
                <w:bCs w:val="1"/>
                <w:color w:val="auto"/>
                <w:w w:val="95"/>
              </w:rPr>
              <w:t>JUNE 30,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JUNE 29,</w:t>
            </w:r>
          </w:p>
        </w:tc>
        <w:tc>
          <w:tcPr>
            <w:tcW w:w="220" w:type="dxa"/>
            <w:vAlign w:val="bottom"/>
          </w:tcPr>
          <w:p>
            <w:pPr>
              <w:spacing w:after="0"/>
              <w:rPr>
                <w:sz w:val="13"/>
                <w:szCs w:val="13"/>
                <w:color w:val="auto"/>
              </w:rPr>
            </w:pPr>
          </w:p>
        </w:tc>
        <w:tc>
          <w:tcPr>
            <w:tcW w:w="104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5"/>
              </w:rPr>
              <w:t>JUNE 30,</w:t>
            </w:r>
          </w:p>
        </w:tc>
        <w:tc>
          <w:tcPr>
            <w:tcW w:w="0" w:type="dxa"/>
            <w:vAlign w:val="bottom"/>
          </w:tcPr>
          <w:p>
            <w:pPr>
              <w:spacing w:after="0"/>
              <w:rPr>
                <w:sz w:val="1"/>
                <w:szCs w:val="1"/>
                <w:color w:val="auto"/>
              </w:rPr>
            </w:pPr>
          </w:p>
        </w:tc>
      </w:tr>
      <w:tr>
        <w:trPr>
          <w:trHeight w:val="192"/>
        </w:trPr>
        <w:tc>
          <w:tcPr>
            <w:tcW w:w="60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920" w:type="dxa"/>
            <w:vAlign w:val="bottom"/>
          </w:tcPr>
          <w:p>
            <w:pPr>
              <w:jc w:val="center"/>
              <w:ind w:left="240"/>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AMOUNT OF GAIN / (LOSS)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RECLASSIFIED FROM AOCI</w:t>
            </w: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36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 HEDGING</w:t>
            </w:r>
          </w:p>
        </w:tc>
        <w:tc>
          <w:tcPr>
            <w:tcW w:w="2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INTO</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920" w:type="dxa"/>
            <w:vAlign w:val="bottom"/>
          </w:tcPr>
          <w:p>
            <w:pPr>
              <w:jc w:val="center"/>
              <w:ind w:left="220"/>
              <w:spacing w:after="0" w:line="153" w:lineRule="exact"/>
              <w:rPr>
                <w:sz w:val="20"/>
                <w:szCs w:val="20"/>
                <w:color w:val="auto"/>
              </w:rPr>
            </w:pPr>
            <w:r>
              <w:rPr>
                <w:rFonts w:ascii="Arial" w:cs="Arial" w:eastAsia="Arial" w:hAnsi="Arial"/>
                <w:sz w:val="14"/>
                <w:szCs w:val="14"/>
                <w:b w:val="1"/>
                <w:bCs w:val="1"/>
                <w:color w:val="auto"/>
                <w:w w:val="95"/>
              </w:rPr>
              <w:t>JUNE 30,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JUNE 29,</w:t>
            </w:r>
          </w:p>
        </w:tc>
        <w:tc>
          <w:tcPr>
            <w:tcW w:w="220" w:type="dxa"/>
            <w:vAlign w:val="bottom"/>
          </w:tcPr>
          <w:p>
            <w:pPr>
              <w:spacing w:after="0"/>
              <w:rPr>
                <w:sz w:val="13"/>
                <w:szCs w:val="13"/>
                <w:color w:val="auto"/>
              </w:rPr>
            </w:pPr>
          </w:p>
        </w:tc>
        <w:tc>
          <w:tcPr>
            <w:tcW w:w="104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5"/>
              </w:rPr>
              <w:t>JUNE 30,</w:t>
            </w:r>
          </w:p>
        </w:tc>
        <w:tc>
          <w:tcPr>
            <w:tcW w:w="0" w:type="dxa"/>
            <w:vAlign w:val="bottom"/>
          </w:tcPr>
          <w:p>
            <w:pPr>
              <w:spacing w:after="0"/>
              <w:rPr>
                <w:sz w:val="1"/>
                <w:szCs w:val="1"/>
                <w:color w:val="auto"/>
              </w:rPr>
            </w:pP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RELATIONSHIPS</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STATEMENT OF OPERATIONS</w:t>
            </w:r>
          </w:p>
        </w:tc>
        <w:tc>
          <w:tcPr>
            <w:tcW w:w="200" w:type="dxa"/>
            <w:vAlign w:val="bottom"/>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920" w:type="dxa"/>
            <w:vAlign w:val="bottom"/>
          </w:tcPr>
          <w:p>
            <w:pPr>
              <w:jc w:val="center"/>
              <w:ind w:left="240"/>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4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AMOUNT OF GAIN / (LOSS)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RECOGNIZED IN</w:t>
            </w: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4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0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STATEMENT OF</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104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6"/>
                <w:szCs w:val="16"/>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r>
      <w:tr>
        <w:trPr>
          <w:trHeight w:val="264"/>
        </w:trPr>
        <w:tc>
          <w:tcPr>
            <w:tcW w:w="3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35"/>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 expense,</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7"/>
        </w:trPr>
        <w:tc>
          <w:tcPr>
            <w:tcW w:w="3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2.5</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Other assets include investment securities in non-qualified retirement plan assets and the Company’s option to increase its economic interest in Bonnie Plants, Inc. (the “Bonnie Option”). Other liabilities included the contingent consideration related to the acquisition of Sunlight Supply.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29,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30,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divides its operations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the chief operating decision maker of the Company.</w:t>
      </w:r>
    </w:p>
    <w:p>
      <w:pPr>
        <w:spacing w:after="0" w:line="11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94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2,019.5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1,857.1</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179.6</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2,229.5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491.4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10.6</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Profit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495.4</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281.6</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JUNE 30,</w:t>
            </w:r>
          </w:p>
        </w:tc>
        <w:tc>
          <w:tcPr>
            <w:tcW w:w="140" w:type="dxa"/>
            <w:vAlign w:val="bottom"/>
          </w:tcPr>
          <w:p>
            <w:pPr>
              <w:spacing w:after="0"/>
              <w:rPr>
                <w:sz w:val="14"/>
                <w:szCs w:val="14"/>
                <w:color w:val="auto"/>
              </w:rPr>
            </w:pPr>
          </w:p>
        </w:tc>
        <w:tc>
          <w:tcPr>
            <w:tcW w:w="1340" w:type="dxa"/>
            <w:vAlign w:val="bottom"/>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2,101.2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1,702.2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3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37"/>
        </w:trPr>
        <w:tc>
          <w:tcPr>
            <w:tcW w:w="364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3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3,467.4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3,563.9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vMerge w:val="restart"/>
          </w:tcPr>
          <w:p>
            <w:pPr>
              <w:jc w:val="right"/>
              <w:ind w:right="850"/>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9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Growing media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866.8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780.8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Lawn care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608.9</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Controls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247.2</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Restated Marketing Agreement</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primarily gardening and landscape</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120.1</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Hawthorne: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Indoor, urban and hydroponic gardening</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192.8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Growing media</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70.5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Lawn care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primarily gardening and controls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51.4</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2,229.5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3"/>
                <w:szCs w:val="13"/>
                <w:color w:val="auto"/>
              </w:rPr>
            </w:pPr>
          </w:p>
        </w:tc>
        <w:tc>
          <w:tcPr>
            <w:tcW w:w="94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1,044.4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2,415.9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1,170.3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2,658.3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040" w:type="dxa"/>
            <w:vAlign w:val="bottom"/>
            <w:vMerge w:val="restart"/>
          </w:tcPr>
          <w:p>
            <w:pPr>
              <w:jc w:val="right"/>
              <w:ind w:right="63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4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Fifth A&amp;R Credit Agreement, except a release by or as a result of the repayment of the Fifth A&amp;R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8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following 100% directly or indirectly owned subsidiaries fully and unconditionally guarantee at June 29, 2019 the 6.000% and 5.250% Senior Notes on a joint and several basis: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and GenSource, Inc. (collectively, the “Guarantors”). Effective in the three month period ending June 29, 2019, SLS Holdings, Inc. and SMG ITO Holdings, Inc. were dissolved and their subsidiary guarantees were released. Effective in the three month period ending March 30, 2019, Gutwein &amp; Co., Inc. was dissolved and its subsidiary guarantee was released.</w:t>
      </w:r>
    </w:p>
    <w:p>
      <w:pPr>
        <w:spacing w:after="0" w:line="97"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nine months ended June 29, 2019 and June 30, 2018, Condensed Consolidating Statements of Comprehensive Income (Loss) for the three and nine months ended June 29, 2019 and June 30, 2018, Condensed Consolidating Statements of Cash Flows for the nine months ended June 29, 2019 and June 30, 2018, and Condensed Consolidating Balance Sheets as of June 29, 2019, June 30, 2018 and September 30, 2018.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Fifth A&amp;R Credit Facilities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nine months ended June 29, 2019 and June 30, 2018 are $2,151.2 million and $1,087.3 million, respectively, of dividends paid by the Guarantors and Non-Guarantors to the Parent representing return of investments and as such are classified within cash flows from investing activities. Included in the Parent Condensed Consolidating Statement of Cash Flows for the nine months ended June 29, 2019 and June 30, 2018 are $12.2 million of dividends paid by the Guarantors and Non-Guarantors to the Parent representing return on investments and as such are classified within cash flows from operating activities.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29,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1,508.7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541.7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29,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loans receivable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investment in unconsolidated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78"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Cash received by the Parent from the Guarantors and Non-Guarantors in the form of dividends in the amount of $2,151.2 million represent return of investments and are included in cash flows from investing activities. </w:t>
      </w:r>
      <w:r>
        <w:rPr>
          <w:rFonts w:ascii="Arial" w:cs="Arial" w:eastAsia="Arial" w:hAnsi="Arial"/>
          <w:sz w:val="14"/>
          <w:szCs w:val="14"/>
          <w:color w:val="auto"/>
        </w:rPr>
        <w:t>Cash received by the Parent from the Guarantors and Non-Guarantors in the form of dividends in the amount of $12.2</w:t>
      </w:r>
      <w:r>
        <w:rPr>
          <w:rFonts w:ascii="Arial" w:cs="Arial" w:eastAsia="Arial" w:hAnsi="Arial"/>
          <w:sz w:val="15"/>
          <w:szCs w:val="15"/>
          <w:color w:val="auto"/>
        </w:rPr>
        <w:t xml:space="preserve"> </w:t>
      </w:r>
      <w:r>
        <w:rPr>
          <w:rFonts w:ascii="Arial" w:cs="Arial" w:eastAsia="Arial" w:hAnsi="Arial"/>
          <w:sz w:val="14"/>
          <w:szCs w:val="14"/>
          <w:color w:val="auto"/>
        </w:rPr>
        <w:t xml:space="preserve">million represent return on investments and are included in cash flows from operating activities. </w:t>
      </w:r>
      <w:r>
        <w:rPr>
          <w:rFonts w:ascii="Arial" w:cs="Arial" w:eastAsia="Arial" w:hAnsi="Arial"/>
          <w:sz w:val="15"/>
          <w:szCs w:val="15"/>
          <w:color w:val="auto"/>
        </w:rPr>
        <w:t>Cash received by the Guarantors from the Non-Guarantors in the form of</w:t>
      </w:r>
      <w:r>
        <w:rPr>
          <w:rFonts w:ascii="Arial" w:cs="Arial" w:eastAsia="Arial" w:hAnsi="Arial"/>
          <w:sz w:val="14"/>
          <w:szCs w:val="14"/>
          <w:color w:val="auto"/>
        </w:rPr>
        <w:t xml:space="preserve"> </w:t>
      </w:r>
      <w:r>
        <w:rPr>
          <w:rFonts w:ascii="Arial" w:cs="Arial" w:eastAsia="Arial" w:hAnsi="Arial"/>
          <w:sz w:val="15"/>
          <w:szCs w:val="15"/>
          <w:color w:val="auto"/>
        </w:rPr>
        <w:t>dividends in the amount of $2.3 million represent return of investments and are included in cash flows from investing activities.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29, 2019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733.5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1,294.4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3,467.4</w:t>
            </w:r>
          </w:p>
        </w:tc>
        <w:tc>
          <w:tcPr>
            <w:tcW w:w="0" w:type="dxa"/>
            <w:vAlign w:val="bottom"/>
          </w:tcPr>
          <w:p>
            <w:pPr>
              <w:spacing w:after="0"/>
              <w:rPr>
                <w:sz w:val="1"/>
                <w:szCs w:val="1"/>
                <w:color w:val="auto"/>
              </w:rPr>
            </w:pPr>
          </w:p>
        </w:tc>
      </w:tr>
      <w:tr>
        <w:trPr>
          <w:trHeight w:val="67"/>
        </w:trPr>
        <w:tc>
          <w:tcPr>
            <w:tcW w:w="362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6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3820" w:type="dxa"/>
            <w:vAlign w:val="bottom"/>
            <w:gridSpan w:val="7"/>
          </w:tcPr>
          <w:p>
            <w:pPr>
              <w:ind w:left="9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955.4</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1,563.5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2,662.2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3,467.4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4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79.3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CASH PROVIDED BY (USED IN) OPERATING ACTIVITIES</w:t>
            </w:r>
          </w:p>
        </w:tc>
        <w:tc>
          <w:tcPr>
            <w:tcW w:w="26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w:t>
            </w:r>
          </w:p>
        </w:tc>
        <w:tc>
          <w:tcPr>
            <w:tcW w:w="260" w:type="dxa"/>
            <w:vAlign w:val="bottom"/>
            <w:tcBorders>
              <w:bottom w:val="single" w:sz="8" w:color="CCEEFF"/>
            </w:tcBorders>
            <w:vMerge w:val="continue"/>
            <w:shd w:val="clear" w:color="auto" w:fill="CCEEFF"/>
          </w:tcPr>
          <w:p>
            <w:pPr>
              <w:spacing w:after="0"/>
              <w:rPr>
                <w:sz w:val="13"/>
                <w:szCs w:val="13"/>
                <w:color w:val="auto"/>
              </w:rPr>
            </w:pPr>
          </w:p>
        </w:tc>
        <w:tc>
          <w:tcPr>
            <w:tcW w:w="102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vMerge w:val="continue"/>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11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108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INVESTING ACTIVITIES </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Proceeds from sale of long-lived assets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Post-closing working capital payment related to sale of</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International Business</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Investments in property, plant and equipment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loans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Investments in acquired businesses, net of cash acquired</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Return of investments from affiliates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tcPr>
          <w:p>
            <w:pPr>
              <w:ind w:left="7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9"/>
              </w:rPr>
              <w:t>Borrowings under revolving and bank lines of credit and term</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loans</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1,427.6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1,617.0</w:t>
            </w:r>
          </w:p>
        </w:tc>
        <w:tc>
          <w:tcPr>
            <w:tcW w:w="0" w:type="dxa"/>
            <w:vAlign w:val="bottom"/>
          </w:tcPr>
          <w:p>
            <w:pPr>
              <w:spacing w:after="0"/>
              <w:rPr>
                <w:sz w:val="1"/>
                <w:szCs w:val="1"/>
                <w:color w:val="auto"/>
              </w:rPr>
            </w:pPr>
          </w:p>
        </w:tc>
      </w:tr>
      <w:tr>
        <w:trPr>
          <w:trHeight w:val="220"/>
        </w:trPr>
        <w:tc>
          <w:tcPr>
            <w:tcW w:w="4700" w:type="dxa"/>
            <w:vAlign w:val="bottom"/>
          </w:tcPr>
          <w:p>
            <w:pPr>
              <w:ind w:left="380"/>
              <w:spacing w:after="0"/>
              <w:rPr>
                <w:sz w:val="20"/>
                <w:szCs w:val="20"/>
                <w:color w:val="auto"/>
              </w:rPr>
            </w:pPr>
            <w:r>
              <w:rPr>
                <w:rFonts w:ascii="Arial" w:cs="Arial" w:eastAsia="Arial" w:hAnsi="Arial"/>
                <w:sz w:val="16"/>
                <w:szCs w:val="16"/>
                <w:color w:val="auto"/>
                <w:w w:val="97"/>
              </w:rPr>
              <w:t>Repayments under revolving and bank lines of credit and term</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380"/>
              <w:spacing w:after="0"/>
              <w:rPr>
                <w:sz w:val="20"/>
                <w:szCs w:val="20"/>
                <w:color w:val="auto"/>
              </w:rPr>
            </w:pPr>
            <w:r>
              <w:rPr>
                <w:rFonts w:ascii="Arial" w:cs="Arial" w:eastAsia="Arial" w:hAnsi="Arial"/>
                <w:sz w:val="16"/>
                <w:szCs w:val="16"/>
                <w:color w:val="auto"/>
              </w:rPr>
              <w:t>loans</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(668.7)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Purchase of Common Shares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Cash received from exercise of stock options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Financing cash flows from (to) affiliates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759.2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475.8</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78"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Cash received by the Parent from the Guarantors and Non-Guarantors in the form of dividends in the amount of $1,087.3 million represent return of investments and are included in cash flows from investing activities. Cash received by the Parent from the Guarantors and Non-Guarantors in the form of dividends in the amount of $12.2 million represent return on investments and are included in cash flows from operating activities. Cash received by the Guarantors from the Non-Guarantors in the form of dividends in the amount of $1.8 million represent return on investments and are included in cash flows from operating activities.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2,525.2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2018 (the “2018 Annual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6"/>
          <w:szCs w:val="16"/>
          <w:color w:val="auto"/>
        </w:rPr>
        <w:t>We are dedicated to delivering strong, long-term financial results and outstanding shareholder returns by providing products of superior quality and value to enhance users’ growing environments. We are a leading manufacturer and marketer of branded consumer lawn and garden products in the United States. We are the exclusive agent of Monsanto for the marketing and distribution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within the United States and certain other specified countries. Through our Hawthorne segment, we are a leading manufacturer, marketer and distributor of nutrients, growing media, advanced indoor garden, lighting and ventilation systems and accessories for hydroponic gardening.</w:t>
      </w:r>
    </w:p>
    <w:p>
      <w:pPr>
        <w:spacing w:after="0" w:line="12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2018</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9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August 2014, the Scotts Miracle-Gro Board of Directors authorized the repurchase of up to $500.0 million of common shares of Scotts Miracle-Gro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amount of $1.0 billion through March 28, 2020. There were no share repurchases under the program during the three and nine months ended June 29, 2019. From the inception of this share repurchase program in the fourth quarter of fiscal 2014 through June 29, 2019, Scotts Miracle-Gro repurchased approximately 8.3 million Common Shares for $714.6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 for the periods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780" w:type="dxa"/>
            <w:vAlign w:val="bottom"/>
          </w:tcPr>
          <w:p>
            <w:pPr>
              <w:spacing w:after="0"/>
              <w:rPr>
                <w:sz w:val="13"/>
                <w:szCs w:val="13"/>
                <w:color w:val="auto"/>
              </w:rPr>
            </w:pPr>
          </w:p>
        </w:tc>
        <w:tc>
          <w:tcPr>
            <w:tcW w:w="14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JUNE 29,</w:t>
            </w:r>
          </w:p>
        </w:tc>
        <w:tc>
          <w:tcPr>
            <w:tcW w:w="14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14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29,</w:t>
            </w:r>
          </w:p>
        </w:tc>
        <w:tc>
          <w:tcPr>
            <w:tcW w:w="13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7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64.0</w:t>
            </w:r>
          </w:p>
        </w:tc>
      </w:tr>
      <w:tr>
        <w:trPr>
          <w:trHeight w:val="27"/>
        </w:trPr>
        <w:tc>
          <w:tcPr>
            <w:tcW w:w="5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r>
      <w:tr>
        <w:trPr>
          <w:trHeight w:val="237"/>
        </w:trPr>
        <w:tc>
          <w:tcPr>
            <w:tcW w:w="578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3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35.5</w:t>
            </w:r>
          </w:p>
        </w:tc>
      </w:tr>
      <w:tr>
        <w:trPr>
          <w:trHeight w:val="27"/>
        </w:trPr>
        <w:tc>
          <w:tcPr>
            <w:tcW w:w="5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18.8</w:t>
            </w:r>
          </w:p>
        </w:tc>
      </w:tr>
      <w:tr>
        <w:trPr>
          <w:trHeight w:val="27"/>
        </w:trPr>
        <w:tc>
          <w:tcPr>
            <w:tcW w:w="5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27"/>
        </w:trPr>
        <w:tc>
          <w:tcPr>
            <w:tcW w:w="57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27"/>
        </w:trPr>
        <w:tc>
          <w:tcPr>
            <w:tcW w:w="5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0.2</w:t>
            </w:r>
          </w:p>
        </w:tc>
      </w:tr>
      <w:tr>
        <w:trPr>
          <w:trHeight w:val="27"/>
        </w:trPr>
        <w:tc>
          <w:tcPr>
            <w:tcW w:w="57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12.6</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7"/>
        </w:trPr>
        <w:tc>
          <w:tcPr>
            <w:tcW w:w="57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11.6</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(2.1)</w:t>
            </w:r>
          </w:p>
        </w:tc>
      </w:tr>
      <w:tr>
        <w:trPr>
          <w:trHeight w:val="27"/>
        </w:trPr>
        <w:tc>
          <w:tcPr>
            <w:tcW w:w="57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0"/>
        </w:trPr>
        <w:tc>
          <w:tcPr>
            <w:tcW w:w="57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-98425</wp:posOffset>
            </wp:positionV>
            <wp:extent cx="3584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June 29, 2019 were $1,170.3 million, an increase of 17.7% from net sales of $994.6 million for the three months ended June 30, 2018. Net sales for the nine months ended June 29, 2019 were $2,658.3 million, an increase of 19.2% from net sales of $2,229.5 million for the nine months ended June 30, 2018. These changes in net sales were attributable to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295"/>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8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JUNE 29, 2019</w:t>
            </w:r>
          </w:p>
        </w:tc>
        <w:tc>
          <w:tcPr>
            <w:tcW w:w="2360" w:type="dxa"/>
            <w:vAlign w:val="bottom"/>
          </w:tcPr>
          <w:p>
            <w:pPr>
              <w:jc w:val="right"/>
              <w:ind w:right="635"/>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Volume</w:t>
            </w: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7.7</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60" w:type="dxa"/>
            <w:vAlign w:val="bottom"/>
          </w:tcPr>
          <w:p>
            <w:pPr>
              <w:jc w:val="right"/>
              <w:ind w:right="9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(0.5)</w:t>
            </w: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increase in net sales for the three months ended June 29, 2019 as compared to the three months ended June 30, 2018 was primarily driven by:</w:t>
      </w:r>
    </w:p>
    <w:p>
      <w:pPr>
        <w:spacing w:after="0" w:line="129" w:lineRule="exact"/>
        <w:rPr>
          <w:sz w:val="20"/>
          <w:szCs w:val="20"/>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sales volume driven by increased sales of soils, mulch, grass seed and fertilizer products in our U.S. Consumer segment and hydroponic gardening products in our Hawthorne segment excluding the impact of acquisitions, partially offset by decreased sales in our Other segment as a result of the closure of our business in Mexico;</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 of net sales from the Sunlight Supply acquisition of $68.4 million in our Hawthorne segment (refer to “NOTE 4. ACQUISITIONS AND INVESTMENTS” for more information regarding the Sunlight Supply acquisition);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pricing in our U.S. Consumer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line="27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the euro and the Canadian dollar.</w:t>
      </w:r>
    </w:p>
    <w:p>
      <w:pPr>
        <w:sectPr>
          <w:pgSz w:w="11900" w:h="16838" w:orient="portrait"/>
          <w:cols w:equalWidth="0" w:num="1">
            <w:col w:w="11420"/>
          </w:cols>
          <w:pgMar w:left="240" w:top="125"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net sales for the nine months ended June 29, 2019 as compared to the nine months ended June 30, 2018 was primarily driven by:</w:t>
      </w:r>
    </w:p>
    <w:p>
      <w:pPr>
        <w:spacing w:after="0" w:line="14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net sales from the Sunlight Supply acquisition of $231.4 million in our Hawthorne segment;</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sales volume driven by increased sales of soils, mulch, grass seed and fertilizer products in our U.S. Consumer segment and hydroponic gardening products in our Hawthorne segment excluding the impact of acquisitions, partially offset by decreased sales in our Other segment as a result of the closure of our business in Mexico; and</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pricing in our U.S. Consumer and Other segments, partially offset by decreased pricing in our Hawthorne segment primarily driven by increased promotional activities;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decreased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strengthening of the U.S. dollar relative to the euro and the Canadian dollar.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8"/>
              </w:rPr>
              <w:t>JUNE 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460" w:type="dxa"/>
            <w:vAlign w:val="bottom"/>
            <w:gridSpan w:val="4"/>
          </w:tcPr>
          <w:p>
            <w:pPr>
              <w:ind w:left="36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2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358.6</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2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321.0</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Costs associated with Restated Marketing Agreement</w:t>
            </w:r>
          </w:p>
        </w:tc>
        <w:tc>
          <w:tcPr>
            <w:tcW w:w="2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45.1</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1,427.5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647.0</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1,728.2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000" w:type="dxa"/>
            <w:vAlign w:val="bottom"/>
            <w:gridSpan w:val="4"/>
          </w:tcPr>
          <w:p>
            <w:pPr>
              <w:ind w:left="440"/>
              <w:spacing w:after="0"/>
              <w:rPr>
                <w:sz w:val="20"/>
                <w:szCs w:val="20"/>
                <w:color w:val="auto"/>
              </w:rPr>
            </w:pPr>
            <w:r>
              <w:rPr>
                <w:rFonts w:ascii="Arial" w:cs="Arial" w:eastAsia="Arial" w:hAnsi="Arial"/>
                <w:sz w:val="18"/>
                <w:szCs w:val="18"/>
                <w:color w:val="auto"/>
                <w:w w:val="97"/>
              </w:rPr>
              <w:t>Factors contributing to the change in cost of sales are outlined in the following table: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26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JUNE 29, 2019</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5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product mix and other</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112.1</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Restated Marketing Agreement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99.9</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cost of sales for the three months ended June 29, 2019 as compared to the three months ended June 30, 2018 was primarily driven by:</w:t>
      </w:r>
    </w:p>
    <w:p>
      <w:pPr>
        <w:spacing w:after="0" w:line="154"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$58.7 million included within “volume, product mix and other” related to sales from the Sunlight Supply acquisition in our Hawthorne segment;</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sales volume in our U.S. Consumer and Hawthorne segments excluding the impact of acquisitions, partially offset by decreased sales in our Other segment;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costs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the favorable impact of foreign exchange rates as a result of the strengthening of the U.S. dollar relative to the euro and the Canadian dollar;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in impairment, restructuring and other charges of $11.2 million as a result of lower costs associated with Project Catalyst.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cost of sales for the nine months ended June 29, 2019 as compared to the nine months ended June 30, 2018 was primarily driven by:</w:t>
      </w:r>
    </w:p>
    <w:p>
      <w:pPr>
        <w:spacing w:after="0" w:line="154"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$199.6 million included within “volume, product mix and other” related to sales from the Sunlight Supply acquisition in our Hawthorne segment;</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sales volume in our U.S. Consumer and Hawthorne segments excluding the impact of acquisitions, partially offset by decreased sales in our Other segment;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material costs in our U.S. Consumer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a decrease in costs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strengthening of the U.S. dollar relative to the euro and the Canadian dollar; and</w:t>
      </w:r>
    </w:p>
    <w:p>
      <w:pPr>
        <w:spacing w:after="0" w:line="135"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decrease in impairment, restructuring and other charges of $7.7 million as a result of lower costs associated with Project Catalyst.</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36.2% and 34.9% for the three months ended June 29, 2019 and June 30, 2018, respectively. As a percentage of net sales, our gross profit rate was 35.0% and 35.5% for the nine months ended June 29, 2019 and June 30, 2018,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8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JUNE 29, 2019</w:t>
            </w:r>
          </w:p>
        </w:tc>
        <w:tc>
          <w:tcPr>
            <w:tcW w:w="2360" w:type="dxa"/>
            <w:vAlign w:val="bottom"/>
          </w:tcPr>
          <w:p>
            <w:pPr>
              <w:jc w:val="right"/>
              <w:ind w:right="634"/>
              <w:spacing w:after="0"/>
              <w:rPr>
                <w:sz w:val="20"/>
                <w:szCs w:val="20"/>
                <w:color w:val="auto"/>
              </w:rPr>
            </w:pPr>
            <w:r>
              <w:rPr>
                <w:rFonts w:ascii="Arial" w:cs="Arial" w:eastAsia="Arial" w:hAnsi="Arial"/>
                <w:sz w:val="14"/>
                <w:szCs w:val="14"/>
                <w:b w:val="1"/>
                <w:bCs w:val="1"/>
                <w:color w:val="auto"/>
              </w:rPr>
              <w:t>JUNE 29, 2019</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(0.2)</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Volume, product mix and other</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0.4</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0.9</w:t>
            </w:r>
          </w:p>
        </w:tc>
      </w:tr>
      <w:tr>
        <w:trPr>
          <w:trHeight w:val="237"/>
        </w:trPr>
        <w:tc>
          <w:tcPr>
            <w:tcW w:w="658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0.4</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5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gross profit rate for the three months ended June 29, 2019 as compared to the three months ended June 30, 2018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favorable mix in our U.S. Consumer segment associated with higher sales of fertilizer and soils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pricing in our U.S. Consumer and Other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favorable leverage of fixed costs such as warehousing driven by higher sales volume in our U.S. Consumer and Hawthorne segments;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 as a result of lower costs associated with Project Catalyst;</w:t>
      </w:r>
    </w:p>
    <w:p>
      <w:pPr>
        <w:spacing w:after="0" w:line="11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an unfavorable impact from acquisitions in our Hawthorne segment related to Sunlight Supply;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decrease in gross profit rate for the nine months ended June 29, 2019 as compared to the nine months ended June 30, 2018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6"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unfavorable impact from acquisitions in our Hawthorne segment related to Sunlight Supply;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material costs in our U.S. Consumer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segment;</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partially offset by increased pricing in our U.S. Consumer and Other segments, net of decreased pricing in our Hawthorne segment primarily driven by increased promotional activities;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favorable leverage of fixed costs such as warehousing driven by higher sales volume in our U.S. Consumer and Hawthorne segments;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favorable mix in our U.S. Consumer segment associated with higher sales of fertilizer and soils products;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 as a result of lower costs associated with Project Catalyst.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30.7</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20.7</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246.2</w:t>
            </w:r>
          </w:p>
        </w:tc>
      </w:tr>
      <w:tr>
        <w:trPr>
          <w:trHeight w:val="237"/>
        </w:trPr>
        <w:tc>
          <w:tcPr>
            <w:tcW w:w="56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418.7</w:t>
            </w:r>
          </w:p>
        </w:tc>
      </w:tr>
      <w:tr>
        <w:trPr>
          <w:trHeight w:val="27"/>
        </w:trPr>
        <w:tc>
          <w:tcPr>
            <w:tcW w:w="5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SG&amp;A increased $21.9 million, or 15.2%, during the three months ended June 29, 2019 compared to the three months ended June 30, 2018. Advertising expense increased $8.1 million, or 24.0%, during the three months ended June 29, 2019 driven by increased media spending in our U.S. Consumer segment. Amortization expense increased $0.8 million, or 10.8%, during the three months ended June 29, 2019 primarily due to the impact of recent acquisitions. Share-based compensation expense decreased $3.0 million, or 20.8%, during the three months ended June 29, 2019 due to an increase in the expected payout percentage on long-term performance-based awards during the three months ended June 30, 2018. Other SG&amp;A increased $16.7 million, or 21.4%, during the three months ended June 29, 2019 driven by higher short-term variable cash incentive compensation expense.</w:t>
      </w:r>
    </w:p>
    <w:p>
      <w:pPr>
        <w:spacing w:after="0" w:line="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SG&amp;A increased $43.7 million, or 10.4%, during the nine months ended June 29, 2019 compared to the nine months ended June 30, 2018. Advertising expense increased $15.2 million, or 16.7%, during the nine months ended June 29, 2019 driven by increased media spending in our U.S. Consumer segment. Amortization expense increased $4.0 million, or 19.3%, during the nine months ended June 29, 2019 primarily due to the impact of recent acquisitions. Share-based compensation expense decreased $1.6 million, or 5.3%, during the nine months ended June 29, 2019 due to an increase in the expected payout percentage on long-term performance-based awards during the nine months ended June 30, 2018. Other SG&amp;A increased $28.0 million, or 11.4%, during the nine months ended June 29, 2019 driven by higher short-term variable cash incentive compensation expense and the impact of recent acquisitions of $7.6 million.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 The following table details impairment, restructuring and other charges (recoveries) for each of the periods presented:</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Restructuring and other charges (recoveries),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Intangible asset impairments</w:t>
            </w:r>
          </w:p>
        </w:tc>
        <w:tc>
          <w:tcPr>
            <w:tcW w:w="2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Impairment, restructuring and other charges from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(recoveries), net, from discontinued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 (recoveries)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recent acquisitions within the Hawthorne segment. During the three and nine months ended June 29, 2019, we continued to execute on planned facility closures and consolidations which resulted in charges of $0.4 million and $8.0 million, respectively, related to Project Catalyst. We incurred charges of zero and $0.4 million in our U.S. Consumer segment, $(0.1) million and $2.4 million in our Hawthorne segment and zero and $0.6 million in our Other segment in the “Cost of sales—impairment, restructuring and other” line in the Condensed Consolidated Statements of Operations during the three and nine months ended June 29, 2019, respectively, related to employee termination benefits, facility closure costs and impairment of property, plant and equipment. We incurred charges of zero and $0.5 million in our U.S. Consumer segment, $0.5 million and $2.6 million in our Hawthorne segment, zero and $0.6 million in our Other segment and zero and $0.9 million at Corporate in the “Impairment, restructuring and other” line in the Condensed Consolidated Statements of Operations during the three and nine months ended June 29, 2019, respectively, related to employee termination benefits and facility closure costs. Costs incurred to date since the inception of Project Catalyst are $22.8 million for our Hawthorne segment, $12.5 million for our U.S. Consumer segment, $1.2 million for our Other segment and $0.9 million for Corporate.</w:t>
      </w:r>
    </w:p>
    <w:p>
      <w:pPr>
        <w:spacing w:after="0" w:line="9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incurred charges of $4.5 million in our U.S. Consumer segment and $6.6 million in our Hawthorne segment in the “Cost of sales—impairment, restructuring and other” line in the Condensed Consolidated Statements of Operations during the three and nine months ended June 30, 2018 related to employee termination benefits, facility closure costs and impairment of property, plant and equipment. We incurred charges of $1.8 million in our Hawthorne segment in the “Impairment, restructuring and other” line in the Condensed Consolidated Statements of Operations during the three and nine months ended June 30, 2018 related to employee termination benefits. Our Hawthorne segment also recognized a non-cash impairment charge of $17.5 million related to the write-off of previously acquired customer relationship intangible assets due to the acquisition of Sunlight Supply during the three and nine months ended June 30, 2018 in the “Impairment, restructuring and other” line in the Condensed Consolidated Statements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Focus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During the three and nine months ended June 30, 2018, our U.S. Consumer segment recognized adjustments of zero and $0.1 million, respectively, related to previously recognized termination benefits associated with Project Focus in the “Impairment, restructuring and other” line in the Condensed Consolidated Statements of Operations. Costs incurred to date since the inception of the current Project Focus initiatives are $10.0 million for our U.S. Consumer segment, $0.9 million for our Hawthorne segment and $1.2 million for our Other segment, related to transaction activity, termination benefits and facility closure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31, 2017, we completed the sale of the International Business. Refer to “NOTE 3. DISCONTINUED OPERATIONS” for more information. During the three and nine months ended June 30, 2018, we recognized $0.1 million and $1.6 million, respectively, in transaction related costs associated with the sale of the International Business in the “Income (loss) from discontinued operations, net of tax” line in the Condensed Consolidated Statements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During the three and nine months ended June 29, 2019, we recognized a favorable adjustment of $22.5 million related to the previously disclosed legal matter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xml:space="preserve"> in the “Income (loss) from discontinued operations, net of tax” line in the Condensed Consolidated Statements of Operations as a result of the final resolution of the previously disclosed settlement agreement. In addition, during the three and nine months ended June 29, 2019, we recognized insurance recoveries of $8.4 million and $13.4 million, respectively, related to this matter in the “Income (loss) from discontinued operations, net of tax” line in the Condensed Consolidated Statements of Operations. During the three and nine months ended June 30, 2018, we recognized a pre-tax charge of $65.0 million for a probable loss related to this matter in the “Income (loss) from discontinued operations, net of tax” line in the Condensed Consolidated Statements of Operations. Refer to “NOTE 12. CONTINGENCIES” for more information.</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During the three and nine months ended June 29, 2019, we recognized favorable adjustments of zero and $0.4 million, respectively, related to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 During the three and nine months ended June 30, 2018, we recognized charges of zero and $10.2 million, respectively, for a probable loss related to this matter in the “Impairment, restructuring and other” line in the Condensed Consolidated Statements of Operations. Refer to “NOTE 12. CONTINGENCIES”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foreign exchange gains/losses and gains/losses from the disposition of non-inventory assets. Other income was $1.8 million and $1.9 million for the three months ended June 29, 2019 and June 30, 2018, respectively.</w:t>
      </w:r>
    </w:p>
    <w:p>
      <w:pPr>
        <w:spacing w:after="0" w:line="10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income was $0.1 million and $3.3 million for the nine months ended June 29, 2019 and June 30, 2018, respectively. The decrease was primarily due to losses on long-lived assets and a decrease in royalty income earned from Exponent related to its use of our brand names following the divestiture of the International Business. Refer to “NOTE 3. DISCONTINUED OPERATIONS” for more information regarding the divestiture of the International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Income from operations was $258.2 million for the three months ended June 29, 2019, an increase of 39.0% compared to $185.7 million for the three months ended June 30, 2018. Income from operations was $463.5 million for the nine months ended June 29, 2019, an increase of 33.9% compared to $346.1 million for the nine months ended June 30, 2018. For the three months ended June 29, 2019, the increase was driven by higher net sales, lower impairment, restructuring and other charges and an increase in gross profit rate, partially offset by higher SG&amp;A. For the nine months ended June 29, 2019, the increase was driven by higher net sales and lower impairment, restructuring and other charges, partially offset by higher SG&amp;A, a decrease in gross profit rate and decreased other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Equity in income of unconsolidated affiliates was zero and $1.1 million for the three months ended June 29, 2019 and June 30, 2018, respectively. Equity in income of unconsolidated affiliates was $3.3 million for the nine months ended June 29, 2019 and June 30, 2018. The decrease for the three months ended June 29, 2019 was attributable to the sale of our noncontrolling equity interest in an unconsolidated affiliate whose products support the professional U.S. industrial, turf and ornamental market (the “IT&amp;O Joint Venture”) on April 1,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expense was $25.9 million for the three months ended June 29, 2019, an increase of 11.6% compared to $23.2 million for the three months ended June 30, 2018. The increase was driven by an increase in our weighted average interest rate of 70 basis points, partially offset by a decrease in average borrowings of $82.0 million. The increase in our weighted average interest rate was driven by higher borrowing rates. The decrease in average borrowings was driven by the application of the proceeds from the sale of our equity interests in the TruGreen Joint Venture (as defined below) and the IT&amp;O Joint Venture to reduce our indebtedness.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 expense was $80.0 million for the nine months ended June 29, 2019, an increase of 25.8% compared to $63.6 million for the nine months ended June 30, 2018. The increase was driven by an increase in average borrowings of $279.1 million and an increase in our weighted average interest rate of 40 basis points. The increase in average borrowings was driven by recent acquisition activity and fiscal 2018 Common Share repurchase activity, partially offset by the application of the proceeds from the sale of our equity interests in the TruGreen Joint Venture (as defined below) and the IT&amp;O Joint Venture to reduce our indebtedness. The increase in our weighted average interest rate was driven by higher borrowing rates.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Expense, net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non-operating (income) expense was $(5.1) million and $(2.6) million for the three months ended June 29, 2019 and June 30,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 non-operating (income) expense was $(268.2) million and $4.2 million for the nine months ended June 29, 2019 and June 30, 2018, respectively.</w:t>
      </w:r>
    </w:p>
    <w:p>
      <w:pPr>
        <w:spacing w:after="0" w:line="14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March 19, 2019, we entered into an agreement under which we sold, to TruGreen Companies L.L.C., a subsidiary of TruGreen Holding Corporation, all of our approximately 30% equity interest in Outdoor Home Services Holdings LLC, a lawn services joint venture between the Company and TruGreen Holding Corporation (the “TruGreen Joint Venture”). Prior to this transaction, our net investment and advances with respect to the TruGreen Joint Venture had been reduced to a liability which resulted in an amount recorded in the “Distributions in excess of investment in unconsolidated affiliate” line in the Condensed Consolidated Balance Sheets. Under the terms of the agreement, we received cash proceeds of $234.2 million related to the sale of our equity interest in the TruGreen Joint Venture and $18.4 million related to the payoff of second lien term loan financing, which was previously recorded in the “Other assets” line in the Condensed Consolidated Balance Sheets. During the nine months ended June 29, 2019, we also received a distribution from the TruGreen Joint Venture intended to cover certain required tax payments of $3.5 million, which was classified as an investing activity in the Condensed Consolidated Statements of Cash Flows. During the three and nine months ended June 29, 2019, we recognized a pre-tax gain of zero and $259.8 million, respectively, related to this sale in the “Other non-operating (income) expense, net” line in the Condensed Consolidated Statements of Operations. The cash proceeds were applied to reduce our indebtedness. During the third quarter of fiscal 2019, we made cash tax payments of $75.2 million associated with this disposition and we expect to pay additional taxes of $25.0 million related to this disposition during the fourth quarter of fiscal 2019.</w:t>
      </w:r>
    </w:p>
    <w:p>
      <w:pPr>
        <w:spacing w:after="0" w:line="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April 1, 2019, we sold all of our noncontrolling equity interest in the IT&amp;O Joint Venture for cash proceeds of $36.6 million. During the three and nine months ended June 29, 2019, we recognized a pre-tax gain of $2.9 million related to this sale in the “Other non-operating (income) expense, net” line in the Condensed Consolidated Statements of Operations. During the nine months ended June 29, 2019, we received a distribution of net earnings from the IT&amp;O Joint Venture of $4.9 million, which was classified as an operating activity in the Condensed Consolidated Statements of Cash Flows.</w:t>
      </w:r>
    </w:p>
    <w:p>
      <w:pPr>
        <w:spacing w:after="0" w:line="9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second quarter of fiscal 2019, we recognized a charge of $2.5 million in the “Other non-operating (income) expense, net” line in the Condensed Consolidated Statements of Operations related to the write-off of accumulated foreign currency translation loss adjustments of a foreign subsidiary that was substantially liquidated as part of Project Catalyst. As a result of the enactment of H.R.1 (the “Act,” formerly known as the “Tax Cuts and Jobs Act”) on December 22, 2017, we repatriated cash from a foreign subsidiary during the second quarter of fiscal 2018 resulting in the liquidation of substantially all of the assets of the subsidiary and the write-off of accumulated foreign currency translation loss adjustments of $11.7 million within the “Other non-operating (income) expense, net” line in the Condensed Consolidated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 from Continuing Operations</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December 22, 2017, the Act was signed into law. The Act provides for significant changes to the U.S. Internal Revenue Code of 1986, as amended (the “Code”). Among other items, the Act implemented a territorial tax system, imposed a one-time transition tax on deemed repatriated earnings of foreign subsidiaries, and reduced the federal corporate statutory tax rate to 21% effective January 1, 2018. As our fiscal year end falls on September 30, the federal corporate statutory tax rate for fiscal 2018 was prorated to 24.5%, with the statutory tax rate for fiscal 2019 and beyond at 21%.</w:t>
      </w:r>
    </w:p>
    <w:p>
      <w:pPr>
        <w:spacing w:after="0" w:line="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rates related to continuing operations for the nine months ended June 29, 2019 and June 30, 2018 were 24.8% and 8.3%, respectively. During the nine months ended June 30, 2018, we recognized a one-time $45.9 million net tax benefit adjustment reflecting the revaluation of our net deferred tax liability at the lower tax rate under the Act. In addition, as part of the Act, we recognized a one-time tax expense on deemed repatriated earnings and cash of foreign subsidiaries as required by the Act of $14.0 million, partially offset by the recognition and application of foreign tax credits associated with these foreign subsidiaries of $13.9 million.</w:t>
      </w:r>
    </w:p>
    <w:p>
      <w:pPr>
        <w:spacing w:after="0" w:line="10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effective tax rate used for interim purposes is based on our best estimate of factors impacting the effective tax rate for the full fiscal year. The ultimate impact of the Act may differ from our estimates due to changes in the interpretations and assumptions made by us as well as additional regulatory guidance that may be issued.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Other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$178.0 million, or $3.15 per diluted share, for the three months ended June 29, 2019 compared to $125.5 million, or $2.23 per diluted share, for the three months ended June 30, 2018. The increase was driven by higher net sales, an increase in gross profit rate, lower impairment, restructuring and other charges and an increase in other non-operating income, partially offset by higher SG&amp;A, higher interest expense and an increase in income tax expense.</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Diluted average common shares used in the diluted income per common share calculation were 56.6 million for the three months ended June 29, 2019 compared to 56.3 million for the three months ended June 30, 2018. The increase was primarily the result of the exercise and issuance of share-based compensation awards and the payment of a portion of the purchase price of Sunlight Supply in Common Shares, partially offset by Common Share repurchase activity during fiscal 2018.</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$492.3 million, or $8.78 per diluted share, for the nine months ended June 29, 2019 compared to $258.2 million, or $4.50 per diluted share, for the nine months ended June 30, 2018. The increase was driven by higher net sales, an increase in other non-operating income and lower impairment, restructuring and other charges, partially offset by a lower gross profit rate, higher SG&amp;A, decreased other income, higher interest expense and an increase in income tax expense.</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Diluted average common shares used in the diluted income per common share calculation were 56.1 million for the nine months ended June 29, 2019 compared to 57.4 million for the nine months ended June 30, 2018. The decrease was primarily the result of Common Share repurchase activity during fiscal 2018, partially offset by the exercise and issuance of share-based compensation awards and the payment of a portion of the purchase price of Sunlight Supply in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Income (loss) from discontinued operations, net of tax, was $23.6 million and $26.1 million for the three and nine months ended June 29, 2019, respectively, as compared to $(42.7) million and $(47.6) million for the three and nine months ended June 30, 2018, respectively.</w:t>
      </w:r>
    </w:p>
    <w:p>
      <w:pPr>
        <w:spacing w:after="0" w:line="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During the three and nine months ended June 29, 2019, we recognized a favorable adjustment of $22.5 million as a result of the final resolution of the previously disclosed settlement agreement related to the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legal matter. In addition, during the three and nine months ended June 29, 2019, we recognized insurance recoveries of $8.4 million and $13.4 million, respectively, related to this matter. During the three and nine months ended June 30, 2018, we recognized a pre-tax charge of $65.0 million for a probable loss related to this matter. Refer to “NOTE 12. CONTINGENCIES” for more information.</w:t>
      </w:r>
    </w:p>
    <w:p>
      <w:pPr>
        <w:spacing w:after="0" w:line="10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three and nine months ended June 30, 2018, we recognized $0.1 million and $1.6 million, respectively, in transaction related costs associated with the sale of the International Business. During the three and nine months ended June 30, 2018, we recorded an increase of $0.8 million and a decrease of $2.8 million, respectively, to the pre-tax gain on the sale of the International Business related to the resolution of the post-closing working capital adjustment obligation. Refer to “NOTE 3. DISCONTINUED OPERATIONS” for more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divide our operations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our chief operating decision maker.</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2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810.9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2,019.5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Hawthorne</w:t>
            </w:r>
          </w:p>
        </w:tc>
        <w:tc>
          <w:tcPr>
            <w:tcW w:w="2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192.8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179.6</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1,170.3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2,658.3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2,229.5</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Profit (Loss) as well as a reconciliation to the most directly comparable GAAP measure: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12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Hawthorne</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Segment Profit (Non-GAAP)</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593.1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495.4</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 (GAAP)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U.S. Consumer segment net sales were $889.1 million in the third quarter of fiscal 2019, an increase of 9.6% from third quarter of fiscal 2018 net sales of $810.9 million; and were $2,019.5 million for the first nine months of fiscal 2019, an increase of 8.7% from the first nine months of fiscal 2018 net sales of $1,857.1 million. For the third quarter of fiscal 2019, the increase was driven by the favorable impacts of volume and pricing of 8.9% and 0.7%, respectively. For the nine months ended June 29, 2019, the increase was driven by the favorable impacts of volume and pricing of 6.9% and 1.9%, respectively. The increase in sales volume for the three and nine months ended June 29, 2019 was driven by increased sales of soils, mulch, grass seed and fertilizer products. During the three months ended June 29, 2019, Monsanto agreed to reimburse us for $20.0 million of additional expenses incurred and to be incurred for certain activities connected to the Restated Marketing Agreement and this payment was recognized in the “Net sales” line in the Condensed Consolidated Statements of Operations for the third quarter of fiscal 2019.</w:t>
      </w:r>
    </w:p>
    <w:p>
      <w:pPr>
        <w:spacing w:after="0" w:line="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U.S. Consumer Segment Profit was $271.5 million in the third quarter of fiscal 2019, an increase of 11.7% from the third quarter of fiscal 2018 Segment Profit of $243.1 million; and was $548.5 million for the first nine months of fiscal 2019, an increase of 11.6% from the first nine months of fiscal 2018 Segment Profit of $491.4 million. For the three and nine months ended June 29, 2019, the increase was due to higher net sales and a higher gross profit rate, partially offset by higher SG&amp;A.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Hawthorne segment net sales were $176.3 million in the third quarter of fiscal 2019, an increase of 137.6% from third quarter of fiscal 2018 net sales of $74.2 million; and were $461.1 million for the first nine months of fiscal 2019, an increase of 139.2% from the first nine months of fiscal 2018 net sales of $192.8 million. For the third quarter of fiscal 2019, the increase was driven by the favorable impacts of acquisitions and volume of 92.1% and 46.7%, respectively, partially offset by the unfavorable impact of changes in foreign exchange rates of 1.9%. For the nine months ended June 29, 2019, the increase was driven by the favorable impacts of acquisitions and volume of 120.0% and 24.0%, respectively, partially offset by the unfavorable impacts of pricing and changes in foreign exchange rates of 2.3% and 2.5%,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Hawthorne Segment Profit was $16.8 million in the third quarter of fiscal 2019, as compared to the third quarter of fiscal 2018 Segment Loss of $3.6 million; and was $31.6 million for the first nine months of fiscal 2019, as compared to the first nine months of fiscal 2018 Segment Loss of $6.6 million. For the three months ended June 29, 2019, the increase was driven by higher net sales, cost savings and other synergies as a result of Project Catalyst activities. For the nine months ended June 29, 2019, the increase was driven by higher net sales, cost savings and other synergies as a result of Project Catalyst activities, partially offset by a lower gross profit 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segment net sales were $104.9 million in the third quarter of fiscal 2019, a decrease of 4.2% from third quarter of fiscal 2018 net sales of $109.5 million; and were $177.7 million for the first nine months of fiscal 2019, a decrease of 1.1% from the first nine months of fiscal 2018 net sales of $179.6 million. For the third quarter of fiscal 2019, the decrease was driven by the unfavorable impacts of volume and foreign exchange rates of 4.1% and 2.9%, respectively, partially offset by the favorable impact of pricing of 2.8%. For the nine months ended June 29, 2019, the decrease was driven by the unfavorable impact of foreign exchange rates of 3.2%, partially offset by the favorable impact of pricing of 2.2%. The decrease in sales volume for the three months ended June 29, 2019 was driven by the closure of our business in Mexico.</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Segment Profit was $13.2 million in the third quarter of fiscal 2019, an increase of 0.8% from third quarter of fiscal 2018 Segment Profit of $13.1 million. Other Segment Profit was $13.0 million for the first nine months of fiscal 2019, an increase of 22.6% from the first nine months of fiscal 2018 Segment Profit of $10.6 million. For the three months ended June 29, 2019, the increase was driven by a higher gross profit rate and higher other income, partially offset by higher SG&amp;A. For the nine months ended June 29, 2019, the increase was driven by a higher gross profit rate, partially offset by lower other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Corporate expenses were $34.4 million in the third quarter of fiscal 2019, an increase of 17.8% from third quarter of fiscal 2018 expenses of $29.2 million; and were $96.7 million for the first nine months of fiscal 2019, an increase of 10.1% from the first nine months of fiscal 2018 expenses of $87.8 million. For the three months ended June 29, 2019, the increase was driven by higher short-term variable cash incentive compensation expense, partially offset by an increase in the expected payout percentage on long-term performance-based awards during the three months ended June 30, 2018. For the nine months ended June 29, 2019, the increase was driven by higher short-term variable cash incentive compensation expense and a decrease in royalty income earned from Exponent related to its use of our brand names following our divestiture of the International Business, partially offset by an increase in the expected payout percentage on long-term performance-based awards during the nine months ended June 30, 2018. Refer to “NOTE 3. DISCONTINUED OPERATIONS” for more information regarding the divestiture of the International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Cash used in operating activities totaled $77.7 million for the nine months ended June 29, 2019, an increase of $74.3 million as compared to cash used in operating activities of $3.4 million for the nine months ended June 30, 2018. This increase was driven by tax payments made in connection the sale of our equity interest in the TruGreen Joint Venture of $75.2 million, payments made in connection with litigation settlements of $55.2 million partially offset by insurance reimbursements of $13.4 million, timing of customer rebate payments, timing of inventory production, an increase in interest payments and higher SG&amp;A, partially offset by increased net sales, lower short-term variable cash incentive payouts and a distribution of net earnings from our IT&amp;O Joint Venture.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Cash provided by investing activities totaled $263.5 million for the nine months ended June 29, 2019 as compared to cash used in investing activities of $562.3 million for the nine months ended June 30, 2018. During the nine months ended June 29, 2019, we sold our investment in the TruGreen Joint Venture for cash proceeds of $234.2 million related to the sale of the equity interest and $18.4 million related to the payoff of second lien term loan financing, and we sold our equity interest in the IT&amp;O Joint Venture for cash proceeds of $36.6 million. Cash used for investments in property, plant and equipment during the first nine months of fiscal 2019 and 2018 was $28.8 million and $40.7 million, respectively. During the nine months ended June 29, 2019, we paid a post-closing net working capital adjustment obligation of $6.6 million related to the fiscal 2018 acquisition of Sunlight Supply and we received cash of $3.6 million associated with currency forward contracts. During the nine months ended June 30, 2018, we completed the acquisitions of Sunlight Supply and Can-Filters which included cash payments of $492.9 million, paid the post-closing working capital adjustment obligation of $35.3 million related to the sale of the International Business, received cash of $10.7 million associated with currency forward contracts and made a loan to unconsolidated affiliates of $5.3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Cash used in financing activities totaled $182.9 million for the nine months ended June 29, 2019 as compared to cash provided by financing activities of $475.8 million for the nine months ended June 30, 2018. This change was the result of a decrease in net borrowings under our Fifth A&amp;R Credit Facilities of $1,038.5 million driven by proceeds from the sale of our equity interests in the TruGreen Joint Venture and the IT&amp;O Joint Venture that were used to reduce our indebtedness, the fiscal 2018 acquisitions of Sunlight Supply and Can-Filters, a decrease in repurchases of our Common Shares of $310.6 million and a cash outflow of $69.2 million related to the acquisition of the remaining 25% noncontrolling interest in Gavita during the nine months ended June 30,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$36.4 million, $29.6 million and $33.9 million as of June 29, 2019, June 30, 2018 and September 30, 2018, respectively, included $24.0 million, $13.5 million and $17.7 million, respectively, held by controlled foreign corporations. As of June 29, 2019, and after consideration of the one-time transition tax on deemed repatriation of foreign earnings, we have no material unremitted earnings of foreign subsidiaries. However, we maintain our assertions of indefinite reinvestment of the earnings of all material foreign subsidiaries with the exception of the earnings of Scotts Luxembourg Sarl and O.M. Scott International Investments, Ltd., which are generally taxed on a current basis under “Subpart F” of the Code which prevents deferral of recognition of U.S. taxable income through the use of foreign entities.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July 5, 2018, we entered into a fifth amended and restated credit agreement (“the Fifth A&amp;R Credit Agreement”), providing us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June 29, 2019, we had letters of credit outstanding in the aggregate principal amount of $20.8 million, and $1,278.8 million of borrowing availability under the Fifth A&amp;R Credit Agreement. The weighted average interest rates on average borrowings under the Fifth A&amp;R Credit Agreement and the former credit agreement were 4.6% and 4.0% for the nine months ended June 29, 2019 and June 30, 2018, respectively.</w:t>
      </w:r>
    </w:p>
    <w:p>
      <w:pPr>
        <w:spacing w:after="0" w:line="10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(i) 5.00 for the third quarter of fiscal 2019 through the first quarter of fiscal 2020, (ii) 4.75 for the second quarter of fiscal 2020 through the fourth quarter of fiscal 2020 and (iii) 4.50 for the first quarter of fiscal 2021 and thereafter. Our leverage ratio was 3.68 at June 29, 2019. The Fifth A&amp;R Credit Agreement also contains an affirmative covenant regarding our interest coverage ratio determined as of the end of each of the Company’s fiscal quarters. The interest coverage ratio is calculated as Adjusted EBITDA divided by interest expense, as described in the Fifth A&amp;R Credit Agreement, and excludes costs related to refinancings. The minimum interest coverage ratio was 3.00 for the twelve months ended June 29, 2019. Our interest coverage ratio was 5.94 for the twelve months ended June 29, 2019. The Fifth A&amp;R Credit Agreement allows us to make unlimited restricted payments (as defined in the Fifth A&amp;R Credit Agreement), including dividend payments and Common Share repurchases, as long as the leverage ratio resulting from the making of such restricted payments is 4.00 or less. Otherwise we may make further restricted payments in an aggregate amount for each fiscal year not to exceed the amount set forth in the Fifth A&amp;R Credit Agreement for such fiscal year ($200.0 million for fiscal 2019 and $225.0 million for fiscal 2020 and thereafter).</w:t>
      </w:r>
    </w:p>
    <w:p>
      <w:pPr>
        <w:spacing w:after="0" w:line="12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Master Repurchase Agreement (including the annexes thereto, the “Repurchase Agreement”) and a Master Framework Agreement (the “Framework Agreement” and, together with the Repurchase Agreement, the “Receivables Facility”), as amended, we may sell a portfolio of available and eligible outstanding customer accounts receivable to the purchasers and simultaneously agree to repurchase the receivables on a weekly basis. We account for the sale of receivables under the Receivables Facility as short-term debt and continue to carry the receivables on our Condensed Consolidated Balance Sheets, primarily as a result of our requirement to repurchase receivables sold. As of June 29, 2019 and June 30, 2018, there were $316.0 million and $285.0 million, respectively, in borrowings on receivables pledged as collateral under the Receivables Facility, and the carrying value of the receivables pledged as collateral was $351.1 million and $316.7 million, respectively. As of June 29, 2019 and June 30, 2018, there was $10.8 million and $0.7 million, respectively, of availability under the Receivables Facility.</w:t>
      </w:r>
    </w:p>
    <w:p>
      <w:pPr>
        <w:spacing w:after="0" w:line="9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continue to monitor our compliance with the leverage ratio, interest coverage ratio and other covenants contained in the Fifth A&amp;R Credit Agreement and, based upon our current operating assumptions, we expect to remain in compliance with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permissible leverage ratio and interest coverage ratio throughout fiscal 2019.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the repricing of our credit facilities. While we believe we have good relationships with our lending group, we can provide no assurance that such a request would result in a modified or replacement credit agreement on reasonable terms, if at all.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material changes outside of the ordinary course of business in our outstanding contractual obligations since the end of fiscal 2018 and through June 29,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2018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2018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materially from those disclosed in the 2018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Quarterly Report on Form 10-Q. Based upon that evaluation, the Registrant’s principal executive officer and principal financial officer have concluded that the Registrant’s disclosure controls and procedures were effective as of June 29,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June 29, 2019 that have materially affected, or are reasonably likely to materially affect,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have vigorously defended the consolidated action. The parties reached an agreement to settle this matter, which the parties memorialized in a settlement agreement submitted to the Court for approval on December 7, 2018. On January 31, 2019, the Court preliminarily approved the settlement, and on June 11, 2019, the Court granted final approval of the settlement. The settlement became effective on July 12, 2019. During the second quarter of fiscal 2019, the Company paid $42.5 million to the settlement fund in accordance with the settlement agreement and will make the final payment of $20.0 million during the fourth quarter of fiscal 2019. At June 29, 2019, June 30, 2018 and September 30, 2018, $20.0 million, $65.0 million and $85.0 million, respectively, was accrued for a probable loss related to this matter in the “Other current liabilities” line in the Condensed Consolidated Balance Sheets. During the three and nine months ended June 29, 2019, the Company recognized a favorable adjustment of $22.5 million in the “Income (loss) from discontinued operations, net of tax” line in the Condensed Consolidated Statements of Operations as a result of the final resolution of the previously disclosed settlement agreement. In addition, during the three and nine months ended June 29, 2019, the Company recognized insurance recoveries of $8.4 million and $13.4 million, respectively, related to this matter in the “Income (loss) from discontinued operations, net of tax” line in the Condensed Consolidated Statements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risk factors, as of June 29, 2019, have not changed materially from those described in “ITEM IA. RISK FACTORS” in the 2018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2018 Annual Report. All forward-looking statements attributable to us or persons working on our behalf are expressly qualified in their entirety by such risk factors.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 The Company’s leverage ratio was 3.68 at June 29, 2019.</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June 29,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18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8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 per</w:t>
            </w: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Programs(3)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2019 through April 27, 2019</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83.61</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April 28, 2019 through May 25, 2019</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90.36</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26, 2019 through June 29, 2019</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93.58</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4,161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90.80</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 Common Shares purchased during the third fiscal quarter of 2019 were purchased in open market transactions. The total number of Common Shares purchased during this quarter includes 4,161 Common Shares purchased by the trustee of the rabbi trust established by the Company as permitted pursuant to the terms of The Scotts Company LLC Executive Retirement Plan (the “ERP”).</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25"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amount of $1.0 billion through March 28, 2020. The dollar amounts indicated reflect the remaining amounts that were available for repurchase under the authorized repurchase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61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125" w:right="1440" w:bottom="1440" w:gutter="0" w:footer="0" w:header="0"/>
        </w:sectPr>
      </w:pPr>
    </w:p>
    <w:bookmarkStart w:id="60" w:name="page61"/>
    <w:bookmarkEnd w:id="6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JUNE 29,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40" w:type="dxa"/>
            <w:vAlign w:val="bottom"/>
            <w:gridSpan w:val="4"/>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40" w:type="dxa"/>
            <w:vAlign w:val="bottom"/>
            <w:gridSpan w:val="4"/>
            <w:vMerge w:val="continue"/>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20" w:type="dxa"/>
            <w:vAlign w:val="bottom"/>
            <w:tcBorders>
              <w:top w:val="single" w:sz="8" w:color="auto"/>
            </w:tcBorders>
            <w:gridSpan w:val="5"/>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Subsidiaries of The Scotts Miracle-Gro Company</w:t>
              </w:r>
            </w:hyperlink>
          </w:p>
        </w:tc>
        <w:tc>
          <w:tcPr>
            <w:tcW w:w="7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65">
              <w:r>
                <w:rPr>
                  <w:rFonts w:ascii="Arial" w:cs="Arial" w:eastAsia="Arial" w:hAnsi="Arial"/>
                  <w:sz w:val="18"/>
                  <w:szCs w:val="18"/>
                  <w:color w:val="0000FF"/>
                  <w:w w:val="92"/>
                </w:rPr>
                <w:t>Rule 13a-14(a)/15d-14(a) Certifications (Principal Executive Officer)</w:t>
              </w:r>
            </w:hyperlink>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Rule 13a-14(a)/15d-14(a) Certifications (Principal Financial Officer)</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Section 1350 Certifications (Principal Executive Officer and Principal</w:t>
              </w:r>
            </w:hyperlink>
          </w:p>
        </w:tc>
        <w:tc>
          <w:tcPr>
            <w:tcW w:w="860" w:type="dxa"/>
            <w:vAlign w:val="bottom"/>
            <w:gridSpan w:val="3"/>
          </w:tcPr>
          <w:p>
            <w:pPr>
              <w:ind w:left="60"/>
              <w:spacing w:after="0"/>
              <w:rPr>
                <w:rFonts w:ascii="Arial" w:cs="Arial" w:eastAsia="Arial" w:hAnsi="Arial"/>
                <w:sz w:val="18"/>
                <w:szCs w:val="18"/>
                <w:color w:val="0000FF"/>
              </w:rPr>
            </w:pPr>
            <w:hyperlink w:anchor="page67">
              <w:r>
                <w:rPr>
                  <w:rFonts w:ascii="Arial" w:cs="Arial" w:eastAsia="Arial" w:hAnsi="Arial"/>
                  <w:sz w:val="18"/>
                  <w:szCs w:val="18"/>
                  <w:color w:val="0000FF"/>
                </w:rPr>
                <w:t>Financial</w:t>
              </w:r>
            </w:hyperlink>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20" w:type="dxa"/>
            <w:vAlign w:val="bottom"/>
            <w:tcBorders>
              <w:top w:val="single" w:sz="8" w:color="0000FF"/>
            </w:tcBorders>
            <w:gridSpan w:val="5"/>
            <w:vMerge w:val="restart"/>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Officer)</w:t>
              </w:r>
            </w:hyperlink>
          </w:p>
        </w:tc>
        <w:tc>
          <w:tcPr>
            <w:tcW w:w="7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20" w:type="dxa"/>
            <w:vAlign w:val="bottom"/>
            <w:gridSpan w:val="5"/>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Schema</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7, 2019</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240"/>
        <w:spacing w:after="0" w:line="324" w:lineRule="auto"/>
        <w:rPr>
          <w:sz w:val="20"/>
          <w:szCs w:val="20"/>
          <w:color w:val="auto"/>
        </w:rPr>
      </w:pPr>
      <w:r>
        <w:rPr>
          <w:rFonts w:ascii="Arial" w:cs="Arial" w:eastAsia="Arial" w:hAnsi="Arial"/>
          <w:sz w:val="18"/>
          <w:szCs w:val="18"/>
          <w:color w:val="auto"/>
        </w:rPr>
        <w:t>Directly owned subsidiaries, as of June 29, 2019,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Can-filters Chile SPA</w:t>
            </w:r>
          </w:p>
        </w:tc>
        <w:tc>
          <w:tcPr>
            <w:tcW w:w="250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Europe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HDP Trading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40" w:hanging="105"/>
        <w:spacing w:after="0"/>
        <w:tabs>
          <w:tab w:leader="none" w:pos="1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1" w:lineRule="exact"/>
        <w:rPr>
          <w:rFonts w:ascii="Arial" w:cs="Arial" w:eastAsia="Arial" w:hAnsi="Arial"/>
          <w:sz w:val="25"/>
          <w:szCs w:val="25"/>
          <w:color w:val="auto"/>
          <w:vertAlign w:val="superscript"/>
        </w:rPr>
      </w:pP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SMG Growing Media, Inc.’s ownership is 80.5%.</w:t>
      </w:r>
    </w:p>
    <w:p>
      <w:pPr>
        <w:sectPr>
          <w:pgSz w:w="11900" w:h="16838" w:orient="portrait"/>
          <w:cols w:equalWidth="0" w:num="1">
            <w:col w:w="11420"/>
          </w:cols>
          <w:pgMar w:left="240" w:top="337" w:right="239" w:bottom="1440" w:gutter="0" w:footer="0" w:header="0"/>
        </w:sectPr>
      </w:pPr>
    </w:p>
    <w:bookmarkStart w:id="63" w:name="page64"/>
    <w:bookmarkEnd w:id="63"/>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3</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4</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105" w:hanging="105"/>
        <w:spacing w:after="0"/>
        <w:tabs>
          <w:tab w:leader="none" w:pos="105"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Scotts Canada Ltd.'s ownership is 50.0%.</w:t>
      </w:r>
    </w:p>
    <w:p>
      <w:pPr>
        <w:ind w:left="105" w:hanging="105"/>
        <w:spacing w:after="0" w:line="208" w:lineRule="auto"/>
        <w:tabs>
          <w:tab w:leader="none" w:pos="105"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line="2" w:lineRule="exact"/>
        <w:rPr>
          <w:rFonts w:ascii="Arial" w:cs="Arial" w:eastAsia="Arial" w:hAnsi="Arial"/>
          <w:sz w:val="22"/>
          <w:szCs w:val="22"/>
          <w:color w:val="auto"/>
          <w:vertAlign w:val="superscript"/>
        </w:rPr>
      </w:pPr>
    </w:p>
    <w:p>
      <w:pPr>
        <w:ind w:left="5"/>
        <w:spacing w:after="0"/>
        <w:rPr>
          <w:rFonts w:ascii="Arial" w:cs="Arial" w:eastAsia="Arial" w:hAnsi="Arial"/>
          <w:sz w:val="22"/>
          <w:szCs w:val="22"/>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530" w:right="1440"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June 29, 2019;</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August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1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June 29, 2019;</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August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June 29, 2019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August 7, 2019</w:t>
            </w:r>
          </w:p>
        </w:tc>
        <w:tc>
          <w:tcPr>
            <w:tcW w:w="5580" w:type="dxa"/>
            <w:vAlign w:val="bottom"/>
          </w:tcPr>
          <w:p>
            <w:pPr>
              <w:ind w:left="360"/>
              <w:spacing w:after="0"/>
              <w:rPr>
                <w:sz w:val="20"/>
                <w:szCs w:val="20"/>
                <w:color w:val="auto"/>
              </w:rPr>
            </w:pPr>
            <w:r>
              <w:rPr>
                <w:rFonts w:ascii="Arial" w:cs="Arial" w:eastAsia="Arial" w:hAnsi="Arial"/>
                <w:sz w:val="18"/>
                <w:szCs w:val="18"/>
                <w:color w:val="auto"/>
              </w:rPr>
              <w:t>August 7, 2019</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3"/>
      <w:numFmt w:val="bullet"/>
      <w:start w:val="1"/>
    </w:lvl>
  </w:abstractNum>
  <w:abstractNum w:abstractNumId="18">
    <w:nsid w:val="628C895D"/>
    <w:multiLevelType w:val="hybridMultilevel"/>
    <w:lvl w:ilvl="0">
      <w:lvlJc w:val="left"/>
      <w:lvlText w:val="4"/>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2019-12-28T08:01:21Z</dcterms:created>
  <dcterms:modified xsi:type="dcterms:W3CDTF">2019-12-28T08:01:21Z</dcterms:modified>
</cp:coreProperties>
</file>