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57333.xml.htm"/>
      <w:bookmarkStart w:id="1" w:name="kswkform4_17889573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Scheiwer Mark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SCOTTS MIRACLE-GRO COMPANY</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14111 SCOTTSLAWN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MARYSVILLE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43041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SCOTTS MIRACLE-GRO CO</w:t>
              </w:r>
            </w:hyperlink>
            <w:r>
              <w:rPr/>
              <w:t xml:space="preserve"> [ </w:t>
            </w:r>
            <w:r>
              <w:rPr>
                <w:rFonts w:ascii="Times;serif" w:hAnsi="Times;serif"/>
                <w:color w:val="0000FF"/>
                <w:sz w:val="24"/>
                <w:shd w:fill="FFFFFF" w:val="clear"/>
              </w:rPr>
              <w:t>SMG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CFO &amp; CAO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72"/>
        <w:gridCol w:w="371"/>
        <w:gridCol w:w="835"/>
        <w:gridCol w:w="447"/>
        <w:gridCol w:w="749"/>
        <w:gridCol w:w="1354"/>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2.808</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53.41</w:t>
            </w:r>
          </w:p>
        </w:tc>
        <w:tc>
          <w:tcPr>
            <w:tcW w:w="13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15,389.415</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493.482</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229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15.571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15.571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59.706</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1,436.158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phantom stock represents the right to receive one common share of Issuer or the cash value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of phantom stock are payable in cash following termination of the reporting person's employment with Issuer. The reporting person may transfer his/her phantom stock into an alternative investment at any time.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dividend equivalent rights accrued on DSU or RSU grants and become exercisable proportionately with the DSUs or RSUs to which they relate. Each dividend equivalent right is the economic equivalent of one common share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Kathy L. Uttley as attorney-in-fact for Mark J. Scheiwer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0165" TargetMode="External"/><Relationship Id="rId5" Type="http://schemas.openxmlformats.org/officeDocument/2006/relationships/hyperlink" Target="http://www.sec.gov/cgi-bin/browse-edgar?action=getcompany&amp;CIK=00008255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705</Words>
  <Characters>3779</Characters>
  <CharactersWithSpaces>4384</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