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809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8091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59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1080"/>
        <w:spacing w:after="0" w:line="256"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HAGEDORN KATHERINE</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LITTLEFIELD</w:t>
        </w:r>
      </w:hyperlink>
    </w:p>
    <w:p>
      <w:pPr>
        <w:spacing w:after="0" w:line="298"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94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8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ind w:left="42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33"/>
        </w:trPr>
        <w:tc>
          <w:tcPr>
            <w:tcW w:w="200" w:type="dxa"/>
            <w:vAlign w:val="bottom"/>
            <w:gridSpan w:val="2"/>
            <w:vMerge w:val="continue"/>
          </w:tcPr>
          <w:p>
            <w:pPr>
              <w:spacing w:after="0"/>
              <w:rPr>
                <w:sz w:val="2"/>
                <w:szCs w:val="2"/>
                <w:color w:val="auto"/>
              </w:rPr>
            </w:pPr>
          </w:p>
        </w:tc>
        <w:tc>
          <w:tcPr>
            <w:tcW w:w="37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03/09/2012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3680" w:space="320"/>
            <w:col w:w="7480"/>
          </w:cols>
          <w:pgMar w:left="240" w:top="226" w:right="179" w:bottom="594" w:gutter="0" w:footer="0" w:header="0"/>
          <w:type w:val="continuous"/>
        </w:sectPr>
      </w:pPr>
    </w:p>
    <w:p>
      <w:pPr>
        <w:spacing w:after="0" w:line="71"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237"/>
              <w:spacing w:after="0"/>
              <w:rPr>
                <w:sz w:val="20"/>
                <w:szCs w:val="20"/>
                <w:color w:val="auto"/>
              </w:rPr>
            </w:pPr>
            <w:r>
              <w:rPr>
                <w:rFonts w:ascii="Arial" w:cs="Arial" w:eastAsia="Arial" w:hAnsi="Arial"/>
                <w:sz w:val="18"/>
                <w:szCs w:val="18"/>
                <w:color w:val="0000FF"/>
              </w:rPr>
              <w:t>3,314,361</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HPLP</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w w:val="97"/>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9"/>
              <w:spacing w:after="0" w:line="135"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19"/>
              <w:spacing w:after="0" w:line="135" w:lineRule="exact"/>
              <w:rPr>
                <w:sz w:val="20"/>
                <w:szCs w:val="20"/>
                <w:color w:val="auto"/>
              </w:rPr>
            </w:pPr>
            <w:r>
              <w:rPr>
                <w:rFonts w:ascii="Arial" w:cs="Arial" w:eastAsia="Arial" w:hAnsi="Arial"/>
                <w:sz w:val="12"/>
                <w:szCs w:val="12"/>
                <w:b w:val="1"/>
                <w:bCs w:val="1"/>
                <w:color w:val="auto"/>
                <w:w w:val="97"/>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19"/>
              <w:spacing w:after="0" w:line="135" w:lineRule="exact"/>
              <w:rPr>
                <w:sz w:val="20"/>
                <w:szCs w:val="20"/>
                <w:color w:val="auto"/>
              </w:rPr>
            </w:pPr>
            <w:r>
              <w:rPr>
                <w:rFonts w:ascii="Arial" w:cs="Arial" w:eastAsia="Arial" w:hAnsi="Arial"/>
                <w:sz w:val="12"/>
                <w:szCs w:val="12"/>
                <w:b w:val="1"/>
                <w:bCs w:val="1"/>
                <w:color w:val="auto"/>
                <w:w w:val="97"/>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jc w:val="right"/>
              <w:ind w:right="221"/>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47"/>
              <w:spacing w:after="0"/>
              <w:rPr>
                <w:sz w:val="20"/>
                <w:szCs w:val="20"/>
                <w:color w:val="auto"/>
              </w:rPr>
            </w:pPr>
            <w:r>
              <w:rPr>
                <w:rFonts w:ascii="Arial" w:cs="Arial" w:eastAsia="Arial" w:hAnsi="Arial"/>
                <w:sz w:val="18"/>
                <w:szCs w:val="18"/>
                <w:color w:val="0000FF"/>
              </w:rPr>
              <w:t>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03/09/2012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48.44</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2,632</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jc w:val="right"/>
              <w:ind w:right="221"/>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47"/>
              <w:spacing w:after="0"/>
              <w:rPr>
                <w:sz w:val="20"/>
                <w:szCs w:val="20"/>
                <w:color w:val="auto"/>
              </w:rPr>
            </w:pPr>
            <w:r>
              <w:rPr>
                <w:rFonts w:ascii="Arial" w:cs="Arial" w:eastAsia="Arial" w:hAnsi="Arial"/>
                <w:sz w:val="18"/>
                <w:szCs w:val="18"/>
                <w:color w:val="0000FF"/>
              </w:rPr>
              <w:t>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03/09/2012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48.44</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3,817</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jc w:val="right"/>
              <w:ind w:right="221"/>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47"/>
              <w:spacing w:after="0"/>
              <w:rPr>
                <w:sz w:val="20"/>
                <w:szCs w:val="20"/>
                <w:color w:val="auto"/>
              </w:rPr>
            </w:pPr>
            <w:r>
              <w:rPr>
                <w:rFonts w:ascii="Arial" w:cs="Arial" w:eastAsia="Arial" w:hAnsi="Arial"/>
                <w:sz w:val="18"/>
                <w:szCs w:val="18"/>
                <w:color w:val="0000FF"/>
              </w:rPr>
              <w:t>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03/09/2012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19</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48.44</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3,057</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jc w:val="right"/>
              <w:ind w:right="221"/>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47"/>
              <w:spacing w:after="0"/>
              <w:rPr>
                <w:sz w:val="20"/>
                <w:szCs w:val="20"/>
                <w:color w:val="auto"/>
              </w:rPr>
            </w:pPr>
            <w:r>
              <w:rPr>
                <w:rFonts w:ascii="Arial" w:cs="Arial" w:eastAsia="Arial" w:hAnsi="Arial"/>
                <w:sz w:val="18"/>
                <w:szCs w:val="18"/>
                <w:color w:val="0000FF"/>
              </w:rPr>
              <w:t>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03/09/2012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48.44</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2,387</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jc w:val="right"/>
              <w:ind w:right="221"/>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47"/>
              <w:spacing w:after="0"/>
              <w:rPr>
                <w:sz w:val="20"/>
                <w:szCs w:val="20"/>
                <w:color w:val="auto"/>
              </w:rPr>
            </w:pPr>
            <w:r>
              <w:rPr>
                <w:rFonts w:ascii="Arial" w:cs="Arial" w:eastAsia="Arial" w:hAnsi="Arial"/>
                <w:sz w:val="18"/>
                <w:szCs w:val="18"/>
                <w:color w:val="0000FF"/>
              </w:rPr>
              <w:t>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03/09/2012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48.44</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2,534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Exchange Act Rule 16a-1(a)(1), the reporting person may be deemed, solely for purposes of determining whether she is a beneficial owner of more than 10% of the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she may be deemed to have a pecuniary interest, in Common Shares held by the Partnership.</w:t>
      </w:r>
    </w:p>
    <w:p>
      <w:pPr>
        <w:spacing w:after="0" w:line="2"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Kathy L. Uttley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fact for Katherine Hagedorn</w:t>
      </w:r>
      <w:r>
        <w:rPr>
          <w:sz w:val="20"/>
          <w:szCs w:val="20"/>
          <w:color w:val="auto"/>
        </w:rPr>
        <w:tab/>
      </w:r>
      <w:r>
        <w:rPr>
          <w:rFonts w:ascii="Arial" w:cs="Arial" w:eastAsia="Arial" w:hAnsi="Arial"/>
          <w:sz w:val="15"/>
          <w:szCs w:val="15"/>
          <w:color w:val="0000FF"/>
        </w:rPr>
        <w:t>03/13/2012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45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59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18th day of March,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Katherine Hagedorn Littlefield</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Katherine Hagedorn Littlefield</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2019-12-17T17:07:25Z</dcterms:created>
  <dcterms:modified xsi:type="dcterms:W3CDTF">2019-12-17T17:07:25Z</dcterms:modified>
</cp:coreProperties>
</file>