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 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212" w:lineRule="exact"/>
        <w:rPr>
          <w:sz w:val="20"/>
          <w:szCs w:val="20"/>
          <w:color w:val="auto"/>
        </w:rPr>
      </w:pPr>
    </w:p>
    <w:p>
      <w:pPr>
        <w:ind w:left="700" w:hanging="692"/>
        <w:spacing w:after="0"/>
        <w:tabs>
          <w:tab w:leader="none" w:pos="7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22"/>
          <w:szCs w:val="22"/>
          <w:b w:val="1"/>
          <w:bCs w:val="1"/>
          <w:color w:val="auto"/>
        </w:rPr>
        <w:t>1934</w:t>
      </w:r>
    </w:p>
    <w:p>
      <w:pPr>
        <w:ind w:left="700"/>
        <w:spacing w:after="0"/>
        <w:rPr>
          <w:sz w:val="20"/>
          <w:szCs w:val="20"/>
          <w:color w:val="auto"/>
        </w:rPr>
      </w:pPr>
      <w:r>
        <w:rPr>
          <w:rFonts w:ascii="Arial" w:cs="Arial" w:eastAsia="Arial" w:hAnsi="Arial"/>
          <w:sz w:val="18"/>
          <w:szCs w:val="18"/>
          <w:color w:val="auto"/>
        </w:rPr>
        <w:t>FOR THE QUARTERLY PERIOD ENDED APRIL 2, 2005</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388" w:lineRule="exact"/>
        <w:rPr>
          <w:sz w:val="20"/>
          <w:szCs w:val="20"/>
          <w:color w:val="auto"/>
        </w:rPr>
      </w:pPr>
    </w:p>
    <w:p>
      <w:pPr>
        <w:ind w:left="700" w:hanging="692"/>
        <w:spacing w:after="0"/>
        <w:tabs>
          <w:tab w:leader="none" w:pos="70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22"/>
          <w:szCs w:val="22"/>
          <w:b w:val="1"/>
          <w:bCs w:val="1"/>
          <w:color w:val="auto"/>
        </w:rPr>
        <w:t>1934</w:t>
      </w:r>
    </w:p>
    <w:p>
      <w:pPr>
        <w:ind w:left="700"/>
        <w:spacing w:after="0"/>
        <w:tabs>
          <w:tab w:leader="none" w:pos="47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-20320</wp:posOffset>
            </wp:positionV>
            <wp:extent cx="12934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3495" cy="8890"/>
                    </a:xfrm>
                    <a:prstGeom prst="rect">
                      <a:avLst/>
                    </a:prstGeom>
                    <a:noFill/>
                  </pic:spPr>
                </pic:pic>
              </a:graphicData>
            </a:graphic>
          </wp:anchor>
        </w:drawing>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FILE NUMBER 1-13292</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SCOTTS MIRACLE-GRO COMPANY</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0"/>
          <w:szCs w:val="20"/>
          <w:color w:val="auto"/>
        </w:rPr>
      </w:pPr>
    </w:p>
    <w:p>
      <w:pPr>
        <w:ind w:left="2500"/>
        <w:spacing w:after="0"/>
        <w:tabs>
          <w:tab w:leader="none" w:pos="8260" w:val="left"/>
        </w:tabs>
        <w:rPr>
          <w:sz w:val="20"/>
          <w:szCs w:val="20"/>
          <w:color w:val="auto"/>
        </w:rPr>
      </w:pPr>
      <w:r>
        <w:rPr>
          <w:rFonts w:ascii="Arial" w:cs="Arial" w:eastAsia="Arial" w:hAnsi="Arial"/>
          <w:sz w:val="18"/>
          <w:szCs w:val="18"/>
          <w:color w:val="auto"/>
        </w:rPr>
        <w:t>OHIO</w:t>
      </w:r>
      <w:r>
        <w:rPr>
          <w:sz w:val="20"/>
          <w:szCs w:val="20"/>
          <w:color w:val="auto"/>
        </w:rPr>
        <w:tab/>
      </w:r>
      <w:r>
        <w:rPr>
          <w:rFonts w:ascii="Arial" w:cs="Arial" w:eastAsia="Arial" w:hAnsi="Arial"/>
          <w:sz w:val="18"/>
          <w:szCs w:val="18"/>
          <w:color w:val="auto"/>
        </w:rPr>
        <w:t>31-1414921</w:t>
      </w:r>
    </w:p>
    <w:p>
      <w:pPr>
        <w:spacing w:after="0" w:line="23" w:lineRule="exact"/>
        <w:rPr>
          <w:sz w:val="20"/>
          <w:szCs w:val="20"/>
          <w:color w:val="auto"/>
        </w:rPr>
      </w:pPr>
    </w:p>
    <w:p>
      <w:pPr>
        <w:ind w:left="1640"/>
        <w:spacing w:after="0"/>
        <w:tabs>
          <w:tab w:leader="none" w:pos="7380"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7"/>
          <w:szCs w:val="17"/>
          <w:color w:val="auto"/>
        </w:rPr>
        <w:t>(I.R.S. Employer Identification No.)</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Incorporation or Organization)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14111 SCOTTSLAWN ROAD, MARYSVILLE, OHIO 43041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(937) 644-0011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if Changed Since Last Report.)</w:t>
      </w:r>
    </w:p>
    <w:p>
      <w:pPr>
        <w:spacing w:after="0" w:line="184"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52" w:lineRule="exact"/>
        <w:rPr>
          <w:sz w:val="20"/>
          <w:szCs w:val="20"/>
          <w:color w:val="auto"/>
        </w:rPr>
      </w:pPr>
    </w:p>
    <w:p>
      <w:pPr>
        <w:ind w:left="2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33,476,674</w:t>
            </w:r>
          </w:p>
        </w:tc>
        <w:tc>
          <w:tcPr>
            <w:tcW w:w="5600" w:type="dxa"/>
            <w:vAlign w:val="bottom"/>
          </w:tcPr>
          <w:p>
            <w:pPr>
              <w:ind w:left="3100"/>
              <w:spacing w:after="0"/>
              <w:rPr>
                <w:sz w:val="20"/>
                <w:szCs w:val="20"/>
                <w:color w:val="auto"/>
              </w:rPr>
            </w:pPr>
            <w:r>
              <w:rPr>
                <w:rFonts w:ascii="Arial" w:cs="Arial" w:eastAsia="Arial" w:hAnsi="Arial"/>
                <w:sz w:val="18"/>
                <w:szCs w:val="18"/>
                <w:color w:val="auto"/>
                <w:w w:val="94"/>
              </w:rPr>
              <w:t>OUTSTANDING AT May 5, 2005</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Common Shares, voting, no par value</w:t>
            </w:r>
          </w:p>
        </w:tc>
        <w:tc>
          <w:tcPr>
            <w:tcW w:w="5600" w:type="dxa"/>
            <w:vAlign w:val="bottom"/>
          </w:tcPr>
          <w:p>
            <w:pPr>
              <w:spacing w:after="0"/>
              <w:rPr>
                <w:sz w:val="20"/>
                <w:szCs w:val="20"/>
                <w:color w:val="auto"/>
              </w:rPr>
            </w:pPr>
          </w:p>
        </w:tc>
      </w:tr>
      <w:tr>
        <w:trPr>
          <w:trHeight w:val="237"/>
        </w:trPr>
        <w:tc>
          <w:tcPr>
            <w:tcW w:w="5820" w:type="dxa"/>
            <w:vAlign w:val="bottom"/>
            <w:tcBorders>
              <w:bottom w:val="single" w:sz="8" w:color="auto"/>
            </w:tcBorders>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392" w:lineRule="exact"/>
        <w:rPr>
          <w:sz w:val="20"/>
          <w:szCs w:val="20"/>
          <w:color w:val="auto"/>
        </w:rPr>
      </w:pPr>
    </w:p>
    <w:p>
      <w:pPr>
        <w:jc w:val="center"/>
        <w:ind w:left="10520"/>
        <w:spacing w:after="0"/>
        <w:rPr>
          <w:sz w:val="20"/>
          <w:szCs w:val="20"/>
          <w:color w:val="auto"/>
        </w:rPr>
      </w:pPr>
      <w:r>
        <w:rPr>
          <w:rFonts w:ascii="Arial" w:cs="Arial" w:eastAsia="Arial" w:hAnsi="Arial"/>
          <w:sz w:val="14"/>
          <w:szCs w:val="14"/>
          <w:b w:val="1"/>
          <w:bCs w:val="1"/>
          <w:color w:val="auto"/>
        </w:rPr>
        <w:t>PAGE</w:t>
      </w:r>
    </w:p>
    <w:p>
      <w:pPr>
        <w:spacing w:after="0" w:line="4" w:lineRule="exact"/>
        <w:rPr>
          <w:sz w:val="20"/>
          <w:szCs w:val="20"/>
          <w:color w:val="auto"/>
        </w:rPr>
      </w:pPr>
    </w:p>
    <w:p>
      <w:pPr>
        <w:jc w:val="center"/>
        <w:ind w:left="105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6754495</wp:posOffset>
            </wp:positionH>
            <wp:positionV relativeFrom="paragraph">
              <wp:posOffset>-3175</wp:posOffset>
            </wp:positionV>
            <wp:extent cx="428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p>
      <w:pPr>
        <w:spacing w:after="0" w:line="9" w:lineRule="exact"/>
        <w:rPr>
          <w:sz w:val="20"/>
          <w:szCs w:val="20"/>
          <w:color w:val="auto"/>
        </w:rPr>
      </w:pPr>
    </w:p>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PART I. FINANCIAL INFORMATION:</w:t>
        </w:r>
      </w:hyperlink>
    </w:p>
    <w:p>
      <w:pPr>
        <w:spacing w:after="0" w:line="19"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Item 1. Financial Statements (Unaudited)</w:t>
        </w:r>
      </w:hyperlink>
    </w:p>
    <w:p>
      <w:pPr>
        <w:sectPr>
          <w:pgSz w:w="11900" w:h="16838" w:orient="portrait"/>
          <w:cols w:equalWidth="0" w:num="1">
            <w:col w:w="11420"/>
          </w:cols>
          <w:pgMar w:left="240" w:top="122" w:right="2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85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 Three and six months ended April 2, 2005 and March 27, 2004</w:t>
              </w:r>
            </w:hyperlink>
          </w:p>
        </w:tc>
        <w:tc>
          <w:tcPr>
            <w:tcW w:w="1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22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Cash Flows — Six months ended April 2, 2005 and March 27, 2004</w:t>
              </w:r>
            </w:hyperlink>
          </w:p>
        </w:tc>
        <w:tc>
          <w:tcPr>
            <w:tcW w:w="1880" w:type="dxa"/>
            <w:vAlign w:val="bottom"/>
            <w:gridSpan w:val="2"/>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20" w:type="dxa"/>
            <w:vAlign w:val="bottom"/>
          </w:tcPr>
          <w:p>
            <w:pPr>
              <w:spacing w:after="0"/>
              <w:rPr>
                <w:sz w:val="17"/>
                <w:szCs w:val="17"/>
                <w:color w:val="auto"/>
              </w:rPr>
            </w:pPr>
          </w:p>
        </w:tc>
        <w:tc>
          <w:tcPr>
            <w:tcW w:w="72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Balance Sheets — April 2, 2005, March 27, 2004 and September 30, 2004</w:t>
              </w:r>
            </w:hyperlink>
          </w:p>
        </w:tc>
        <w:tc>
          <w:tcPr>
            <w:tcW w:w="2460" w:type="dxa"/>
            <w:vAlign w:val="bottom"/>
            <w:gridSpan w:val="3"/>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20" w:type="dxa"/>
            <w:vAlign w:val="bottom"/>
          </w:tcPr>
          <w:p>
            <w:pPr>
              <w:spacing w:after="0"/>
              <w:rPr>
                <w:sz w:val="17"/>
                <w:szCs w:val="17"/>
                <w:color w:val="auto"/>
              </w:rPr>
            </w:pPr>
          </w:p>
        </w:tc>
        <w:tc>
          <w:tcPr>
            <w:tcW w:w="40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660" w:type="dxa"/>
            <w:vAlign w:val="bottom"/>
            <w:gridSpan w:val="6"/>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9920" w:type="dxa"/>
            <w:vAlign w:val="bottom"/>
            <w:gridSpan w:val="1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2. Management’s Discussion and Analysis of Financial Condition and Results of Operations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Item 3.</w:t>
              </w:r>
            </w:hyperlink>
          </w:p>
        </w:tc>
        <w:tc>
          <w:tcPr>
            <w:tcW w:w="6480" w:type="dxa"/>
            <w:vAlign w:val="bottom"/>
            <w:tcBorders>
              <w:top w:val="single" w:sz="8" w:color="0000EE"/>
            </w:tcBorders>
            <w:gridSpan w:val="9"/>
          </w:tcPr>
          <w:p>
            <w:pPr>
              <w:ind w:left="20"/>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2900" w:type="dxa"/>
            <w:vAlign w:val="bottom"/>
            <w:gridSpan w:val="4"/>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3"/>
          </w:tcPr>
          <w:p>
            <w:pPr>
              <w:spacing w:after="0"/>
              <w:rPr>
                <w:sz w:val="17"/>
                <w:szCs w:val="17"/>
                <w:color w:val="auto"/>
              </w:rPr>
            </w:pPr>
          </w:p>
        </w:tc>
        <w:tc>
          <w:tcPr>
            <w:tcW w:w="5000" w:type="dxa"/>
            <w:vAlign w:val="bottom"/>
            <w:gridSpan w:val="5"/>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9920" w:type="dxa"/>
            <w:vAlign w:val="bottom"/>
            <w:gridSpan w:val="1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PART II. OTHER INFORMATION</w:t>
              </w:r>
            </w:hyperlink>
          </w:p>
        </w:tc>
        <w:tc>
          <w:tcPr>
            <w:tcW w:w="1400" w:type="dxa"/>
            <w:vAlign w:val="bottom"/>
          </w:tcPr>
          <w:p>
            <w:pPr>
              <w:spacing w:after="0"/>
              <w:rPr>
                <w:sz w:val="17"/>
                <w:szCs w:val="17"/>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Item 1.</w:t>
              </w:r>
            </w:hyperlink>
          </w:p>
        </w:tc>
        <w:tc>
          <w:tcPr>
            <w:tcW w:w="136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2"/>
          </w:tcPr>
          <w:p>
            <w:pPr>
              <w:spacing w:after="0"/>
              <w:rPr>
                <w:sz w:val="17"/>
                <w:szCs w:val="17"/>
                <w:color w:val="auto"/>
              </w:rPr>
            </w:pPr>
          </w:p>
        </w:tc>
        <w:tc>
          <w:tcPr>
            <w:tcW w:w="7340" w:type="dxa"/>
            <w:vAlign w:val="bottom"/>
            <w:gridSpan w:val="7"/>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Item 6.</w:t>
              </w:r>
            </w:hyperlink>
          </w:p>
        </w:tc>
        <w:tc>
          <w:tcPr>
            <w:tcW w:w="9380" w:type="dxa"/>
            <w:vAlign w:val="bottom"/>
            <w:gridSpan w:val="13"/>
          </w:tcPr>
          <w:p>
            <w:pPr>
              <w:ind w:left="2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1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Signatures</w:t>
              </w:r>
            </w:hyperlink>
          </w:p>
        </w:tc>
        <w:tc>
          <w:tcPr>
            <w:tcW w:w="8760" w:type="dxa"/>
            <w:vAlign w:val="bottom"/>
            <w:gridSpan w:val="11"/>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680" w:type="dxa"/>
            <w:vAlign w:val="bottom"/>
            <w:gridSpan w:val="1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9920" w:type="dxa"/>
            <w:vAlign w:val="bottom"/>
            <w:gridSpan w:val="1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Index to Exhibits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EX-10(Y)</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EX-10(Z)</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EX-10(AA)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EX-10(BB)</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EX-10(CC)</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EX-10(DD)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EX-31(B)</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8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THE SCOTTS MIRACLE-GRO COMPANY</w:t>
      </w:r>
    </w:p>
    <w:p>
      <w:pPr>
        <w:spacing w:after="0" w:line="185"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34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60" w:type="dxa"/>
            <w:vAlign w:val="bottom"/>
          </w:tcPr>
          <w:p>
            <w:pPr>
              <w:spacing w:after="0"/>
              <w:rPr>
                <w:sz w:val="10"/>
                <w:szCs w:val="10"/>
                <w:color w:val="auto"/>
              </w:rPr>
            </w:pPr>
          </w:p>
        </w:tc>
        <w:tc>
          <w:tcPr>
            <w:tcW w:w="1120" w:type="dxa"/>
            <w:vAlign w:val="bottom"/>
            <w:tcBorders>
              <w:top w:val="single" w:sz="8" w:color="auto"/>
            </w:tcBorders>
            <w:gridSpan w:val="4"/>
          </w:tcPr>
          <w:p>
            <w:pPr>
              <w:jc w:val="right"/>
              <w:ind w:right="480"/>
              <w:spacing w:after="0" w:line="119" w:lineRule="exact"/>
              <w:rPr>
                <w:sz w:val="20"/>
                <w:szCs w:val="20"/>
                <w:color w:val="auto"/>
              </w:rPr>
            </w:pPr>
            <w:r>
              <w:rPr>
                <w:rFonts w:ascii="Arial" w:cs="Arial" w:eastAsia="Arial" w:hAnsi="Arial"/>
                <w:sz w:val="13"/>
                <w:szCs w:val="13"/>
                <w:b w:val="1"/>
                <w:bCs w:val="1"/>
                <w:color w:val="auto"/>
              </w:rPr>
              <w:t>APRIL 2,</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27,</w:t>
            </w:r>
          </w:p>
        </w:tc>
        <w:tc>
          <w:tcPr>
            <w:tcW w:w="44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480"/>
              <w:spacing w:after="0" w:line="119" w:lineRule="exact"/>
              <w:rPr>
                <w:sz w:val="20"/>
                <w:szCs w:val="20"/>
                <w:color w:val="auto"/>
              </w:rPr>
            </w:pPr>
            <w:r>
              <w:rPr>
                <w:rFonts w:ascii="Arial" w:cs="Arial" w:eastAsia="Arial" w:hAnsi="Arial"/>
                <w:sz w:val="13"/>
                <w:szCs w:val="13"/>
                <w:b w:val="1"/>
                <w:bCs w:val="1"/>
                <w:color w:val="auto"/>
              </w:rPr>
              <w:t>APRIL 2,</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787.3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1,031.2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474.8</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435.2</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650.4</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40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288.3</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380.8</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Gross commission earned from marketing agreement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Amortization of deferred marketing fee</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Contribution expense under marketing agreement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Net commission from marketing agreement</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116.2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212.3</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 — lawn service business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and other charges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248.2</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Advertising</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of intangible assets</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Other expense (income), net</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Costs related to refinancing</w:t>
            </w:r>
          </w:p>
        </w:tc>
        <w:tc>
          <w:tcPr>
            <w:tcW w:w="140" w:type="dxa"/>
            <w:vAlign w:val="bottom"/>
          </w:tcPr>
          <w:p>
            <w:pPr>
              <w:spacing w:after="0"/>
              <w:rPr>
                <w:sz w:val="18"/>
                <w:szCs w:val="18"/>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40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Net income from continuing operations</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 income from discontinued operations</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Weighted-average common shares outstanding during the period</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33.1</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Net income from continuing operations</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0.63</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from discontinued operations</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50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Weighted-average common shares outstanding during the period</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34.1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Net income from continuing operations</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0.61</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 from discontinued operations</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44</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40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480"/>
              <w:spacing w:after="0" w:line="119" w:lineRule="exact"/>
              <w:rPr>
                <w:sz w:val="20"/>
                <w:szCs w:val="20"/>
                <w:color w:val="auto"/>
              </w:rPr>
            </w:pPr>
            <w:r>
              <w:rPr>
                <w:rFonts w:ascii="Arial" w:cs="Arial" w:eastAsia="Arial" w:hAnsi="Arial"/>
                <w:sz w:val="13"/>
                <w:szCs w:val="13"/>
                <w:b w:val="1"/>
                <w:bCs w:val="1"/>
                <w:color w:val="auto"/>
              </w:rPr>
              <w:t>APRIL 2,</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Impairment of intangible assets</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Write-off of deferred costs on retired debt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Changes in assets and liabilities, net of acquired businesses: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(493.9)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60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(170.7)</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125.9</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taxes and liabilities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600"/>
              <w:spacing w:after="0"/>
              <w:rPr>
                <w:sz w:val="20"/>
                <w:szCs w:val="20"/>
                <w:color w:val="auto"/>
              </w:rPr>
            </w:pPr>
            <w:r>
              <w:rPr>
                <w:rFonts w:ascii="Arial" w:cs="Arial" w:eastAsia="Arial" w:hAnsi="Arial"/>
                <w:sz w:val="18"/>
                <w:szCs w:val="18"/>
                <w:color w:val="auto"/>
              </w:rPr>
              <w:t>Restructuring reserves</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60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vMerge w:val="restart"/>
          </w:tcPr>
          <w:p>
            <w:pPr>
              <w:ind w:left="60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4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(416.0)</w:t>
            </w:r>
          </w:p>
        </w:tc>
        <w:tc>
          <w:tcPr>
            <w:tcW w:w="16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Redemption of available for sale securities</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57.2</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property, plant and equipment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Investment in acquired businesses, net of cash acquired</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(76.6)</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94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under revolving and bank lines of credit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408.5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Repayments under revolving and bank lines of credit</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(35.3)</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term loans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Repayment of term loans</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6 5/8% Senior Subordinated Notes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Redemption of 8 5/8% Senior Subordinated Notes</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Financing fees, net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Payments on seller notes</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received from the exercise of stock options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380.9</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Net decrease in cash</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115.6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Interest paid</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refunded</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APRIL 2,</w:t>
            </w:r>
          </w:p>
        </w:tc>
        <w:tc>
          <w:tcPr>
            <w:tcW w:w="1400" w:type="dxa"/>
            <w:vAlign w:val="bottom"/>
            <w:gridSpan w:val="4"/>
          </w:tcPr>
          <w:p>
            <w:pPr>
              <w:ind w:left="200"/>
              <w:spacing w:after="0"/>
              <w:rPr>
                <w:sz w:val="20"/>
                <w:szCs w:val="20"/>
                <w:color w:val="auto"/>
              </w:rPr>
            </w:pPr>
            <w:r>
              <w:rPr>
                <w:rFonts w:ascii="Arial" w:cs="Arial" w:eastAsia="Arial" w:hAnsi="Arial"/>
                <w:sz w:val="14"/>
                <w:szCs w:val="14"/>
                <w:b w:val="1"/>
                <w:bCs w:val="1"/>
                <w:color w:val="auto"/>
              </w:rPr>
              <w:t>MARCH 27,</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34.6</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less allowances of $30.8, $31.3, and $29.0, respectively</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789.8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486.1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418.6</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deferred tax asset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Prepaid and other assets</w:t>
            </w:r>
          </w:p>
        </w:tc>
        <w:tc>
          <w:tcPr>
            <w:tcW w:w="1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46.2</w:t>
            </w: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1,401.6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1,315.7</w:t>
            </w:r>
          </w:p>
        </w:tc>
        <w:tc>
          <w:tcPr>
            <w:tcW w:w="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tcPr>
          <w:p>
            <w:pPr>
              <w:spacing w:after="0" w:line="201" w:lineRule="exact"/>
              <w:rPr>
                <w:sz w:val="20"/>
                <w:szCs w:val="20"/>
                <w:color w:val="auto"/>
              </w:rPr>
            </w:pPr>
            <w:r>
              <w:rPr>
                <w:rFonts w:ascii="Arial" w:cs="Arial" w:eastAsia="Arial" w:hAnsi="Arial"/>
                <w:sz w:val="18"/>
                <w:szCs w:val="18"/>
                <w:color w:val="auto"/>
              </w:rPr>
              <w:t>Property, plant and equipment, net of accumulated depreciation of $346.7, $285.6 and $301.4,</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335.7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329.5</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428.1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431.7</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2,661.0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2,541.3</w:t>
            </w:r>
          </w:p>
        </w:tc>
        <w:tc>
          <w:tcPr>
            <w:tcW w:w="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270.9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279.2</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Accrued taxes</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967.8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1,039.9</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1,742.5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1,795.5</w:t>
            </w: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3, 8 and 10)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Common Shares, no par value per share, $.01 stated value per share, 33.3, 32.3, 32.8 shares issued,</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Deferred compensation — stock awards</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in excess of stated value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520.0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401.0</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ind w:left="60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745.8</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2,661.0</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2,541.3</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25" w:lineRule="exact"/>
        <w:rPr>
          <w:sz w:val="20"/>
          <w:szCs w:val="20"/>
          <w:color w:val="auto"/>
        </w:rPr>
      </w:pPr>
    </w:p>
    <w:p>
      <w:pPr>
        <w:ind w:left="240" w:right="6740" w:hanging="232"/>
        <w:spacing w:after="0" w:line="501"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SIGNIFICANT ACCOUNTING POLICIES NATURE OF OPERATIONS</w:t>
      </w:r>
    </w:p>
    <w:p>
      <w:pPr>
        <w:ind w:left="240"/>
        <w:spacing w:after="0" w:line="272" w:lineRule="auto"/>
        <w:rPr>
          <w:rFonts w:ascii="Arial" w:cs="Arial" w:eastAsia="Arial" w:hAnsi="Arial"/>
          <w:sz w:val="18"/>
          <w:szCs w:val="18"/>
          <w:color w:val="auto"/>
        </w:rPr>
      </w:pPr>
      <w:r>
        <w:rPr>
          <w:rFonts w:ascii="Arial" w:cs="Arial" w:eastAsia="Arial" w:hAnsi="Arial"/>
          <w:sz w:val="17"/>
          <w:szCs w:val="17"/>
          <w:color w:val="auto"/>
        </w:rPr>
        <w:t>The Scotts Miracle-Gro Company (“Scotts Miracle-Gro”) and its subsidiaries (collectively the “Company”) are engaged in the manufacture, marketing and sale of lawn and garden care products. The Company’s major customers include home improvement centers, mass merchandisers, large hardware chains, independent hardware stores, nurseries, garden centers, food and drug stores, commercial nurseries and greenhouses, and specialty crop growers. The Company’s products are sold primarily in North America and the European Union. We also operate and franchise the Scotts LawnServiceâ business which provides lawn and tree and shrub fertilization, insect control and other related services in the United States. Effective October 2, 2004, the Company acquired Smith &amp; Hawkenâ, a leading brand in the outdoor living and gardening lifestyle category. Smith &amp; Hawkenâ products are sold in the United States through its 59 retail stores as well as through catalog and internet sales.</w:t>
      </w:r>
    </w:p>
    <w:p>
      <w:pPr>
        <w:spacing w:after="0" w:line="177"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RESTRUCTURING MERGER</w:t>
      </w:r>
    </w:p>
    <w:p>
      <w:pPr>
        <w:spacing w:after="0" w:line="225" w:lineRule="exact"/>
        <w:rPr>
          <w:rFonts w:ascii="Arial" w:cs="Arial" w:eastAsia="Arial" w:hAnsi="Arial"/>
          <w:sz w:val="18"/>
          <w:szCs w:val="18"/>
          <w:color w:val="auto"/>
        </w:rPr>
      </w:pPr>
    </w:p>
    <w:p>
      <w:pPr>
        <w:ind w:left="240" w:right="20"/>
        <w:spacing w:after="0" w:line="271" w:lineRule="auto"/>
        <w:rPr>
          <w:rFonts w:ascii="Arial" w:cs="Arial" w:eastAsia="Arial" w:hAnsi="Arial"/>
          <w:sz w:val="18"/>
          <w:szCs w:val="18"/>
          <w:color w:val="auto"/>
        </w:rPr>
      </w:pPr>
      <w:r>
        <w:rPr>
          <w:rFonts w:ascii="Arial" w:cs="Arial" w:eastAsia="Arial" w:hAnsi="Arial"/>
          <w:sz w:val="17"/>
          <w:szCs w:val="17"/>
          <w:color w:val="auto"/>
        </w:rPr>
        <w:t>On March 18, 2005, The Scotts Company consummated the restructuring of its corporate structure into a holding company structure by merging The Scotts Company into a newly-created, wholly-owned, second-tier Ohio limited liability company subsidiary, The Scotts Company LLC, pursuant to the Agreement and Plan of Merger, dated as of December 13, 2004, by and among The Scotts Company, The Scotts Company LLC and Scotts Miracle-Gro (the “Restructuring Merger”). As a result of the Restructuring Merger, each of The Scotts Company’s common shares, without par value, issued and outstanding immediately prior to the consummation of the Restructuring Merger was automatically converted into one fully paid and nonassessable common share, without par value, of Scotts Miracle-Gro. Scotts Miracle-Gro is the public company successor to The Scotts Company. Following the consummation of the Restructuring Merger, The Scotts Company LLC is the successor to The Scotts Company and is a direct, wholly-owned subsidiary of Scotts Miracle-Gro, the new parent holding company.</w:t>
      </w:r>
    </w:p>
    <w:p>
      <w:pPr>
        <w:spacing w:after="0" w:line="178"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ORGANIZATION AND BASIS OF PRESENTATION</w:t>
      </w:r>
    </w:p>
    <w:p>
      <w:pPr>
        <w:spacing w:after="0" w:line="225" w:lineRule="exact"/>
        <w:rPr>
          <w:rFonts w:ascii="Arial" w:cs="Arial" w:eastAsia="Arial" w:hAnsi="Arial"/>
          <w:sz w:val="18"/>
          <w:szCs w:val="18"/>
          <w:color w:val="auto"/>
        </w:rPr>
      </w:pPr>
    </w:p>
    <w:p>
      <w:pPr>
        <w:ind w:left="240" w:right="20"/>
        <w:spacing w:after="0" w:line="271" w:lineRule="auto"/>
        <w:rPr>
          <w:rFonts w:ascii="Arial" w:cs="Arial" w:eastAsia="Arial" w:hAnsi="Arial"/>
          <w:sz w:val="18"/>
          <w:szCs w:val="18"/>
          <w:color w:val="auto"/>
        </w:rPr>
      </w:pPr>
      <w:r>
        <w:rPr>
          <w:rFonts w:ascii="Arial" w:cs="Arial" w:eastAsia="Arial" w:hAnsi="Arial"/>
          <w:sz w:val="17"/>
          <w:szCs w:val="17"/>
          <w:color w:val="auto"/>
        </w:rPr>
        <w:t>The Company’s condensed, consolidated financial statements are unaudited; however, in the opinion of management, are presented in accordance with accounting principles generally accepted in the United States of America. The condensed, consolidated financial statements include the accounts of Scotts Miracle-Gro and all wholly-owned and majority-owned subsidiaries. All material intercompany transactions have been eliminated in consolidation. The Company’s criteria for consolidating entities is based on majority ownership (as evidenced by a majority voting interest in the entity) and an objective evaluation and determination of effective management control.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the Annual Report on Form 10-K for the fiscal year ended September 30, 2004 of The Scotts Company, the public company predecessor of Scotts Miracle-Gro.</w:t>
      </w:r>
    </w:p>
    <w:p>
      <w:pPr>
        <w:spacing w:after="0" w:line="178"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240" w:right="320"/>
        <w:spacing w:after="0" w:line="286" w:lineRule="auto"/>
        <w:rPr>
          <w:rFonts w:ascii="Arial" w:cs="Arial" w:eastAsia="Arial" w:hAnsi="Arial"/>
          <w:sz w:val="18"/>
          <w:szCs w:val="18"/>
          <w:color w:val="auto"/>
        </w:rPr>
      </w:pPr>
      <w:r>
        <w:rPr>
          <w:rFonts w:ascii="Arial" w:cs="Arial" w:eastAsia="Arial" w:hAnsi="Arial"/>
          <w:sz w:val="17"/>
          <w:szCs w:val="17"/>
          <w:color w:val="auto"/>
        </w:rPr>
        <w:t>Revenue is recognized when title and risk of loss transfer, generally when products are received by the customer. Provisions for estimated returns and allowances are recorded at the time revenue is recognized based on historical rates of returns and are periodically adjusted for known changes in return levels. Scotts LawnService® revenues are recognized at the time service is provided to the customer.</w:t>
      </w:r>
    </w:p>
    <w:p>
      <w:pPr>
        <w:spacing w:after="0" w:line="165" w:lineRule="exact"/>
        <w:rPr>
          <w:rFonts w:ascii="Arial" w:cs="Arial" w:eastAsia="Arial" w:hAnsi="Arial"/>
          <w:sz w:val="18"/>
          <w:szCs w:val="18"/>
          <w:color w:val="auto"/>
        </w:rPr>
      </w:pPr>
    </w:p>
    <w:p>
      <w:pPr>
        <w:ind w:left="240" w:right="80"/>
        <w:spacing w:after="0" w:line="273" w:lineRule="auto"/>
        <w:rPr>
          <w:rFonts w:ascii="Arial" w:cs="Arial" w:eastAsia="Arial" w:hAnsi="Arial"/>
          <w:sz w:val="18"/>
          <w:szCs w:val="18"/>
          <w:color w:val="auto"/>
        </w:rPr>
      </w:pPr>
      <w:r>
        <w:rPr>
          <w:rFonts w:ascii="Arial" w:cs="Arial" w:eastAsia="Arial" w:hAnsi="Arial"/>
          <w:sz w:val="17"/>
          <w:szCs w:val="17"/>
          <w:color w:val="auto"/>
        </w:rPr>
        <w:t>Under the terms of the Amended and Restated Exclusive Agency and Marketing Agreement (the “Marketing Agreement”) with Monsanto Company (“Monsanto”), the Company in its role as exclusive agent performs certain functions, such as sales support, merchandising, distribution and logistics on behalf of Monsanto, and incurs certain costs in support of the consumer Roundup® business. The actual costs incurred by the Company on behalf of Roundup® are recovered from Monsanto through the terms of the Marketing Agreement and are treated solely as a recovery of incurred costs. Revenue is not recognized in the Company’s consolidated financial statements for the recovery of these costs since the services rendered are solely in support of the agency arrangement and not a part of any principal line of business.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PROMOTIONAL ALLOWANCES</w:t>
      </w:r>
    </w:p>
    <w:p>
      <w:pPr>
        <w:spacing w:after="0" w:line="225" w:lineRule="exact"/>
        <w:rPr>
          <w:sz w:val="20"/>
          <w:szCs w:val="20"/>
          <w:color w:val="auto"/>
        </w:rPr>
      </w:pPr>
    </w:p>
    <w:p>
      <w:pPr>
        <w:ind w:left="140"/>
        <w:spacing w:after="0" w:line="257" w:lineRule="auto"/>
        <w:rPr>
          <w:sz w:val="20"/>
          <w:szCs w:val="20"/>
          <w:color w:val="auto"/>
        </w:rPr>
      </w:pPr>
      <w:r>
        <w:rPr>
          <w:rFonts w:ascii="Arial" w:cs="Arial" w:eastAsia="Arial" w:hAnsi="Arial"/>
          <w:sz w:val="18"/>
          <w:szCs w:val="18"/>
          <w:color w:val="auto"/>
        </w:rPr>
        <w:t>The Company promotes its branded products through cooperative advertising programs with retailers. Retailers also are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as accrued marketing and promotion in the accrued liabilities line in the Condensed, Consolidated Balance Sheets.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ADVERTISING</w:t>
      </w:r>
    </w:p>
    <w:p>
      <w:pPr>
        <w:spacing w:after="0" w:line="225" w:lineRule="exact"/>
        <w:rPr>
          <w:sz w:val="20"/>
          <w:szCs w:val="20"/>
          <w:color w:val="auto"/>
        </w:rPr>
      </w:pPr>
    </w:p>
    <w:p>
      <w:pPr>
        <w:jc w:val="both"/>
        <w:ind w:left="140" w:right="480"/>
        <w:spacing w:after="0" w:line="286" w:lineRule="auto"/>
        <w:rPr>
          <w:sz w:val="20"/>
          <w:szCs w:val="20"/>
          <w:color w:val="auto"/>
        </w:rPr>
      </w:pPr>
      <w:r>
        <w:rPr>
          <w:rFonts w:ascii="Arial" w:cs="Arial" w:eastAsia="Arial" w:hAnsi="Arial"/>
          <w:sz w:val="17"/>
          <w:szCs w:val="17"/>
          <w:color w:val="auto"/>
        </w:rPr>
        <w:t>The Company advertises its branded products through national and regional media. Advertising costs incurred during the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166" w:lineRule="exact"/>
        <w:rPr>
          <w:sz w:val="20"/>
          <w:szCs w:val="20"/>
          <w:color w:val="auto"/>
        </w:rPr>
      </w:pPr>
    </w:p>
    <w:p>
      <w:pPr>
        <w:jc w:val="both"/>
        <w:ind w:left="140" w:right="120"/>
        <w:spacing w:after="0" w:line="286" w:lineRule="auto"/>
        <w:rPr>
          <w:sz w:val="20"/>
          <w:szCs w:val="20"/>
          <w:color w:val="auto"/>
        </w:rPr>
      </w:pPr>
      <w:r>
        <w:rPr>
          <w:rFonts w:ascii="Arial" w:cs="Arial" w:eastAsia="Arial" w:hAnsi="Arial"/>
          <w:sz w:val="17"/>
          <w:szCs w:val="17"/>
          <w:color w:val="auto"/>
        </w:rPr>
        <w:t>Scotts LawnService® promotes its service offerings primarily through direct response mail campaigns. The external costs associated with these campaigns are deferred and recognized ratably as advertising expense in proportion to revenues over a period not in excess of one year. The costs deferred at April 2, 2005, March 27, 2004 and September 30, 2004 were $2.2 million, $1.9 million and $1.6 million, respectively.</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STOCK-BASED COMPENSATION AWARDS</w:t>
      </w:r>
    </w:p>
    <w:p>
      <w:pPr>
        <w:spacing w:after="0" w:line="225" w:lineRule="exact"/>
        <w:rPr>
          <w:sz w:val="20"/>
          <w:szCs w:val="20"/>
          <w:color w:val="auto"/>
        </w:rPr>
      </w:pPr>
    </w:p>
    <w:p>
      <w:pPr>
        <w:ind w:left="140" w:right="20"/>
        <w:spacing w:after="0" w:line="257" w:lineRule="auto"/>
        <w:rPr>
          <w:sz w:val="20"/>
          <w:szCs w:val="20"/>
          <w:color w:val="auto"/>
        </w:rPr>
      </w:pPr>
      <w:r>
        <w:rPr>
          <w:rFonts w:ascii="Arial" w:cs="Arial" w:eastAsia="Arial" w:hAnsi="Arial"/>
          <w:sz w:val="18"/>
          <w:szCs w:val="18"/>
          <w:color w:val="auto"/>
        </w:rPr>
        <w:t>Beginning in fiscal 2003, the Company began expensing prospective grants of employee stock-based compensation awards in accordance with Statement of Financial Accounting Standards (SFAS) No. 123, “Accounting for Stock-Based Compensation” as amended by SFAS No. 148, “Accounting for Stock-Based Compensation — Transition and Disclosure — an Amendment of SFAS No. 123”. Beginning in fiscal 2003, the fair value of new awards is expensed ratably over the vesting period, which has historically been three years, except for grants to members of the Board of Directors, which have historically had a shorter vesting period.</w:t>
      </w:r>
    </w:p>
    <w:p>
      <w:pPr>
        <w:spacing w:after="0" w:line="188" w:lineRule="exact"/>
        <w:rPr>
          <w:sz w:val="20"/>
          <w:szCs w:val="20"/>
          <w:color w:val="auto"/>
        </w:rPr>
      </w:pPr>
    </w:p>
    <w:p>
      <w:pPr>
        <w:jc w:val="both"/>
        <w:ind w:left="140" w:right="240"/>
        <w:spacing w:after="0" w:line="286" w:lineRule="auto"/>
        <w:rPr>
          <w:sz w:val="20"/>
          <w:szCs w:val="20"/>
          <w:color w:val="auto"/>
        </w:rPr>
      </w:pPr>
      <w:r>
        <w:rPr>
          <w:rFonts w:ascii="Arial" w:cs="Arial" w:eastAsia="Arial" w:hAnsi="Arial"/>
          <w:sz w:val="17"/>
          <w:szCs w:val="17"/>
          <w:color w:val="auto"/>
        </w:rPr>
        <w:t>During the first six months of fiscal 2005, the Company has granted 50,500 shares of restricted stock and 456,300 non-qualified stock options to officers and other key employees, and 73,500 non-qualified options to members of the Board of Directors. The exercise price for the option awards and the stated price for the restricted stock awards were determined by the closing price of the Company’s common shares on the date of grant.</w:t>
      </w:r>
    </w:p>
    <w:p>
      <w:pPr>
        <w:spacing w:after="0" w:line="166" w:lineRule="exact"/>
        <w:rPr>
          <w:sz w:val="20"/>
          <w:szCs w:val="20"/>
          <w:color w:val="auto"/>
        </w:rPr>
      </w:pPr>
    </w:p>
    <w:p>
      <w:pPr>
        <w:ind w:left="140" w:right="60"/>
        <w:spacing w:after="0" w:line="255" w:lineRule="auto"/>
        <w:rPr>
          <w:sz w:val="20"/>
          <w:szCs w:val="20"/>
          <w:color w:val="auto"/>
        </w:rPr>
      </w:pPr>
      <w:r>
        <w:rPr>
          <w:rFonts w:ascii="Arial" w:cs="Arial" w:eastAsia="Arial" w:hAnsi="Arial"/>
          <w:sz w:val="18"/>
          <w:szCs w:val="18"/>
          <w:color w:val="auto"/>
        </w:rPr>
        <w:t>The Company changed its fair value option pricing model from the Black-Scholes model to a binomial model for all options granted on or after October 1, 2004. The fair value of options granted prior to October 1, 2004, was determined using the Black-Scholes model. The Company believes that the binomial model considers characteristics of fair value option pricing that are not available under the Black-Scholes model. Similar to the Black-Scholes model, the binomial model takes into account variables such as volatility and risk-free interest rate. However, in addition, the binomial model considers the contractual term of the option, the probability that the option will be exercised prior to the end of its contractual life, and the probability of termination or retirement of the option holder in computing the value of the option.</w:t>
      </w:r>
    </w:p>
    <w:p>
      <w:pPr>
        <w:spacing w:after="0" w:line="193" w:lineRule="exact"/>
        <w:rPr>
          <w:sz w:val="20"/>
          <w:szCs w:val="20"/>
          <w:color w:val="auto"/>
        </w:rPr>
      </w:pPr>
    </w:p>
    <w:p>
      <w:pPr>
        <w:ind w:left="140" w:right="340"/>
        <w:spacing w:after="0" w:line="264" w:lineRule="auto"/>
        <w:rPr>
          <w:sz w:val="20"/>
          <w:szCs w:val="20"/>
          <w:color w:val="auto"/>
        </w:rPr>
      </w:pPr>
      <w:r>
        <w:rPr>
          <w:rFonts w:ascii="Arial" w:cs="Arial" w:eastAsia="Arial" w:hAnsi="Arial"/>
          <w:sz w:val="18"/>
          <w:szCs w:val="18"/>
          <w:color w:val="auto"/>
        </w:rPr>
        <w:t>The value of all stock-based compensation grants during fiscal 2004 was $11.0 million and $11.2 million for the first six months of fiscal 2005. The assumptions used in the fair value determinations were similar for both the fiscal 2005 and fiscal 2004 grants. In addition, the fair value of the restricted stock granted thus far in fiscal 2005 was $3.3 million.</w:t>
      </w:r>
    </w:p>
    <w:p>
      <w:pPr>
        <w:spacing w:after="0" w:line="181" w:lineRule="exact"/>
        <w:rPr>
          <w:sz w:val="20"/>
          <w:szCs w:val="20"/>
          <w:color w:val="auto"/>
        </w:rPr>
      </w:pPr>
    </w:p>
    <w:p>
      <w:pPr>
        <w:ind w:left="140" w:right="40"/>
        <w:spacing w:after="0" w:line="264" w:lineRule="auto"/>
        <w:rPr>
          <w:sz w:val="20"/>
          <w:szCs w:val="20"/>
          <w:color w:val="auto"/>
        </w:rPr>
      </w:pPr>
      <w:r>
        <w:rPr>
          <w:rFonts w:ascii="Arial" w:cs="Arial" w:eastAsia="Arial" w:hAnsi="Arial"/>
          <w:sz w:val="18"/>
          <w:szCs w:val="18"/>
          <w:color w:val="auto"/>
        </w:rPr>
        <w:t>Had compensation expense been recognized for stock-based compensation awards granted in periods prior to fiscal 2003 in accordance with the recognition provisions of SFAS No. 123, the Company would have recorded net income and net income per common share for the three and six months ended March 27, 2004, as follows (dollars in millions, except per share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8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SIX MONTHS</w:t>
            </w:r>
          </w:p>
        </w:tc>
      </w:tr>
      <w:tr>
        <w:trPr>
          <w:trHeight w:val="149"/>
        </w:trPr>
        <w:tc>
          <w:tcPr>
            <w:tcW w:w="8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2"/>
                <w:szCs w:val="12"/>
                <w:color w:val="auto"/>
              </w:rPr>
            </w:pPr>
          </w:p>
        </w:tc>
        <w:tc>
          <w:tcPr>
            <w:tcW w:w="11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8620" w:type="dxa"/>
            <w:vAlign w:val="bottom"/>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27, 2004</w:t>
            </w:r>
          </w:p>
        </w:tc>
        <w:tc>
          <w:tcPr>
            <w:tcW w:w="42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MARCH 27, 2004</w:t>
            </w:r>
          </w:p>
        </w:tc>
        <w:tc>
          <w:tcPr>
            <w:tcW w:w="100" w:type="dxa"/>
            <w:vAlign w:val="bottom"/>
          </w:tcPr>
          <w:p>
            <w:pPr>
              <w:spacing w:after="0"/>
              <w:rPr>
                <w:sz w:val="14"/>
                <w:szCs w:val="14"/>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8620" w:type="dxa"/>
            <w:vAlign w:val="bottom"/>
          </w:tcPr>
          <w:p>
            <w:pPr>
              <w:ind w:left="140"/>
              <w:spacing w:after="0"/>
              <w:rPr>
                <w:sz w:val="20"/>
                <w:szCs w:val="20"/>
                <w:color w:val="auto"/>
              </w:rPr>
            </w:pPr>
            <w:r>
              <w:rPr>
                <w:rFonts w:ascii="Arial" w:cs="Arial" w:eastAsia="Arial" w:hAnsi="Arial"/>
                <w:sz w:val="18"/>
                <w:szCs w:val="18"/>
                <w:color w:val="auto"/>
              </w:rPr>
              <w:t>Stock-based compensation expense included in reported net income, net of tax</w:t>
            </w:r>
          </w:p>
        </w:tc>
        <w:tc>
          <w:tcPr>
            <w:tcW w:w="2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02"/>
        </w:trPr>
        <w:tc>
          <w:tcPr>
            <w:tcW w:w="86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Total stock-based employee compensation expense determined under fair value based method for all awards, net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 tax</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23"/>
        </w:trPr>
        <w:tc>
          <w:tcPr>
            <w:tcW w:w="8620" w:type="dxa"/>
            <w:vAlign w:val="bottom"/>
          </w:tcPr>
          <w:p>
            <w:pPr>
              <w:ind w:left="140"/>
              <w:spacing w:after="0"/>
              <w:rPr>
                <w:sz w:val="20"/>
                <w:szCs w:val="20"/>
                <w:color w:val="auto"/>
              </w:rPr>
            </w:pPr>
            <w:r>
              <w:rPr>
                <w:rFonts w:ascii="Arial" w:cs="Arial" w:eastAsia="Arial" w:hAnsi="Arial"/>
                <w:sz w:val="18"/>
                <w:szCs w:val="18"/>
                <w:color w:val="auto"/>
              </w:rPr>
              <w:t>Net income as adjusted</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0"/>
        </w:trPr>
        <w:tc>
          <w:tcPr>
            <w:tcW w:w="8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per common share, as reported:</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ind w:left="4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r>
      <w:tr>
        <w:trPr>
          <w:trHeight w:val="216"/>
        </w:trPr>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r>
      <w:tr>
        <w:trPr>
          <w:trHeight w:val="216"/>
        </w:trPr>
        <w:tc>
          <w:tcPr>
            <w:tcW w:w="8620" w:type="dxa"/>
            <w:vAlign w:val="bottom"/>
          </w:tcPr>
          <w:p>
            <w:pPr>
              <w:ind w:left="140"/>
              <w:spacing w:after="0"/>
              <w:rPr>
                <w:sz w:val="20"/>
                <w:szCs w:val="20"/>
                <w:color w:val="auto"/>
              </w:rPr>
            </w:pPr>
            <w:r>
              <w:rPr>
                <w:rFonts w:ascii="Arial" w:cs="Arial" w:eastAsia="Arial" w:hAnsi="Arial"/>
                <w:sz w:val="18"/>
                <w:szCs w:val="18"/>
                <w:color w:val="auto"/>
              </w:rPr>
              <w:t>Net income per common share, as adjusted:</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r>
      <w:tr>
        <w:trPr>
          <w:trHeight w:val="230"/>
        </w:trPr>
        <w:tc>
          <w:tcPr>
            <w:tcW w:w="8620" w:type="dxa"/>
            <w:vAlign w:val="bottom"/>
          </w:tcPr>
          <w:p>
            <w:pPr>
              <w:ind w:left="4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r>
    </w:tbl>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as adjusted amounts shown above are not necessarily representative of the impact on net income in future periods.</w:t>
      </w:r>
    </w:p>
    <w:p>
      <w:pPr>
        <w:spacing w:after="0" w:line="225" w:lineRule="exact"/>
        <w:rPr>
          <w:sz w:val="20"/>
          <w:szCs w:val="20"/>
          <w:color w:val="auto"/>
        </w:rPr>
      </w:pPr>
    </w:p>
    <w:p>
      <w:pPr>
        <w:ind w:left="140" w:right="80"/>
        <w:spacing w:after="0" w:line="302" w:lineRule="auto"/>
        <w:rPr>
          <w:sz w:val="20"/>
          <w:szCs w:val="20"/>
          <w:color w:val="auto"/>
        </w:rPr>
      </w:pPr>
      <w:r>
        <w:rPr>
          <w:rFonts w:ascii="Arial" w:cs="Arial" w:eastAsia="Arial" w:hAnsi="Arial"/>
          <w:sz w:val="16"/>
          <w:szCs w:val="16"/>
          <w:color w:val="auto"/>
        </w:rPr>
        <w:t>In December 2004, the Financial Accounting Standards Board (FASB) replaced SFAS No. 123, “Accounting for Stock-Based Compensation” with SFAS No. 123(R), “Share-Based Payment.” As the Company previously adopted the provisions of SFAS No. 123 for awards granted beginning in fiscal 2003, its accounting for share-based payments (including grants of employee stock options) is substantially in accordance with revised SFAS No. 123(R). Therefore, the adoption of revised SFAS No. 123(R), now required for fiscal 2006, is not expected to have a significant effect on the Company’s results of operations.</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LONG-LIVED ASSETS</w:t>
      </w:r>
    </w:p>
    <w:p>
      <w:pPr>
        <w:spacing w:after="0" w:line="225" w:lineRule="exact"/>
        <w:rPr>
          <w:sz w:val="20"/>
          <w:szCs w:val="20"/>
          <w:color w:val="auto"/>
        </w:rPr>
      </w:pPr>
    </w:p>
    <w:p>
      <w:pPr>
        <w:ind w:left="140" w:right="280"/>
        <w:spacing w:after="0" w:line="264" w:lineRule="auto"/>
        <w:rPr>
          <w:sz w:val="20"/>
          <w:szCs w:val="20"/>
          <w:color w:val="auto"/>
        </w:rPr>
      </w:pPr>
      <w:r>
        <w:rPr>
          <w:rFonts w:ascii="Arial" w:cs="Arial" w:eastAsia="Arial" w:hAnsi="Arial"/>
          <w:sz w:val="18"/>
          <w:szCs w:val="18"/>
          <w:color w:val="auto"/>
        </w:rPr>
        <w:t>Management assesses the recoverability of property and equipment whenever events or changes in circumstances indicate that the carrying amount of an asset may not be recoverable from its future undiscounted cash flows. If it is determined that an impairment has occurred, an impairment charge is recognized for the amount by which the carrying amount of the asset exceeds its estimated fair value.</w:t>
      </w:r>
    </w:p>
    <w:p>
      <w:pPr>
        <w:spacing w:after="0" w:line="181" w:lineRule="exact"/>
        <w:rPr>
          <w:sz w:val="20"/>
          <w:szCs w:val="20"/>
          <w:color w:val="auto"/>
        </w:rPr>
      </w:pPr>
    </w:p>
    <w:p>
      <w:pPr>
        <w:ind w:left="140" w:right="80"/>
        <w:spacing w:after="0" w:line="270" w:lineRule="auto"/>
        <w:rPr>
          <w:sz w:val="20"/>
          <w:szCs w:val="20"/>
          <w:color w:val="auto"/>
        </w:rPr>
      </w:pPr>
      <w:r>
        <w:rPr>
          <w:rFonts w:ascii="Arial" w:cs="Arial" w:eastAsia="Arial" w:hAnsi="Arial"/>
          <w:sz w:val="17"/>
          <w:szCs w:val="17"/>
          <w:color w:val="auto"/>
        </w:rPr>
        <w:t>Management also assesses the recoverability of goodwill, tradenames and other intangible assets whenever events or changes in circumstances indicate that the carrying amount of an asset may not be recoverable from its estimated undiscounted future cash flows. In addition, goodwill and unamortizable intangible assets are reviewed for impairment at least annually during the first fiscal quarter. If it is determined that an impairment of intangible assets has occurred, an impairment charge is recognized for the amount by which the carrying value of the asset exceeds its estimated fair value. The Company performed its annual impairment analysis during the first quarter of fiscal 2005 and determined that intangibles associated with our consumer business in the United Kingdom were impaired. The reduction in the value of the business has resulted primarily from the decline in the profitability of its growing media business and unfavorable category mix trends. Although management is developing strategies to significantly improve the profitability of the U.K. business, we believe an impairment charge against the book value is appropriate. Accordingly, an impairment charge of $22 million was recorded for the first quarter of fiscal 2005. No impairment charge was recorded for the first quarter of fiscal 2004.</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EARNINGS PER COMMON SHARE</w:t>
      </w:r>
    </w:p>
    <w:p>
      <w:pPr>
        <w:spacing w:after="0" w:line="225" w:lineRule="exact"/>
        <w:rPr>
          <w:sz w:val="20"/>
          <w:szCs w:val="20"/>
          <w:color w:val="auto"/>
        </w:rPr>
      </w:pPr>
    </w:p>
    <w:p>
      <w:pPr>
        <w:ind w:left="140" w:right="40"/>
        <w:spacing w:after="0" w:line="291" w:lineRule="auto"/>
        <w:rPr>
          <w:sz w:val="20"/>
          <w:szCs w:val="20"/>
          <w:color w:val="auto"/>
        </w:rPr>
      </w:pPr>
      <w:r>
        <w:rPr>
          <w:rFonts w:ascii="Arial" w:cs="Arial" w:eastAsia="Arial" w:hAnsi="Arial"/>
          <w:sz w:val="16"/>
          <w:szCs w:val="16"/>
          <w:color w:val="auto"/>
        </w:rPr>
        <w:t>Basic earnings per common share is based on the weighted-average number of common shares outstanding each period. Diluted earnings per common share is based on the weighted-average number of common stock shares and dilutive potential common shares (stock options and stock appreciation rights) outstanding each period. These common stock equivalents equate to 0.9 million common shares for both the three and six month periods ending April 2, 2005, and 0.8 million common shares for both the three and six month periods ending March 27, 2004. Options to purchase 0.4 million common shares for the six month period ended April 2, 2005, and 0.1 million common shares for both the three and six month periods ended March 27, 2004, respectively, were not included in the computation of diluted earnings per share. These options were excluded from the calculation because the exercise price was greater than the average market price of the common shares in the respective periods, and therefore, were anti-dilutive.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USE OF ESTIMATES</w:t>
      </w:r>
    </w:p>
    <w:p>
      <w:pPr>
        <w:spacing w:after="0" w:line="225"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amounts 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RECLASSIFICATIONS</w:t>
      </w:r>
    </w:p>
    <w:p>
      <w:pPr>
        <w:spacing w:after="0" w:line="225" w:lineRule="exact"/>
        <w:rPr>
          <w:sz w:val="20"/>
          <w:szCs w:val="20"/>
          <w:color w:val="auto"/>
        </w:rPr>
      </w:pPr>
    </w:p>
    <w:p>
      <w:pPr>
        <w:ind w:left="240" w:right="160"/>
        <w:spacing w:after="0" w:line="312" w:lineRule="auto"/>
        <w:rPr>
          <w:sz w:val="20"/>
          <w:szCs w:val="20"/>
          <w:color w:val="auto"/>
        </w:rPr>
      </w:pPr>
      <w:r>
        <w:rPr>
          <w:rFonts w:ascii="Arial" w:cs="Arial" w:eastAsia="Arial" w:hAnsi="Arial"/>
          <w:sz w:val="16"/>
          <w:szCs w:val="16"/>
          <w:color w:val="auto"/>
        </w:rPr>
        <w:t>Certain reclassifications have been made in prior periods’ financial statements to conform to fiscal 2005 classifications. The prior periods’ Condensed, Consolidated Statement of Operations reflect the reclassification of $1.2 million and $2.2 million for the three and six month periods, respectively, ended March 27, 2004 of “selling, general and administrative costs – lawn service business” to “cost of sales” to conform to fiscal 2005 classifications.</w:t>
      </w:r>
    </w:p>
    <w:p>
      <w:pPr>
        <w:spacing w:after="0" w:line="147"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DETAIL OF INVENTORIES, NET</w:t>
      </w:r>
    </w:p>
    <w:p>
      <w:pPr>
        <w:spacing w:after="0" w:line="225" w:lineRule="exact"/>
        <w:rPr>
          <w:rFonts w:ascii="Arial" w:cs="Arial" w:eastAsia="Arial" w:hAnsi="Arial"/>
          <w:sz w:val="18"/>
          <w:szCs w:val="18"/>
          <w:color w:val="auto"/>
        </w:rPr>
      </w:pPr>
    </w:p>
    <w:p>
      <w:pPr>
        <w:ind w:left="240" w:right="380"/>
        <w:spacing w:after="0" w:line="277" w:lineRule="auto"/>
        <w:rPr>
          <w:rFonts w:ascii="Arial" w:cs="Arial" w:eastAsia="Arial" w:hAnsi="Arial"/>
          <w:sz w:val="18"/>
          <w:szCs w:val="18"/>
          <w:color w:val="auto"/>
        </w:rPr>
      </w:pPr>
      <w:r>
        <w:rPr>
          <w:rFonts w:ascii="Arial" w:cs="Arial" w:eastAsia="Arial" w:hAnsi="Arial"/>
          <w:sz w:val="18"/>
          <w:szCs w:val="18"/>
          <w:color w:val="auto"/>
        </w:rPr>
        <w:t>Inventories, net of provisions for slow moving and obsolete inventory of $20.4 million, $23.6 million, and $21.3 million, respectively, consisted of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APRIL 2,</w:t>
            </w:r>
          </w:p>
        </w:tc>
        <w:tc>
          <w:tcPr>
            <w:tcW w:w="1420" w:type="dxa"/>
            <w:vAlign w:val="bottom"/>
            <w:gridSpan w:val="4"/>
          </w:tcPr>
          <w:p>
            <w:pPr>
              <w:ind w:left="220"/>
              <w:spacing w:after="0"/>
              <w:rPr>
                <w:sz w:val="20"/>
                <w:szCs w:val="20"/>
                <w:color w:val="auto"/>
              </w:rPr>
            </w:pPr>
            <w:r>
              <w:rPr>
                <w:rFonts w:ascii="Arial" w:cs="Arial" w:eastAsia="Arial" w:hAnsi="Arial"/>
                <w:sz w:val="14"/>
                <w:szCs w:val="14"/>
                <w:b w:val="1"/>
                <w:bCs w:val="1"/>
                <w:color w:val="auto"/>
              </w:rPr>
              <w:t>MARCH 27,</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7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r>
      <w:tr>
        <w:trPr>
          <w:trHeight w:val="210"/>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Finished goods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371.0</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302.9</w:t>
            </w:r>
          </w:p>
        </w:tc>
        <w:tc>
          <w:tcPr>
            <w:tcW w:w="4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186.6</w:t>
            </w: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Work-in-Process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Raw materials</w:t>
            </w: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83.6</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72.8</w:t>
            </w:r>
          </w:p>
        </w:tc>
      </w:tr>
      <w:tr>
        <w:trPr>
          <w:trHeight w:val="27"/>
        </w:trPr>
        <w:tc>
          <w:tcPr>
            <w:tcW w:w="7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486.1</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r>
              <w:rPr>
                <w:rFonts w:ascii="Arial" w:cs="Arial" w:eastAsia="Arial" w:hAnsi="Arial"/>
                <w:sz w:val="18"/>
                <w:szCs w:val="18"/>
                <w:u w:val="single" w:color="auto"/>
                <w:color w:val="auto"/>
              </w:rPr>
              <w:t>6</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290.1</w:t>
            </w:r>
          </w:p>
        </w:tc>
      </w:tr>
      <w:tr>
        <w:trPr>
          <w:trHeight w:val="20"/>
        </w:trPr>
        <w:tc>
          <w:tcPr>
            <w:tcW w:w="7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MARKETING AGREEMENT</w:t>
      </w:r>
    </w:p>
    <w:p>
      <w:pPr>
        <w:spacing w:after="0" w:line="225" w:lineRule="exact"/>
        <w:rPr>
          <w:rFonts w:ascii="Arial" w:cs="Arial" w:eastAsia="Arial" w:hAnsi="Arial"/>
          <w:sz w:val="18"/>
          <w:szCs w:val="18"/>
          <w:color w:val="auto"/>
        </w:rPr>
      </w:pPr>
    </w:p>
    <w:p>
      <w:pPr>
        <w:ind w:left="240" w:right="40"/>
        <w:spacing w:after="0" w:line="255" w:lineRule="auto"/>
        <w:rPr>
          <w:rFonts w:ascii="Arial" w:cs="Arial" w:eastAsia="Arial" w:hAnsi="Arial"/>
          <w:sz w:val="18"/>
          <w:szCs w:val="18"/>
          <w:color w:val="auto"/>
        </w:rPr>
      </w:pPr>
      <w:r>
        <w:rPr>
          <w:rFonts w:ascii="Arial" w:cs="Arial" w:eastAsia="Arial" w:hAnsi="Arial"/>
          <w:sz w:val="18"/>
          <w:szCs w:val="18"/>
          <w:color w:val="auto"/>
        </w:rPr>
        <w:t>Effective September 30, 1998, the Company entered into the Marketing Agreement with Monsanto for exclusive domestic and international marketing and agency rights to Monsanto’s consumer Roundup® herbicide products. Under the terms of the Marketing Agreement, the Company is entitled to receive an annual commission from Monsanto in consideration for the performance of its duties as agent. The annual commission is calculated as a percentage of the actual earnings before interest and income taxes (EBIT), as defined in the Marketing Agreement, of the consumer Roundup® business. Each year’s percentage varies in accordance with the terms of the Marketing Agreement based on the achievement of two earnings thresholds and on commission rates that vary by threshold and program year.</w:t>
      </w:r>
    </w:p>
    <w:p>
      <w:pPr>
        <w:spacing w:after="0" w:line="193" w:lineRule="exact"/>
        <w:rPr>
          <w:rFonts w:ascii="Arial" w:cs="Arial" w:eastAsia="Arial" w:hAnsi="Arial"/>
          <w:sz w:val="18"/>
          <w:szCs w:val="18"/>
          <w:color w:val="auto"/>
        </w:rPr>
      </w:pPr>
    </w:p>
    <w:p>
      <w:pPr>
        <w:ind w:left="240" w:right="60"/>
        <w:spacing w:after="0" w:line="271" w:lineRule="auto"/>
        <w:rPr>
          <w:rFonts w:ascii="Arial" w:cs="Arial" w:eastAsia="Arial" w:hAnsi="Arial"/>
          <w:sz w:val="18"/>
          <w:szCs w:val="18"/>
          <w:color w:val="auto"/>
        </w:rPr>
      </w:pPr>
      <w:r>
        <w:rPr>
          <w:rFonts w:ascii="Arial" w:cs="Arial" w:eastAsia="Arial" w:hAnsi="Arial"/>
          <w:sz w:val="17"/>
          <w:szCs w:val="17"/>
          <w:color w:val="auto"/>
        </w:rPr>
        <w:t>The Marketing Agreement also requires the Company to make fixed annual payments to Monsanto as a contribution against the overall expenses of the consumer Roundup® business. The annual fixed payment is defined as $20 million. However, portions of the annual payments for the first three years of the Marketing Agreement have been deferred. No payment was required for the first year (fiscal 1999), a payment of $5 million was required for the second year and a payment of $15 million was required for the third year so that a total of $40 million of the contribution payments was deferred. Beginning in fiscal 2003, the fifth year of the Marketing Agreement, the annual payments to Monsanto increased to at least $25 million, which include per annum interest charges at 8%. The annual payments may be increased above $25 million if certain significant earnings targets are exceeded. If all of the deferred contribution amounts are paid prior to 2018, the annual contribution payments revert to $20 million. Regardless of whether the deferred contribution amounts are paid, all contribution payments cease entirely in 2018.</w:t>
      </w:r>
    </w:p>
    <w:p>
      <w:pPr>
        <w:spacing w:after="0" w:line="178" w:lineRule="exact"/>
        <w:rPr>
          <w:rFonts w:ascii="Arial" w:cs="Arial" w:eastAsia="Arial" w:hAnsi="Arial"/>
          <w:sz w:val="18"/>
          <w:szCs w:val="18"/>
          <w:color w:val="auto"/>
        </w:rPr>
      </w:pPr>
    </w:p>
    <w:p>
      <w:pPr>
        <w:ind w:left="240" w:right="260"/>
        <w:spacing w:after="0" w:line="297" w:lineRule="auto"/>
        <w:rPr>
          <w:rFonts w:ascii="Arial" w:cs="Arial" w:eastAsia="Arial" w:hAnsi="Arial"/>
          <w:sz w:val="18"/>
          <w:szCs w:val="18"/>
          <w:color w:val="auto"/>
        </w:rPr>
      </w:pPr>
      <w:r>
        <w:rPr>
          <w:rFonts w:ascii="Arial" w:cs="Arial" w:eastAsia="Arial" w:hAnsi="Arial"/>
          <w:sz w:val="16"/>
          <w:szCs w:val="16"/>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 considers this method of accounting for the contribution payments to be appropriate after consideration of the likely term of the Marketing Agreement, the Company’s ability to terminate the Marketing Agreement without paying the deferred amounts, and the fact that a significant portion of the deferred amount is never paid, even if the Marketing Agreement is not terminated prior to 2018, unless significant earnings targets are exceeded.</w:t>
      </w:r>
    </w:p>
    <w:p>
      <w:pPr>
        <w:spacing w:after="0" w:line="158" w:lineRule="exact"/>
        <w:rPr>
          <w:rFonts w:ascii="Arial" w:cs="Arial" w:eastAsia="Arial" w:hAnsi="Arial"/>
          <w:sz w:val="18"/>
          <w:szCs w:val="18"/>
          <w:color w:val="auto"/>
        </w:rPr>
      </w:pPr>
    </w:p>
    <w:p>
      <w:pPr>
        <w:ind w:left="240" w:right="20"/>
        <w:spacing w:after="0" w:line="276" w:lineRule="auto"/>
        <w:rPr>
          <w:rFonts w:ascii="Arial" w:cs="Arial" w:eastAsia="Arial" w:hAnsi="Arial"/>
          <w:sz w:val="18"/>
          <w:szCs w:val="18"/>
          <w:color w:val="auto"/>
        </w:rPr>
      </w:pPr>
      <w:r>
        <w:rPr>
          <w:rFonts w:ascii="Arial" w:cs="Arial" w:eastAsia="Arial" w:hAnsi="Arial"/>
          <w:sz w:val="17"/>
          <w:szCs w:val="17"/>
          <w:color w:val="auto"/>
        </w:rPr>
        <w:t>The express terms of the Marketing Agreement permit the Company to terminate the Marketing Agreement only upon material breach, material fraud or material willful misconduct by Monsanto, as such terms are defined in the Marketing Agreement, or upon the sale of the consumer Roundup® business by Monsanto. In such instances, the Marketing Agreement permits the Company to avoid payment of any deferred contribution and related per annum charge. The Company’s basis for not recording a financial liability to Monsanto for the deferred portions of the annual contribution and per annum charge is based on our assessment and consultations with our legal counsel and the Company’s former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40" w:right="20"/>
        <w:spacing w:after="0" w:line="257" w:lineRule="auto"/>
        <w:rPr>
          <w:sz w:val="20"/>
          <w:szCs w:val="20"/>
          <w:color w:val="auto"/>
        </w:rPr>
      </w:pPr>
      <w:r>
        <w:rPr>
          <w:rFonts w:ascii="Arial" w:cs="Arial" w:eastAsia="Arial" w:hAnsi="Arial"/>
          <w:sz w:val="18"/>
          <w:szCs w:val="18"/>
          <w:color w:val="auto"/>
        </w:rPr>
        <w:t>registered public accounting firm. In addition, the Company has obtained a legal opinion from The Bayard Firm, P.A., which concluded, subject to certain qualifications, that if the matter were litigated, a Delaware court would likely conclude that the Company is entitled to terminate the Marketing Agreement at will, with appropriate prior notice, without incurring significant penalty, and avoid paying the unpaid deferred amounts. We have concluded that, should the Company elect to terminate the Marketing Agreement at any balance sheet date, it will not incur significant economic consequences as a result of such action.</w:t>
      </w:r>
    </w:p>
    <w:p>
      <w:pPr>
        <w:spacing w:after="0" w:line="188" w:lineRule="exact"/>
        <w:rPr>
          <w:sz w:val="20"/>
          <w:szCs w:val="20"/>
          <w:color w:val="auto"/>
        </w:rPr>
      </w:pPr>
    </w:p>
    <w:p>
      <w:pPr>
        <w:ind w:left="240" w:right="200"/>
        <w:spacing w:after="0" w:line="259" w:lineRule="auto"/>
        <w:rPr>
          <w:sz w:val="20"/>
          <w:szCs w:val="20"/>
          <w:color w:val="auto"/>
        </w:rPr>
      </w:pPr>
      <w:r>
        <w:rPr>
          <w:rFonts w:ascii="Arial" w:cs="Arial" w:eastAsia="Arial" w:hAnsi="Arial"/>
          <w:sz w:val="18"/>
          <w:szCs w:val="18"/>
          <w:color w:val="auto"/>
        </w:rPr>
        <w:t>The Bayard Firm was special Delaware counsel retained during fiscal 2000 solely for the limited purpose of providing a legal opinion in support of the contingent liability treatment of the Marketing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187" w:lineRule="exact"/>
        <w:rPr>
          <w:sz w:val="20"/>
          <w:szCs w:val="20"/>
          <w:color w:val="auto"/>
        </w:rPr>
      </w:pPr>
    </w:p>
    <w:p>
      <w:pPr>
        <w:ind w:left="240"/>
        <w:spacing w:after="0" w:line="291" w:lineRule="auto"/>
        <w:rPr>
          <w:sz w:val="20"/>
          <w:szCs w:val="20"/>
          <w:color w:val="auto"/>
        </w:rPr>
      </w:pPr>
      <w:r>
        <w:rPr>
          <w:rFonts w:ascii="Arial" w:cs="Arial" w:eastAsia="Arial" w:hAnsi="Arial"/>
          <w:sz w:val="16"/>
          <w:szCs w:val="16"/>
          <w:color w:val="auto"/>
        </w:rPr>
        <w:t>The Company’s conclusion is not free from challenge and, in fact, would likely be challenged if the Company were to terminate the Marketing Agreement. If it were determined that, upon termination, the Company must pay any remaining deferred contribution amounts and related per annum charges, the resulting charge to earnings could have a material impact on the Company’s results of operations and financial position. At April 2, 2005, contribution payments and related per annum charges of approximately $45.9 million had been deferred under the Marketing Agreement. This amount is considered a contingent obligation and has not been reflected in the financial statements as of and for the period then ended. However, we continually assess conditions that may impact the nature and amount of the deferred contribution balance, including the likely term and our ability to terminate the Marketing Agreement, and will reflect any necessary adjustments in our financial statements as facts and circumstances warrant.</w:t>
      </w:r>
    </w:p>
    <w:p>
      <w:pPr>
        <w:spacing w:after="0" w:line="167" w:lineRule="exact"/>
        <w:rPr>
          <w:sz w:val="20"/>
          <w:szCs w:val="20"/>
          <w:color w:val="auto"/>
        </w:rPr>
      </w:pPr>
    </w:p>
    <w:p>
      <w:pPr>
        <w:ind w:left="240" w:right="200"/>
        <w:spacing w:after="0" w:line="277" w:lineRule="auto"/>
        <w:rPr>
          <w:sz w:val="20"/>
          <w:szCs w:val="20"/>
          <w:color w:val="auto"/>
        </w:rPr>
      </w:pPr>
      <w:r>
        <w:rPr>
          <w:rFonts w:ascii="Arial" w:cs="Arial" w:eastAsia="Arial" w:hAnsi="Arial"/>
          <w:sz w:val="18"/>
          <w:szCs w:val="18"/>
          <w:color w:val="auto"/>
        </w:rPr>
        <w:t>Monsanto has disclosed that it is accruing the $20 million fixed contribution fee per year beginning in the fourth quarter of Monsanto’s fiscal year 1998, plus interest on the deferred portion.</w:t>
      </w:r>
    </w:p>
    <w:p>
      <w:pPr>
        <w:spacing w:after="0" w:line="170" w:lineRule="exact"/>
        <w:rPr>
          <w:sz w:val="20"/>
          <w:szCs w:val="20"/>
          <w:color w:val="auto"/>
        </w:rPr>
      </w:pPr>
    </w:p>
    <w:p>
      <w:pPr>
        <w:ind w:left="240" w:right="60"/>
        <w:spacing w:after="0" w:line="286" w:lineRule="auto"/>
        <w:rPr>
          <w:sz w:val="20"/>
          <w:szCs w:val="20"/>
          <w:color w:val="auto"/>
        </w:rPr>
      </w:pPr>
      <w:r>
        <w:rPr>
          <w:rFonts w:ascii="Arial" w:cs="Arial" w:eastAsia="Arial" w:hAnsi="Arial"/>
          <w:sz w:val="16"/>
          <w:szCs w:val="16"/>
          <w:color w:val="auto"/>
        </w:rPr>
        <w:t>The Marketing Agreement has no definite term except as it relates to the European Union countries. With respect to the European Union countries, the term of the Marketing Agreement has been extended through September 30, 2008 and may be renewed at the option of both parties for two additional successive terms ending on September 30, 2015 and 2018, with a separate determination being made by the parties at least six months prior to the expiration of each such term as to whether to commence a subsequent renewal term. If Monsanto does not agree to the renewal term as with respect to the European Union countries, the commission structure will be recalculated in a manner likely to be favorable to the Company. For countries outside of the European Union, the Marketing Agreement continues indefinitely unless terminated by either party. The Marketing Agreement provides Monsanto with the right to terminate the Marketing Agreement for an event of default (as defined in the Marketing Agreement) by the Company or a change in control of Monsanto or the sale of the consumer Roundup® business. The Marketing Agreement provides the Company with the right to terminate the Marketing Agreement in certain circumstances including an event of default by Monsanto or the sale of the consumer Roundup® business. Unless Monsanto terminates the Marketing Agreement for an event of default by the Company, Monsanto is required to pay a termination fee to the Company that varies by program year. If Monsanto terminates the Marketing Agreement upon a change of control of Monsanto or the sale of the consumer Roundup® business prior to September 30, 2008, we will be entitled to a termination fee in excess of $100 million. If we terminate the Marketing Agreement upon an uncured material breach , material fraud or material willful misconduct by Monsanto, we will be entitled to receive a termination fee in excess of $100 million if the termination occurs prior to September 30, 2008. The termination fee declines over time from $100 million to a minimum of $16 million for terminations between September 30, 2008 and September 30, 2018.</w:t>
      </w:r>
    </w:p>
    <w:p>
      <w:pPr>
        <w:spacing w:after="0" w:line="169" w:lineRule="exact"/>
        <w:rPr>
          <w:sz w:val="20"/>
          <w:szCs w:val="20"/>
          <w:color w:val="auto"/>
        </w:rPr>
      </w:pPr>
    </w:p>
    <w:p>
      <w:pPr>
        <w:ind w:left="240" w:right="80"/>
        <w:spacing w:after="0" w:line="312" w:lineRule="auto"/>
        <w:rPr>
          <w:sz w:val="20"/>
          <w:szCs w:val="20"/>
          <w:color w:val="auto"/>
        </w:rPr>
      </w:pPr>
      <w:r>
        <w:rPr>
          <w:rFonts w:ascii="Arial" w:cs="Arial" w:eastAsia="Arial" w:hAnsi="Arial"/>
          <w:sz w:val="16"/>
          <w:szCs w:val="16"/>
          <w:color w:val="auto"/>
        </w:rPr>
        <w:t>In consideration for the rights granted to the Company under the Marketing Agreement for North America, the Company was required to pay a marketing fee of $33 million to Monsanto. The Company has deferred this amount on the basis that the payment will provide a future benefit through commissions that will be earned under the Marketing Agreement and is amortizing the balance over ten years, which is the estimated likely term of the agreement.</w:t>
      </w:r>
    </w:p>
    <w:p>
      <w:pPr>
        <w:spacing w:after="0" w:line="147" w:lineRule="exact"/>
        <w:rPr>
          <w:sz w:val="20"/>
          <w:szCs w:val="20"/>
          <w:color w:val="auto"/>
        </w:rPr>
      </w:pPr>
    </w:p>
    <w:p>
      <w:pPr>
        <w:ind w:left="240" w:right="7700" w:hanging="232"/>
        <w:spacing w:after="0" w:line="501" w:lineRule="auto"/>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RESTRUCTURING AND OTHER CHARGES FISCAL 2005 CHARGES</w:t>
      </w:r>
    </w:p>
    <w:p>
      <w:pPr>
        <w:ind w:left="240" w:right="140"/>
        <w:spacing w:after="0" w:line="264" w:lineRule="auto"/>
        <w:rPr>
          <w:rFonts w:ascii="Arial" w:cs="Arial" w:eastAsia="Arial" w:hAnsi="Arial"/>
          <w:sz w:val="18"/>
          <w:szCs w:val="18"/>
          <w:color w:val="auto"/>
        </w:rPr>
      </w:pPr>
      <w:r>
        <w:rPr>
          <w:rFonts w:ascii="Arial" w:cs="Arial" w:eastAsia="Arial" w:hAnsi="Arial"/>
          <w:sz w:val="18"/>
          <w:szCs w:val="18"/>
          <w:color w:val="auto"/>
        </w:rPr>
        <w:t>During the three and six month periods ended April 2, 2005, the Company recorded $1.0 million and $1.2 million of restructuring and other charges, respectively. These charges, primarily for Smith &amp; Hawken® integration related severance, were included in selling, general and administrative costs for the three and six months ended April 2, 2005.</w:t>
      </w:r>
    </w:p>
    <w:p>
      <w:pPr>
        <w:spacing w:after="0" w:line="18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FISCAL 2004 CHARGES</w:t>
      </w:r>
    </w:p>
    <w:p>
      <w:pPr>
        <w:spacing w:after="0" w:line="225" w:lineRule="exact"/>
        <w:rPr>
          <w:rFonts w:ascii="Arial" w:cs="Arial" w:eastAsia="Arial" w:hAnsi="Arial"/>
          <w:sz w:val="18"/>
          <w:szCs w:val="18"/>
          <w:color w:val="auto"/>
        </w:rPr>
      </w:pPr>
    </w:p>
    <w:p>
      <w:pPr>
        <w:ind w:left="240" w:right="80"/>
        <w:spacing w:after="0" w:line="264" w:lineRule="auto"/>
        <w:rPr>
          <w:rFonts w:ascii="Arial" w:cs="Arial" w:eastAsia="Arial" w:hAnsi="Arial"/>
          <w:sz w:val="18"/>
          <w:szCs w:val="18"/>
          <w:color w:val="auto"/>
        </w:rPr>
      </w:pPr>
      <w:r>
        <w:rPr>
          <w:rFonts w:ascii="Arial" w:cs="Arial" w:eastAsia="Arial" w:hAnsi="Arial"/>
          <w:sz w:val="18"/>
          <w:szCs w:val="18"/>
          <w:color w:val="auto"/>
        </w:rPr>
        <w:t>During the three and six month periods ended March 27, 2004, the Company recorded $0.4 million and $1.4 million of restructuring and other charges, respectively. These charges, related to our North American distribution restructuring and our International Profit Improvement Plan, were included in cost of sales and selling, general and administrative costs each in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amounts of $0.2 million and $0.7 million, for the three and six months ended March 27, 2004, respectively.</w:t>
      </w:r>
    </w:p>
    <w:p>
      <w:pPr>
        <w:spacing w:after="0" w:line="225" w:lineRule="exact"/>
        <w:rPr>
          <w:sz w:val="20"/>
          <w:szCs w:val="20"/>
          <w:color w:val="auto"/>
        </w:rPr>
      </w:pPr>
    </w:p>
    <w:p>
      <w:pPr>
        <w:ind w:left="140" w:right="560"/>
        <w:spacing w:after="0" w:line="277" w:lineRule="auto"/>
        <w:rPr>
          <w:sz w:val="20"/>
          <w:szCs w:val="20"/>
          <w:color w:val="auto"/>
        </w:rPr>
      </w:pPr>
      <w:r>
        <w:rPr>
          <w:rFonts w:ascii="Arial" w:cs="Arial" w:eastAsia="Arial" w:hAnsi="Arial"/>
          <w:sz w:val="18"/>
          <w:szCs w:val="18"/>
          <w:color w:val="auto"/>
        </w:rPr>
        <w:t>The following is a rollforward from September 30, 2004 of the amounts accrued for restructuring and other charges, that will be settled for cash. The accrued charges are included in accrued liabilities on the Condensed, Consolidated Balance Sheets.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4"/>
                <w:szCs w:val="14"/>
                <w:color w:val="auto"/>
              </w:rPr>
            </w:pPr>
          </w:p>
        </w:tc>
        <w:tc>
          <w:tcPr>
            <w:tcW w:w="6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TYPE</w:t>
            </w:r>
          </w:p>
        </w:tc>
        <w:tc>
          <w:tcPr>
            <w:tcW w:w="17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CLASSIFICATION</w:t>
            </w:r>
          </w:p>
        </w:tc>
        <w:tc>
          <w:tcPr>
            <w:tcW w:w="1660" w:type="dxa"/>
            <w:vAlign w:val="bottom"/>
            <w:gridSpan w:val="4"/>
          </w:tcPr>
          <w:p>
            <w:pPr>
              <w:ind w:left="200"/>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CASH PAYMENT</w:t>
            </w:r>
          </w:p>
        </w:tc>
        <w:tc>
          <w:tcPr>
            <w:tcW w:w="160" w:type="dxa"/>
            <w:vAlign w:val="bottom"/>
          </w:tcPr>
          <w:p>
            <w:pPr>
              <w:spacing w:after="0"/>
              <w:rPr>
                <w:sz w:val="14"/>
                <w:szCs w:val="14"/>
                <w:color w:val="auto"/>
              </w:rPr>
            </w:pPr>
          </w:p>
        </w:tc>
        <w:tc>
          <w:tcPr>
            <w:tcW w:w="114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ACCRUAL</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71"/>
        </w:trPr>
        <w:tc>
          <w:tcPr>
            <w:tcW w:w="3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gridSpan w:val="4"/>
          </w:tcPr>
          <w:p>
            <w:pPr>
              <w:jc w:val="right"/>
              <w:ind w:right="148"/>
              <w:spacing w:after="0" w:line="142" w:lineRule="exact"/>
              <w:rPr>
                <w:sz w:val="20"/>
                <w:szCs w:val="20"/>
                <w:color w:val="auto"/>
              </w:rPr>
            </w:pPr>
            <w:r>
              <w:rPr>
                <w:rFonts w:ascii="Arial" w:cs="Arial" w:eastAsia="Arial" w:hAnsi="Arial"/>
                <w:sz w:val="14"/>
                <w:szCs w:val="14"/>
                <w:b w:val="1"/>
                <w:bCs w:val="1"/>
                <w:color w:val="auto"/>
              </w:rPr>
              <w:t>MILLIONS)</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Severance</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Cash</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SG&amp;A</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4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Arial" w:cs="Arial" w:eastAsia="Arial" w:hAnsi="Arial"/>
                <w:sz w:val="18"/>
                <w:szCs w:val="18"/>
                <w:color w:val="auto"/>
              </w:rPr>
              <w:t>Other related costs</w:t>
            </w:r>
          </w:p>
        </w:tc>
        <w:tc>
          <w:tcPr>
            <w:tcW w:w="280" w:type="dxa"/>
            <w:vAlign w:val="bottom"/>
          </w:tcPr>
          <w:p>
            <w:pPr>
              <w:spacing w:after="0"/>
              <w:rPr>
                <w:sz w:val="18"/>
                <w:szCs w:val="18"/>
                <w:color w:val="auto"/>
              </w:rPr>
            </w:pPr>
          </w:p>
        </w:tc>
        <w:tc>
          <w:tcPr>
            <w:tcW w:w="600" w:type="dxa"/>
            <w:vAlign w:val="bottom"/>
          </w:tcPr>
          <w:p>
            <w:pPr>
              <w:ind w:left="160"/>
              <w:spacing w:after="0"/>
              <w:rPr>
                <w:sz w:val="20"/>
                <w:szCs w:val="20"/>
                <w:color w:val="auto"/>
              </w:rPr>
            </w:pPr>
            <w:r>
              <w:rPr>
                <w:rFonts w:ascii="Arial" w:cs="Arial" w:eastAsia="Arial" w:hAnsi="Arial"/>
                <w:sz w:val="18"/>
                <w:szCs w:val="18"/>
                <w:color w:val="auto"/>
                <w:w w:val="99"/>
              </w:rPr>
              <w:t>Cash</w:t>
            </w:r>
          </w:p>
        </w:tc>
        <w:tc>
          <w:tcPr>
            <w:tcW w:w="380" w:type="dxa"/>
            <w:vAlign w:val="bottom"/>
          </w:tcPr>
          <w:p>
            <w:pPr>
              <w:spacing w:after="0"/>
              <w:rPr>
                <w:sz w:val="18"/>
                <w:szCs w:val="18"/>
                <w:color w:val="auto"/>
              </w:rPr>
            </w:pPr>
          </w:p>
        </w:tc>
        <w:tc>
          <w:tcPr>
            <w:tcW w:w="1400" w:type="dxa"/>
            <w:vAlign w:val="bottom"/>
            <w:gridSpan w:val="2"/>
          </w:tcPr>
          <w:p>
            <w:pPr>
              <w:ind w:left="400"/>
              <w:spacing w:after="0"/>
              <w:rPr>
                <w:sz w:val="20"/>
                <w:szCs w:val="20"/>
                <w:color w:val="auto"/>
              </w:rPr>
            </w:pPr>
            <w:r>
              <w:rPr>
                <w:rFonts w:ascii="Arial" w:cs="Arial" w:eastAsia="Arial" w:hAnsi="Arial"/>
                <w:sz w:val="18"/>
                <w:szCs w:val="18"/>
                <w:color w:val="auto"/>
              </w:rPr>
              <w:t>SG&amp;A</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0.6</w:t>
            </w:r>
          </w:p>
        </w:tc>
        <w:tc>
          <w:tcPr>
            <w:tcW w:w="8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cash</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4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225"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Long-term debt consists of the following (in millions):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APRIL 2,</w:t>
            </w:r>
          </w:p>
        </w:tc>
        <w:tc>
          <w:tcPr>
            <w:tcW w:w="1420" w:type="dxa"/>
            <w:vAlign w:val="bottom"/>
            <w:gridSpan w:val="4"/>
          </w:tcPr>
          <w:p>
            <w:pPr>
              <w:ind w:left="220"/>
              <w:spacing w:after="0"/>
              <w:rPr>
                <w:sz w:val="20"/>
                <w:szCs w:val="20"/>
                <w:color w:val="auto"/>
              </w:rPr>
            </w:pPr>
            <w:r>
              <w:rPr>
                <w:rFonts w:ascii="Arial" w:cs="Arial" w:eastAsia="Arial" w:hAnsi="Arial"/>
                <w:sz w:val="14"/>
                <w:szCs w:val="14"/>
                <w:b w:val="1"/>
                <w:bCs w:val="1"/>
                <w:color w:val="auto"/>
              </w:rPr>
              <w:t>MARCH 27,</w:t>
            </w: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2004</w:t>
            </w:r>
          </w:p>
        </w:tc>
        <w:tc>
          <w:tcPr>
            <w:tcW w:w="440" w:type="dxa"/>
            <w:vAlign w:val="bottom"/>
          </w:tcPr>
          <w:p>
            <w:pPr>
              <w:spacing w:after="0"/>
              <w:rPr>
                <w:sz w:val="20"/>
                <w:szCs w:val="20"/>
                <w:color w:val="auto"/>
              </w:rPr>
            </w:pPr>
          </w:p>
        </w:tc>
        <w:tc>
          <w:tcPr>
            <w:tcW w:w="11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Credit Agreement: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20"/>
              <w:spacing w:after="0"/>
              <w:rPr>
                <w:sz w:val="20"/>
                <w:szCs w:val="20"/>
                <w:color w:val="auto"/>
              </w:rPr>
            </w:pPr>
            <w:r>
              <w:rPr>
                <w:rFonts w:ascii="Arial" w:cs="Arial" w:eastAsia="Arial" w:hAnsi="Arial"/>
                <w:sz w:val="18"/>
                <w:szCs w:val="18"/>
                <w:color w:val="auto"/>
              </w:rPr>
              <w:t>Revolving loans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362.8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323.2</w:t>
            </w:r>
          </w:p>
        </w:tc>
        <w:tc>
          <w:tcPr>
            <w:tcW w:w="44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 loans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Senior Subordinated Notes: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 5/8% Notes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Notes due to sellers</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18.4</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bank borrowings and term loans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1,067.6</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Less current portions</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27.7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967.8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1,039.9</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608.5</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220"/>
              <w:spacing w:after="0"/>
              <w:rPr>
                <w:sz w:val="20"/>
                <w:szCs w:val="20"/>
                <w:color w:val="auto"/>
              </w:rPr>
            </w:pPr>
            <w:r>
              <w:rPr>
                <w:rFonts w:ascii="Arial" w:cs="Arial" w:eastAsia="Arial" w:hAnsi="Arial"/>
                <w:sz w:val="18"/>
                <w:szCs w:val="18"/>
                <w:color w:val="auto"/>
              </w:rPr>
              <w:t>Future principal payments on our short and long-term debt are as follows (in millions):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than one year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One to three years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Four to five years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420.3</w:t>
            </w:r>
          </w:p>
        </w:tc>
        <w:tc>
          <w:tcPr>
            <w:tcW w:w="0" w:type="dxa"/>
            <w:vAlign w:val="bottom"/>
          </w:tcPr>
          <w:p>
            <w:pPr>
              <w:spacing w:after="0"/>
              <w:rPr>
                <w:sz w:val="1"/>
                <w:szCs w:val="1"/>
                <w:color w:val="auto"/>
              </w:rPr>
            </w:pPr>
          </w:p>
        </w:tc>
      </w:tr>
      <w:tr>
        <w:trPr>
          <w:trHeight w:val="223"/>
        </w:trPr>
        <w:tc>
          <w:tcPr>
            <w:tcW w:w="7900" w:type="dxa"/>
            <w:vAlign w:val="bottom"/>
          </w:tcPr>
          <w:p>
            <w:pPr>
              <w:ind w:left="220"/>
              <w:spacing w:after="0"/>
              <w:rPr>
                <w:sz w:val="20"/>
                <w:szCs w:val="20"/>
                <w:color w:val="auto"/>
              </w:rPr>
            </w:pPr>
            <w:r>
              <w:rPr>
                <w:rFonts w:ascii="Arial" w:cs="Arial" w:eastAsia="Arial" w:hAnsi="Arial"/>
                <w:sz w:val="18"/>
                <w:szCs w:val="18"/>
                <w:color w:val="auto"/>
              </w:rPr>
              <w:t>After five years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40" w:right="180"/>
        <w:spacing w:after="0" w:line="264" w:lineRule="auto"/>
        <w:rPr>
          <w:sz w:val="20"/>
          <w:szCs w:val="20"/>
          <w:color w:val="auto"/>
        </w:rPr>
      </w:pPr>
      <w:r>
        <w:rPr>
          <w:rFonts w:ascii="Arial" w:cs="Arial" w:eastAsia="Arial" w:hAnsi="Arial"/>
          <w:sz w:val="18"/>
          <w:szCs w:val="18"/>
          <w:color w:val="auto"/>
        </w:rPr>
        <w:t>In October 2003, the Company refinanced substantially all of its then outstanding debt in a series of transactions. As a result of this early extinguishment of debt, the Company recognized refinancing related costs of $44.3 million in the first quarter of fiscal 2004, including $19.4 million for the write-off of deferred costs, $24.0 million of early redemption premiums and $0.9 million in transaction fees.</w:t>
      </w:r>
    </w:p>
    <w:p>
      <w:pPr>
        <w:spacing w:after="0" w:line="181"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COMPREHENSIVE INCOME</w:t>
      </w:r>
    </w:p>
    <w:p>
      <w:pPr>
        <w:spacing w:after="0" w:line="225" w:lineRule="exact"/>
        <w:rPr>
          <w:rFonts w:ascii="Arial" w:cs="Arial" w:eastAsia="Arial" w:hAnsi="Arial"/>
          <w:sz w:val="18"/>
          <w:szCs w:val="18"/>
          <w:color w:val="auto"/>
        </w:rPr>
      </w:pPr>
    </w:p>
    <w:p>
      <w:pPr>
        <w:ind w:left="240" w:right="160"/>
        <w:spacing w:after="0" w:line="277" w:lineRule="auto"/>
        <w:rPr>
          <w:rFonts w:ascii="Arial" w:cs="Arial" w:eastAsia="Arial" w:hAnsi="Arial"/>
          <w:sz w:val="18"/>
          <w:szCs w:val="18"/>
          <w:color w:val="auto"/>
        </w:rPr>
      </w:pPr>
      <w:r>
        <w:rPr>
          <w:rFonts w:ascii="Arial" w:cs="Arial" w:eastAsia="Arial" w:hAnsi="Arial"/>
          <w:sz w:val="18"/>
          <w:szCs w:val="18"/>
          <w:color w:val="auto"/>
        </w:rPr>
        <w:t>The components of other comprehensive income and total comprehensive income for the three and six month periods ended April 2, 2005 and March 27, 2004, are as follows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23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8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7080" w:type="dxa"/>
            <w:vAlign w:val="bottom"/>
          </w:tcPr>
          <w:p>
            <w:pPr>
              <w:spacing w:after="0"/>
              <w:rPr>
                <w:sz w:val="10"/>
                <w:szCs w:val="10"/>
                <w:color w:val="auto"/>
              </w:rPr>
            </w:pPr>
          </w:p>
        </w:tc>
        <w:tc>
          <w:tcPr>
            <w:tcW w:w="1120" w:type="dxa"/>
            <w:vAlign w:val="bottom"/>
            <w:tcBorders>
              <w:top w:val="single" w:sz="8" w:color="auto"/>
            </w:tcBorders>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rPr>
              <w:t>APRIL 2,</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27,</w:t>
            </w:r>
          </w:p>
        </w:tc>
        <w:tc>
          <w:tcPr>
            <w:tcW w:w="440" w:type="dxa"/>
            <w:vAlign w:val="bottom"/>
          </w:tcPr>
          <w:p>
            <w:pPr>
              <w:spacing w:after="0"/>
              <w:rPr>
                <w:sz w:val="10"/>
                <w:szCs w:val="10"/>
                <w:color w:val="auto"/>
              </w:rPr>
            </w:pPr>
          </w:p>
        </w:tc>
        <w:tc>
          <w:tcPr>
            <w:tcW w:w="1120" w:type="dxa"/>
            <w:vAlign w:val="bottom"/>
            <w:tcBorders>
              <w:top w:val="single" w:sz="8" w:color="auto"/>
            </w:tcBorders>
            <w:gridSpan w:val="3"/>
          </w:tcPr>
          <w:p>
            <w:pPr>
              <w:ind w:left="40"/>
              <w:spacing w:after="0" w:line="119" w:lineRule="exact"/>
              <w:rPr>
                <w:sz w:val="20"/>
                <w:szCs w:val="20"/>
                <w:color w:val="auto"/>
              </w:rPr>
            </w:pPr>
            <w:r>
              <w:rPr>
                <w:rFonts w:ascii="Arial" w:cs="Arial" w:eastAsia="Arial" w:hAnsi="Arial"/>
                <w:sz w:val="13"/>
                <w:szCs w:val="13"/>
                <w:b w:val="1"/>
                <w:bCs w:val="1"/>
                <w:color w:val="auto"/>
              </w:rPr>
              <w:t>APRIL 2,</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27,</w:t>
            </w:r>
          </w:p>
        </w:tc>
        <w:tc>
          <w:tcPr>
            <w:tcW w:w="100" w:type="dxa"/>
            <w:vAlign w:val="bottom"/>
          </w:tcPr>
          <w:p>
            <w:pPr>
              <w:spacing w:after="0"/>
              <w:rPr>
                <w:sz w:val="10"/>
                <w:szCs w:val="10"/>
                <w:color w:val="auto"/>
              </w:rPr>
            </w:pPr>
          </w:p>
        </w:tc>
      </w:tr>
      <w:tr>
        <w:trPr>
          <w:trHeight w:val="171"/>
        </w:trPr>
        <w:tc>
          <w:tcPr>
            <w:tcW w:w="7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r>
      <w:tr>
        <w:trPr>
          <w:trHeight w:val="210"/>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Other comprehensive income (expense):</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valuation of derivative instruments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7"/>
        </w:trPr>
        <w:tc>
          <w:tcPr>
            <w:tcW w:w="7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w:t>
            </w:r>
            <w:r>
              <w:rPr>
                <w:rFonts w:ascii="Arial" w:cs="Arial" w:eastAsia="Arial" w:hAnsi="Arial"/>
                <w:sz w:val="18"/>
                <w:szCs w:val="18"/>
                <w:u w:val="single" w:color="auto"/>
                <w:color w:val="auto"/>
              </w:rPr>
              <w:t>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0"/>
        </w:trPr>
        <w:tc>
          <w:tcPr>
            <w:tcW w:w="7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RETIREMENT AND RETIREE MEDICAL PLANS COST INFORMATION</w:t>
      </w:r>
    </w:p>
    <w:p>
      <w:pPr>
        <w:spacing w:after="0" w:line="225"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The following summarizes the net periodic benefit cost for the various plans sponsored by the Company (in millions):</w:t>
      </w:r>
    </w:p>
    <w:p>
      <w:pPr>
        <w:sectPr>
          <w:pgSz w:w="11900" w:h="16838" w:orient="portrait"/>
          <w:cols w:equalWidth="0" w:num="1">
            <w:col w:w="11420"/>
          </w:cols>
          <w:pgMar w:left="240" w:top="419"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23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86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7080" w:type="dxa"/>
            <w:vAlign w:val="bottom"/>
          </w:tcPr>
          <w:p>
            <w:pPr>
              <w:spacing w:after="0"/>
              <w:rPr>
                <w:sz w:val="10"/>
                <w:szCs w:val="10"/>
                <w:color w:val="auto"/>
              </w:rPr>
            </w:pPr>
          </w:p>
        </w:tc>
        <w:tc>
          <w:tcPr>
            <w:tcW w:w="1120" w:type="dxa"/>
            <w:vAlign w:val="bottom"/>
            <w:tcBorders>
              <w:top w:val="single" w:sz="8" w:color="auto"/>
            </w:tcBorders>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rPr>
              <w:t>APRIL 2,</w:t>
            </w:r>
          </w:p>
        </w:tc>
        <w:tc>
          <w:tcPr>
            <w:tcW w:w="7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27,</w:t>
            </w:r>
          </w:p>
        </w:tc>
        <w:tc>
          <w:tcPr>
            <w:tcW w:w="440" w:type="dxa"/>
            <w:vAlign w:val="bottom"/>
          </w:tcPr>
          <w:p>
            <w:pPr>
              <w:spacing w:after="0"/>
              <w:rPr>
                <w:sz w:val="10"/>
                <w:szCs w:val="10"/>
                <w:color w:val="auto"/>
              </w:rPr>
            </w:pPr>
          </w:p>
        </w:tc>
        <w:tc>
          <w:tcPr>
            <w:tcW w:w="1120" w:type="dxa"/>
            <w:vAlign w:val="bottom"/>
            <w:tcBorders>
              <w:top w:val="single" w:sz="8" w:color="auto"/>
            </w:tcBorders>
            <w:gridSpan w:val="3"/>
          </w:tcPr>
          <w:p>
            <w:pPr>
              <w:ind w:left="40"/>
              <w:spacing w:after="0" w:line="119" w:lineRule="exact"/>
              <w:rPr>
                <w:sz w:val="20"/>
                <w:szCs w:val="20"/>
                <w:color w:val="auto"/>
              </w:rPr>
            </w:pPr>
            <w:r>
              <w:rPr>
                <w:rFonts w:ascii="Arial" w:cs="Arial" w:eastAsia="Arial" w:hAnsi="Arial"/>
                <w:sz w:val="13"/>
                <w:szCs w:val="13"/>
                <w:b w:val="1"/>
                <w:bCs w:val="1"/>
                <w:color w:val="auto"/>
              </w:rPr>
              <w:t>APRIL 2,</w:t>
            </w:r>
          </w:p>
        </w:tc>
        <w:tc>
          <w:tcPr>
            <w:tcW w:w="7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27,</w:t>
            </w:r>
          </w:p>
        </w:tc>
        <w:tc>
          <w:tcPr>
            <w:tcW w:w="100" w:type="dxa"/>
            <w:vAlign w:val="bottom"/>
          </w:tcPr>
          <w:p>
            <w:pPr>
              <w:spacing w:after="0"/>
              <w:rPr>
                <w:sz w:val="10"/>
                <w:szCs w:val="10"/>
                <w:color w:val="auto"/>
              </w:rPr>
            </w:pPr>
          </w:p>
        </w:tc>
      </w:tr>
      <w:tr>
        <w:trPr>
          <w:trHeight w:val="171"/>
        </w:trPr>
        <w:tc>
          <w:tcPr>
            <w:tcW w:w="7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r>
      <w:tr>
        <w:trPr>
          <w:trHeight w:val="210"/>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Curtailed defined benefit plan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International benefit plans</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Retiree medical plan</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bl>
    <w:p>
      <w:pPr>
        <w:spacing w:after="0" w:line="202"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225" w:lineRule="exact"/>
        <w:rPr>
          <w:rFonts w:ascii="Arial" w:cs="Arial" w:eastAsia="Arial" w:hAnsi="Arial"/>
          <w:sz w:val="18"/>
          <w:szCs w:val="18"/>
          <w:color w:val="auto"/>
        </w:rPr>
      </w:pPr>
    </w:p>
    <w:p>
      <w:pPr>
        <w:ind w:left="240" w:right="140"/>
        <w:spacing w:after="0" w:line="255" w:lineRule="auto"/>
        <w:rPr>
          <w:rFonts w:ascii="Arial" w:cs="Arial" w:eastAsia="Arial" w:hAnsi="Arial"/>
          <w:sz w:val="18"/>
          <w:szCs w:val="18"/>
          <w:color w:val="auto"/>
        </w:rPr>
      </w:pPr>
      <w:r>
        <w:rPr>
          <w:rFonts w:ascii="Arial" w:cs="Arial" w:eastAsia="Arial" w:hAnsi="Arial"/>
          <w:sz w:val="18"/>
          <w:szCs w:val="18"/>
          <w:color w:val="auto"/>
        </w:rPr>
        <w:t>Management continually evaluates the Company’s contingencies, including various lawsuits and claims which arise in the normal course of business, environmental matters, product and general liabilities, worker’s compensation, property losses and other fiduciary liabilities for which the Company is self-insured or retains a high exposure limit. Insurance reserves are established within an actuarially determined range.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93"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225" w:lineRule="exact"/>
        <w:rPr>
          <w:rFonts w:ascii="Arial" w:cs="Arial" w:eastAsia="Arial" w:hAnsi="Arial"/>
          <w:sz w:val="18"/>
          <w:szCs w:val="18"/>
          <w:color w:val="auto"/>
        </w:rPr>
      </w:pPr>
    </w:p>
    <w:p>
      <w:pPr>
        <w:ind w:left="240" w:right="20"/>
        <w:spacing w:after="0" w:line="273" w:lineRule="auto"/>
        <w:rPr>
          <w:rFonts w:ascii="Arial" w:cs="Arial" w:eastAsia="Arial" w:hAnsi="Arial"/>
          <w:sz w:val="18"/>
          <w:szCs w:val="18"/>
          <w:color w:val="auto"/>
        </w:rPr>
      </w:pPr>
      <w:r>
        <w:rPr>
          <w:rFonts w:ascii="Arial" w:cs="Arial" w:eastAsia="Arial" w:hAnsi="Arial"/>
          <w:sz w:val="17"/>
          <w:szCs w:val="17"/>
          <w:color w:val="auto"/>
        </w:rPr>
        <w:t>In June 1997, the Ohio EPA initiated an enforcement action against us with respect to alleged surface water violations and inadequate treatment capabilities at our Marysville, Ohio facility and seeking corrective action under the federal Resource Conservation and Recovery Act. The action related to discharges from on-site waste water treatment and several discontinued on-site disposal areas. The waste water discharges were re-directed to the City of Marysville system in 1998. The on-site disposal areas date back to the early operations of the Marysville facility and are areas that we had already been assessing and, in some cases, restoring, on a voluntary basis. On December 3, 2001, an agreed judicial Consent Order was submitted to the Union County Common Pleas Court and was entered by the court on January 25, 2002.</w:t>
      </w:r>
    </w:p>
    <w:p>
      <w:pPr>
        <w:spacing w:after="0" w:line="178" w:lineRule="exact"/>
        <w:rPr>
          <w:rFonts w:ascii="Arial" w:cs="Arial" w:eastAsia="Arial" w:hAnsi="Arial"/>
          <w:sz w:val="18"/>
          <w:szCs w:val="18"/>
          <w:color w:val="auto"/>
        </w:rPr>
      </w:pPr>
    </w:p>
    <w:p>
      <w:pPr>
        <w:ind w:left="240" w:right="200"/>
        <w:spacing w:after="0" w:line="259" w:lineRule="auto"/>
        <w:rPr>
          <w:rFonts w:ascii="Arial" w:cs="Arial" w:eastAsia="Arial" w:hAnsi="Arial"/>
          <w:sz w:val="18"/>
          <w:szCs w:val="18"/>
          <w:color w:val="auto"/>
        </w:rPr>
      </w:pPr>
      <w:r>
        <w:rPr>
          <w:rFonts w:ascii="Arial" w:cs="Arial" w:eastAsia="Arial" w:hAnsi="Arial"/>
          <w:sz w:val="18"/>
          <w:szCs w:val="18"/>
          <w:color w:val="auto"/>
        </w:rPr>
        <w:t>Pursuant to the Consent Order, we paid a $275,000 fine and must satisfactorily restore the site such that we eliminate exposure to waste materials historically disposed of at the Marysville site. We completed an updated evaluation of our expected liability related to this matter based on the fine paid and restoration actions that we have taken and expect to take in the future. As a result, we accrued an additional $3.0 million in the third quarter of fiscal 2002 to increase our reserve based on the then latest estimates.</w:t>
      </w:r>
    </w:p>
    <w:p>
      <w:pPr>
        <w:spacing w:after="0" w:line="186" w:lineRule="exact"/>
        <w:rPr>
          <w:rFonts w:ascii="Arial" w:cs="Arial" w:eastAsia="Arial" w:hAnsi="Arial"/>
          <w:sz w:val="18"/>
          <w:szCs w:val="18"/>
          <w:color w:val="auto"/>
        </w:rPr>
      </w:pPr>
    </w:p>
    <w:p>
      <w:pPr>
        <w:ind w:left="240" w:right="60"/>
        <w:spacing w:after="0" w:line="264" w:lineRule="auto"/>
        <w:rPr>
          <w:rFonts w:ascii="Arial" w:cs="Arial" w:eastAsia="Arial" w:hAnsi="Arial"/>
          <w:sz w:val="18"/>
          <w:szCs w:val="18"/>
          <w:color w:val="auto"/>
        </w:rPr>
      </w:pPr>
      <w:r>
        <w:rPr>
          <w:rFonts w:ascii="Arial" w:cs="Arial" w:eastAsia="Arial" w:hAnsi="Arial"/>
          <w:sz w:val="18"/>
          <w:szCs w:val="18"/>
          <w:color w:val="auto"/>
        </w:rPr>
        <w:t>On October 18, 2004, an agreed judicial Consent Decree was entered by the court as a result of not obtaining a permit from the Philadelphia District of the U.S. Army Corps of Engineers for prior peat harvesting operations at our Lafayette, New Jersey facility. The Consent Decree requires minor mitigation efforts and annual monitoring through 2009 as well as payment of a $50,000 civil penalty.</w:t>
      </w:r>
    </w:p>
    <w:p>
      <w:pPr>
        <w:spacing w:after="0" w:line="181" w:lineRule="exact"/>
        <w:rPr>
          <w:rFonts w:ascii="Arial" w:cs="Arial" w:eastAsia="Arial" w:hAnsi="Arial"/>
          <w:sz w:val="18"/>
          <w:szCs w:val="18"/>
          <w:color w:val="auto"/>
        </w:rPr>
      </w:pPr>
    </w:p>
    <w:p>
      <w:pPr>
        <w:jc w:val="both"/>
        <w:ind w:left="240" w:right="120"/>
        <w:spacing w:after="0" w:line="342" w:lineRule="auto"/>
        <w:rPr>
          <w:rFonts w:ascii="Arial" w:cs="Arial" w:eastAsia="Arial" w:hAnsi="Arial"/>
          <w:sz w:val="18"/>
          <w:szCs w:val="18"/>
          <w:color w:val="auto"/>
        </w:rPr>
      </w:pPr>
      <w:r>
        <w:rPr>
          <w:rFonts w:ascii="Arial" w:cs="Arial" w:eastAsia="Arial" w:hAnsi="Arial"/>
          <w:sz w:val="16"/>
          <w:szCs w:val="16"/>
          <w:color w:val="auto"/>
        </w:rPr>
        <w:t>We are also addressing remediation concerns raised by the Environment Agency of the United Kingdom with respect to emissions to air and groundwater at our Bramford (Suffolk), United Kingdom facility. We have reserved for our estimates of probable losses to be incurred in connection with this facility.</w:t>
      </w:r>
    </w:p>
    <w:p>
      <w:pPr>
        <w:spacing w:after="0" w:line="123" w:lineRule="exact"/>
        <w:rPr>
          <w:rFonts w:ascii="Arial" w:cs="Arial" w:eastAsia="Arial" w:hAnsi="Arial"/>
          <w:sz w:val="18"/>
          <w:szCs w:val="18"/>
          <w:color w:val="auto"/>
        </w:rPr>
      </w:pPr>
    </w:p>
    <w:p>
      <w:pPr>
        <w:jc w:val="both"/>
        <w:ind w:left="240" w:right="60"/>
        <w:spacing w:after="0" w:line="259" w:lineRule="auto"/>
        <w:rPr>
          <w:rFonts w:ascii="Arial" w:cs="Arial" w:eastAsia="Arial" w:hAnsi="Arial"/>
          <w:sz w:val="18"/>
          <w:szCs w:val="18"/>
          <w:color w:val="auto"/>
        </w:rPr>
      </w:pPr>
      <w:r>
        <w:rPr>
          <w:rFonts w:ascii="Arial" w:cs="Arial" w:eastAsia="Arial" w:hAnsi="Arial"/>
          <w:sz w:val="18"/>
          <w:szCs w:val="18"/>
          <w:color w:val="auto"/>
        </w:rPr>
        <w:t>At April 2, 2005, $5.2 million was accrued for the environmental site remediation and regulatory matters described herein. Most of the costs accrued as of the end of the current fiscal quarter, are expected to be paid in fiscal 2005 and 2006; however, payments could be made for a period thereafter. During the first six months of fiscal 2005, we have expensed approximately $1.6 million related to environmental matters, compared with approximately $3.3 million in environmental expenditures for all of fiscal 2004.</w:t>
      </w:r>
    </w:p>
    <w:p>
      <w:pPr>
        <w:spacing w:after="0" w:line="186" w:lineRule="exact"/>
        <w:rPr>
          <w:rFonts w:ascii="Arial" w:cs="Arial" w:eastAsia="Arial" w:hAnsi="Arial"/>
          <w:sz w:val="18"/>
          <w:szCs w:val="18"/>
          <w:color w:val="auto"/>
        </w:rPr>
      </w:pPr>
    </w:p>
    <w:p>
      <w:pPr>
        <w:ind w:left="240" w:right="100"/>
        <w:spacing w:after="0" w:line="308" w:lineRule="auto"/>
        <w:rPr>
          <w:rFonts w:ascii="Arial" w:cs="Arial" w:eastAsia="Arial" w:hAnsi="Arial"/>
          <w:sz w:val="18"/>
          <w:szCs w:val="18"/>
          <w:color w:val="auto"/>
        </w:rPr>
      </w:pPr>
      <w:r>
        <w:rPr>
          <w:rFonts w:ascii="Arial" w:cs="Arial" w:eastAsia="Arial" w:hAnsi="Arial"/>
          <w:sz w:val="17"/>
          <w:szCs w:val="17"/>
          <w:color w:val="auto"/>
        </w:rPr>
        <w:t>We believe that the amounts accrued as of the end of the current fiscal quarter are adequate to cover our known environmental exposures based on current facts and estimates of likely outcomes. However, the adequacy of these accruals is based on several significant assumptions:</w:t>
      </w:r>
    </w:p>
    <w:p>
      <w:pPr>
        <w:spacing w:after="0" w:line="146" w:lineRule="exact"/>
        <w:rPr>
          <w:rFonts w:ascii="Arial" w:cs="Arial" w:eastAsia="Arial" w:hAnsi="Arial"/>
          <w:sz w:val="18"/>
          <w:szCs w:val="18"/>
          <w:color w:val="auto"/>
        </w:rPr>
      </w:pPr>
    </w:p>
    <w:p>
      <w:pPr>
        <w:ind w:left="380" w:hanging="156"/>
        <w:spacing w:after="0"/>
        <w:tabs>
          <w:tab w:leader="none" w:pos="3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that we have identified all of the significant sites that must be restored;</w:t>
      </w:r>
    </w:p>
    <w:p>
      <w:pPr>
        <w:spacing w:after="0" w:line="225" w:lineRule="exact"/>
        <w:rPr>
          <w:rFonts w:ascii="Arial" w:cs="Arial" w:eastAsia="Arial" w:hAnsi="Arial"/>
          <w:sz w:val="18"/>
          <w:szCs w:val="18"/>
          <w:color w:val="auto"/>
        </w:rPr>
      </w:pPr>
    </w:p>
    <w:p>
      <w:pPr>
        <w:ind w:left="380" w:hanging="156"/>
        <w:spacing w:after="0"/>
        <w:tabs>
          <w:tab w:leader="none" w:pos="3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that there are no significant conditions of potential contamination that are unknown to us;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0" w:right="460" w:hanging="156"/>
        <w:spacing w:after="0" w:line="277"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with respect to the agreed judicial Consent Order in Ohio, that historical wastes can be left in place rather than having to be removed and only specific stream segments will require remediation/restoration as opposed to the entire stream.</w:t>
      </w:r>
    </w:p>
    <w:p>
      <w:pPr>
        <w:spacing w:after="0" w:line="170" w:lineRule="exact"/>
        <w:rPr>
          <w:sz w:val="20"/>
          <w:szCs w:val="20"/>
          <w:color w:val="auto"/>
        </w:rPr>
      </w:pPr>
    </w:p>
    <w:p>
      <w:pPr>
        <w:ind w:left="140" w:right="300"/>
        <w:spacing w:after="0" w:line="277" w:lineRule="auto"/>
        <w:rPr>
          <w:sz w:val="20"/>
          <w:szCs w:val="20"/>
          <w:color w:val="auto"/>
        </w:rPr>
      </w:pPr>
      <w:r>
        <w:rPr>
          <w:rFonts w:ascii="Arial" w:cs="Arial" w:eastAsia="Arial" w:hAnsi="Arial"/>
          <w:sz w:val="18"/>
          <w:szCs w:val="18"/>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LEGAL PROCEEDINGS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Pending material legal proceedings with material developments since the first quarter of fiscal 2005 are as follows: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AgrEvo Environmental Health, Inc.</w:t>
      </w:r>
    </w:p>
    <w:p>
      <w:pPr>
        <w:spacing w:after="0" w:line="225" w:lineRule="exact"/>
        <w:rPr>
          <w:sz w:val="20"/>
          <w:szCs w:val="20"/>
          <w:color w:val="auto"/>
        </w:rPr>
      </w:pPr>
    </w:p>
    <w:p>
      <w:pPr>
        <w:ind w:left="140"/>
        <w:spacing w:after="0" w:line="270" w:lineRule="auto"/>
        <w:rPr>
          <w:sz w:val="20"/>
          <w:szCs w:val="20"/>
          <w:color w:val="auto"/>
        </w:rPr>
      </w:pPr>
      <w:r>
        <w:rPr>
          <w:rFonts w:ascii="Arial" w:cs="Arial" w:eastAsia="Arial" w:hAnsi="Arial"/>
          <w:sz w:val="17"/>
          <w:szCs w:val="17"/>
          <w:color w:val="auto"/>
        </w:rPr>
        <w:t>On June 3, 1999, AgrEvo Environmental Health, Inc. (“AgrEvo”) (which subsequently changed its name to Aventis Environmental Health Science USA LP) filed a complaint in the U.S. District Court for the Southern District of New York (the “New York Action”), against The Scotts Company, a subsidiary of The Scotts Company and Monsanto seeking damages and injunctive relief for alleged antitrust violations and breach of contract by The Scotts Company and its subsidiary and antitrust violations and tortious interference with contract by Monsanto. The Scotts Company purchased a consumer herbicide business from AgrEvo in May 1998. AgrEvo claims in the suit that The Scotts Company’s subsequent agreement to become Monsanto’s exclusive sales and marketing agent for Monsanto’s consumer Roundupâ business violated the federal antitrust laws. AgrEvo contends that Monsanto attempted to or did monopolize the market for non-selective herbicides and conspired with The Scotts Company to eliminate the herbicide The Scotts Company previously purchased from AgrEvo, which competes with Monsanto’s Roundupâ. AgrEvo also contends that The Scotts Company’s execution of various agreements with Monsanto, including the Roundupâ Marketing Agreement, as well as The Scotts Company’s subsequent actions, violated agreements between AgrEvo and The Scotts Company.</w:t>
      </w:r>
    </w:p>
    <w:p>
      <w:pPr>
        <w:spacing w:after="0" w:line="178" w:lineRule="exact"/>
        <w:rPr>
          <w:sz w:val="20"/>
          <w:szCs w:val="20"/>
          <w:color w:val="auto"/>
        </w:rPr>
      </w:pPr>
    </w:p>
    <w:p>
      <w:pPr>
        <w:ind w:left="140" w:right="260"/>
        <w:spacing w:after="0" w:line="264" w:lineRule="auto"/>
        <w:rPr>
          <w:sz w:val="20"/>
          <w:szCs w:val="20"/>
          <w:color w:val="auto"/>
        </w:rPr>
      </w:pPr>
      <w:r>
        <w:rPr>
          <w:rFonts w:ascii="Arial" w:cs="Arial" w:eastAsia="Arial" w:hAnsi="Arial"/>
          <w:sz w:val="18"/>
          <w:szCs w:val="18"/>
          <w:color w:val="auto"/>
        </w:rPr>
        <w:t>AgrEvo is requesting damages as well as affirmative injunctive relief, and seeking to have the court invalidate the Roundupâ Marketing Agreement as violative of the federal antitrust laws. Under the indemnification provisions of the Roundupâ Marketing Agreement, Monsanto and The Scotts Company each have requested that the other indemnify against any losses arising from this lawsuit.</w:t>
      </w:r>
    </w:p>
    <w:p>
      <w:pPr>
        <w:spacing w:after="0" w:line="181" w:lineRule="exact"/>
        <w:rPr>
          <w:sz w:val="20"/>
          <w:szCs w:val="20"/>
          <w:color w:val="auto"/>
        </w:rPr>
      </w:pPr>
    </w:p>
    <w:p>
      <w:pPr>
        <w:jc w:val="both"/>
        <w:ind w:left="140" w:right="400"/>
        <w:spacing w:after="0" w:line="312" w:lineRule="auto"/>
        <w:rPr>
          <w:sz w:val="20"/>
          <w:szCs w:val="20"/>
          <w:color w:val="auto"/>
        </w:rPr>
      </w:pPr>
      <w:r>
        <w:rPr>
          <w:rFonts w:ascii="Arial" w:cs="Arial" w:eastAsia="Arial" w:hAnsi="Arial"/>
          <w:sz w:val="16"/>
          <w:szCs w:val="16"/>
          <w:color w:val="auto"/>
        </w:rPr>
        <w:t>On January 10, 2003, The Scotts Company filed a supplemental counterclaim against AgrEvo for breach of contract. The Scotts Company alleges that AgrEvo owes The Scotts Company for amounts that The Scotts Company overpaid to AgrEvo. The Scotts Company’s counterclaim is now part of the underlying litigation. Recently, Monsanto settled with AgrEvo. The terms of that settlement are not known. A trial date has been set for May 23, 2005.</w:t>
      </w:r>
    </w:p>
    <w:p>
      <w:pPr>
        <w:spacing w:after="0" w:line="147" w:lineRule="exact"/>
        <w:rPr>
          <w:sz w:val="20"/>
          <w:szCs w:val="20"/>
          <w:color w:val="auto"/>
        </w:rPr>
      </w:pPr>
    </w:p>
    <w:p>
      <w:pPr>
        <w:ind w:left="140" w:right="240"/>
        <w:spacing w:after="0" w:line="259" w:lineRule="auto"/>
        <w:rPr>
          <w:sz w:val="20"/>
          <w:szCs w:val="20"/>
          <w:color w:val="auto"/>
        </w:rPr>
      </w:pPr>
      <w:r>
        <w:rPr>
          <w:rFonts w:ascii="Arial" w:cs="Arial" w:eastAsia="Arial" w:hAnsi="Arial"/>
          <w:sz w:val="18"/>
          <w:szCs w:val="18"/>
          <w:color w:val="auto"/>
        </w:rPr>
        <w:t>The Company believes that AgrEvo’s claims in these matters are without merit and is vigorously defending against them. If the above actions are determined adversely to the Company, the result could have a material adverse effect on the Company’s results of operations, financial position and cash flows. Any potential exposure that the Company may face cannot be reasonably estimated. Therefore, no accrual has been established related to these matters.</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Central Garden &amp; Pet Company</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Scotts Company v. Central Garden, Southern District of Ohio</w:t>
      </w:r>
    </w:p>
    <w:p>
      <w:pPr>
        <w:spacing w:after="0" w:line="225" w:lineRule="exact"/>
        <w:rPr>
          <w:sz w:val="20"/>
          <w:szCs w:val="20"/>
          <w:color w:val="auto"/>
        </w:rPr>
      </w:pPr>
    </w:p>
    <w:p>
      <w:pPr>
        <w:ind w:left="140" w:right="280"/>
        <w:spacing w:after="0" w:line="342" w:lineRule="auto"/>
        <w:rPr>
          <w:sz w:val="20"/>
          <w:szCs w:val="20"/>
          <w:color w:val="auto"/>
        </w:rPr>
      </w:pPr>
      <w:r>
        <w:rPr>
          <w:rFonts w:ascii="Arial" w:cs="Arial" w:eastAsia="Arial" w:hAnsi="Arial"/>
          <w:sz w:val="16"/>
          <w:szCs w:val="16"/>
          <w:color w:val="auto"/>
        </w:rPr>
        <w:t>On June 30, 2000, The Scotts Company filed suit against Central Garden &amp; Pet Company (“Central Garden”) in the U.S. District Court for the Southern District of Ohio (the “Ohio Action”) to recover approximately $24 million in accounts receivable and additional damages for other breaches of duty.</w:t>
      </w:r>
    </w:p>
    <w:p>
      <w:pPr>
        <w:spacing w:after="0" w:line="124" w:lineRule="exact"/>
        <w:rPr>
          <w:sz w:val="20"/>
          <w:szCs w:val="20"/>
          <w:color w:val="auto"/>
        </w:rPr>
      </w:pPr>
    </w:p>
    <w:p>
      <w:pPr>
        <w:ind w:left="140" w:right="120"/>
        <w:spacing w:after="0" w:line="257" w:lineRule="auto"/>
        <w:rPr>
          <w:sz w:val="20"/>
          <w:szCs w:val="20"/>
          <w:color w:val="auto"/>
        </w:rPr>
      </w:pPr>
      <w:r>
        <w:rPr>
          <w:rFonts w:ascii="Arial" w:cs="Arial" w:eastAsia="Arial" w:hAnsi="Arial"/>
          <w:sz w:val="18"/>
          <w:szCs w:val="18"/>
          <w:color w:val="auto"/>
        </w:rPr>
        <w:t>Central Garden filed counterclaims including allegations that The Scotts Company and Central Garden had entered into an oral agreement in April 1998 whereby The Scotts Company would allegedly share with Central Garden the benefits and liabilities of any future business integration between The Scotts Company and Monsanto. The court dismissed a number of Central Garden’s counterclaims as well as The Scotts Company’s claims that Central Garden breached other duties owed to The Scotts Company. On April 22, 2002, a jury returned a verdict in favor of The Scotts Company of $22.5 million and for Central Garden on its remaining counterclaims in an amount of</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approximately $12.1 million. Various post-trial motions were filed. As a result of those motions, the trial court reduced Central Garden’s verdict by</w:t>
      </w:r>
    </w:p>
    <w:p>
      <w:pPr>
        <w:spacing w:after="0" w:line="35" w:lineRule="exact"/>
        <w:rPr>
          <w:sz w:val="20"/>
          <w:szCs w:val="20"/>
          <w:color w:val="auto"/>
        </w:rPr>
      </w:pPr>
    </w:p>
    <w:p>
      <w:pPr>
        <w:ind w:left="340" w:right="280"/>
        <w:spacing w:after="0" w:line="281" w:lineRule="auto"/>
        <w:rPr>
          <w:sz w:val="20"/>
          <w:szCs w:val="20"/>
          <w:color w:val="auto"/>
        </w:rPr>
      </w:pPr>
      <w:r>
        <w:rPr>
          <w:rFonts w:ascii="Arial" w:cs="Arial" w:eastAsia="Arial" w:hAnsi="Arial"/>
          <w:sz w:val="16"/>
          <w:szCs w:val="16"/>
          <w:color w:val="auto"/>
        </w:rPr>
        <w:t>$750,000, denied Central Garden’s motion for a new trial on two of its counterclaims and granted the parties pre-judgment interest on their respective verdicts. On September 22, 2003, the court entered a final judgment, which provided for a net award to The Scotts Company of approximately</w:t>
      </w:r>
    </w:p>
    <w:p>
      <w:pPr>
        <w:spacing w:after="0" w:line="1" w:lineRule="exact"/>
        <w:rPr>
          <w:sz w:val="20"/>
          <w:szCs w:val="20"/>
          <w:color w:val="auto"/>
        </w:rPr>
      </w:pPr>
    </w:p>
    <w:p>
      <w:pPr>
        <w:ind w:left="340" w:right="200"/>
        <w:spacing w:after="0" w:line="254" w:lineRule="auto"/>
        <w:rPr>
          <w:sz w:val="20"/>
          <w:szCs w:val="20"/>
          <w:color w:val="auto"/>
        </w:rPr>
      </w:pPr>
      <w:r>
        <w:rPr>
          <w:rFonts w:ascii="Arial" w:cs="Arial" w:eastAsia="Arial" w:hAnsi="Arial"/>
          <w:sz w:val="18"/>
          <w:szCs w:val="18"/>
          <w:color w:val="auto"/>
        </w:rPr>
        <w:t>$14 million, together with interest at 2.31% through the date of payment. Central Garden appealed and The Scotts Company cross-appealed from that final judgment. On April 12, 2005, the Sixth Circuit modified in part and affirmed the trial court’s judgment. The judgment as modified and affirmed provides for a net award of approximately $15 million to the Company. Management considers this judgment a gain contigency and therefore does not anticipate recording this net award until payment is received.</w:t>
      </w:r>
    </w:p>
    <w:p>
      <w:pPr>
        <w:spacing w:after="0" w:line="19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rFonts w:ascii="Arial" w:cs="Arial" w:eastAsia="Arial" w:hAnsi="Arial"/>
          <w:sz w:val="18"/>
          <w:szCs w:val="18"/>
          <w:color w:val="auto"/>
        </w:rPr>
      </w:pPr>
    </w:p>
    <w:p>
      <w:pPr>
        <w:ind w:left="340"/>
        <w:spacing w:after="0" w:line="257" w:lineRule="auto"/>
        <w:rPr>
          <w:rFonts w:ascii="Arial" w:cs="Arial" w:eastAsia="Arial" w:hAnsi="Arial"/>
          <w:sz w:val="18"/>
          <w:szCs w:val="18"/>
          <w:color w:val="auto"/>
        </w:rPr>
      </w:pPr>
      <w:r>
        <w:rPr>
          <w:rFonts w:ascii="Arial" w:cs="Arial" w:eastAsia="Arial" w:hAnsi="Arial"/>
          <w:sz w:val="18"/>
          <w:szCs w:val="18"/>
          <w:color w:val="auto"/>
        </w:rPr>
        <w:t>Effective October 2, 2004, the Company acquired all outstanding shares of Smith &amp; Hawken®, a leading brand in the outdoor living and gardening lifestyle category, for a total cost of $74.9 million. Of the total purchase price, $73.6 million was paid in cash (including $13.1 million paid to retire debt at acquisition), while other purchase obligations of $1.3 million were assumed. Preliminary purchase accounting allocations were completed at the end of the second quarter of fiscal 2005. Likewise, the allocation of the purchase price to assets acquired and liabilities assumed, based on their estimated fair values at the date of acquisition, was also completed.</w:t>
      </w:r>
    </w:p>
    <w:p>
      <w:pPr>
        <w:spacing w:after="0" w:line="188" w:lineRule="exact"/>
        <w:rPr>
          <w:rFonts w:ascii="Arial" w:cs="Arial" w:eastAsia="Arial" w:hAnsi="Arial"/>
          <w:sz w:val="18"/>
          <w:szCs w:val="18"/>
          <w:color w:val="auto"/>
        </w:rPr>
      </w:pPr>
    </w:p>
    <w:p>
      <w:pPr>
        <w:ind w:left="340" w:right="100"/>
        <w:spacing w:after="0" w:line="259" w:lineRule="auto"/>
        <w:rPr>
          <w:rFonts w:ascii="Arial" w:cs="Arial" w:eastAsia="Arial" w:hAnsi="Arial"/>
          <w:sz w:val="18"/>
          <w:szCs w:val="18"/>
          <w:color w:val="auto"/>
        </w:rPr>
      </w:pPr>
      <w:r>
        <w:rPr>
          <w:rFonts w:ascii="Arial" w:cs="Arial" w:eastAsia="Arial" w:hAnsi="Arial"/>
          <w:sz w:val="18"/>
          <w:szCs w:val="18"/>
          <w:color w:val="auto"/>
        </w:rPr>
        <w:t>On a pro forma basis, net sales for the three and six months ended March 27, 2004, would have been $746.2 million and $968.6 million respectively (an increase of $22.5 million and $63.5 million, respectively) had the acquisition of Smith &amp; Hawkenâ occurred as of October 1, 2003. The pro forma reported net income would have been reduced by approximately $3.7 million or 11 cents per common share for both the three and six months ended March 27, 2004.</w:t>
      </w:r>
    </w:p>
    <w:p>
      <w:pPr>
        <w:spacing w:after="0" w:line="186" w:lineRule="exact"/>
        <w:rPr>
          <w:rFonts w:ascii="Arial" w:cs="Arial" w:eastAsia="Arial" w:hAnsi="Arial"/>
          <w:sz w:val="18"/>
          <w:szCs w:val="18"/>
          <w:color w:val="auto"/>
        </w:rPr>
      </w:pPr>
    </w:p>
    <w:p>
      <w:pPr>
        <w:ind w:left="340" w:right="360"/>
        <w:spacing w:after="0" w:line="277" w:lineRule="auto"/>
        <w:rPr>
          <w:rFonts w:ascii="Arial" w:cs="Arial" w:eastAsia="Arial" w:hAnsi="Arial"/>
          <w:sz w:val="18"/>
          <w:szCs w:val="18"/>
          <w:color w:val="auto"/>
        </w:rPr>
      </w:pPr>
      <w:r>
        <w:rPr>
          <w:rFonts w:ascii="Arial" w:cs="Arial" w:eastAsia="Arial" w:hAnsi="Arial"/>
          <w:sz w:val="18"/>
          <w:szCs w:val="18"/>
          <w:color w:val="auto"/>
        </w:rPr>
        <w:t>For the first six months of fiscal 2005, the Company’s Scotts LawnService® segment acquired two individual lawn service entities for a total cost of approximately $3.0 million.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LEASE FACILITY</w:t>
      </w:r>
    </w:p>
    <w:p>
      <w:pPr>
        <w:spacing w:after="0" w:line="225" w:lineRule="exact"/>
        <w:rPr>
          <w:rFonts w:ascii="Arial" w:cs="Arial" w:eastAsia="Arial" w:hAnsi="Arial"/>
          <w:sz w:val="18"/>
          <w:szCs w:val="18"/>
          <w:color w:val="auto"/>
        </w:rPr>
      </w:pPr>
    </w:p>
    <w:p>
      <w:pPr>
        <w:ind w:left="340"/>
        <w:spacing w:after="0" w:line="276" w:lineRule="auto"/>
        <w:rPr>
          <w:rFonts w:ascii="Arial" w:cs="Arial" w:eastAsia="Arial" w:hAnsi="Arial"/>
          <w:sz w:val="18"/>
          <w:szCs w:val="18"/>
          <w:color w:val="auto"/>
        </w:rPr>
      </w:pPr>
      <w:r>
        <w:rPr>
          <w:rFonts w:ascii="Arial" w:cs="Arial" w:eastAsia="Arial" w:hAnsi="Arial"/>
          <w:sz w:val="17"/>
          <w:szCs w:val="17"/>
          <w:color w:val="auto"/>
        </w:rPr>
        <w:t>During the second quarter of fiscal 2005, the Company began to take delivery on approximately 200 vehicles for Scotts LawnService® operations. These vehicles are being leased in an operating lease transaction under the terms of a master lease facility. The master lease agreement provides that the Company pays certain taxes, insurance, and maintenance on the vehicles. The vehicles are leased for four years from delivery, with a three-year renewal option and an option to purchase. The Company has a maximum contingent obligation that will approximate $6 million in the aggregate for all vehicles under this master lease facility based on the provisions of a residual value guarantee.</w:t>
      </w:r>
    </w:p>
    <w:p>
      <w:pPr>
        <w:spacing w:after="0" w:line="172"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225"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For fiscal 2005, the Company is divided into the following segments — North America, Scotts LawnService®, International, and Other/Corporate. The North America segment primarily consists of the Lawns, Gardens, Ortho®, Canada and North</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 w:right="60"/>
        <w:spacing w:after="0" w:line="255" w:lineRule="auto"/>
        <w:rPr>
          <w:sz w:val="20"/>
          <w:szCs w:val="20"/>
          <w:color w:val="auto"/>
        </w:rPr>
      </w:pPr>
      <w:r>
        <w:rPr>
          <w:rFonts w:ascii="Arial" w:cs="Arial" w:eastAsia="Arial" w:hAnsi="Arial"/>
          <w:sz w:val="18"/>
          <w:szCs w:val="18"/>
          <w:color w:val="auto"/>
        </w:rPr>
        <w:t>American Professional business groups, as well as the North America portion of the Roundup® business. The North America segment manufactures, markets and sells dry, granular slow-release lawn fertilizers, combination lawn fertilizer and control products, grass seed, spreaders, water-soluble, liquid and continuous-release garden and indoor plant foods, plant care products, potting, garden and lawn soils, mulches and other growing media products, pesticide products and a full line of horticulture products. Products are marketed to mass merchandisers, home improvement centers, large hardware chains, warehouse clubs, distributors, nurseries, garden centers and specialty crop growers in the United States, Canada, Latin America, South America, Australia, and Asia-Pacific.</w:t>
      </w:r>
    </w:p>
    <w:p>
      <w:pPr>
        <w:spacing w:after="0" w:line="193" w:lineRule="exact"/>
        <w:rPr>
          <w:sz w:val="20"/>
          <w:szCs w:val="20"/>
          <w:color w:val="auto"/>
        </w:rPr>
      </w:pPr>
    </w:p>
    <w:p>
      <w:pPr>
        <w:ind w:left="140" w:right="320"/>
        <w:spacing w:after="0" w:line="342" w:lineRule="auto"/>
        <w:rPr>
          <w:sz w:val="20"/>
          <w:szCs w:val="20"/>
          <w:color w:val="auto"/>
        </w:rPr>
      </w:pPr>
      <w:r>
        <w:rPr>
          <w:rFonts w:ascii="Arial" w:cs="Arial" w:eastAsia="Arial" w:hAnsi="Arial"/>
          <w:sz w:val="16"/>
          <w:szCs w:val="16"/>
          <w:color w:val="auto"/>
        </w:rPr>
        <w:t>The Scotts LawnService® segment provides lawn fertilization, disease and insect control and other related services such as core aeration, tree and shrub fertilization and exterior barrier pest control service primarily to residential consumers through company-owned branches and franchises.</w:t>
      </w:r>
    </w:p>
    <w:p>
      <w:pPr>
        <w:spacing w:after="0" w:line="12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International segment provides products similar to those described above for the North America segment to consumers primarily in Europe.</w:t>
      </w:r>
    </w:p>
    <w:p>
      <w:pPr>
        <w:spacing w:after="0" w:line="23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Other/Corporate segment consists of the recently acquired Smith &amp; Hawken® business and corporate, general, and administrative expenses.</w:t>
      </w:r>
    </w:p>
    <w:p>
      <w:pPr>
        <w:spacing w:after="0" w:line="237" w:lineRule="exact"/>
        <w:rPr>
          <w:sz w:val="20"/>
          <w:szCs w:val="20"/>
          <w:color w:val="auto"/>
        </w:rPr>
      </w:pPr>
    </w:p>
    <w:p>
      <w:pPr>
        <w:ind w:left="140" w:right="40"/>
        <w:spacing w:after="0" w:line="297" w:lineRule="auto"/>
        <w:rPr>
          <w:sz w:val="20"/>
          <w:szCs w:val="20"/>
          <w:color w:val="auto"/>
        </w:rPr>
      </w:pPr>
      <w:r>
        <w:rPr>
          <w:rFonts w:ascii="Arial" w:cs="Arial" w:eastAsia="Arial" w:hAnsi="Arial"/>
          <w:sz w:val="16"/>
          <w:szCs w:val="16"/>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 allocated for purposes of this presentation). As a result of fiscal 2005 segment definitions, the following reclassifications were made to properly allocate $26.3 million of goodwill from International to North America and to properly allocate $86.3 million of assets from North America to Scotts LawnServiceâ, International, and Other/Corporate segments.</w:t>
      </w:r>
    </w:p>
    <w:p>
      <w:pPr>
        <w:spacing w:after="0" w:line="35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660" w:type="dxa"/>
            <w:vAlign w:val="bottom"/>
            <w:gridSpan w:val="4"/>
            <w:vMerge w:val="restart"/>
          </w:tcPr>
          <w:p>
            <w:pPr>
              <w:ind w:left="1160"/>
              <w:spacing w:after="0"/>
              <w:rPr>
                <w:sz w:val="20"/>
                <w:szCs w:val="20"/>
                <w:color w:val="auto"/>
              </w:rPr>
            </w:pPr>
            <w:r>
              <w:rPr>
                <w:rFonts w:ascii="Arial" w:cs="Arial" w:eastAsia="Arial" w:hAnsi="Arial"/>
                <w:sz w:val="14"/>
                <w:szCs w:val="14"/>
                <w:b w:val="1"/>
                <w:bCs w:val="1"/>
                <w:color w:val="auto"/>
              </w:rPr>
              <w:t>NORTH AMERICA</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SCOTTS</w:t>
            </w:r>
          </w:p>
        </w:tc>
        <w:tc>
          <w:tcPr>
            <w:tcW w:w="16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8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1640" w:type="dxa"/>
            <w:vAlign w:val="bottom"/>
            <w:gridSpan w:val="4"/>
          </w:tcPr>
          <w:p>
            <w:pPr>
              <w:ind w:left="160"/>
              <w:spacing w:after="0"/>
              <w:rPr>
                <w:sz w:val="20"/>
                <w:szCs w:val="20"/>
                <w:color w:val="auto"/>
              </w:rPr>
            </w:pPr>
            <w:r>
              <w:rPr>
                <w:rFonts w:ascii="Arial" w:cs="Arial" w:eastAsia="Arial" w:hAnsi="Arial"/>
                <w:sz w:val="14"/>
                <w:szCs w:val="14"/>
                <w:b w:val="1"/>
                <w:bCs w:val="1"/>
                <w:color w:val="auto"/>
              </w:rPr>
              <w:t>LAWNSERVICE®</w:t>
            </w:r>
          </w:p>
        </w:tc>
        <w:tc>
          <w:tcPr>
            <w:tcW w:w="1620" w:type="dxa"/>
            <w:vAlign w:val="bottom"/>
            <w:gridSpan w:val="4"/>
            <w:vMerge w:val="continue"/>
          </w:tcPr>
          <w:p>
            <w:pPr>
              <w:spacing w:after="0"/>
              <w:rPr>
                <w:sz w:val="14"/>
                <w:szCs w:val="14"/>
                <w:color w:val="auto"/>
              </w:rPr>
            </w:pPr>
          </w:p>
        </w:tc>
        <w:tc>
          <w:tcPr>
            <w:tcW w:w="1340" w:type="dxa"/>
            <w:vAlign w:val="bottom"/>
            <w:gridSpan w:val="4"/>
          </w:tcPr>
          <w:p>
            <w:pPr>
              <w:ind w:left="12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0" w:type="dxa"/>
            <w:vAlign w:val="bottom"/>
            <w:gridSpan w:val="12"/>
          </w:tcPr>
          <w:p>
            <w:pPr>
              <w:jc w:val="right"/>
              <w:ind w:right="820"/>
              <w:spacing w:after="0" w:line="142" w:lineRule="exact"/>
              <w:rPr>
                <w:sz w:val="20"/>
                <w:szCs w:val="20"/>
                <w:color w:val="auto"/>
              </w:rPr>
            </w:pPr>
            <w:r>
              <w:rPr>
                <w:rFonts w:ascii="Arial" w:cs="Arial" w:eastAsia="Arial" w:hAnsi="Arial"/>
                <w:sz w:val="14"/>
                <w:szCs w:val="14"/>
                <w:b w:val="1"/>
                <w:bCs w:val="1"/>
                <w:color w:val="auto"/>
              </w:rPr>
              <w:t>(IN MILLIONS, EXCEPT OPERATING PERCENTAGES)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0"/>
              <w:spacing w:after="0"/>
              <w:rPr>
                <w:sz w:val="20"/>
                <w:szCs w:val="20"/>
                <w:color w:val="auto"/>
              </w:rPr>
            </w:pPr>
            <w:r>
              <w:rPr>
                <w:rFonts w:ascii="Arial" w:cs="Arial" w:eastAsia="Arial" w:hAnsi="Arial"/>
                <w:sz w:val="18"/>
                <w:szCs w:val="18"/>
                <w:color w:val="auto"/>
              </w:rPr>
              <w:t>YTD 2005</w:t>
            </w:r>
          </w:p>
        </w:tc>
        <w:tc>
          <w:tcPr>
            <w:tcW w:w="158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696.5</w:t>
            </w:r>
          </w:p>
        </w:tc>
        <w:tc>
          <w:tcPr>
            <w:tcW w:w="22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42.5</w:t>
            </w:r>
          </w:p>
        </w:tc>
        <w:tc>
          <w:tcPr>
            <w:tcW w:w="32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226.3</w:t>
            </w:r>
          </w:p>
        </w:tc>
        <w:tc>
          <w:tcPr>
            <w:tcW w:w="28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65.9</w:t>
            </w:r>
          </w:p>
        </w:tc>
        <w:tc>
          <w:tcPr>
            <w:tcW w:w="3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1,031.2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YTD 2004</w:t>
            </w: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0"/>
              <w:spacing w:after="0"/>
              <w:rPr>
                <w:sz w:val="20"/>
                <w:szCs w:val="20"/>
                <w:color w:val="auto"/>
              </w:rPr>
            </w:pPr>
            <w:r>
              <w:rPr>
                <w:rFonts w:ascii="Arial" w:cs="Arial" w:eastAsia="Arial" w:hAnsi="Arial"/>
                <w:sz w:val="18"/>
                <w:szCs w:val="18"/>
                <w:color w:val="auto"/>
              </w:rPr>
              <w:t>Q2 2005</w:t>
            </w: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787.3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Q2 2004</w:t>
            </w: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YTD 2005</w:t>
            </w: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0"/>
              <w:spacing w:after="0"/>
              <w:rPr>
                <w:sz w:val="20"/>
                <w:szCs w:val="20"/>
                <w:color w:val="auto"/>
              </w:rPr>
            </w:pPr>
            <w:r>
              <w:rPr>
                <w:rFonts w:ascii="Arial" w:cs="Arial" w:eastAsia="Arial" w:hAnsi="Arial"/>
                <w:sz w:val="18"/>
                <w:szCs w:val="18"/>
                <w:color w:val="auto"/>
              </w:rPr>
              <w:t>YTD 2004</w:t>
            </w: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Q2 2005</w:t>
            </w: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0"/>
              <w:spacing w:after="0"/>
              <w:rPr>
                <w:sz w:val="20"/>
                <w:szCs w:val="20"/>
                <w:color w:val="auto"/>
              </w:rPr>
            </w:pPr>
            <w:r>
              <w:rPr>
                <w:rFonts w:ascii="Arial" w:cs="Arial" w:eastAsia="Arial" w:hAnsi="Arial"/>
                <w:sz w:val="18"/>
                <w:szCs w:val="18"/>
                <w:color w:val="auto"/>
              </w:rPr>
              <w:t>Q2 2004</w:t>
            </w: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135.5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0"/>
              <w:spacing w:after="0"/>
              <w:rPr>
                <w:sz w:val="20"/>
                <w:szCs w:val="20"/>
                <w:color w:val="auto"/>
              </w:rPr>
            </w:pPr>
            <w:r>
              <w:rPr>
                <w:rFonts w:ascii="Arial" w:cs="Arial" w:eastAsia="Arial" w:hAnsi="Arial"/>
                <w:sz w:val="18"/>
                <w:szCs w:val="18"/>
                <w:color w:val="auto"/>
              </w:rPr>
              <w:t>YTD 2005</w:t>
            </w: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YTD 2004</w:t>
            </w: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(55.5)</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0"/>
              <w:spacing w:after="0"/>
              <w:rPr>
                <w:sz w:val="20"/>
                <w:szCs w:val="20"/>
                <w:color w:val="auto"/>
              </w:rPr>
            </w:pPr>
            <w:r>
              <w:rPr>
                <w:rFonts w:ascii="Arial" w:cs="Arial" w:eastAsia="Arial" w:hAnsi="Arial"/>
                <w:sz w:val="18"/>
                <w:szCs w:val="18"/>
                <w:color w:val="auto"/>
              </w:rPr>
              <w:t>Q2 2005</w:t>
            </w: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(56.5)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Q2 2004</w:t>
            </w: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(78.5)</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Goodwill:</w:t>
            </w: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Q2 2005</w:t>
            </w:r>
          </w:p>
        </w:tc>
        <w:tc>
          <w:tcPr>
            <w:tcW w:w="15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0"/>
              <w:spacing w:after="0"/>
              <w:rPr>
                <w:sz w:val="20"/>
                <w:szCs w:val="20"/>
                <w:color w:val="auto"/>
              </w:rPr>
            </w:pPr>
            <w:r>
              <w:rPr>
                <w:rFonts w:ascii="Arial" w:cs="Arial" w:eastAsia="Arial" w:hAnsi="Arial"/>
                <w:sz w:val="18"/>
                <w:szCs w:val="18"/>
                <w:color w:val="auto"/>
              </w:rPr>
              <w:t>Q2 2004</w:t>
            </w: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423.3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YE 2004</w:t>
            </w: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Total assets:</w:t>
            </w: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Q2 2005</w:t>
            </w:r>
          </w:p>
        </w:tc>
        <w:tc>
          <w:tcPr>
            <w:tcW w:w="15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1,626.0</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666.9</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2,661.0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0"/>
              <w:spacing w:after="0"/>
              <w:rPr>
                <w:sz w:val="20"/>
                <w:szCs w:val="20"/>
                <w:color w:val="auto"/>
              </w:rPr>
            </w:pPr>
            <w:r>
              <w:rPr>
                <w:rFonts w:ascii="Arial" w:cs="Arial" w:eastAsia="Arial" w:hAnsi="Arial"/>
                <w:sz w:val="18"/>
                <w:szCs w:val="18"/>
                <w:color w:val="auto"/>
              </w:rPr>
              <w:t>Q2 2004</w:t>
            </w: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619.0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2,541.3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YE 2004</w:t>
            </w: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2,047.8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33350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33500" cy="342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25" w:lineRule="exact"/>
        <w:rPr>
          <w:sz w:val="20"/>
          <w:szCs w:val="20"/>
          <w:color w:val="auto"/>
        </w:rPr>
      </w:pPr>
    </w:p>
    <w:p>
      <w:pPr>
        <w:ind w:left="140" w:right="340"/>
        <w:spacing w:after="0" w:line="259" w:lineRule="auto"/>
        <w:rPr>
          <w:sz w:val="20"/>
          <w:szCs w:val="20"/>
          <w:color w:val="auto"/>
        </w:rPr>
      </w:pPr>
      <w:r>
        <w:rPr>
          <w:rFonts w:ascii="Arial" w:cs="Arial" w:eastAsia="Arial" w:hAnsi="Arial"/>
          <w:sz w:val="18"/>
          <w:szCs w:val="18"/>
          <w:color w:val="auto"/>
        </w:rPr>
        <w:t>Operating income (loss) represents earnings before amortization of intangible assets, interest and taxes, since this is the measure of profitability used by management. Accordingly, the Other/Corporate operating loss for the three and six month periods ended April 2, 2005 and March 27, 2004 includes amortization of certain intangible assets, unallocated corporate general and administrative expenses, restructuring charges and certain “other” income (expense) items not allocated to the reportable segments.</w:t>
      </w:r>
    </w:p>
    <w:p>
      <w:pPr>
        <w:spacing w:after="0" w:line="187" w:lineRule="exact"/>
        <w:rPr>
          <w:sz w:val="20"/>
          <w:szCs w:val="20"/>
          <w:color w:val="auto"/>
        </w:rPr>
      </w:pPr>
    </w:p>
    <w:p>
      <w:pPr>
        <w:ind w:left="140" w:right="140"/>
        <w:spacing w:after="0" w:line="277" w:lineRule="auto"/>
        <w:rPr>
          <w:sz w:val="20"/>
          <w:szCs w:val="20"/>
          <w:color w:val="auto"/>
        </w:rPr>
      </w:pPr>
      <w:r>
        <w:rPr>
          <w:rFonts w:ascii="Arial" w:cs="Arial" w:eastAsia="Arial" w:hAnsi="Arial"/>
          <w:sz w:val="18"/>
          <w:szCs w:val="18"/>
          <w:color w:val="auto"/>
        </w:rPr>
        <w:t>The following table is a reconcilation of “Income from operations” disclosed in the Condensed, Consolidated Statement of Operations for the consolidated operating income reported in the segment table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Condensed, Consolidated</w:t>
            </w: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19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Statement of Operations</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Amortization of</w:t>
            </w:r>
          </w:p>
        </w:tc>
        <w:tc>
          <w:tcPr>
            <w:tcW w:w="200" w:type="dxa"/>
            <w:vAlign w:val="bottom"/>
          </w:tcPr>
          <w:p>
            <w:pPr>
              <w:spacing w:after="0"/>
              <w:rPr>
                <w:sz w:val="10"/>
                <w:szCs w:val="10"/>
                <w:color w:val="auto"/>
              </w:rPr>
            </w:pPr>
          </w:p>
        </w:tc>
        <w:tc>
          <w:tcPr>
            <w:tcW w:w="9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Impairment</w:t>
            </w:r>
          </w:p>
        </w:tc>
        <w:tc>
          <w:tcPr>
            <w:tcW w:w="280" w:type="dxa"/>
            <w:vAlign w:val="bottom"/>
          </w:tcPr>
          <w:p>
            <w:pPr>
              <w:spacing w:after="0"/>
              <w:rPr>
                <w:sz w:val="10"/>
                <w:szCs w:val="10"/>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(“Income from</w:t>
            </w: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2"/>
                <w:szCs w:val="12"/>
                <w:color w:val="auto"/>
              </w:rPr>
            </w:pPr>
          </w:p>
        </w:tc>
        <w:tc>
          <w:tcPr>
            <w:tcW w:w="116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deferred</w:t>
            </w: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of Intangible</w:t>
            </w: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operations”)</w:t>
            </w:r>
          </w:p>
        </w:tc>
        <w:tc>
          <w:tcPr>
            <w:tcW w:w="4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marketing fee</w:t>
            </w:r>
          </w:p>
        </w:tc>
        <w:tc>
          <w:tcPr>
            <w:tcW w:w="20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7"/>
              </w:rPr>
              <w:t>assets</w:t>
            </w:r>
          </w:p>
        </w:tc>
        <w:tc>
          <w:tcPr>
            <w:tcW w:w="2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YTD 2005</w:t>
            </w:r>
          </w:p>
        </w:tc>
        <w:tc>
          <w:tcPr>
            <w:tcW w:w="1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YTD 2004</w:t>
            </w:r>
          </w:p>
        </w:tc>
        <w:tc>
          <w:tcPr>
            <w:tcW w:w="1940" w:type="dxa"/>
            <w:vAlign w:val="bottom"/>
            <w:gridSpan w:val="2"/>
          </w:tcPr>
          <w:p>
            <w:pPr>
              <w:jc w:val="right"/>
              <w:ind w:right="400"/>
              <w:spacing w:after="0"/>
              <w:rPr>
                <w:sz w:val="20"/>
                <w:szCs w:val="20"/>
                <w:color w:val="auto"/>
              </w:rPr>
            </w:pPr>
            <w:r>
              <w:rPr>
                <w:rFonts w:ascii="Arial" w:cs="Arial" w:eastAsia="Arial" w:hAnsi="Arial"/>
                <w:sz w:val="18"/>
                <w:szCs w:val="18"/>
                <w:color w:val="auto"/>
              </w:rPr>
              <w:t>73.4</w:t>
            </w: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Q2 2005</w:t>
            </w:r>
          </w:p>
        </w:tc>
        <w:tc>
          <w:tcPr>
            <w:tcW w:w="1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30"/>
        </w:trPr>
        <w:tc>
          <w:tcPr>
            <w:tcW w:w="4960" w:type="dxa"/>
            <w:vAlign w:val="bottom"/>
          </w:tcPr>
          <w:p>
            <w:pPr>
              <w:ind w:left="220"/>
              <w:spacing w:after="0"/>
              <w:rPr>
                <w:sz w:val="20"/>
                <w:szCs w:val="20"/>
                <w:color w:val="auto"/>
              </w:rPr>
            </w:pPr>
            <w:r>
              <w:rPr>
                <w:rFonts w:ascii="Arial" w:cs="Arial" w:eastAsia="Arial" w:hAnsi="Arial"/>
                <w:sz w:val="18"/>
                <w:szCs w:val="18"/>
                <w:color w:val="auto"/>
              </w:rPr>
              <w:t>Q2 2004</w:t>
            </w:r>
          </w:p>
        </w:tc>
        <w:tc>
          <w:tcPr>
            <w:tcW w:w="1940" w:type="dxa"/>
            <w:vAlign w:val="bottom"/>
            <w:gridSpan w:val="2"/>
          </w:tcPr>
          <w:p>
            <w:pPr>
              <w:jc w:val="right"/>
              <w:ind w:right="400"/>
              <w:spacing w:after="0"/>
              <w:rPr>
                <w:sz w:val="20"/>
                <w:szCs w:val="20"/>
                <w:color w:val="auto"/>
              </w:rPr>
            </w:pPr>
            <w:r>
              <w:rPr>
                <w:rFonts w:ascii="Arial" w:cs="Arial" w:eastAsia="Arial" w:hAnsi="Arial"/>
                <w:sz w:val="18"/>
                <w:szCs w:val="18"/>
                <w:color w:val="auto"/>
              </w:rPr>
              <w:t>132.4</w:t>
            </w: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0"/>
                <w:szCs w:val="20"/>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bl>
    <w:p>
      <w:pPr>
        <w:spacing w:after="0" w:line="160" w:lineRule="exact"/>
        <w:rPr>
          <w:sz w:val="20"/>
          <w:szCs w:val="20"/>
          <w:color w:val="auto"/>
        </w:rPr>
      </w:pPr>
    </w:p>
    <w:p>
      <w:pPr>
        <w:sectPr>
          <w:pgSz w:w="11900" w:h="16838" w:orient="portrait"/>
          <w:cols w:equalWidth="0" w:num="1">
            <w:col w:w="11420"/>
          </w:cols>
          <w:pgMar w:left="240" w:top="419" w:right="239" w:bottom="798" w:gutter="0" w:footer="0" w:header="0"/>
        </w:sect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798"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400"/>
        <w:spacing w:after="0" w:line="277" w:lineRule="auto"/>
        <w:rPr>
          <w:sz w:val="20"/>
          <w:szCs w:val="20"/>
          <w:color w:val="auto"/>
        </w:rPr>
      </w:pPr>
      <w:r>
        <w:rPr>
          <w:rFonts w:ascii="Arial" w:cs="Arial" w:eastAsia="Arial" w:hAnsi="Arial"/>
          <w:sz w:val="18"/>
          <w:szCs w:val="18"/>
          <w:color w:val="auto"/>
        </w:rPr>
        <w:t>Total assets for the Company’s reportable segments include the intangible assets for the acquired businesses within those segments. Corporate assets primarily include deferred financing and debt issuance costs, corporate intangible assets and deferred tax assets.</w:t>
      </w:r>
    </w:p>
    <w:p>
      <w:pPr>
        <w:spacing w:after="0" w:line="17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DISCONTINUED OPERATIONS</w:t>
      </w:r>
    </w:p>
    <w:p>
      <w:pPr>
        <w:spacing w:after="0" w:line="225" w:lineRule="exact"/>
        <w:rPr>
          <w:rFonts w:ascii="Arial" w:cs="Arial" w:eastAsia="Arial" w:hAnsi="Arial"/>
          <w:sz w:val="18"/>
          <w:szCs w:val="18"/>
          <w:color w:val="auto"/>
        </w:rPr>
      </w:pPr>
    </w:p>
    <w:p>
      <w:pPr>
        <w:ind w:left="340" w:right="60"/>
        <w:spacing w:after="0" w:line="312" w:lineRule="auto"/>
        <w:rPr>
          <w:rFonts w:ascii="Arial" w:cs="Arial" w:eastAsia="Arial" w:hAnsi="Arial"/>
          <w:sz w:val="18"/>
          <w:szCs w:val="18"/>
          <w:color w:val="auto"/>
        </w:rPr>
      </w:pPr>
      <w:r>
        <w:rPr>
          <w:rFonts w:ascii="Arial" w:cs="Arial" w:eastAsia="Arial" w:hAnsi="Arial"/>
          <w:sz w:val="16"/>
          <w:szCs w:val="16"/>
          <w:color w:val="auto"/>
        </w:rPr>
        <w:t>On September 30, 2004, the Company consummated the sale of the intangibles comprising its U.S. professional growing media business. The results of operations of the component are being reported as discontinued operations in the accompanying Condensed, Consolidated Statements of Operations. The detail comprising the discontinued operations for the three and six month periods ended March 27, 2004, is as follows (in millions).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8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SIX MONTHS</w:t>
            </w:r>
          </w:p>
        </w:tc>
      </w:tr>
      <w:tr>
        <w:trPr>
          <w:trHeight w:val="149"/>
        </w:trPr>
        <w:tc>
          <w:tcPr>
            <w:tcW w:w="8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8620" w:type="dxa"/>
            <w:vAlign w:val="bottom"/>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MARCH 27, 2004</w:t>
            </w:r>
          </w:p>
        </w:tc>
        <w:tc>
          <w:tcPr>
            <w:tcW w:w="42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MARCH 27, 2004</w:t>
            </w:r>
          </w:p>
        </w:tc>
        <w:tc>
          <w:tcPr>
            <w:tcW w:w="100" w:type="dxa"/>
            <w:vAlign w:val="bottom"/>
          </w:tcPr>
          <w:p>
            <w:pPr>
              <w:spacing w:after="0"/>
              <w:rPr>
                <w:sz w:val="14"/>
                <w:szCs w:val="14"/>
                <w:color w:val="auto"/>
              </w:rPr>
            </w:pPr>
          </w:p>
        </w:tc>
      </w:tr>
      <w:tr>
        <w:trPr>
          <w:trHeight w:val="210"/>
        </w:trPr>
        <w:tc>
          <w:tcPr>
            <w:tcW w:w="8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r>
      <w:tr>
        <w:trPr>
          <w:trHeight w:val="223"/>
        </w:trPr>
        <w:tc>
          <w:tcPr>
            <w:tcW w:w="8620" w:type="dxa"/>
            <w:vAlign w:val="bottom"/>
          </w:tcPr>
          <w:p>
            <w:pPr>
              <w:ind w:left="28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r>
      <w:tr>
        <w:trPr>
          <w:trHeight w:val="216"/>
        </w:trPr>
        <w:tc>
          <w:tcPr>
            <w:tcW w:w="86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r>
      <w:tr>
        <w:trPr>
          <w:trHeight w:val="223"/>
        </w:trPr>
        <w:tc>
          <w:tcPr>
            <w:tcW w:w="862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r>
      <w:tr>
        <w:trPr>
          <w:trHeight w:val="216"/>
        </w:trPr>
        <w:tc>
          <w:tcPr>
            <w:tcW w:w="86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Income from discontinued operations before income taxes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23"/>
        </w:trPr>
        <w:tc>
          <w:tcPr>
            <w:tcW w:w="8620" w:type="dxa"/>
            <w:vAlign w:val="bottom"/>
          </w:tcPr>
          <w:p>
            <w:pPr>
              <w:ind w:left="28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6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income from discontinued operations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0"/>
        </w:trPr>
        <w:tc>
          <w:tcPr>
            <w:tcW w:w="8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right="580"/>
        <w:spacing w:after="0" w:line="277" w:lineRule="auto"/>
        <w:rPr>
          <w:sz w:val="20"/>
          <w:szCs w:val="20"/>
          <w:color w:val="auto"/>
        </w:rPr>
      </w:pPr>
      <w:r>
        <w:rPr>
          <w:rFonts w:ascii="Arial" w:cs="Arial" w:eastAsia="Arial" w:hAnsi="Arial"/>
          <w:sz w:val="18"/>
          <w:szCs w:val="18"/>
          <w:color w:val="auto"/>
        </w:rPr>
        <w:t>During the three and six month periods ended April 2, 2005, an additional net loss of $0.1 million and $0.3 million, respectively, was recorded for discontinued operations relating to facility shutdown costs.</w:t>
      </w:r>
    </w:p>
    <w:p>
      <w:pPr>
        <w:spacing w:after="0" w:line="17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INFORMATION FOR SUBSIDIARY GUARANTORS AND NON-GUARANTORS</w:t>
      </w:r>
    </w:p>
    <w:p>
      <w:pPr>
        <w:spacing w:after="0" w:line="225" w:lineRule="exact"/>
        <w:rPr>
          <w:rFonts w:ascii="Arial" w:cs="Arial" w:eastAsia="Arial" w:hAnsi="Arial"/>
          <w:sz w:val="18"/>
          <w:szCs w:val="18"/>
          <w:color w:val="auto"/>
        </w:rPr>
      </w:pPr>
    </w:p>
    <w:p>
      <w:pPr>
        <w:ind w:left="340" w:right="40"/>
        <w:spacing w:after="0" w:line="276" w:lineRule="auto"/>
        <w:rPr>
          <w:rFonts w:ascii="Arial" w:cs="Arial" w:eastAsia="Arial" w:hAnsi="Arial"/>
          <w:sz w:val="18"/>
          <w:szCs w:val="18"/>
          <w:color w:val="auto"/>
        </w:rPr>
      </w:pPr>
      <w:r>
        <w:rPr>
          <w:rFonts w:ascii="Arial" w:cs="Arial" w:eastAsia="Arial" w:hAnsi="Arial"/>
          <w:sz w:val="17"/>
          <w:szCs w:val="17"/>
          <w:color w:val="auto"/>
        </w:rPr>
        <w:t>The 6 5/8% Senior Subordinated Notes are general obligations of Scotts Miracle-Gro and are guaranteed by all of the existing wholly-owned, domestic subsidiaries and all future wholly-owned, significant (as defined in Regulation S-X of the Securities and Exchange Commission) domestic subsidiaries of Scotts Miracle-Gro. These subsidiary guarantors jointly and severally guarantee Scotts Miracle-Gro’s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173"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The following unaudited information presents condensed, consolidating Statements of Operations for the three and six month periods ended April 2, 2005 and March 27, 2004, Statements of Cash Flows for the six month periods ended April 2, 2005 and March 27, 2004 and Balance Sheets as of April 2, 2005, March 27, 2004 and September 30, 2004.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CONDENSED, CONSOLIDATING STATEMENT OF OPERATIONS</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FOR THE THREE MONTHS ENDED APRIL 2, 2005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8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SUBSIDIARY</w:t>
            </w:r>
          </w:p>
        </w:tc>
        <w:tc>
          <w:tcPr>
            <w:tcW w:w="20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NON-</w:t>
            </w:r>
          </w:p>
        </w:tc>
        <w:tc>
          <w:tcPr>
            <w:tcW w:w="16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64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420.1</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189.3</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Cost of sales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259.7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98.7</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116.4</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commission earned from marketing agreement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Amortization of deferred marketing fee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Contribution expenses under marketing agreement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Net commission from marketing agreement</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Advertising</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27.4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Restructuring and other charges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Equity income in subsidiaries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(45.7)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45.7</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Intracompany allocations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(45.7)</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expense (income)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(45.7)</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Income taxes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23.0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(45.7)</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loss from discontinued operations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83.2</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(45.7)</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17</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MONTHS ENDED APRIL 2, 2005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8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SUBSIDIARY</w:t>
            </w:r>
          </w:p>
        </w:tc>
        <w:tc>
          <w:tcPr>
            <w:tcW w:w="20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w:t>
            </w:r>
          </w:p>
        </w:tc>
        <w:tc>
          <w:tcPr>
            <w:tcW w:w="16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62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483.0</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266.5</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1,031.2</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Cost of sales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298.4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184.9</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167.1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650.4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Gross profit</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Gross commission earned from marketing agreement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Amortization of deferred marketing fee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Contribution expenses under marketing agreement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4360" w:type="dxa"/>
            <w:vAlign w:val="bottom"/>
          </w:tcPr>
          <w:p>
            <w:pPr>
              <w:ind w:left="220"/>
              <w:spacing w:after="0"/>
              <w:rPr>
                <w:sz w:val="20"/>
                <w:szCs w:val="20"/>
                <w:color w:val="auto"/>
              </w:rPr>
            </w:pPr>
            <w:r>
              <w:rPr>
                <w:rFonts w:ascii="Arial" w:cs="Arial" w:eastAsia="Arial" w:hAnsi="Arial"/>
                <w:sz w:val="18"/>
                <w:szCs w:val="18"/>
                <w:color w:val="auto"/>
              </w:rPr>
              <w:t>Net commission from marketing agreement</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Advertising</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32.6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Restructuring and other charges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Equity income in subsidiaries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18.7</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Intracompany allocations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3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3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Net income (loss) from continuing operations</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3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Net income (loss)</w:t>
            </w: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3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18</w:t>
            </w: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3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 PERIOD ENDED APRIL 2, 2005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PARENT</w:t>
            </w:r>
          </w:p>
        </w:tc>
        <w:tc>
          <w:tcPr>
            <w:tcW w:w="300" w:type="dxa"/>
            <w:vAlign w:val="bottom"/>
          </w:tcPr>
          <w:p>
            <w:pPr>
              <w:spacing w:after="0"/>
              <w:rPr>
                <w:sz w:val="14"/>
                <w:szCs w:val="14"/>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SUBSIDIARY</w:t>
            </w:r>
          </w:p>
        </w:tc>
        <w:tc>
          <w:tcPr>
            <w:tcW w:w="20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w:t>
            </w:r>
          </w:p>
        </w:tc>
        <w:tc>
          <w:tcPr>
            <w:tcW w:w="16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62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(18.7)</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Adjustments to reconcile net income (loss) to net cash used in</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Impairment of intangible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Deferred taxes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income in subsidiaries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change in certain components of working capital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(280.2)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(73.0)</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(152.5)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w w:val="91"/>
              </w:rPr>
              <w:t>Net changes in other assets and liabilities and other adjustments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(252.3)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(37.3)</w:t>
            </w: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(126.4)</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Redemption of available for sale securities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57.2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property, plant and equipment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 in acquired businesses, net of cash acquired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(76.6)</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revolving and bank lines of credit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Repayments under revolving and bank lines of credit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Repayment of term loans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Financing fees,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Payments on seller notes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Cash received from the exercise of stock options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Intracompany financing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125.9</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Net increase (decrease) in cash</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19</w:t>
            </w: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APRIL 2, 2005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4"/>
                <w:szCs w:val="14"/>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SUBSIDIARY</w:t>
            </w: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w:t>
            </w: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4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9"/>
              </w:rPr>
              <w:t>GUARANTORS</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300" w:type="dxa"/>
            <w:vAlign w:val="bottom"/>
            <w:gridSpan w:val="3"/>
            <w:vMerge w:val="continue"/>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Current assets: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6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325.6</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261.9</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132.3</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Current deferred tax asset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and other assets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328.5</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433.0</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43.6</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133.0</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127.7</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assets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47.2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affiliates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1,244.1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(1,244.1)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Intracompany assets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(303.2)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2,136.5</w:t>
            </w:r>
          </w:p>
        </w:tc>
        <w:tc>
          <w:tcPr>
            <w:tcW w:w="6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737.5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(1,547.3)</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Current portion of debt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6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83.7</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133.2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119.3</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taxes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222.1</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362.9</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liabilities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114.9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27.6</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Intracompany liabilities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98.7</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1,218.0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711.3</w:t>
            </w:r>
          </w:p>
        </w:tc>
        <w:tc>
          <w:tcPr>
            <w:tcW w:w="3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918.5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(1,244.1)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2,136.5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1,334.3</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737.5</w:t>
            </w: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w w:val="89"/>
              </w:rPr>
              <w:t>20</w:t>
            </w: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MARCH 27, 2004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8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SUBSIDIARY</w:t>
            </w:r>
          </w:p>
        </w:tc>
        <w:tc>
          <w:tcPr>
            <w:tcW w:w="20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w:t>
            </w:r>
          </w:p>
        </w:tc>
        <w:tc>
          <w:tcPr>
            <w:tcW w:w="16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62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418.7</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172.8</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Cost of sales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257.7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72.9</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104.6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commission earned from marketing agreement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Amortization of deferred marketing fee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Contribution expense under marketing agreement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Net commission from marketing agreement</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Advertising</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28.4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Restructuring and other charges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Equity income in subsidiaries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40.7</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Intracompany allocations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income, net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refinancing</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3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Net income from continuing operations</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3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discontinued operations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3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21</w:t>
            </w: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CONDENSED, CONSOLIDATING STATEMENT OF OPERATIONS</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FOR THE SIX MONTHS ENDED MARCH 27, 2004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8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SUBSIDIARY</w:t>
            </w:r>
          </w:p>
        </w:tc>
        <w:tc>
          <w:tcPr>
            <w:tcW w:w="20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w:t>
            </w:r>
          </w:p>
        </w:tc>
        <w:tc>
          <w:tcPr>
            <w:tcW w:w="16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62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479.4</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239.1</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Cost of sales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294.4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145.0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commission earned from marketing agreement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Amortization of deferred marketing fee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Contribution expense under marketing agreement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ind w:left="200"/>
              <w:spacing w:after="0"/>
              <w:rPr>
                <w:sz w:val="20"/>
                <w:szCs w:val="20"/>
                <w:color w:val="auto"/>
              </w:rPr>
            </w:pPr>
            <w:r>
              <w:rPr>
                <w:rFonts w:ascii="Arial" w:cs="Arial" w:eastAsia="Arial" w:hAnsi="Arial"/>
                <w:sz w:val="18"/>
                <w:szCs w:val="18"/>
                <w:color w:val="auto"/>
              </w:rPr>
              <w:t>Net commission from marketing agreement</w:t>
            </w: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Advertising</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32.6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Restructuring and other charges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Equity income in subsidiaries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25.7</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Intracompany allocations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income, net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(25.7)</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20.2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refinancing</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3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Net income from continuing operations</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3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discontinued operations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3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22</w:t>
            </w: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THE SCOTTS MIRACLE-GRO COMPANY CONDENSED, CONSOLIDATING STATEMENT OF CASH FLOWS FOR THE SIX MONTH PERIOD ENDED MARCH 27, 2004 (IN MILLIONS) (UNAUDITED)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PARENT</w:t>
            </w:r>
          </w:p>
        </w:tc>
        <w:tc>
          <w:tcPr>
            <w:tcW w:w="300" w:type="dxa"/>
            <w:vAlign w:val="bottom"/>
          </w:tcPr>
          <w:p>
            <w:pPr>
              <w:spacing w:after="0"/>
              <w:rPr>
                <w:sz w:val="14"/>
                <w:szCs w:val="14"/>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SUBSIDIARY</w:t>
            </w:r>
          </w:p>
        </w:tc>
        <w:tc>
          <w:tcPr>
            <w:tcW w:w="20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w:t>
            </w:r>
          </w:p>
        </w:tc>
        <w:tc>
          <w:tcPr>
            <w:tcW w:w="16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62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(25.7)</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income to net cash used in</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Write-off of deferred costs on retired debt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44.3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Deferred taxes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income in subsidiaries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25.7</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change in certain components of working capital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(317.0)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(125.4)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w w:val="91"/>
              </w:rPr>
              <w:t>Net changes in other assets and liabilities and other adjustments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(279.1)</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(106.9)</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 in property, plant and equipment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acquired businesses, net of cash acquired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Borrowings under revolving and bank lines of credit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39.8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415.7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Repayments under revolving and bank lines of credit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(87.8)</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Proceeds from issuance of term loans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Repayment of term loans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(240.5)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Issuance of 6 5/8% Notes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Redemption of 8 5/8% Notes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(418.0)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Financing fees,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Payments on seller notes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Cash received from the exercise of stock options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Intracompany financing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123.6</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Net increase (decrease) in cash</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(127.5)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23</w:t>
            </w: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MARCH 27, 2004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4"/>
                <w:szCs w:val="14"/>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NON-</w:t>
            </w: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4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9"/>
              </w:rPr>
              <w:t>GUARANTORS</w:t>
            </w:r>
          </w:p>
        </w:tc>
        <w:tc>
          <w:tcPr>
            <w:tcW w:w="1580" w:type="dxa"/>
            <w:vAlign w:val="bottom"/>
            <w:gridSpan w:val="4"/>
          </w:tcPr>
          <w:p>
            <w:pPr>
              <w:ind w:left="180"/>
              <w:spacing w:after="0"/>
              <w:rPr>
                <w:sz w:val="20"/>
                <w:szCs w:val="20"/>
                <w:color w:val="auto"/>
              </w:rPr>
            </w:pPr>
            <w:r>
              <w:rPr>
                <w:rFonts w:ascii="Arial" w:cs="Arial" w:eastAsia="Arial" w:hAnsi="Arial"/>
                <w:sz w:val="14"/>
                <w:szCs w:val="14"/>
                <w:b w:val="1"/>
                <w:bCs w:val="1"/>
                <w:color w:val="auto"/>
              </w:rPr>
              <w:t>GUARANTORS</w:t>
            </w:r>
          </w:p>
        </w:tc>
        <w:tc>
          <w:tcPr>
            <w:tcW w:w="1300" w:type="dxa"/>
            <w:vAlign w:val="bottom"/>
            <w:gridSpan w:val="3"/>
            <w:vMerge w:val="continue"/>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Current assets: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6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355.1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251.0</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106.8</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Current deferred tax asset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58.8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and other assets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3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127.7</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146.9</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assets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41.2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affiliates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1,071.1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(1,071.1)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Intracompany assets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(225.1)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2,008.3</w:t>
            </w:r>
          </w:p>
        </w:tc>
        <w:tc>
          <w:tcPr>
            <w:tcW w:w="6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1,132.5</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696.7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(1,296.2)</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Current portion of debt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6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102.6</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130.7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36.6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95.8</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taxes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3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711.7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323.3</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liabilities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144.3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Intracompany liabilities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101.8</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1,262.5</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659.0</w:t>
            </w:r>
          </w:p>
        </w:tc>
        <w:tc>
          <w:tcPr>
            <w:tcW w:w="3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37.7</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(1,071.1)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2,008.3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696.7</w:t>
            </w:r>
          </w:p>
        </w:tc>
        <w:tc>
          <w:tcPr>
            <w:tcW w:w="3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w w:val="89"/>
              </w:rPr>
              <w:t>24</w:t>
            </w: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SEPTEMBER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4"/>
                <w:szCs w:val="14"/>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NON-</w:t>
            </w: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4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9"/>
              </w:rPr>
              <w:t>GUARANTORS</w:t>
            </w:r>
          </w:p>
        </w:tc>
        <w:tc>
          <w:tcPr>
            <w:tcW w:w="1580" w:type="dxa"/>
            <w:vAlign w:val="bottom"/>
            <w:gridSpan w:val="4"/>
          </w:tcPr>
          <w:p>
            <w:pPr>
              <w:ind w:left="180"/>
              <w:spacing w:after="0"/>
              <w:rPr>
                <w:sz w:val="20"/>
                <w:szCs w:val="20"/>
                <w:color w:val="auto"/>
              </w:rPr>
            </w:pPr>
            <w:r>
              <w:rPr>
                <w:rFonts w:ascii="Arial" w:cs="Arial" w:eastAsia="Arial" w:hAnsi="Arial"/>
                <w:sz w:val="14"/>
                <w:szCs w:val="14"/>
                <w:b w:val="1"/>
                <w:bCs w:val="1"/>
                <w:color w:val="auto"/>
              </w:rPr>
              <w:t>GUARANTORS</w:t>
            </w:r>
          </w:p>
        </w:tc>
        <w:tc>
          <w:tcPr>
            <w:tcW w:w="1300" w:type="dxa"/>
            <w:vAlign w:val="bottom"/>
            <w:gridSpan w:val="3"/>
            <w:vMerge w:val="continue"/>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Current assets: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w:t>
            </w:r>
          </w:p>
        </w:tc>
        <w:tc>
          <w:tcPr>
            <w:tcW w:w="6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57.2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83.7</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Inventories, 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132.8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57.5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99.8</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deferred tax asset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Prepaid and other assets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242.0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191.2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92.8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44.0</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154.5</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Intangible assets, 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146.2</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1,176.0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(1,176.0)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Intracompany assets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420"/>
              <w:spacing w:after="0"/>
              <w:rPr>
                <w:sz w:val="20"/>
                <w:szCs w:val="20"/>
                <w:color w:val="auto"/>
              </w:rPr>
            </w:pPr>
            <w:r>
              <w:rPr>
                <w:rFonts w:ascii="Arial" w:cs="Arial" w:eastAsia="Arial" w:hAnsi="Arial"/>
                <w:sz w:val="18"/>
                <w:szCs w:val="18"/>
                <w:color w:val="auto"/>
              </w:rPr>
              <w:t>Total assets</w:t>
            </w:r>
          </w:p>
        </w:tc>
        <w:tc>
          <w:tcPr>
            <w:tcW w:w="6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1,841.5</w:t>
            </w:r>
          </w:p>
        </w:tc>
        <w:tc>
          <w:tcPr>
            <w:tcW w:w="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1,195.9</w:t>
            </w:r>
          </w:p>
        </w:tc>
        <w:tc>
          <w:tcPr>
            <w:tcW w:w="18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581.3</w:t>
            </w:r>
          </w:p>
        </w:tc>
        <w:tc>
          <w:tcPr>
            <w:tcW w:w="380" w:type="dxa"/>
            <w:vAlign w:val="bottom"/>
            <w:vMerge w:val="continue"/>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(1,570.9)</w:t>
            </w:r>
          </w:p>
        </w:tc>
        <w:tc>
          <w:tcPr>
            <w:tcW w:w="160" w:type="dxa"/>
            <w:vAlign w:val="bottom"/>
            <w:vMerge w:val="continue"/>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Current liabilities: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debt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6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61.6</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52.5</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98.8</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Accrued taxes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162.4</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Long-term debt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604.8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Intracompany liabilities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364.9</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(394.9)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966.9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543.1</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Shareholders’ equity</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874.6</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3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1,841.5</w:t>
            </w:r>
          </w:p>
        </w:tc>
        <w:tc>
          <w:tcPr>
            <w:tcW w:w="6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1,195.9</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581.3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(1,570.9)</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w w:val="89"/>
              </w:rPr>
              <w:t>25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3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Scotts Miracle-Gro is dedicated to delivering strong, consistent financial results and outstanding shareholder returns by providing consumers with products of superior quality and value, to enhance their outdoor living environments. This strategy is embodied in our GroExcellence commitment. As we look to the future, we strive to take the Company to the next level of performance. We will do that by executing our Gro</w:t>
      </w:r>
      <w:r>
        <w:rPr>
          <w:rFonts w:ascii="Arial" w:cs="Arial" w:eastAsia="Arial" w:hAnsi="Arial"/>
          <w:sz w:val="18"/>
          <w:szCs w:val="18"/>
          <w:i w:val="1"/>
          <w:iCs w:val="1"/>
          <w:color w:val="auto"/>
        </w:rPr>
        <w:t>Excellence</w:t>
      </w:r>
      <w:r>
        <w:rPr>
          <w:rFonts w:ascii="Arial" w:cs="Arial" w:eastAsia="Arial" w:hAnsi="Arial"/>
          <w:sz w:val="18"/>
          <w:szCs w:val="18"/>
          <w:color w:val="auto"/>
        </w:rPr>
        <w:t xml:space="preserve"> strategy captured in just three words: Gro, Excel, Win.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will </w:t>
      </w:r>
      <w:r>
        <w:rPr>
          <w:rFonts w:ascii="Arial" w:cs="Arial" w:eastAsia="Arial" w:hAnsi="Arial"/>
          <w:sz w:val="18"/>
          <w:szCs w:val="18"/>
          <w:u w:val="single" w:color="auto"/>
          <w:color w:val="auto"/>
        </w:rPr>
        <w:t>Gro</w:t>
      </w:r>
      <w:r>
        <w:rPr>
          <w:rFonts w:ascii="Arial" w:cs="Arial" w:eastAsia="Arial" w:hAnsi="Arial"/>
          <w:sz w:val="18"/>
          <w:szCs w:val="18"/>
          <w:color w:val="auto"/>
        </w:rPr>
        <w:t xml:space="preserve"> by...</w:t>
      </w:r>
    </w:p>
    <w:p>
      <w:pPr>
        <w:spacing w:after="0" w:line="198" w:lineRule="exact"/>
        <w:rPr>
          <w:sz w:val="20"/>
          <w:szCs w:val="20"/>
          <w:color w:val="auto"/>
        </w:rPr>
      </w:pPr>
    </w:p>
    <w:p>
      <w:pPr>
        <w:ind w:left="520" w:hanging="24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Focussing on our core business</w:t>
      </w:r>
    </w:p>
    <w:p>
      <w:pPr>
        <w:spacing w:after="0" w:line="23" w:lineRule="exact"/>
        <w:rPr>
          <w:rFonts w:ascii="Arial" w:cs="Arial" w:eastAsia="Arial" w:hAnsi="Arial"/>
          <w:sz w:val="18"/>
          <w:szCs w:val="18"/>
          <w:color w:val="auto"/>
        </w:rPr>
      </w:pPr>
    </w:p>
    <w:p>
      <w:pPr>
        <w:ind w:left="520" w:hanging="24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Extending our reach in all areas</w:t>
      </w:r>
    </w:p>
    <w:p>
      <w:pPr>
        <w:spacing w:after="0" w:line="9" w:lineRule="exact"/>
        <w:rPr>
          <w:rFonts w:ascii="Arial" w:cs="Arial" w:eastAsia="Arial" w:hAnsi="Arial"/>
          <w:sz w:val="18"/>
          <w:szCs w:val="18"/>
          <w:color w:val="auto"/>
        </w:rPr>
      </w:pPr>
    </w:p>
    <w:p>
      <w:pPr>
        <w:ind w:left="520" w:hanging="24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Providing products for garden-inspired lifestyles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will </w:t>
      </w:r>
      <w:r>
        <w:rPr>
          <w:rFonts w:ascii="Arial" w:cs="Arial" w:eastAsia="Arial" w:hAnsi="Arial"/>
          <w:sz w:val="18"/>
          <w:szCs w:val="18"/>
          <w:u w:val="single" w:color="auto"/>
          <w:color w:val="auto"/>
        </w:rPr>
        <w:t>Excel</w:t>
      </w:r>
      <w:r>
        <w:rPr>
          <w:rFonts w:ascii="Arial" w:cs="Arial" w:eastAsia="Arial" w:hAnsi="Arial"/>
          <w:sz w:val="18"/>
          <w:szCs w:val="18"/>
          <w:color w:val="auto"/>
        </w:rPr>
        <w:t xml:space="preserve"> by...</w:t>
      </w:r>
    </w:p>
    <w:p>
      <w:pPr>
        <w:spacing w:after="0" w:line="185" w:lineRule="exact"/>
        <w:rPr>
          <w:sz w:val="20"/>
          <w:szCs w:val="20"/>
          <w:color w:val="auto"/>
        </w:rPr>
      </w:pPr>
    </w:p>
    <w:p>
      <w:pPr>
        <w:ind w:left="520" w:hanging="24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a high-performance culture</w:t>
      </w:r>
    </w:p>
    <w:p>
      <w:pPr>
        <w:spacing w:after="0" w:line="23" w:lineRule="exact"/>
        <w:rPr>
          <w:rFonts w:ascii="Arial" w:cs="Arial" w:eastAsia="Arial" w:hAnsi="Arial"/>
          <w:sz w:val="18"/>
          <w:szCs w:val="18"/>
          <w:color w:val="auto"/>
        </w:rPr>
      </w:pPr>
    </w:p>
    <w:p>
      <w:pPr>
        <w:ind w:left="520" w:hanging="24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Driving innovation in all areas</w:t>
      </w:r>
    </w:p>
    <w:p>
      <w:pPr>
        <w:spacing w:after="0" w:line="9" w:lineRule="exact"/>
        <w:rPr>
          <w:rFonts w:ascii="Arial" w:cs="Arial" w:eastAsia="Arial" w:hAnsi="Arial"/>
          <w:sz w:val="18"/>
          <w:szCs w:val="18"/>
          <w:color w:val="auto"/>
        </w:rPr>
      </w:pPr>
    </w:p>
    <w:p>
      <w:pPr>
        <w:ind w:left="520" w:hanging="24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Forgoing stronger relationships with our retail partners</w:t>
      </w:r>
    </w:p>
    <w:p>
      <w:pPr>
        <w:spacing w:after="0" w:line="9" w:lineRule="exact"/>
        <w:rPr>
          <w:rFonts w:ascii="Arial" w:cs="Arial" w:eastAsia="Arial" w:hAnsi="Arial"/>
          <w:sz w:val="18"/>
          <w:szCs w:val="18"/>
          <w:color w:val="auto"/>
        </w:rPr>
      </w:pPr>
    </w:p>
    <w:p>
      <w:pPr>
        <w:ind w:left="520" w:hanging="24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Strengthening our infrastructure</w:t>
      </w:r>
    </w:p>
    <w:p>
      <w:pPr>
        <w:spacing w:after="0" w:line="9" w:lineRule="exact"/>
        <w:rPr>
          <w:rFonts w:ascii="Arial" w:cs="Arial" w:eastAsia="Arial" w:hAnsi="Arial"/>
          <w:sz w:val="18"/>
          <w:szCs w:val="18"/>
          <w:color w:val="auto"/>
        </w:rPr>
      </w:pPr>
    </w:p>
    <w:p>
      <w:pPr>
        <w:ind w:left="520" w:hanging="24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Demonstrating corporate responsibility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will </w:t>
      </w:r>
      <w:r>
        <w:rPr>
          <w:rFonts w:ascii="Arial" w:cs="Arial" w:eastAsia="Arial" w:hAnsi="Arial"/>
          <w:sz w:val="18"/>
          <w:szCs w:val="18"/>
          <w:u w:val="single" w:color="auto"/>
          <w:color w:val="auto"/>
        </w:rPr>
        <w:t>Win</w:t>
      </w:r>
      <w:r>
        <w:rPr>
          <w:rFonts w:ascii="Arial" w:cs="Arial" w:eastAsia="Arial" w:hAnsi="Arial"/>
          <w:sz w:val="18"/>
          <w:szCs w:val="18"/>
          <w:color w:val="auto"/>
        </w:rPr>
        <w:t xml:space="preserve"> by...</w:t>
      </w:r>
    </w:p>
    <w:p>
      <w:pPr>
        <w:spacing w:after="0" w:line="185" w:lineRule="exact"/>
        <w:rPr>
          <w:sz w:val="20"/>
          <w:szCs w:val="20"/>
          <w:color w:val="auto"/>
        </w:rPr>
      </w:pPr>
    </w:p>
    <w:p>
      <w:pPr>
        <w:ind w:left="520" w:hanging="24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Creating a dynamic, productive workspace</w:t>
      </w:r>
    </w:p>
    <w:p>
      <w:pPr>
        <w:spacing w:after="0" w:line="23" w:lineRule="exact"/>
        <w:rPr>
          <w:rFonts w:ascii="Arial" w:cs="Arial" w:eastAsia="Arial" w:hAnsi="Arial"/>
          <w:sz w:val="18"/>
          <w:szCs w:val="18"/>
          <w:color w:val="auto"/>
        </w:rPr>
      </w:pPr>
    </w:p>
    <w:p>
      <w:pPr>
        <w:ind w:left="520" w:hanging="24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our market share</w:t>
      </w:r>
    </w:p>
    <w:p>
      <w:pPr>
        <w:spacing w:after="0" w:line="9" w:lineRule="exact"/>
        <w:rPr>
          <w:rFonts w:ascii="Arial" w:cs="Arial" w:eastAsia="Arial" w:hAnsi="Arial"/>
          <w:sz w:val="18"/>
          <w:szCs w:val="18"/>
          <w:color w:val="auto"/>
        </w:rPr>
      </w:pPr>
    </w:p>
    <w:p>
      <w:pPr>
        <w:ind w:left="520" w:hanging="24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Enhancing shareholder value</w:t>
      </w:r>
    </w:p>
    <w:p>
      <w:pPr>
        <w:spacing w:after="0" w:line="9" w:lineRule="exact"/>
        <w:rPr>
          <w:rFonts w:ascii="Arial" w:cs="Arial" w:eastAsia="Arial" w:hAnsi="Arial"/>
          <w:sz w:val="18"/>
          <w:szCs w:val="18"/>
          <w:color w:val="auto"/>
        </w:rPr>
      </w:pPr>
    </w:p>
    <w:p>
      <w:pPr>
        <w:ind w:left="520" w:hanging="24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a positive difference in our communities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a leading manufacturer and marketer of consumer branded products for lawn and garden care and professional horticulture in North America and Europe. We also have a presence in Australia, the Far East, Latin America and South America. Also, in the United States, we operate what we believe to be the second largest residential lawn service business, Scotts LawnService®. In fiscal 2005, our operations are divided into the following segments: North America, Scotts LawnService®, International, and Other/Corporate. The Other/Corporate segment consists of the recently acquired Smith &amp; Hawken® business and corporate, general, and administrative expenses.</w:t>
      </w:r>
    </w:p>
    <w:p>
      <w:pPr>
        <w:spacing w:after="0" w:line="16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a leading consumer branded lawn and garden company, we focus our consumer marketing efforts, including advertising and consumer research, on creating consumer demand to pull products through the retail distribution channels. In the past three years, we have spent approximately 5% of our net sales annually on media advertising, steadily increasing this support of our products and brands. We have applied this consumer marketing focus for the past several years, and believe that the Company receives a significant return on these marketing expenditures. We expect to continue to focus our marketing efforts toward the consumer and make additional investments in consumer marketing expenditures in the future to continue to drive category growth and increased market share. In fiscal 2005, we expect to increase advertising to support new product launches under the Ortho®, Miracle-Gro® and Scotts® brands.</w:t>
      </w:r>
    </w:p>
    <w:p>
      <w:pPr>
        <w:spacing w:after="0" w:line="14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sales are susceptible to global weather conditions. For instance, periods of wet weather can adversely impact sales of certain products while increasing demand for other products. We believe that our past acquisitions have somewhat diversified both our product line risk and geographic risk to weather conditions.</w:t>
      </w:r>
    </w:p>
    <w:p>
      <w:pPr>
        <w:spacing w:after="0" w:line="14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Due to the nature of our lawn and garden business, the majority of our shipments to retailers have occurred in the second and third fiscal quarters. On a combined basis, net sales for the second and third quarters generally represent 70% to 75% of our annual net sales. The addition of our Smith &amp; Hawkenâ acquisition is not expected to significantly alter the percentage of net sales by quarter in fiscal 2005.</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income and expense as a percentage of net sales for the three and six month periods ended April 2, 2005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27, 2004:</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42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FOR THE</w:t>
            </w:r>
          </w:p>
        </w:tc>
        <w:tc>
          <w:tcPr>
            <w:tcW w:w="21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FOR THE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4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21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100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APRIL 2,</w:t>
            </w:r>
          </w:p>
        </w:tc>
        <w:tc>
          <w:tcPr>
            <w:tcW w:w="9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27,</w:t>
            </w:r>
          </w:p>
        </w:tc>
        <w:tc>
          <w:tcPr>
            <w:tcW w:w="480" w:type="dxa"/>
            <w:vAlign w:val="bottom"/>
          </w:tcPr>
          <w:p>
            <w:pPr>
              <w:spacing w:after="0"/>
              <w:rPr>
                <w:sz w:val="10"/>
                <w:szCs w:val="10"/>
                <w:color w:val="auto"/>
              </w:rPr>
            </w:pPr>
          </w:p>
        </w:tc>
        <w:tc>
          <w:tcPr>
            <w:tcW w:w="1000" w:type="dxa"/>
            <w:vAlign w:val="bottom"/>
            <w:tcBorders>
              <w:top w:val="single" w:sz="8" w:color="auto"/>
            </w:tcBorders>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APRIL 2,</w:t>
            </w:r>
          </w:p>
        </w:tc>
        <w:tc>
          <w:tcPr>
            <w:tcW w:w="9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27,</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gridSpan w:val="4"/>
          </w:tcPr>
          <w:p>
            <w:pPr>
              <w:jc w:val="right"/>
              <w:ind w:right="800"/>
              <w:spacing w:after="0" w:line="142"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Cost of sales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60.3</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60.2</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63.1</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4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commission from marketing agreement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14.8</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20.6</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Selling, general and administrative - - lawn service business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1.9</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0.4</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Restructuring and other charges</w:t>
            </w: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0.0</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17.1</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24.1</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Advertising</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5.5</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5.4</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0.3</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Impairment of intangibles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 (income), net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4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refinancing</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0.1</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17.1</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16.3</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Income tax 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6.3</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Net income from discontinued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net sales by business segment for the three and six month periods ended April 2, 2005 and March 27, 2004 (in millions):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left="355"/>
              <w:spacing w:after="0"/>
              <w:rPr>
                <w:sz w:val="20"/>
                <w:szCs w:val="20"/>
                <w:color w:val="auto"/>
              </w:rPr>
            </w:pPr>
            <w:r>
              <w:rPr>
                <w:rFonts w:ascii="Arial" w:cs="Arial" w:eastAsia="Arial" w:hAnsi="Arial"/>
                <w:sz w:val="14"/>
                <w:szCs w:val="14"/>
                <w:b w:val="1"/>
                <w:bCs w:val="1"/>
                <w:color w:val="auto"/>
              </w:rPr>
              <w:t>FOR THE</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left="357"/>
              <w:spacing w:after="0"/>
              <w:rPr>
                <w:sz w:val="20"/>
                <w:szCs w:val="20"/>
                <w:color w:val="auto"/>
              </w:rPr>
            </w:pPr>
            <w:r>
              <w:rPr>
                <w:rFonts w:ascii="Arial" w:cs="Arial" w:eastAsia="Arial" w:hAnsi="Arial"/>
                <w:sz w:val="14"/>
                <w:szCs w:val="14"/>
                <w:b w:val="1"/>
                <w:bCs w:val="1"/>
                <w:color w:val="auto"/>
              </w:rPr>
              <w:t>FOR THE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34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120" w:type="dxa"/>
            <w:vAlign w:val="bottom"/>
            <w:tcBorders>
              <w:top w:val="single" w:sz="8" w:color="auto"/>
            </w:tcBorders>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rPr>
              <w:t>APRIL 2,</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27,</w:t>
            </w:r>
          </w:p>
        </w:tc>
        <w:tc>
          <w:tcPr>
            <w:tcW w:w="440" w:type="dxa"/>
            <w:vAlign w:val="bottom"/>
          </w:tcPr>
          <w:p>
            <w:pPr>
              <w:spacing w:after="0"/>
              <w:rPr>
                <w:sz w:val="10"/>
                <w:szCs w:val="10"/>
                <w:color w:val="auto"/>
              </w:rPr>
            </w:pPr>
          </w:p>
        </w:tc>
        <w:tc>
          <w:tcPr>
            <w:tcW w:w="1120" w:type="dxa"/>
            <w:vAlign w:val="bottom"/>
            <w:tcBorders>
              <w:top w:val="single" w:sz="8" w:color="auto"/>
            </w:tcBorders>
            <w:gridSpan w:val="3"/>
          </w:tcPr>
          <w:p>
            <w:pPr>
              <w:ind w:left="40"/>
              <w:spacing w:after="0" w:line="119" w:lineRule="exact"/>
              <w:rPr>
                <w:sz w:val="20"/>
                <w:szCs w:val="20"/>
                <w:color w:val="auto"/>
              </w:rPr>
            </w:pPr>
            <w:r>
              <w:rPr>
                <w:rFonts w:ascii="Arial" w:cs="Arial" w:eastAsia="Arial" w:hAnsi="Arial"/>
                <w:sz w:val="13"/>
                <w:szCs w:val="13"/>
                <w:b w:val="1"/>
                <w:bCs w:val="1"/>
                <w:color w:val="auto"/>
              </w:rPr>
              <w:t>APRIL 2,</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40" w:type="dxa"/>
            <w:vAlign w:val="bottom"/>
            <w:gridSpan w:val="5"/>
          </w:tcPr>
          <w:p>
            <w:pPr>
              <w:ind w:left="320"/>
              <w:spacing w:after="0" w:line="142"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583.6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696.5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662.7</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Scotts LawnService®</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42.5</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157.9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148.7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226.3</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Other/Corporate</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65.9</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787.3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1,031.2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905.1</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480" w:type="dxa"/>
            <w:vAlign w:val="bottom"/>
            <w:vMerge w:val="restart"/>
          </w:tcPr>
          <w:p>
            <w:pPr>
              <w:jc w:val="right"/>
              <w:ind w:right="1190"/>
              <w:spacing w:after="0"/>
              <w:rPr>
                <w:sz w:val="20"/>
                <w:szCs w:val="20"/>
                <w:color w:val="auto"/>
              </w:rPr>
            </w:pPr>
            <w:r>
              <w:rPr>
                <w:rFonts w:ascii="Arial" w:cs="Arial" w:eastAsia="Arial" w:hAnsi="Arial"/>
                <w:sz w:val="18"/>
                <w:szCs w:val="18"/>
                <w:color w:val="auto"/>
              </w:rPr>
              <w:t>27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60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APRIL 2, 2005 COMPARED TO THREE MONTHS ENDED MARCH 27, 2004</w:t>
      </w:r>
    </w:p>
    <w:p>
      <w:pPr>
        <w:spacing w:after="0" w:line="225" w:lineRule="exact"/>
        <w:rPr>
          <w:sz w:val="20"/>
          <w:szCs w:val="20"/>
          <w:color w:val="auto"/>
        </w:rPr>
      </w:pPr>
    </w:p>
    <w:p>
      <w:pPr>
        <w:ind w:left="140"/>
        <w:spacing w:after="0" w:line="259" w:lineRule="auto"/>
        <w:rPr>
          <w:sz w:val="20"/>
          <w:szCs w:val="20"/>
          <w:color w:val="auto"/>
        </w:rPr>
      </w:pPr>
      <w:r>
        <w:rPr>
          <w:rFonts w:ascii="Arial" w:cs="Arial" w:eastAsia="Arial" w:hAnsi="Arial"/>
          <w:sz w:val="18"/>
          <w:szCs w:val="18"/>
          <w:color w:val="auto"/>
        </w:rPr>
        <w:t>Net sales for the three months ended April 2, 2005 were $787.3 million, an increase of 8.8% from net sales of $723.7 million for the three months ended March 27, 2004. Excluding the impact of Smith &amp; Hawkenâ, net sales for the second quarter of fiscal 2005 were $763.0 million, an increase of 5.4% from the second quarter of fiscal 2004. Price increases and foreign exchange rate changes accounted for 2.3% and 1.3% of the increase in net sales for the second quarter, respectively.</w:t>
      </w:r>
    </w:p>
    <w:p>
      <w:pPr>
        <w:spacing w:after="0" w:line="187" w:lineRule="exact"/>
        <w:rPr>
          <w:sz w:val="20"/>
          <w:szCs w:val="20"/>
          <w:color w:val="auto"/>
        </w:rPr>
      </w:pPr>
    </w:p>
    <w:p>
      <w:pPr>
        <w:ind w:left="140" w:right="60"/>
        <w:spacing w:after="0" w:line="308" w:lineRule="auto"/>
        <w:rPr>
          <w:sz w:val="20"/>
          <w:szCs w:val="20"/>
          <w:color w:val="auto"/>
        </w:rPr>
      </w:pPr>
      <w:r>
        <w:rPr>
          <w:rFonts w:ascii="Arial" w:cs="Arial" w:eastAsia="Arial" w:hAnsi="Arial"/>
          <w:sz w:val="17"/>
          <w:szCs w:val="17"/>
          <w:color w:val="auto"/>
        </w:rPr>
        <w:t>The North America segment net sales were $583.6 million in the second quarter of fiscal 2005, an increase of 4.5% from net sales of $558.7 million for the second quarter of fiscal 2004. This increase was driven primarily by price increases, and shipments of Gardens and Orthoâ products.</w:t>
      </w:r>
    </w:p>
    <w:p>
      <w:pPr>
        <w:spacing w:after="0" w:line="147" w:lineRule="exact"/>
        <w:rPr>
          <w:sz w:val="20"/>
          <w:szCs w:val="20"/>
          <w:color w:val="auto"/>
        </w:rPr>
      </w:pPr>
    </w:p>
    <w:p>
      <w:pPr>
        <w:jc w:val="both"/>
        <w:ind w:left="140" w:right="300"/>
        <w:spacing w:after="0" w:line="264" w:lineRule="auto"/>
        <w:rPr>
          <w:sz w:val="20"/>
          <w:szCs w:val="20"/>
          <w:color w:val="auto"/>
        </w:rPr>
      </w:pPr>
      <w:r>
        <w:rPr>
          <w:rFonts w:ascii="Arial" w:cs="Arial" w:eastAsia="Arial" w:hAnsi="Arial"/>
          <w:sz w:val="18"/>
          <w:szCs w:val="18"/>
          <w:color w:val="auto"/>
        </w:rPr>
        <w:t>Scotts LawnService® net sales increased 32.5% from $16.3 million in the second quarter of fiscal 2004 to $21.6 million in the second quarter of fiscal 2005. Continued strong organic growth was the primary contributor to this increase as improved customer retention and favorable conditions in warmer weather markets more than offset the impact of unfavorable March weather.</w:t>
      </w:r>
    </w:p>
    <w:p>
      <w:pPr>
        <w:spacing w:after="0" w:line="181" w:lineRule="exact"/>
        <w:rPr>
          <w:sz w:val="20"/>
          <w:szCs w:val="20"/>
          <w:color w:val="auto"/>
        </w:rPr>
      </w:pPr>
    </w:p>
    <w:p>
      <w:pPr>
        <w:ind w:left="140" w:right="160"/>
        <w:spacing w:after="0" w:line="264" w:lineRule="auto"/>
        <w:rPr>
          <w:sz w:val="20"/>
          <w:szCs w:val="20"/>
          <w:color w:val="auto"/>
        </w:rPr>
      </w:pPr>
      <w:r>
        <w:rPr>
          <w:rFonts w:ascii="Arial" w:cs="Arial" w:eastAsia="Arial" w:hAnsi="Arial"/>
          <w:sz w:val="18"/>
          <w:szCs w:val="18"/>
          <w:color w:val="auto"/>
        </w:rPr>
        <w:t>Net sales for the International segment in the second quarter of fiscal 2005 were $157.9 million, an increase of $9.2 million, or 6.2%, versus the second quarter of fiscal 2004. Excluding the effect of foreign exchange rates, net sales increased by 1.0 %. Strong early season sales in the United Kingdom were offset by a late start to the season on the European continent.</w:t>
      </w:r>
    </w:p>
    <w:p>
      <w:pPr>
        <w:spacing w:after="0" w:line="181" w:lineRule="exact"/>
        <w:rPr>
          <w:sz w:val="20"/>
          <w:szCs w:val="20"/>
          <w:color w:val="auto"/>
        </w:rPr>
      </w:pPr>
    </w:p>
    <w:p>
      <w:pPr>
        <w:ind w:left="140" w:right="60"/>
        <w:spacing w:after="0" w:line="273" w:lineRule="auto"/>
        <w:rPr>
          <w:sz w:val="20"/>
          <w:szCs w:val="20"/>
          <w:color w:val="auto"/>
        </w:rPr>
      </w:pPr>
      <w:r>
        <w:rPr>
          <w:rFonts w:ascii="Arial" w:cs="Arial" w:eastAsia="Arial" w:hAnsi="Arial"/>
          <w:sz w:val="17"/>
          <w:szCs w:val="17"/>
          <w:color w:val="auto"/>
        </w:rPr>
        <w:t>Gross profit increased $24.2 million or 8.4% for the second quarter. Gross profit margin declined 10 basis points versus the prior year. Excluding Smith &amp; Hawkenâ, second quarter gross profit increased 6.6% or 40 basis points. North America gross profit margin in the second quarter of fiscal 2005 improved primarily due to product mix. Price increases were generally offset by higher commodity costs. Gross profit margin declined in the International segment due primarily to higher commodity and supply chain costs. Scotts LawnServiceâ gross profit margins improved in the second quarter as higher sales were leveraged over fixed costs. Gross profit margins for Smith &amp; Hawkenâ for the second quarter were below the company average. This is primarily the result of fixed occupancy costs during the lowest sales quarter for Smith &amp; Hawkenâ.</w:t>
      </w:r>
    </w:p>
    <w:p>
      <w:pPr>
        <w:spacing w:after="0" w:line="178" w:lineRule="exact"/>
        <w:rPr>
          <w:sz w:val="20"/>
          <w:szCs w:val="20"/>
          <w:color w:val="auto"/>
        </w:rPr>
      </w:pPr>
    </w:p>
    <w:p>
      <w:pPr>
        <w:ind w:left="140" w:right="60"/>
        <w:spacing w:after="0" w:line="286" w:lineRule="auto"/>
        <w:rPr>
          <w:sz w:val="20"/>
          <w:szCs w:val="20"/>
          <w:color w:val="auto"/>
        </w:rPr>
      </w:pPr>
      <w:r>
        <w:rPr>
          <w:rFonts w:ascii="Arial" w:cs="Arial" w:eastAsia="Arial" w:hAnsi="Arial"/>
          <w:sz w:val="17"/>
          <w:szCs w:val="17"/>
          <w:color w:val="auto"/>
        </w:rPr>
        <w:t>The net commission from the Roundupâ marketing agreement was $15.1 million in the second quarter of fiscal 2005 and $8.2 million in the second quarter of fiscal 2004. The increase from the prior year’s comparable period is driven primarily by new product retail sell-in and overall increased sales volume. This early season sales increase resulted in achievement of the minimum earnings threshold earlier in 2005 as compared to 2004.</w:t>
      </w:r>
    </w:p>
    <w:p>
      <w:pPr>
        <w:spacing w:after="0" w:line="166" w:lineRule="exact"/>
        <w:rPr>
          <w:sz w:val="20"/>
          <w:szCs w:val="20"/>
          <w:color w:val="auto"/>
        </w:rPr>
      </w:pPr>
    </w:p>
    <w:p>
      <w:pPr>
        <w:ind w:left="140" w:right="140"/>
        <w:spacing w:after="0" w:line="264" w:lineRule="auto"/>
        <w:rPr>
          <w:sz w:val="20"/>
          <w:szCs w:val="20"/>
          <w:color w:val="auto"/>
        </w:rPr>
      </w:pPr>
      <w:r>
        <w:rPr>
          <w:rFonts w:ascii="Arial" w:cs="Arial" w:eastAsia="Arial" w:hAnsi="Arial"/>
          <w:sz w:val="18"/>
          <w:szCs w:val="18"/>
          <w:color w:val="auto"/>
        </w:rPr>
        <w:t>Advertising expenses in the second quarter of fiscal 2005 were $41.0 million, compared to $39.8 million in the second quarter of fiscal 2004. Excluding Smith &amp; Hawkenâ, advertising expenses were 5.1% of net sales in the second quarter, compared to 5.5% in 2004. This reflects a shift in brand mix for the quarter, and lower overall International advertising spending.</w:t>
      </w:r>
    </w:p>
    <w:p>
      <w:pPr>
        <w:spacing w:after="0" w:line="181" w:lineRule="exact"/>
        <w:rPr>
          <w:sz w:val="20"/>
          <w:szCs w:val="20"/>
          <w:color w:val="auto"/>
        </w:rPr>
      </w:pPr>
    </w:p>
    <w:p>
      <w:pPr>
        <w:ind w:left="140" w:right="140"/>
        <w:spacing w:after="0" w:line="276" w:lineRule="auto"/>
        <w:rPr>
          <w:sz w:val="20"/>
          <w:szCs w:val="20"/>
          <w:color w:val="auto"/>
        </w:rPr>
      </w:pPr>
      <w:r>
        <w:rPr>
          <w:rFonts w:ascii="Arial" w:cs="Arial" w:eastAsia="Arial" w:hAnsi="Arial"/>
          <w:sz w:val="17"/>
          <w:szCs w:val="17"/>
          <w:color w:val="auto"/>
        </w:rPr>
        <w:t>Selling, general and administrative expenses (“SG&amp;A”), excluding Scotts LawnService®, stock-based compensation and restructuring and other charges, increased to $116.2 million in the second quarter of fiscal 2005 from $106.8 million in the second quarter of fiscal 2004. Excluding Smith &amp; Hawkenâ, SG&amp;A in 2005 was $108.0 million, an increase of $1.2 million. The impact of foreign exchange rates, higher corporate legal fees associated with ongoing litigation matters, Sarbanes-Oxley compliance costs, and incremental North America selling expenses (primarily for increased home center support), were largely offset by lower North America and International severance and related expenses.</w:t>
      </w:r>
    </w:p>
    <w:p>
      <w:pPr>
        <w:spacing w:after="0" w:line="173" w:lineRule="exact"/>
        <w:rPr>
          <w:sz w:val="20"/>
          <w:szCs w:val="20"/>
          <w:color w:val="auto"/>
        </w:rPr>
      </w:pPr>
    </w:p>
    <w:p>
      <w:pPr>
        <w:jc w:val="both"/>
        <w:ind w:left="140" w:right="360"/>
        <w:spacing w:after="0" w:line="342" w:lineRule="auto"/>
        <w:rPr>
          <w:sz w:val="20"/>
          <w:szCs w:val="20"/>
          <w:color w:val="auto"/>
        </w:rPr>
      </w:pPr>
      <w:r>
        <w:rPr>
          <w:rFonts w:ascii="Arial" w:cs="Arial" w:eastAsia="Arial" w:hAnsi="Arial"/>
          <w:sz w:val="16"/>
          <w:szCs w:val="16"/>
          <w:color w:val="auto"/>
        </w:rPr>
        <w:t>SG&amp;A in the Scotts LawnService® business increased from $14.0 million in the second quarter of fiscal 2004 to $16.1 million in the second quarter of fiscal 2005, primarily due to increased infrastructure to support business growth and to a lesser extent to locations added by acquisitions.</w:t>
      </w:r>
    </w:p>
    <w:p>
      <w:pPr>
        <w:spacing w:after="0" w:line="124" w:lineRule="exact"/>
        <w:rPr>
          <w:sz w:val="20"/>
          <w:szCs w:val="20"/>
          <w:color w:val="auto"/>
        </w:rPr>
      </w:pPr>
    </w:p>
    <w:p>
      <w:pPr>
        <w:ind w:left="140" w:right="120"/>
        <w:spacing w:after="0" w:line="277" w:lineRule="auto"/>
        <w:rPr>
          <w:sz w:val="20"/>
          <w:szCs w:val="20"/>
          <w:color w:val="auto"/>
        </w:rPr>
      </w:pPr>
      <w:r>
        <w:rPr>
          <w:rFonts w:ascii="Arial" w:cs="Arial" w:eastAsia="Arial" w:hAnsi="Arial"/>
          <w:sz w:val="18"/>
          <w:szCs w:val="18"/>
          <w:color w:val="auto"/>
        </w:rPr>
        <w:t>Restructuring and other charges included in SG&amp;A were $1.0 million in fiscal 2005’s second quarter primarily related to integration related organizational changes at Smith &amp; Hawkenâ.</w:t>
      </w:r>
    </w:p>
    <w:p>
      <w:pPr>
        <w:spacing w:after="0" w:line="170" w:lineRule="exact"/>
        <w:rPr>
          <w:sz w:val="20"/>
          <w:szCs w:val="20"/>
          <w:color w:val="auto"/>
        </w:rPr>
      </w:pPr>
    </w:p>
    <w:p>
      <w:pPr>
        <w:jc w:val="both"/>
        <w:ind w:left="140" w:right="340"/>
        <w:spacing w:after="0" w:line="264" w:lineRule="auto"/>
        <w:rPr>
          <w:sz w:val="20"/>
          <w:szCs w:val="20"/>
          <w:color w:val="auto"/>
        </w:rPr>
      </w:pPr>
      <w:r>
        <w:rPr>
          <w:rFonts w:ascii="Arial" w:cs="Arial" w:eastAsia="Arial" w:hAnsi="Arial"/>
          <w:sz w:val="18"/>
          <w:szCs w:val="18"/>
          <w:color w:val="auto"/>
        </w:rPr>
        <w:t>Other income, net was a charge of $1.0 million for the second quarter of fiscal 2005, compared to income of $2.1 million in the second quarter of fiscal 2004. The other income in 2004 was primarily attributable to the phase-out of cost subsidies related to the sale of peat bogs in the United Kingdom, for which a portion of this cost benefit has historically been recorded as other income.</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For segment reporting purposes, the Company defines operating income as earnings before interest, taxes and amortization of</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 w:right="280"/>
        <w:spacing w:after="0" w:line="277" w:lineRule="auto"/>
        <w:rPr>
          <w:sz w:val="20"/>
          <w:szCs w:val="20"/>
          <w:color w:val="auto"/>
        </w:rPr>
      </w:pPr>
      <w:r>
        <w:rPr>
          <w:rFonts w:ascii="Arial" w:cs="Arial" w:eastAsia="Arial" w:hAnsi="Arial"/>
          <w:sz w:val="18"/>
          <w:szCs w:val="18"/>
          <w:color w:val="auto"/>
        </w:rPr>
        <w:t>intangible assets (“EBITA”), as this is the measure used by management to assess business performance. Segment performance for the second quarter of fiscal 2005 compared to the second quarter of fiscal 2004 was as follows:</w:t>
      </w:r>
    </w:p>
    <w:p>
      <w:pPr>
        <w:spacing w:after="0" w:line="170" w:lineRule="exact"/>
        <w:rPr>
          <w:sz w:val="20"/>
          <w:szCs w:val="20"/>
          <w:color w:val="auto"/>
        </w:rPr>
      </w:pPr>
    </w:p>
    <w:p>
      <w:pPr>
        <w:ind w:left="620" w:right="60" w:hanging="166"/>
        <w:spacing w:after="0" w:line="277"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North America’s operating income increased 15.3% to $166.2 million in fiscal 2005, driven primarily by improved sales and gross profit margins, an increase in the net commission from the Roundupâ marketing agreement, as well as by lower SG&amp;A.</w:t>
      </w:r>
    </w:p>
    <w:p>
      <w:pPr>
        <w:spacing w:after="0" w:line="170" w:lineRule="exact"/>
        <w:rPr>
          <w:rFonts w:ascii="Arial" w:cs="Arial" w:eastAsia="Arial" w:hAnsi="Arial"/>
          <w:sz w:val="18"/>
          <w:szCs w:val="18"/>
          <w:color w:val="auto"/>
        </w:rPr>
      </w:pPr>
    </w:p>
    <w:p>
      <w:pPr>
        <w:ind w:left="620" w:hanging="166"/>
        <w:spacing w:after="0" w:line="312" w:lineRule="auto"/>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Scotts LawnService® reported higher net sales, and a reduced operating loss of $12.2 million in fiscal 2005 compared to $12.8 million in fiscal 2004. As this seasonal business grows and adds fixed infrastructure costs, it will have larger losses in the first and second quarters of the fiscal year due to seasonally low revenues. Conversely, the second half of the fiscal year will provide higher revenues, gross profit margins and operating income;</w:t>
      </w:r>
    </w:p>
    <w:p>
      <w:pPr>
        <w:spacing w:after="0" w:line="146" w:lineRule="exact"/>
        <w:rPr>
          <w:rFonts w:ascii="Arial" w:cs="Arial" w:eastAsia="Arial" w:hAnsi="Arial"/>
          <w:sz w:val="16"/>
          <w:szCs w:val="16"/>
          <w:color w:val="auto"/>
        </w:rPr>
      </w:pPr>
    </w:p>
    <w:p>
      <w:pPr>
        <w:ind w:left="620" w:right="400" w:hanging="166"/>
        <w:spacing w:after="0" w:line="277"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International’s operating income increased to $30.5 million from $24.8 million, due primarily to reduced SG&amp;A spending, an increase in the net commission from the Roundupâ marketing agreement and favorable foreign exchange rates.</w:t>
      </w:r>
    </w:p>
    <w:p>
      <w:pPr>
        <w:spacing w:after="0" w:line="170" w:lineRule="exact"/>
        <w:rPr>
          <w:sz w:val="20"/>
          <w:szCs w:val="20"/>
          <w:color w:val="auto"/>
        </w:rPr>
      </w:pPr>
    </w:p>
    <w:p>
      <w:pPr>
        <w:ind w:left="140" w:right="220"/>
        <w:spacing w:after="0" w:line="308" w:lineRule="auto"/>
        <w:rPr>
          <w:sz w:val="20"/>
          <w:szCs w:val="20"/>
          <w:color w:val="auto"/>
        </w:rPr>
      </w:pPr>
      <w:r>
        <w:rPr>
          <w:rFonts w:ascii="Arial" w:cs="Arial" w:eastAsia="Arial" w:hAnsi="Arial"/>
          <w:sz w:val="17"/>
          <w:szCs w:val="17"/>
          <w:color w:val="auto"/>
        </w:rPr>
        <w:t>Interest expense for the second quarter of fiscal 2005 was $12.9 million, compared to $13.5 million for the second quarter of fiscal 2004. The decrease in interest expense was due to a $74.2 million reduction in average borrowings, partially offset by higher weighted-average interest rates.</w:t>
      </w:r>
    </w:p>
    <w:p>
      <w:pPr>
        <w:spacing w:after="0" w:line="147" w:lineRule="exact"/>
        <w:rPr>
          <w:sz w:val="20"/>
          <w:szCs w:val="20"/>
          <w:color w:val="auto"/>
        </w:rPr>
      </w:pPr>
    </w:p>
    <w:p>
      <w:pPr>
        <w:ind w:left="140" w:right="40"/>
        <w:spacing w:after="0" w:line="272" w:lineRule="auto"/>
        <w:rPr>
          <w:sz w:val="20"/>
          <w:szCs w:val="20"/>
          <w:color w:val="auto"/>
        </w:rPr>
      </w:pPr>
      <w:r>
        <w:rPr>
          <w:rFonts w:ascii="Arial" w:cs="Arial" w:eastAsia="Arial" w:hAnsi="Arial"/>
          <w:sz w:val="17"/>
          <w:szCs w:val="17"/>
          <w:color w:val="auto"/>
        </w:rPr>
        <w:t>The income tax expense was calculated assuming an effective tax rate of 38.0% for the second quarter of fiscal 2005 versus 38.3% for the comparable quarter in fiscal 2004. The effective tax rate used for interim reporting purposes is based on management’s best estimate of factors impacting the effective tax rate for the fiscal year. Factors affecting the estimated rate include assumptions as to income by jurisdiction (domestic and foreign), the availability and utilization of tax credits, the existence of elements of income and expense that may not be taxable or deductible, as well as other items. There can be no assurance that the effective tax rate estimated for interim financial reporting purposes will approximate that determined at fiscal year end. The estimated effective tax rate is subject to revision in later interim periods and at fiscal year end as facts and circumstances change. There are no material changes to the effective tax rate expected at this time.</w:t>
      </w:r>
    </w:p>
    <w:p>
      <w:pPr>
        <w:spacing w:after="0" w:line="178" w:lineRule="exact"/>
        <w:rPr>
          <w:sz w:val="20"/>
          <w:szCs w:val="20"/>
          <w:color w:val="auto"/>
        </w:rPr>
      </w:pPr>
    </w:p>
    <w:p>
      <w:pPr>
        <w:ind w:left="140" w:right="100"/>
        <w:spacing w:after="0" w:line="264" w:lineRule="auto"/>
        <w:rPr>
          <w:sz w:val="20"/>
          <w:szCs w:val="20"/>
          <w:color w:val="auto"/>
        </w:rPr>
      </w:pPr>
      <w:r>
        <w:rPr>
          <w:rFonts w:ascii="Arial" w:cs="Arial" w:eastAsia="Arial" w:hAnsi="Arial"/>
          <w:sz w:val="18"/>
          <w:szCs w:val="18"/>
          <w:color w:val="auto"/>
        </w:rPr>
        <w:t>The Company reported net income of $83.2 million for the second quarter of fiscal 2005, compared to $73.1 million for fiscal 2004. Weighted-average shares outstanding for purposes of computing diluted earnings per common share increased from 33.0 million at March 27, 2004 to 34.1 million at April 2, 2005, due to shares issued for stock options exercised and increased dilutive potential common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APRIL 2, 2005 COMPARED TO SIX MONTHS ENDED MARCH 27, 2004</w:t>
      </w:r>
    </w:p>
    <w:p>
      <w:pPr>
        <w:spacing w:after="0" w:line="225" w:lineRule="exact"/>
        <w:rPr>
          <w:sz w:val="20"/>
          <w:szCs w:val="20"/>
          <w:color w:val="auto"/>
        </w:rPr>
      </w:pPr>
    </w:p>
    <w:p>
      <w:pPr>
        <w:ind w:left="140" w:right="40"/>
        <w:spacing w:after="0" w:line="312" w:lineRule="auto"/>
        <w:rPr>
          <w:sz w:val="20"/>
          <w:szCs w:val="20"/>
          <w:color w:val="auto"/>
        </w:rPr>
      </w:pPr>
      <w:r>
        <w:rPr>
          <w:rFonts w:ascii="Arial" w:cs="Arial" w:eastAsia="Arial" w:hAnsi="Arial"/>
          <w:sz w:val="16"/>
          <w:szCs w:val="16"/>
          <w:color w:val="auto"/>
        </w:rPr>
        <w:t>Net sales for the six months ended April 2, 2005 were $1,031.2 million, an increase of 14.0% from net sales of $905.1 million for the six months ended March 27, 2004. Excluding the impact of Smith &amp; Hawkenâ, net sales for the six months were $965.3 million, an increase of 6.7% over the first six months of 2004. Foreign exchange rate changes and price increases accounted for 1.8% and 1.9% of the six month net sales increase, respectively.</w:t>
      </w:r>
    </w:p>
    <w:p>
      <w:pPr>
        <w:spacing w:after="0" w:line="147" w:lineRule="exact"/>
        <w:rPr>
          <w:sz w:val="20"/>
          <w:szCs w:val="20"/>
          <w:color w:val="auto"/>
        </w:rPr>
      </w:pPr>
    </w:p>
    <w:p>
      <w:pPr>
        <w:ind w:left="140" w:right="180"/>
        <w:spacing w:after="0" w:line="308" w:lineRule="auto"/>
        <w:rPr>
          <w:sz w:val="20"/>
          <w:szCs w:val="20"/>
          <w:color w:val="auto"/>
        </w:rPr>
      </w:pPr>
      <w:r>
        <w:rPr>
          <w:rFonts w:ascii="Arial" w:cs="Arial" w:eastAsia="Arial" w:hAnsi="Arial"/>
          <w:sz w:val="17"/>
          <w:szCs w:val="17"/>
          <w:color w:val="auto"/>
        </w:rPr>
        <w:t>The North America segment net sales were $696.5 million in the first half of fiscal 2005, an increase of 5.1% from net sales of $662.7 million for the first half of fiscal 2004. This increase was primarily driven by price increases, and shipments of Gardens and Orthoâ products.</w:t>
      </w:r>
    </w:p>
    <w:p>
      <w:pPr>
        <w:spacing w:after="0" w:line="147" w:lineRule="exact"/>
        <w:rPr>
          <w:sz w:val="20"/>
          <w:szCs w:val="20"/>
          <w:color w:val="auto"/>
        </w:rPr>
      </w:pPr>
    </w:p>
    <w:p>
      <w:pPr>
        <w:jc w:val="both"/>
        <w:ind w:left="140"/>
        <w:spacing w:after="0" w:line="264" w:lineRule="auto"/>
        <w:rPr>
          <w:sz w:val="20"/>
          <w:szCs w:val="20"/>
          <w:color w:val="auto"/>
        </w:rPr>
      </w:pPr>
      <w:r>
        <w:rPr>
          <w:rFonts w:ascii="Arial" w:cs="Arial" w:eastAsia="Arial" w:hAnsi="Arial"/>
          <w:sz w:val="18"/>
          <w:szCs w:val="18"/>
          <w:color w:val="auto"/>
        </w:rPr>
        <w:t>Scotts LawnService® revenues increased 22.1% from $34.8 million in the first half of fiscal 2004 to $42.5 million in the first half of fiscal 2005. Continued strong organic growth provided the primary contribution to this increase as improved customer retention and favorable conditions in warm weather markets, and a strong Fall 2004 season, more than offset the impact of poor March weather conditions.</w:t>
      </w:r>
    </w:p>
    <w:p>
      <w:pPr>
        <w:spacing w:after="0" w:line="181" w:lineRule="exact"/>
        <w:rPr>
          <w:sz w:val="20"/>
          <w:szCs w:val="20"/>
          <w:color w:val="auto"/>
        </w:rPr>
      </w:pPr>
    </w:p>
    <w:p>
      <w:pPr>
        <w:ind w:left="140" w:right="240"/>
        <w:spacing w:after="0" w:line="286" w:lineRule="auto"/>
        <w:rPr>
          <w:sz w:val="20"/>
          <w:szCs w:val="20"/>
          <w:color w:val="auto"/>
        </w:rPr>
      </w:pPr>
      <w:r>
        <w:rPr>
          <w:rFonts w:ascii="Arial" w:cs="Arial" w:eastAsia="Arial" w:hAnsi="Arial"/>
          <w:sz w:val="17"/>
          <w:szCs w:val="17"/>
          <w:color w:val="auto"/>
        </w:rPr>
        <w:t>Net sales for the International segment in the first half of fiscal 2005 were $226.3 million, an increase of $18.7 million, or 8.3%, versus the first half of fiscal 2004. Excluding the effect of foreign exchange rates, net sales increased by 2.5 %. This improvement in net sales was largely due to the phasing of preseason orders, especially in the United Kingdom, offset by a late start to the season on the European continent.</w:t>
      </w:r>
    </w:p>
    <w:p>
      <w:pPr>
        <w:spacing w:after="0" w:line="166" w:lineRule="exact"/>
        <w:rPr>
          <w:sz w:val="20"/>
          <w:szCs w:val="20"/>
          <w:color w:val="auto"/>
        </w:rPr>
      </w:pPr>
    </w:p>
    <w:p>
      <w:pPr>
        <w:ind w:left="140" w:right="400"/>
        <w:spacing w:after="0" w:line="264" w:lineRule="auto"/>
        <w:rPr>
          <w:sz w:val="20"/>
          <w:szCs w:val="20"/>
          <w:color w:val="auto"/>
        </w:rPr>
      </w:pPr>
      <w:r>
        <w:rPr>
          <w:rFonts w:ascii="Arial" w:cs="Arial" w:eastAsia="Arial" w:hAnsi="Arial"/>
          <w:sz w:val="18"/>
          <w:szCs w:val="18"/>
          <w:color w:val="auto"/>
        </w:rPr>
        <w:t>Gross profit was $380.8 million in the first half of fiscal 2005, an increase of $44.6 million from gross profit of $336.2 million in the first half of fiscal 2004. Excluding Smith &amp; Hawkenâ, gross profit increased 7.7% or 40 basis points. The gross profit margin improvement for the first six months is attributable to the same factors described above for the second quarter.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 w:right="60"/>
        <w:spacing w:after="0" w:line="279" w:lineRule="auto"/>
        <w:rPr>
          <w:sz w:val="20"/>
          <w:szCs w:val="20"/>
          <w:color w:val="auto"/>
        </w:rPr>
      </w:pPr>
      <w:r>
        <w:rPr>
          <w:rFonts w:ascii="Arial" w:cs="Arial" w:eastAsia="Arial" w:hAnsi="Arial"/>
          <w:sz w:val="17"/>
          <w:szCs w:val="17"/>
          <w:color w:val="auto"/>
        </w:rPr>
        <w:t>The net commission from the Roundupâ marketing agreement was $8.0 million in the first half of fiscal 2005 compared to $1.1 million in the first half of fiscal 2004. We recognize gross commission income based on earning thresholds in the marketing agreement. As a result of new product sell-in and overall strong early season sales of Roundupâ, the minimum earnings threshold was achieved earlier in 2005, as compared to 2004. The annual contribution payment which is recognized equally by quarter, remains unchanged at $25 million for fiscal 2005.</w:t>
      </w:r>
    </w:p>
    <w:p>
      <w:pPr>
        <w:spacing w:after="0" w:line="171" w:lineRule="exact"/>
        <w:rPr>
          <w:sz w:val="20"/>
          <w:szCs w:val="20"/>
          <w:color w:val="auto"/>
        </w:rPr>
      </w:pPr>
    </w:p>
    <w:p>
      <w:pPr>
        <w:ind w:left="140" w:right="180"/>
        <w:spacing w:after="0" w:line="264" w:lineRule="auto"/>
        <w:rPr>
          <w:sz w:val="20"/>
          <w:szCs w:val="20"/>
          <w:color w:val="auto"/>
        </w:rPr>
      </w:pPr>
      <w:r>
        <w:rPr>
          <w:rFonts w:ascii="Arial" w:cs="Arial" w:eastAsia="Arial" w:hAnsi="Arial"/>
          <w:sz w:val="18"/>
          <w:szCs w:val="18"/>
          <w:color w:val="auto"/>
        </w:rPr>
        <w:t>Advertising expenses in the first half of fiscal 2005 were $55.7 million, an increase of 15.8% from $48.1 million in the first half of fiscal 2004. Excluding Smith &amp; Hawkenâ, advertising expenses were 5.0% of net sales in 2005 compared to 5.3% in 2004. This reflects a change in the timing of certain North America Fall 2005 advertising and lower overall International media spending.</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SG&amp;A expenses, excluding Scotts LawnService®, stock-based compensation and restructuring and other charges, increased to $212.3 million in the first</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half of fiscal 2005 from $184.5 million in the first half of fiscal 2004. Excluding Smith &amp; Hawkenâ, SG&amp;A in 2005 was $195.1 million, an increase of</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$10.6 million. This increase is principally the result of foreign exchange rates, higher legal fees associated with ongoing litigation matters, Sarbanes-Oxley</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associated compliance costs, and incremental North America selling expenses (primarily for increased home center support), partially offset by lower North</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America and International severance and related expenses.</w:t>
      </w:r>
    </w:p>
    <w:p>
      <w:pPr>
        <w:spacing w:after="0" w:line="211" w:lineRule="exact"/>
        <w:rPr>
          <w:sz w:val="20"/>
          <w:szCs w:val="20"/>
          <w:color w:val="auto"/>
        </w:rPr>
      </w:pPr>
    </w:p>
    <w:p>
      <w:pPr>
        <w:ind w:left="140" w:right="360"/>
        <w:spacing w:after="0" w:line="308" w:lineRule="auto"/>
        <w:rPr>
          <w:sz w:val="20"/>
          <w:szCs w:val="20"/>
          <w:color w:val="auto"/>
        </w:rPr>
      </w:pPr>
      <w:r>
        <w:rPr>
          <w:rFonts w:ascii="Arial" w:cs="Arial" w:eastAsia="Arial" w:hAnsi="Arial"/>
          <w:sz w:val="17"/>
          <w:szCs w:val="17"/>
          <w:color w:val="auto"/>
        </w:rPr>
        <w:t>SG&amp;A in the Scotts LawnService® business increased from $25.4 million in the first half of fiscal 2004 to $30.1 million in the first half of fiscal 2005, primarily as a result of increased infrastructure to support business growth and to a lesser extent from locations added by acquisitions.</w:t>
      </w:r>
    </w:p>
    <w:p>
      <w:pPr>
        <w:spacing w:after="0" w:line="147" w:lineRule="exact"/>
        <w:rPr>
          <w:sz w:val="20"/>
          <w:szCs w:val="20"/>
          <w:color w:val="auto"/>
        </w:rPr>
      </w:pPr>
    </w:p>
    <w:p>
      <w:pPr>
        <w:ind w:left="140"/>
        <w:spacing w:after="0" w:line="308" w:lineRule="auto"/>
        <w:rPr>
          <w:sz w:val="20"/>
          <w:szCs w:val="20"/>
          <w:color w:val="auto"/>
        </w:rPr>
      </w:pPr>
      <w:r>
        <w:rPr>
          <w:rFonts w:ascii="Arial" w:cs="Arial" w:eastAsia="Arial" w:hAnsi="Arial"/>
          <w:sz w:val="17"/>
          <w:szCs w:val="17"/>
          <w:color w:val="auto"/>
        </w:rPr>
        <w:t>Stock-based compensation expense increased to $4.6 million in the first half of fiscal 2005, compared to $4.4 million in the first half of fiscal 2004. The full year charges for stock-based compensation are expected to increase by approximately $3.0 million in fiscal 2005 compared to fiscal 2004.</w:t>
      </w:r>
    </w:p>
    <w:p>
      <w:pPr>
        <w:spacing w:after="0" w:line="147" w:lineRule="exact"/>
        <w:rPr>
          <w:sz w:val="20"/>
          <w:szCs w:val="20"/>
          <w:color w:val="auto"/>
        </w:rPr>
      </w:pPr>
    </w:p>
    <w:p>
      <w:pPr>
        <w:ind w:left="140" w:right="40"/>
        <w:spacing w:after="0" w:line="276" w:lineRule="auto"/>
        <w:rPr>
          <w:sz w:val="20"/>
          <w:szCs w:val="20"/>
          <w:color w:val="auto"/>
        </w:rPr>
      </w:pPr>
      <w:r>
        <w:rPr>
          <w:rFonts w:ascii="Arial" w:cs="Arial" w:eastAsia="Arial" w:hAnsi="Arial"/>
          <w:sz w:val="17"/>
          <w:szCs w:val="17"/>
          <w:color w:val="auto"/>
        </w:rPr>
        <w:t>The Company performed its annual impairment analysis during the first quarter of fiscal 2005 and determined that intangibles associated with its consumer business in the United Kingdom were impaired. The reduction in the value of the business resulted primarily from the decline in the profitability of its growing media business and unfavorable category mix trends. Although management is developing strategies focused on significantly improving the profitability of the United Kingdom business, we believe an impairment charge against the book value is appropriate. Accordingly, an impairment charge of $22 million was recorded in the first quarter of fiscal 2005. No impairment charge was recorded in fiscal 2004.</w:t>
      </w:r>
    </w:p>
    <w:p>
      <w:pPr>
        <w:spacing w:after="0" w:line="173" w:lineRule="exact"/>
        <w:rPr>
          <w:sz w:val="20"/>
          <w:szCs w:val="20"/>
          <w:color w:val="auto"/>
        </w:rPr>
      </w:pPr>
    </w:p>
    <w:p>
      <w:pPr>
        <w:ind w:left="140" w:right="180"/>
        <w:spacing w:after="0" w:line="264" w:lineRule="auto"/>
        <w:rPr>
          <w:sz w:val="20"/>
          <w:szCs w:val="20"/>
          <w:color w:val="auto"/>
        </w:rPr>
      </w:pPr>
      <w:r>
        <w:rPr>
          <w:rFonts w:ascii="Arial" w:cs="Arial" w:eastAsia="Arial" w:hAnsi="Arial"/>
          <w:sz w:val="18"/>
          <w:szCs w:val="18"/>
          <w:color w:val="auto"/>
        </w:rPr>
        <w:t>Other income, net was a charge of $0.8 million for the first half of fiscal 2005, compared to income of $4.0 million in the first half of fiscal 2004. Other income in 2004 was principally associated with the phase-out of cost subsidies related to the sale of peat bogs in the United Kingdom, for which a portion of this cost benefit has historically been recorded as other income.</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Segment performance for the first half of fiscal 2005 compared to the first half of fiscal 2004 was as follows:</w:t>
      </w:r>
    </w:p>
    <w:p>
      <w:pPr>
        <w:spacing w:after="0" w:line="225" w:lineRule="exact"/>
        <w:rPr>
          <w:sz w:val="20"/>
          <w:szCs w:val="20"/>
          <w:color w:val="auto"/>
        </w:rPr>
      </w:pPr>
    </w:p>
    <w:p>
      <w:pPr>
        <w:ind w:left="620" w:right="280" w:hanging="166"/>
        <w:spacing w:after="0" w:line="277"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North America’s operating income increased from $114.2 million in fiscal 2004 to $136.4 million in fiscal 2005, primarily as a result of increased sales and gross margins and net commission from the Roundupâ marketing agreement;</w:t>
      </w:r>
    </w:p>
    <w:p>
      <w:pPr>
        <w:spacing w:after="0" w:line="170" w:lineRule="exact"/>
        <w:rPr>
          <w:rFonts w:ascii="Arial" w:cs="Arial" w:eastAsia="Arial" w:hAnsi="Arial"/>
          <w:sz w:val="18"/>
          <w:szCs w:val="18"/>
          <w:color w:val="auto"/>
        </w:rPr>
      </w:pPr>
    </w:p>
    <w:p>
      <w:pPr>
        <w:ind w:left="620" w:right="40" w:hanging="166"/>
        <w:spacing w:after="0" w:line="264"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Scotts LawnService® reported higher net sales, but a larger operating loss, $20.5 million compared to $19.3 million. As this seasonal business grows and adds fixed infrastructure costs, it will have larger losses in the first and second quarters of the fiscal year due to seasonally low revenues. Conversely, the second half of the fiscal year will provide higher revenues, margins and operating income;</w:t>
      </w:r>
    </w:p>
    <w:p>
      <w:pPr>
        <w:spacing w:after="0" w:line="181" w:lineRule="exact"/>
        <w:rPr>
          <w:rFonts w:ascii="Arial" w:cs="Arial" w:eastAsia="Arial" w:hAnsi="Arial"/>
          <w:sz w:val="18"/>
          <w:szCs w:val="18"/>
          <w:color w:val="auto"/>
        </w:rPr>
      </w:pPr>
    </w:p>
    <w:p>
      <w:pPr>
        <w:ind w:left="620" w:right="560" w:hanging="166"/>
        <w:spacing w:after="0" w:line="342" w:lineRule="auto"/>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International’s operating income increased to $24.6 million from $22.4 million, as improved sales, higher net commission from the Roundupâ marketing agreement, and reduced SG&amp;A spending were partially offset by commodity cost increases and a one-time gain in 2004.</w:t>
      </w:r>
    </w:p>
    <w:p>
      <w:pPr>
        <w:spacing w:after="0" w:line="124" w:lineRule="exact"/>
        <w:rPr>
          <w:sz w:val="20"/>
          <w:szCs w:val="20"/>
          <w:color w:val="auto"/>
        </w:rPr>
      </w:pPr>
    </w:p>
    <w:p>
      <w:pPr>
        <w:ind w:left="140" w:right="520"/>
        <w:spacing w:after="0" w:line="277" w:lineRule="auto"/>
        <w:rPr>
          <w:sz w:val="20"/>
          <w:szCs w:val="20"/>
          <w:color w:val="auto"/>
        </w:rPr>
      </w:pPr>
      <w:r>
        <w:rPr>
          <w:rFonts w:ascii="Arial" w:cs="Arial" w:eastAsia="Arial" w:hAnsi="Arial"/>
          <w:sz w:val="18"/>
          <w:szCs w:val="18"/>
          <w:color w:val="auto"/>
        </w:rPr>
        <w:t>Interest expense for the first half of fiscal 2005 was $23.3 million, compared to $25.4 million for the first half of fiscal 2004. The decrease in interest expense was due to a $95.0 million reduction in average borrowings as compared to the prior year. Weighted-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 w:right="420"/>
        <w:spacing w:after="0" w:line="342" w:lineRule="auto"/>
        <w:rPr>
          <w:sz w:val="20"/>
          <w:szCs w:val="20"/>
          <w:color w:val="auto"/>
        </w:rPr>
      </w:pPr>
      <w:r>
        <w:rPr>
          <w:rFonts w:ascii="Arial" w:cs="Arial" w:eastAsia="Arial" w:hAnsi="Arial"/>
          <w:sz w:val="16"/>
          <w:szCs w:val="16"/>
          <w:color w:val="auto"/>
        </w:rPr>
        <w:t>average interest rates for the first six months of 2005 were flat with the same period in 2004. There were no refinancing costs in the first six months of 2005. This compares favorably to the $44.3 million recorded in first six months of 2004, when the Company completed its debt refinancing.</w:t>
      </w:r>
    </w:p>
    <w:p>
      <w:pPr>
        <w:spacing w:after="0" w:line="124" w:lineRule="exact"/>
        <w:rPr>
          <w:sz w:val="20"/>
          <w:szCs w:val="20"/>
          <w:color w:val="auto"/>
        </w:rPr>
      </w:pPr>
    </w:p>
    <w:p>
      <w:pPr>
        <w:ind w:left="140" w:right="40"/>
        <w:spacing w:after="0" w:line="272" w:lineRule="auto"/>
        <w:rPr>
          <w:sz w:val="20"/>
          <w:szCs w:val="20"/>
          <w:color w:val="auto"/>
        </w:rPr>
      </w:pPr>
      <w:r>
        <w:rPr>
          <w:rFonts w:ascii="Arial" w:cs="Arial" w:eastAsia="Arial" w:hAnsi="Arial"/>
          <w:sz w:val="17"/>
          <w:szCs w:val="17"/>
          <w:color w:val="auto"/>
        </w:rPr>
        <w:t>The income tax expense was calculated assuming an effective tax rate of 38.0% for the first half of fiscal 2005 versus 38.3% for the comparable period in fiscal 2004. The effective tax rate used for interim reporting purposes is based on management’s best estimate of factors impacting the effective tax rate for the fiscal year. Factors affecting the estimated rate include assumptions as to income by jurisdiction (domestic and foreign), the availability and utilization of tax credits, the existence of elements of income and expense that may not be taxable or deductible, as well as other items. There can be no assurance that the effective tax rate estimated for interim financial reporting purposes will approximate that determined at fiscal year end. The estimated effective tax rate is subject to revision in later interim periods and at fiscal year end as facts and circumstances change. There are no material changes to the effective tax rate expected at this time.</w:t>
      </w:r>
    </w:p>
    <w:p>
      <w:pPr>
        <w:spacing w:after="0" w:line="178" w:lineRule="exact"/>
        <w:rPr>
          <w:sz w:val="20"/>
          <w:szCs w:val="20"/>
          <w:color w:val="auto"/>
        </w:rPr>
      </w:pPr>
    </w:p>
    <w:p>
      <w:pPr>
        <w:ind w:left="140" w:right="100"/>
        <w:spacing w:after="0" w:line="286" w:lineRule="auto"/>
        <w:rPr>
          <w:sz w:val="20"/>
          <w:szCs w:val="20"/>
          <w:color w:val="auto"/>
        </w:rPr>
      </w:pPr>
      <w:r>
        <w:rPr>
          <w:rFonts w:ascii="Arial" w:cs="Arial" w:eastAsia="Arial" w:hAnsi="Arial"/>
          <w:sz w:val="17"/>
          <w:szCs w:val="17"/>
          <w:color w:val="auto"/>
        </w:rPr>
        <w:t>The Company reported net income of $20.4 million for the first half of fiscal 2005, compared to $2.4 million for the first half of fiscal 2004. Weighted-average shares outstanding for purposes of computing diluted earnings per common share increased from 32.9 million at March 27, 2004 to 34.0 million at April 2, 2005 due to common shares issued for stock options exercised and increased dilutive potential common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ind w:left="140" w:right="20"/>
        <w:spacing w:after="0" w:line="264" w:lineRule="auto"/>
        <w:rPr>
          <w:sz w:val="20"/>
          <w:szCs w:val="20"/>
          <w:color w:val="auto"/>
        </w:rPr>
      </w:pPr>
      <w:r>
        <w:rPr>
          <w:rFonts w:ascii="Arial" w:cs="Arial" w:eastAsia="Arial" w:hAnsi="Arial"/>
          <w:sz w:val="18"/>
          <w:szCs w:val="18"/>
          <w:color w:val="auto"/>
        </w:rPr>
        <w:t>Cash used in operating activities was $416.0 million and $391.9 million for the six months ended April 2, 2005 and March 27, 2004, respectively. The increase in cash used in operating activities from 2004 to 2005, is due primarily to the growth in inventories and accounts receivable associated with overall business growth and a later breaking spring in 2005 as compared to 2004.</w:t>
      </w:r>
    </w:p>
    <w:p>
      <w:pPr>
        <w:spacing w:after="0" w:line="181" w:lineRule="exact"/>
        <w:rPr>
          <w:sz w:val="20"/>
          <w:szCs w:val="20"/>
          <w:color w:val="auto"/>
        </w:rPr>
      </w:pPr>
    </w:p>
    <w:p>
      <w:pPr>
        <w:ind w:left="140" w:right="200"/>
        <w:spacing w:after="0" w:line="259" w:lineRule="auto"/>
        <w:rPr>
          <w:sz w:val="20"/>
          <w:szCs w:val="20"/>
          <w:color w:val="auto"/>
        </w:rPr>
      </w:pPr>
      <w:r>
        <w:rPr>
          <w:rFonts w:ascii="Arial" w:cs="Arial" w:eastAsia="Arial" w:hAnsi="Arial"/>
          <w:sz w:val="18"/>
          <w:szCs w:val="18"/>
          <w:color w:val="auto"/>
        </w:rPr>
        <w:t>Cash used in investing activities was $31.0 million and $16.2 million for the six months ended April 2, 2005 and March 27, 2004, respectively. The acquisition of Smith &amp; Hawkenâ, effective October 2, 2004, is the primary investing activity for the first six months of 2005. Capital expenditures for the first six months of 2005 were $11.6 million compared to $10.9 million for the comparable 2004 period. The Company anticipates capital expenditures for all of fiscal 2005 to be in the range of $45.0 million to $50.0 million.</w:t>
      </w:r>
    </w:p>
    <w:p>
      <w:pPr>
        <w:spacing w:after="0" w:line="187" w:lineRule="exact"/>
        <w:rPr>
          <w:sz w:val="20"/>
          <w:szCs w:val="20"/>
          <w:color w:val="auto"/>
        </w:rPr>
      </w:pPr>
    </w:p>
    <w:p>
      <w:pPr>
        <w:ind w:left="140" w:right="260"/>
        <w:spacing w:after="0" w:line="302" w:lineRule="auto"/>
        <w:rPr>
          <w:sz w:val="20"/>
          <w:szCs w:val="20"/>
          <w:color w:val="auto"/>
        </w:rPr>
      </w:pPr>
      <w:r>
        <w:rPr>
          <w:rFonts w:ascii="Arial" w:cs="Arial" w:eastAsia="Arial" w:hAnsi="Arial"/>
          <w:sz w:val="16"/>
          <w:szCs w:val="16"/>
          <w:color w:val="auto"/>
        </w:rPr>
        <w:t>Financing activities provided cash of $380.9 million and $278.0 million for the six months ended April 2, 2005 and March 27, 2004, respectively. The increase in cash used to fund seasonal working capital needs of the business and the Smith &amp; Hawken</w:t>
      </w:r>
      <w:r>
        <w:rPr>
          <w:rFonts w:ascii="Arial" w:cs="Arial" w:eastAsia="Arial" w:hAnsi="Arial"/>
          <w:sz w:val="13"/>
          <w:szCs w:val="13"/>
          <w:color w:val="auto"/>
        </w:rPr>
        <w:t>®</w:t>
      </w:r>
      <w:r>
        <w:rPr>
          <w:rFonts w:ascii="Arial" w:cs="Arial" w:eastAsia="Arial" w:hAnsi="Arial"/>
          <w:sz w:val="16"/>
          <w:szCs w:val="16"/>
          <w:color w:val="auto"/>
        </w:rPr>
        <w:t xml:space="preserve"> acquisition were the principal factors driving the higher cash provided from financing activities in the first six months of fiscal 2005. During the first quarter of fiscal 2004, the company restructured its borrowing arrangements through the refinancing of its former Credit Agreement, the redemption of 8 5/8% Notes and the issuance of 6 5/8% Notes.</w:t>
      </w:r>
    </w:p>
    <w:p>
      <w:pPr>
        <w:spacing w:after="0" w:line="154" w:lineRule="exact"/>
        <w:rPr>
          <w:sz w:val="20"/>
          <w:szCs w:val="20"/>
          <w:color w:val="auto"/>
        </w:rPr>
      </w:pPr>
    </w:p>
    <w:p>
      <w:pPr>
        <w:ind w:left="140" w:right="120"/>
        <w:spacing w:after="0" w:line="264" w:lineRule="auto"/>
        <w:rPr>
          <w:sz w:val="20"/>
          <w:szCs w:val="20"/>
          <w:color w:val="auto"/>
        </w:rPr>
      </w:pPr>
      <w:r>
        <w:rPr>
          <w:rFonts w:ascii="Arial" w:cs="Arial" w:eastAsia="Arial" w:hAnsi="Arial"/>
          <w:sz w:val="18"/>
          <w:szCs w:val="18"/>
          <w:color w:val="auto"/>
        </w:rPr>
        <w:t>The company’s primary sources of liquidity are cash generated by operations and borrowings under credit agreements. Our Credit Agreement consists of a $700 million multi-currency revolving credit commitment and a $400 million term loan facility. At April 2, 2005, the Company had $321.8 million of availability under its revolving credit commitment and was in compliance with all of its debt covenants.</w:t>
      </w:r>
    </w:p>
    <w:p>
      <w:pPr>
        <w:spacing w:after="0" w:line="181" w:lineRule="exact"/>
        <w:rPr>
          <w:sz w:val="20"/>
          <w:szCs w:val="20"/>
          <w:color w:val="auto"/>
        </w:rPr>
      </w:pPr>
    </w:p>
    <w:p>
      <w:pPr>
        <w:ind w:left="140" w:right="20"/>
        <w:spacing w:after="0" w:line="276" w:lineRule="auto"/>
        <w:rPr>
          <w:sz w:val="20"/>
          <w:szCs w:val="20"/>
          <w:color w:val="auto"/>
        </w:rPr>
      </w:pPr>
      <w:r>
        <w:rPr>
          <w:rFonts w:ascii="Arial" w:cs="Arial" w:eastAsia="Arial" w:hAnsi="Arial"/>
          <w:sz w:val="17"/>
          <w:szCs w:val="17"/>
          <w:color w:val="auto"/>
        </w:rPr>
        <w:t>We have not paid dividends on our common shares in the past. However, based on levels of cash flow generated by the business in recent years and our improving financial condition, management is currently evaluating various capital structure strategies and the use of cash generated in the future. These many include continued debt repayment, funding of selective acquisitions to support future growth, payment of dividends and share repurchases. The payment of future dividends, if any, on common shares will be determined by the Board of Directors in light of conditions then existing, including earnings, financial condition, capital requirements, restrictions in financing agreements, business conditions and other factors.</w:t>
      </w:r>
    </w:p>
    <w:p>
      <w:pPr>
        <w:spacing w:after="0" w:line="173" w:lineRule="exact"/>
        <w:rPr>
          <w:sz w:val="20"/>
          <w:szCs w:val="20"/>
          <w:color w:val="auto"/>
        </w:rPr>
      </w:pPr>
    </w:p>
    <w:p>
      <w:pPr>
        <w:ind w:left="140"/>
        <w:spacing w:after="0" w:line="259" w:lineRule="auto"/>
        <w:rPr>
          <w:sz w:val="20"/>
          <w:szCs w:val="20"/>
          <w:color w:val="auto"/>
        </w:rPr>
      </w:pPr>
      <w:r>
        <w:rPr>
          <w:rFonts w:ascii="Arial" w:cs="Arial" w:eastAsia="Arial" w:hAnsi="Arial"/>
          <w:sz w:val="18"/>
          <w:szCs w:val="18"/>
          <w:color w:val="auto"/>
        </w:rPr>
        <w:t>All of our off-balance sheet financing is in the form of operating leases that are disclosed in the notes to consolidated financial statements included in our Annual Report on Form 10-K for the fiscal year ended September 30, 2004. During the second quarter of fiscal 2005, we took final delivery on vehicles that will be used in our Scotts LawnServiceâ operations as disclosed in Note 10 to the Condensed, Consolidated Financial Statements (unaudited) included in Part I, Item 1 of this Quarterly Report on Form 10-Q.</w:t>
      </w:r>
    </w:p>
    <w:p>
      <w:pPr>
        <w:spacing w:after="0" w:line="187" w:lineRule="exact"/>
        <w:rPr>
          <w:sz w:val="20"/>
          <w:szCs w:val="20"/>
          <w:color w:val="auto"/>
        </w:rPr>
      </w:pPr>
    </w:p>
    <w:p>
      <w:pPr>
        <w:ind w:left="140" w:right="860"/>
        <w:spacing w:after="0" w:line="277" w:lineRule="auto"/>
        <w:rPr>
          <w:sz w:val="20"/>
          <w:szCs w:val="20"/>
          <w:color w:val="auto"/>
        </w:rPr>
      </w:pPr>
      <w:r>
        <w:rPr>
          <w:rFonts w:ascii="Arial" w:cs="Arial" w:eastAsia="Arial" w:hAnsi="Arial"/>
          <w:sz w:val="18"/>
          <w:szCs w:val="18"/>
          <w:color w:val="auto"/>
        </w:rPr>
        <w:t>We are party to various pending judicial and administrative proceedings arising in the ordinary course of business. These include, among others, proceedings based on accidents or product liability claims and alleged violations of environmental laws. We have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 w:right="120"/>
        <w:spacing w:after="0" w:line="312" w:lineRule="auto"/>
        <w:rPr>
          <w:sz w:val="20"/>
          <w:szCs w:val="20"/>
          <w:color w:val="auto"/>
        </w:rPr>
      </w:pPr>
      <w:r>
        <w:rPr>
          <w:rFonts w:ascii="Arial" w:cs="Arial" w:eastAsia="Arial" w:hAnsi="Arial"/>
          <w:sz w:val="16"/>
          <w:szCs w:val="16"/>
          <w:color w:val="auto"/>
        </w:rPr>
        <w:t>reviewed our pending environmental and legal proceedings, including the probable outcomes, reasonably anticipated costs and expenses, reviewed the availability and limits of our insurance coverage and have established what we believe to be appropriate reserves. We do not believe that any liabilities that may result from these proceedings are reasonably likely to have a material adverse effect on our liquidity, financial condition or results of operations.</w:t>
      </w:r>
    </w:p>
    <w:p>
      <w:pPr>
        <w:spacing w:after="0" w:line="147" w:lineRule="exact"/>
        <w:rPr>
          <w:sz w:val="20"/>
          <w:szCs w:val="20"/>
          <w:color w:val="auto"/>
        </w:rPr>
      </w:pPr>
    </w:p>
    <w:p>
      <w:pPr>
        <w:ind w:left="140" w:right="160"/>
        <w:spacing w:after="0" w:line="259" w:lineRule="auto"/>
        <w:rPr>
          <w:sz w:val="20"/>
          <w:szCs w:val="20"/>
          <w:color w:val="auto"/>
        </w:rPr>
      </w:pPr>
      <w:r>
        <w:rPr>
          <w:rFonts w:ascii="Arial" w:cs="Arial" w:eastAsia="Arial" w:hAnsi="Arial"/>
          <w:sz w:val="18"/>
          <w:szCs w:val="18"/>
          <w:color w:val="auto"/>
        </w:rPr>
        <w:t>In our opinion, cash flows from operations and capital resources will be sufficient to meet debt service and working capital needs during fiscal 2005,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ENVIRONMENTAL MATTERS</w:t>
      </w:r>
    </w:p>
    <w:p>
      <w:pPr>
        <w:spacing w:after="0" w:line="225" w:lineRule="exact"/>
        <w:rPr>
          <w:sz w:val="20"/>
          <w:szCs w:val="20"/>
          <w:color w:val="auto"/>
        </w:rPr>
      </w:pPr>
    </w:p>
    <w:p>
      <w:pPr>
        <w:ind w:left="140" w:right="60"/>
        <w:spacing w:after="0" w:line="270" w:lineRule="auto"/>
        <w:rPr>
          <w:sz w:val="20"/>
          <w:szCs w:val="20"/>
          <w:color w:val="auto"/>
        </w:rPr>
      </w:pPr>
      <w:r>
        <w:rPr>
          <w:rFonts w:ascii="Arial" w:cs="Arial" w:eastAsia="Arial" w:hAnsi="Arial"/>
          <w:sz w:val="17"/>
          <w:szCs w:val="17"/>
          <w:color w:val="auto"/>
        </w:rPr>
        <w:t>We are subject to local, state, federal and foreign environmental protection laws and regulations with respect to our business operations and believe we are operating in substantial compliance with, or taking action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statements. However, there can be no assurance that the resolution of these matters will not materially affect future quarterly or annual results of operations, financial position and cash flows. Additional information on environmental matters affecting us is provided in Note 8 to the Condensed, Consolidated Financial Statements (unaudited) included in Part I, Item 1 of this Quarterly Report on Form 10-Q and in the fiscal 2004 Annual Report on Form 10-K under the “ITEM 1. BUSINESS — ENVIRONMENTAL AND REGULATORY CONSIDERATIONS” and “ITEM 3. LEGAL PROCEEDINGS” sections.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 AND ESTIMATES</w:t>
      </w:r>
    </w:p>
    <w:p>
      <w:pPr>
        <w:spacing w:after="0" w:line="225" w:lineRule="exact"/>
        <w:rPr>
          <w:sz w:val="20"/>
          <w:szCs w:val="20"/>
          <w:color w:val="auto"/>
        </w:rPr>
      </w:pPr>
    </w:p>
    <w:p>
      <w:pPr>
        <w:ind w:left="140" w:right="140"/>
        <w:spacing w:after="0" w:line="259" w:lineRule="auto"/>
        <w:rPr>
          <w:sz w:val="20"/>
          <w:szCs w:val="20"/>
          <w:color w:val="auto"/>
        </w:rPr>
      </w:pPr>
      <w:r>
        <w:rPr>
          <w:rFonts w:ascii="Arial" w:cs="Arial" w:eastAsia="Arial" w:hAnsi="Arial"/>
          <w:sz w:val="18"/>
          <w:szCs w:val="18"/>
          <w:color w:val="auto"/>
        </w:rPr>
        <w:t>The previous discussion and analysis of the consolidated results of operations and financial position should be read in conjunction with our Condensed, Consolidated Financial Statements included elsewhere in this Quarterly Report on Form 10-Q. Our Annual Report on Form 10-K for the fiscal year ended September 30, 2004 includes additional information about the Company, our operations, and our financial position, and should be read in conjunction with this Quarterly Report on Form 10-Q.</w:t>
      </w:r>
    </w:p>
    <w:p>
      <w:pPr>
        <w:spacing w:after="0" w:line="187" w:lineRule="exact"/>
        <w:rPr>
          <w:sz w:val="20"/>
          <w:szCs w:val="20"/>
          <w:color w:val="auto"/>
        </w:rPr>
      </w:pPr>
    </w:p>
    <w:p>
      <w:pPr>
        <w:ind w:left="140" w:right="40"/>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is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disclosures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Actual results may differ from these estimates under different assumptions or conditions. The estimates that we believe are most critical to our reporting of results of operations and financial position are as follows:</w:t>
      </w:r>
    </w:p>
    <w:p>
      <w:pPr>
        <w:spacing w:after="0" w:line="179" w:lineRule="exact"/>
        <w:rPr>
          <w:sz w:val="20"/>
          <w:szCs w:val="20"/>
          <w:color w:val="auto"/>
        </w:rPr>
      </w:pPr>
    </w:p>
    <w:p>
      <w:pPr>
        <w:ind w:left="620" w:right="40" w:hanging="166"/>
        <w:spacing w:after="0" w:line="291" w:lineRule="auto"/>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have significant investments in property and equipment, intangible assets and goodwill. Whenever changing conditions warrant, we review the reliability of the assets that may be impacted. At least annually, we review indefinite-lived intangible assets and goodwill for impairment. The review for impairment of long-lived assets, intangibles and goodwill takes into account estimates of future cash flows. Our estimates of future cash flows are based upon budgets and longer-range plans. These budgets and plans are used for internal purposes and are also the basis for communication with outside parties about future business trends. While we believe the assumptions we use to estimate future cash flows are reasonable, there can be no assurance that the expected future cash flows will be realized. As a result, impairment charges that possibly should have been recognized in earlier periods may not be recognized until later periods if actual results deviate unfavorably from earlier estimates.</w:t>
      </w:r>
    </w:p>
    <w:p>
      <w:pPr>
        <w:spacing w:after="0" w:line="167" w:lineRule="exact"/>
        <w:rPr>
          <w:rFonts w:ascii="Arial" w:cs="Arial" w:eastAsia="Arial" w:hAnsi="Arial"/>
          <w:sz w:val="16"/>
          <w:szCs w:val="16"/>
          <w:color w:val="auto"/>
        </w:rPr>
      </w:pPr>
    </w:p>
    <w:p>
      <w:pPr>
        <w:ind w:left="620" w:hanging="166"/>
        <w:spacing w:after="0" w:line="264"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continually assess the adequacy of our reserves for uncollectible accounts due from customers. However, future changes in our customers’ operating performance and cash flows or in general economic conditions could have an impact on their ability to fully pay these amounts which could have a material impact on our financial statements.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20" w:right="420" w:hanging="166"/>
        <w:spacing w:after="0" w:line="264"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Reserves for product returns are based upon historical data and current program terms and conditions with our customers. Changes in economic conditions, regulatory actions or defective products could result in actual returns being materially different than the amounts provided for in our interim or annual results of operations or financial position.</w:t>
      </w:r>
    </w:p>
    <w:p>
      <w:pPr>
        <w:spacing w:after="0" w:line="181" w:lineRule="exact"/>
        <w:rPr>
          <w:rFonts w:ascii="Arial" w:cs="Arial" w:eastAsia="Arial" w:hAnsi="Arial"/>
          <w:sz w:val="18"/>
          <w:szCs w:val="18"/>
          <w:color w:val="auto"/>
        </w:rPr>
      </w:pPr>
    </w:p>
    <w:p>
      <w:pPr>
        <w:ind w:left="620" w:right="300" w:hanging="166"/>
        <w:spacing w:after="0" w:line="286"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Reserves for excess and obsolete inventory are based on a variety of factors, including product changes and improvements, changes in active ingredient availability and regulatory acceptance, new product introductions and estimated future demand. The adequacy of our reserves could be materially affected by changes in the demand for our products or by regulatory or competitive actions.</w:t>
      </w:r>
    </w:p>
    <w:p>
      <w:pPr>
        <w:spacing w:after="0" w:line="165" w:lineRule="exact"/>
        <w:rPr>
          <w:rFonts w:ascii="Arial" w:cs="Arial" w:eastAsia="Arial" w:hAnsi="Arial"/>
          <w:sz w:val="17"/>
          <w:szCs w:val="17"/>
          <w:color w:val="auto"/>
        </w:rPr>
      </w:pPr>
    </w:p>
    <w:p>
      <w:pPr>
        <w:ind w:left="620" w:hanging="166"/>
        <w:spacing w:after="0" w:line="257"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accrue for the estimated costs of customer volume rebates, cooperative advertising, consumer coupons and other trade programs as the related sales occur during the year. These accruals involve the use of estimates as to the total expected program costs and the expected sales levels. Historical results are also used to evaluate the accuracy and adequacy of amounts provided at interim dates and year end. There can be no assurance that actual amounts paid for these trade programs will not differ from estimated amounts accrued. However, we believe any such differences would not be material to our financial statements.</w:t>
      </w:r>
    </w:p>
    <w:p>
      <w:pPr>
        <w:spacing w:after="0" w:line="188" w:lineRule="exact"/>
        <w:rPr>
          <w:rFonts w:ascii="Arial" w:cs="Arial" w:eastAsia="Arial" w:hAnsi="Arial"/>
          <w:sz w:val="18"/>
          <w:szCs w:val="18"/>
          <w:color w:val="auto"/>
        </w:rPr>
      </w:pPr>
    </w:p>
    <w:p>
      <w:pPr>
        <w:ind w:left="620" w:right="140" w:hanging="166"/>
        <w:spacing w:after="0" w:line="255"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described more fully in the notes to the Consolidated Financial Statements for the year ended September 30, 2004, and in the notes to the unaudited, Condensed, Consolidated Financial Statements included in this Quarterly Report on Form 10-Q, we are involved in significant environmental and legal matters which have a high degree of uncertainty associated with them. We continually assess the likely outcomes of these matters and the adequacy of amounts, if any, provided for these matters. There can be no assurance that the ultimate outcomes will not differ materially from our assessment of them. There can also be no assurance that all matters that may be brought against us or that we may bring against other parties are known to us at any point in time.</w:t>
      </w:r>
    </w:p>
    <w:p>
      <w:pPr>
        <w:spacing w:after="0" w:line="193" w:lineRule="exact"/>
        <w:rPr>
          <w:rFonts w:ascii="Arial" w:cs="Arial" w:eastAsia="Arial" w:hAnsi="Arial"/>
          <w:sz w:val="18"/>
          <w:szCs w:val="18"/>
          <w:color w:val="auto"/>
        </w:rPr>
      </w:pPr>
    </w:p>
    <w:p>
      <w:pPr>
        <w:ind w:left="620" w:right="100" w:hanging="166"/>
        <w:spacing w:after="0" w:line="289" w:lineRule="auto"/>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record income tax liabilities utilizing known obligations and estimates of potential obligations. A deferred tax asset or liability is recognized whenever there are future tax effects from existing temporary differences and operating loss and tax credit carry forwards. Valuation allowances are used to reduce deferred tax assets to the balance that is more likely than not to be realized. We must make estimates and judgments on future taxable income, considering feasible tax planning strategies and taking into account existing facts and circumstances, to determine the proper valuation allowance. When we determine that deferred tax assets could be realized in greater or lesser amounts than recorded, the asset balance and income statement reflects the change in the period such determination is made. Due to changes in facts and circumstances and the estimates and judgments that are involved in determining the proper valuation allowance, differences between actual future events and prior estimates and judgments could result in adjustments to this valuation allowance. The Company uses an estimate of its annual effective tax rate at each interim period based on the facts and circumstances available at that time, while the actual effective tax rate is calculated at year-end.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left="140" w:right="200"/>
        <w:spacing w:after="0" w:line="279" w:lineRule="auto"/>
        <w:rPr>
          <w:sz w:val="20"/>
          <w:szCs w:val="20"/>
          <w:color w:val="auto"/>
        </w:rPr>
      </w:pPr>
      <w:r>
        <w:rPr>
          <w:rFonts w:ascii="Arial" w:cs="Arial" w:eastAsia="Arial" w:hAnsi="Arial"/>
          <w:sz w:val="17"/>
          <w:szCs w:val="17"/>
          <w:color w:val="auto"/>
        </w:rPr>
        <w:t>We have made and will make “forward-looking statements” within the meaning of Section 27A of the Securities Act of 1933 and Section 21E of the Securities Exchange Act of 1934 in this Form 10-Q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171" w:lineRule="exact"/>
        <w:rPr>
          <w:sz w:val="20"/>
          <w:szCs w:val="20"/>
          <w:color w:val="auto"/>
        </w:rPr>
      </w:pPr>
    </w:p>
    <w:p>
      <w:pPr>
        <w:ind w:left="140" w:right="220"/>
        <w:spacing w:after="0" w:line="259"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87" w:lineRule="exact"/>
        <w:rPr>
          <w:sz w:val="20"/>
          <w:szCs w:val="20"/>
          <w:color w:val="auto"/>
        </w:rPr>
      </w:pPr>
    </w:p>
    <w:p>
      <w:pPr>
        <w:ind w:left="140" w:right="80"/>
        <w:spacing w:after="0" w:line="259" w:lineRule="auto"/>
        <w:rPr>
          <w:sz w:val="20"/>
          <w:szCs w:val="20"/>
          <w:color w:val="auto"/>
        </w:rPr>
      </w:pPr>
      <w:r>
        <w:rPr>
          <w:rFonts w:ascii="Arial" w:cs="Arial" w:eastAsia="Arial" w:hAnsi="Arial"/>
          <w:sz w:val="18"/>
          <w:szCs w:val="18"/>
          <w:color w:val="auto"/>
        </w:rPr>
        <w:t>Some forward-looking statements that we make in this Form 10-Q and in other contexts represent challenging goals for the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187" w:lineRule="exact"/>
        <w:rPr>
          <w:sz w:val="20"/>
          <w:szCs w:val="20"/>
          <w:color w:val="auto"/>
        </w:rPr>
      </w:pPr>
    </w:p>
    <w:p>
      <w:pPr>
        <w:ind w:left="5620" w:right="2040" w:hanging="5396"/>
        <w:spacing w:after="0" w:line="528" w:lineRule="auto"/>
        <w:tabs>
          <w:tab w:leader="none" w:pos="3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SUBSTANTIAL INDEBTEDNESS COULD ADVERSELY AFFECT OUR FINANCIAL HEALTH AND PREVENT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 FROM FULFILLING OUR OBLIGATIONS.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We have a significant amount of debt. Our substantial indebtedness could have important consequences. For example, it could:</w:t>
      </w:r>
    </w:p>
    <w:p>
      <w:pPr>
        <w:spacing w:after="0" w:line="225" w:lineRule="exact"/>
        <w:rPr>
          <w:sz w:val="20"/>
          <w:szCs w:val="20"/>
          <w:color w:val="auto"/>
        </w:rPr>
      </w:pPr>
    </w:p>
    <w:p>
      <w:pPr>
        <w:ind w:left="380" w:hanging="156"/>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outstanding indebtedness and otherwise;</w:t>
      </w:r>
    </w:p>
    <w:p>
      <w:pPr>
        <w:spacing w:after="0" w:line="225" w:lineRule="exact"/>
        <w:rPr>
          <w:rFonts w:ascii="Arial" w:cs="Arial" w:eastAsia="Arial" w:hAnsi="Arial"/>
          <w:sz w:val="18"/>
          <w:szCs w:val="18"/>
          <w:color w:val="auto"/>
        </w:rPr>
      </w:pPr>
    </w:p>
    <w:p>
      <w:pPr>
        <w:ind w:left="380" w:hanging="156"/>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225" w:lineRule="exact"/>
        <w:rPr>
          <w:rFonts w:ascii="Arial" w:cs="Arial" w:eastAsia="Arial" w:hAnsi="Arial"/>
          <w:sz w:val="18"/>
          <w:szCs w:val="18"/>
          <w:color w:val="auto"/>
        </w:rPr>
      </w:pPr>
    </w:p>
    <w:p>
      <w:pPr>
        <w:ind w:left="380" w:right="40" w:hanging="156"/>
        <w:spacing w:after="0" w:line="308"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require us to dedicate a substantial portion of cash flows from operations to payments on our indebtedness, which would reduce the cash flows available to fund working capital, capital expenditures, advertising, research and development efforts and other general corporate requirements;</w:t>
      </w:r>
    </w:p>
    <w:p>
      <w:pPr>
        <w:spacing w:after="0" w:line="146" w:lineRule="exact"/>
        <w:rPr>
          <w:rFonts w:ascii="Arial" w:cs="Arial" w:eastAsia="Arial" w:hAnsi="Arial"/>
          <w:sz w:val="17"/>
          <w:szCs w:val="17"/>
          <w:color w:val="auto"/>
        </w:rPr>
      </w:pPr>
    </w:p>
    <w:p>
      <w:pPr>
        <w:ind w:left="380" w:hanging="156"/>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225" w:lineRule="exact"/>
        <w:rPr>
          <w:rFonts w:ascii="Arial" w:cs="Arial" w:eastAsia="Arial" w:hAnsi="Arial"/>
          <w:sz w:val="18"/>
          <w:szCs w:val="18"/>
          <w:color w:val="auto"/>
        </w:rPr>
      </w:pPr>
    </w:p>
    <w:p>
      <w:pPr>
        <w:ind w:left="380" w:hanging="156"/>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certain competitors that may have less debt;</w:t>
      </w:r>
    </w:p>
    <w:p>
      <w:pPr>
        <w:spacing w:after="0" w:line="225" w:lineRule="exact"/>
        <w:rPr>
          <w:rFonts w:ascii="Arial" w:cs="Arial" w:eastAsia="Arial" w:hAnsi="Arial"/>
          <w:sz w:val="18"/>
          <w:szCs w:val="18"/>
          <w:color w:val="auto"/>
        </w:rPr>
      </w:pPr>
    </w:p>
    <w:p>
      <w:pPr>
        <w:ind w:left="380" w:hanging="156"/>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our ability to borrow additional funds; and</w:t>
      </w:r>
    </w:p>
    <w:p>
      <w:pPr>
        <w:spacing w:after="0" w:line="225" w:lineRule="exact"/>
        <w:rPr>
          <w:rFonts w:ascii="Arial" w:cs="Arial" w:eastAsia="Arial" w:hAnsi="Arial"/>
          <w:sz w:val="18"/>
          <w:szCs w:val="18"/>
          <w:color w:val="auto"/>
        </w:rPr>
      </w:pPr>
    </w:p>
    <w:p>
      <w:pPr>
        <w:ind w:left="380" w:right="420" w:hanging="156"/>
        <w:spacing w:after="0" w:line="27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expose us to risks inherent in interest rate fluctuations because some of our borrowings are at variable rates of interest, which could result in higher interest expense in the event of increases in interest rates.</w:t>
      </w:r>
    </w:p>
    <w:p>
      <w:pPr>
        <w:spacing w:after="0" w:line="170" w:lineRule="exact"/>
        <w:rPr>
          <w:sz w:val="20"/>
          <w:szCs w:val="20"/>
          <w:color w:val="auto"/>
        </w:rPr>
      </w:pPr>
    </w:p>
    <w:p>
      <w:pPr>
        <w:ind w:left="180" w:right="140"/>
        <w:spacing w:after="0" w:line="264" w:lineRule="auto"/>
        <w:rPr>
          <w:sz w:val="20"/>
          <w:szCs w:val="20"/>
          <w:color w:val="auto"/>
        </w:rPr>
      </w:pPr>
      <w:r>
        <w:rPr>
          <w:rFonts w:ascii="Arial" w:cs="Arial" w:eastAsia="Arial" w:hAnsi="Arial"/>
          <w:sz w:val="18"/>
          <w:szCs w:val="18"/>
          <w:color w:val="auto"/>
        </w:rPr>
        <w:t>Our ability to make payments on and to refinance our indebtedness and to fund planned capital expenditures and acquisitions will depend on our ability to generate cash in the future. This, to some extent, is subject to general economic, financial, competitive, legislative, regulatory and other factors that are beyond our control.</w:t>
      </w:r>
    </w:p>
    <w:p>
      <w:pPr>
        <w:spacing w:after="0" w:line="181" w:lineRule="exact"/>
        <w:rPr>
          <w:sz w:val="20"/>
          <w:szCs w:val="20"/>
          <w:color w:val="auto"/>
        </w:rPr>
      </w:pPr>
    </w:p>
    <w:p>
      <w:pPr>
        <w:ind w:left="180" w:right="100"/>
        <w:spacing w:after="0" w:line="259" w:lineRule="auto"/>
        <w:rPr>
          <w:sz w:val="20"/>
          <w:szCs w:val="20"/>
          <w:color w:val="auto"/>
        </w:rPr>
      </w:pPr>
      <w:r>
        <w:rPr>
          <w:rFonts w:ascii="Arial" w:cs="Arial" w:eastAsia="Arial" w:hAnsi="Arial"/>
          <w:sz w:val="18"/>
          <w:szCs w:val="18"/>
          <w:color w:val="auto"/>
        </w:rPr>
        <w:t>We cannot assure you that our business will generate sufficient cash flow from operating activities or that future borrowings will be available to us under our New Credit Agreement in amounts sufficient to enable us to pay our indebtedness or to fund our other liquidity needs. We may need to refinance all or a portion of our indebtedness, on or before maturity. We cannot assure you that we will be able to refinance any of our indebtedness on commercially reasonable terms or at all.</w:t>
      </w:r>
    </w:p>
    <w:p>
      <w:pPr>
        <w:spacing w:after="0" w:line="187"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RESTRICTIVE COVENANTS MAY ADVERSELY AFFECT US.</w:t>
      </w:r>
    </w:p>
    <w:p>
      <w:pPr>
        <w:spacing w:after="0" w:line="225" w:lineRule="exact"/>
        <w:rPr>
          <w:rFonts w:ascii="Arial" w:cs="Arial" w:eastAsia="Arial" w:hAnsi="Arial"/>
          <w:sz w:val="18"/>
          <w:szCs w:val="18"/>
          <w:color w:val="auto"/>
        </w:rPr>
      </w:pPr>
    </w:p>
    <w:p>
      <w:pPr>
        <w:ind w:left="180"/>
        <w:spacing w:after="0" w:line="255" w:lineRule="auto"/>
        <w:rPr>
          <w:rFonts w:ascii="Arial" w:cs="Arial" w:eastAsia="Arial" w:hAnsi="Arial"/>
          <w:sz w:val="18"/>
          <w:szCs w:val="18"/>
          <w:color w:val="auto"/>
        </w:rPr>
      </w:pPr>
      <w:r>
        <w:rPr>
          <w:rFonts w:ascii="Arial" w:cs="Arial" w:eastAsia="Arial" w:hAnsi="Arial"/>
          <w:sz w:val="18"/>
          <w:szCs w:val="18"/>
          <w:color w:val="auto"/>
        </w:rPr>
        <w:t>Our Second Amended and Restated Credit Agreement (“New Credit Agreement”) and the indenture governing our outstanding 6 5/8% Notes contain restrictive covenants and cross default provisions that require us to maintain specified financial ratios. Our ability to satisfy those financial ratios can be affected by events beyond our control, and we cannot assure you that we will satisfy those tests. A breach of any of these covenants could result in a default under our New Credit Agreement and/or our outstanding 6 5/8% Notes. Upon the occurrence of an event of default under our New Credit Agreement and/or the 6 5/8% Notes, the lenders and/or noteholders could elect to declare the applicable outstanding indebtedness to be immediately due and payable and terminate all commitments to extend further credit. We cannot be sure that our lenders or the noteholders would waive a default or that we could pay the indebtedness in full if it were accelerated.</w:t>
      </w:r>
    </w:p>
    <w:p>
      <w:pPr>
        <w:spacing w:after="0" w:line="189" w:lineRule="exact"/>
        <w:rPr>
          <w:rFonts w:ascii="Arial" w:cs="Arial" w:eastAsia="Arial" w:hAnsi="Arial"/>
          <w:sz w:val="18"/>
          <w:szCs w:val="18"/>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WEATHER CONDITIONS COULD ADVERSELY IMPACT FINANCIAL RESULTS.</w:t>
      </w:r>
    </w:p>
    <w:p>
      <w:pPr>
        <w:spacing w:after="0" w:line="225" w:lineRule="exact"/>
        <w:rPr>
          <w:rFonts w:ascii="Arial" w:cs="Arial" w:eastAsia="Arial" w:hAnsi="Arial"/>
          <w:sz w:val="18"/>
          <w:szCs w:val="18"/>
          <w:color w:val="auto"/>
        </w:rPr>
      </w:pPr>
    </w:p>
    <w:p>
      <w:pPr>
        <w:ind w:left="180" w:right="140"/>
        <w:spacing w:after="0" w:line="308" w:lineRule="auto"/>
        <w:rPr>
          <w:rFonts w:ascii="Arial" w:cs="Arial" w:eastAsia="Arial" w:hAnsi="Arial"/>
          <w:sz w:val="18"/>
          <w:szCs w:val="18"/>
          <w:color w:val="auto"/>
        </w:rPr>
      </w:pPr>
      <w:r>
        <w:rPr>
          <w:rFonts w:ascii="Arial" w:cs="Arial" w:eastAsia="Arial" w:hAnsi="Arial"/>
          <w:sz w:val="17"/>
          <w:szCs w:val="17"/>
          <w:color w:val="auto"/>
        </w:rPr>
        <w:t>Weather conditions in North America and Europe have a significant impact on the timing of sales in the spring selling season and overall annual sales. An abnormally cold or wet spring throughout North America and/or Europe could adversely affect sales and therefore our financial results.</w:t>
      </w:r>
    </w:p>
    <w:p>
      <w:pPr>
        <w:spacing w:after="0" w:line="146" w:lineRule="exact"/>
        <w:rPr>
          <w:rFonts w:ascii="Arial" w:cs="Arial" w:eastAsia="Arial" w:hAnsi="Arial"/>
          <w:sz w:val="18"/>
          <w:szCs w:val="18"/>
          <w:color w:val="auto"/>
        </w:rPr>
      </w:pPr>
    </w:p>
    <w:p>
      <w:pPr>
        <w:ind w:left="180" w:right="420" w:hanging="172"/>
        <w:spacing w:after="0" w:line="277"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HISTORICAL SEASONALITY COULD IMPAIR OUR ABILITY TO PAY OBLIGATIONS AS THEY COME DUE IN ADDITION TO OUR OPERATING EXPENSES.</w:t>
      </w:r>
    </w:p>
    <w:p>
      <w:pPr>
        <w:spacing w:after="0" w:line="170" w:lineRule="exact"/>
        <w:rPr>
          <w:rFonts w:ascii="Arial" w:cs="Arial" w:eastAsia="Arial" w:hAnsi="Arial"/>
          <w:sz w:val="18"/>
          <w:szCs w:val="18"/>
          <w:color w:val="auto"/>
        </w:rPr>
      </w:pPr>
    </w:p>
    <w:p>
      <w:pPr>
        <w:ind w:left="180" w:right="60"/>
        <w:spacing w:after="0" w:line="255" w:lineRule="auto"/>
        <w:rPr>
          <w:rFonts w:ascii="Arial" w:cs="Arial" w:eastAsia="Arial" w:hAnsi="Arial"/>
          <w:sz w:val="18"/>
          <w:szCs w:val="18"/>
          <w:color w:val="auto"/>
        </w:rPr>
      </w:pPr>
      <w:r>
        <w:rPr>
          <w:rFonts w:ascii="Arial" w:cs="Arial" w:eastAsia="Arial" w:hAnsi="Arial"/>
          <w:sz w:val="18"/>
          <w:szCs w:val="18"/>
          <w:color w:val="auto"/>
        </w:rPr>
        <w:t>Because our products are used primarily in the spring and summer, our business is highly seasonal. For the past two fiscal years, more than 70% of our net sales have occurred in the second and third fiscal quarters combined. Our working capital needs and our borrowings peak near the middle of our second fiscal quarter because we are generating fewer revenues while incurring expenditures and building inventories in preparation for the spring selling season. If cash on hand is insufficient to pay our obligations as they come due, including interest payments on our indebtedness, or our operating expenses, at a time when we are unable to draw on our credit facility, this seasonality could have a material adverse effect on our ability to conduct our business. Adverse weather conditions could heighten this risk.</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PERCEPTIONS THAT THE PRODUCTS WE PRODUCE AND MARKET ARE NOT SAFE COULD ADVERSELY AFFECT US.</w:t>
      </w:r>
    </w:p>
    <w:p>
      <w:pPr>
        <w:spacing w:after="0" w:line="225" w:lineRule="exact"/>
        <w:rPr>
          <w:rFonts w:ascii="Arial" w:cs="Arial" w:eastAsia="Arial" w:hAnsi="Arial"/>
          <w:sz w:val="18"/>
          <w:szCs w:val="18"/>
          <w:color w:val="auto"/>
        </w:rPr>
      </w:pPr>
    </w:p>
    <w:p>
      <w:pPr>
        <w:ind w:left="180" w:right="40"/>
        <w:spacing w:after="0" w:line="276" w:lineRule="auto"/>
        <w:rPr>
          <w:rFonts w:ascii="Arial" w:cs="Arial" w:eastAsia="Arial" w:hAnsi="Arial"/>
          <w:sz w:val="18"/>
          <w:szCs w:val="18"/>
          <w:color w:val="auto"/>
        </w:rPr>
      </w:pPr>
      <w:r>
        <w:rPr>
          <w:rFonts w:ascii="Arial" w:cs="Arial" w:eastAsia="Arial" w:hAnsi="Arial"/>
          <w:sz w:val="17"/>
          <w:szCs w:val="17"/>
          <w:color w:val="auto"/>
        </w:rPr>
        <w:t>We manufacture and market a number of complex chemical products, such as fertilizers, growing media, herbicides and pesticides, bearing one of our brand names. On occasion, allegations are made that some of our products have failed to perform up to expectations or have caused damage or injury to individuals or property. Based on reports of contamination at a third party supplier’s vermiculite mine, the public may perceive that some of our products manufactured in the past using vermiculite are or may also be contaminated. Public perception that our products are not safe, whether justified or not, could impair reputation, involve us in litigation, damage our brand names and have a material adverse affect our business.</w:t>
      </w:r>
    </w:p>
    <w:p>
      <w:pPr>
        <w:spacing w:after="0" w:line="172" w:lineRule="exact"/>
        <w:rPr>
          <w:rFonts w:ascii="Arial" w:cs="Arial" w:eastAsia="Arial" w:hAnsi="Arial"/>
          <w:sz w:val="18"/>
          <w:szCs w:val="18"/>
          <w:color w:val="auto"/>
        </w:rPr>
      </w:pPr>
    </w:p>
    <w:p>
      <w:pPr>
        <w:ind w:left="180" w:right="180" w:hanging="172"/>
        <w:spacing w:after="0" w:line="277"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NATURE OF CERTAIN OF OUR PRODUCTS AND OUR BUSINESS SUCCESS CONTRIBUTE TO THE RISK THAT THE COMPANY WILL BE SUBJECTED TO LAWSUITS.</w:t>
      </w:r>
    </w:p>
    <w:p>
      <w:pPr>
        <w:spacing w:after="0" w:line="170" w:lineRule="exact"/>
        <w:rPr>
          <w:rFonts w:ascii="Arial" w:cs="Arial" w:eastAsia="Arial" w:hAnsi="Arial"/>
          <w:sz w:val="18"/>
          <w:szCs w:val="18"/>
          <w:color w:val="auto"/>
        </w:rPr>
      </w:pPr>
    </w:p>
    <w:p>
      <w:pPr>
        <w:ind w:left="180" w:right="440"/>
        <w:spacing w:after="0" w:line="277" w:lineRule="auto"/>
        <w:rPr>
          <w:rFonts w:ascii="Arial" w:cs="Arial" w:eastAsia="Arial" w:hAnsi="Arial"/>
          <w:sz w:val="18"/>
          <w:szCs w:val="18"/>
          <w:color w:val="auto"/>
        </w:rPr>
      </w:pPr>
      <w:r>
        <w:rPr>
          <w:rFonts w:ascii="Arial" w:cs="Arial" w:eastAsia="Arial" w:hAnsi="Arial"/>
          <w:sz w:val="18"/>
          <w:szCs w:val="18"/>
          <w:color w:val="auto"/>
        </w:rPr>
        <w:t>The nature of certain of our products and our business success contribute to the risk that the Company will be subjected to lawsuits. The following are among the factors that contribute to this litigation risk:</w:t>
      </w:r>
    </w:p>
    <w:p>
      <w:pPr>
        <w:spacing w:after="0" w:line="170" w:lineRule="exact"/>
        <w:rPr>
          <w:rFonts w:ascii="Arial" w:cs="Arial" w:eastAsia="Arial" w:hAnsi="Arial"/>
          <w:sz w:val="18"/>
          <w:szCs w:val="18"/>
          <w:color w:val="auto"/>
        </w:rPr>
      </w:pPr>
    </w:p>
    <w:p>
      <w:pPr>
        <w:ind w:left="380" w:right="100" w:hanging="156"/>
        <w:spacing w:after="0" w:line="259" w:lineRule="auto"/>
        <w:tabs>
          <w:tab w:leader="none" w:pos="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We manufacture and market a number of complex chemical products bearing our brand names, including fertilizers, growing media, herbicides and pesticides. There is a portion of the population that perceives all chemical products as potentially hazardous. This perception, regardless of its merits, enhances the risk that the Company will be subjected to product liability claims that allege harm from exposure to our products. Product liability claims are brought against the Company from time to time.</w:t>
      </w:r>
    </w:p>
    <w:p>
      <w:pPr>
        <w:spacing w:after="0" w:line="186" w:lineRule="exact"/>
        <w:rPr>
          <w:rFonts w:ascii="Arial" w:cs="Arial" w:eastAsia="Arial" w:hAnsi="Arial"/>
          <w:sz w:val="18"/>
          <w:szCs w:val="18"/>
          <w:color w:val="auto"/>
        </w:rPr>
      </w:pPr>
    </w:p>
    <w:p>
      <w:pPr>
        <w:ind w:left="380" w:right="360" w:hanging="156"/>
        <w:spacing w:after="0" w:line="264" w:lineRule="auto"/>
        <w:tabs>
          <w:tab w:leader="none" w:pos="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Company has been named a defendant in product liability lawsuits and may be named a defendant in additonal product liability suits apparently based on allegations regarding the Company’s past use, in some of its products, of vermiculite supplied to the Company, some of which has been reported to have contained impurities.</w:t>
      </w:r>
    </w:p>
    <w:p>
      <w:pPr>
        <w:spacing w:after="0" w:line="181" w:lineRule="exact"/>
        <w:rPr>
          <w:rFonts w:ascii="Arial" w:cs="Arial" w:eastAsia="Arial" w:hAnsi="Arial"/>
          <w:sz w:val="18"/>
          <w:szCs w:val="18"/>
          <w:color w:val="auto"/>
        </w:rPr>
      </w:pPr>
    </w:p>
    <w:p>
      <w:pPr>
        <w:jc w:val="both"/>
        <w:ind w:left="380" w:right="300" w:hanging="156"/>
        <w:spacing w:after="0" w:line="286" w:lineRule="auto"/>
        <w:tabs>
          <w:tab w:leader="none" w:pos="3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We are a significant competitor in many of the markets in which we compete. Our success in our markets enhances the risk that the Company will be targeted by plaintiffs’ lawyers, consumer groups, competitors and others asserting antitrust claims. Antitrust claims are brought against the Company from time to time. The Company believes that the antitrust claims of which it is aware are without merit.</w:t>
      </w:r>
    </w:p>
    <w:p>
      <w:pPr>
        <w:spacing w:after="0" w:line="166" w:lineRule="exact"/>
        <w:rPr>
          <w:sz w:val="20"/>
          <w:szCs w:val="20"/>
          <w:color w:val="auto"/>
        </w:rPr>
      </w:pPr>
    </w:p>
    <w:p>
      <w:pPr>
        <w:jc w:val="both"/>
        <w:ind w:left="180" w:right="240"/>
        <w:spacing w:after="0" w:line="264" w:lineRule="auto"/>
        <w:rPr>
          <w:sz w:val="20"/>
          <w:szCs w:val="20"/>
          <w:color w:val="auto"/>
        </w:rPr>
      </w:pPr>
      <w:r>
        <w:rPr>
          <w:rFonts w:ascii="Arial" w:cs="Arial" w:eastAsia="Arial" w:hAnsi="Arial"/>
          <w:sz w:val="18"/>
          <w:szCs w:val="18"/>
          <w:color w:val="auto"/>
        </w:rPr>
        <w:t>Please see Note 8 to the Condensed, Consolidated Financial Statements (unaudited) included in Part I, Item 1 of this Quarterly Report on Form 10-Q and the disclosures under Part II, Item 1 “Legal Proceedings” of this Quarterly Report Form 10-Q for information concerning certain significant lawsuits and claims involving the Company.</w:t>
      </w:r>
    </w:p>
    <w:p>
      <w:pPr>
        <w:spacing w:after="0" w:line="181" w:lineRule="exact"/>
        <w:rPr>
          <w:sz w:val="20"/>
          <w:szCs w:val="20"/>
          <w:color w:val="auto"/>
        </w:rPr>
      </w:pPr>
    </w:p>
    <w:p>
      <w:pPr>
        <w:ind w:left="180" w:right="140" w:hanging="172"/>
        <w:spacing w:after="0" w:line="264" w:lineRule="auto"/>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BECAUSE OF THE CONCENTRATION OF OUR SALES TO A SMALL NUMBER OF RETAIL CUSTOMERS, THE LOSS OF ONE OR MORE OF, OR SIGNIFICANT DECLINE IN ORDERS FROM, OUR TOP CUSTOMERS COULD ADVERSELY AFFECT OUR RESULTS OF OPERATIONS, FINANCIAL POSITION OR CASH FLOWS.</w:t>
      </w:r>
    </w:p>
    <w:p>
      <w:pPr>
        <w:spacing w:after="0" w:line="181" w:lineRule="exact"/>
        <w:rPr>
          <w:rFonts w:ascii="Arial" w:cs="Arial" w:eastAsia="Arial" w:hAnsi="Arial"/>
          <w:sz w:val="18"/>
          <w:szCs w:val="18"/>
          <w:color w:val="auto"/>
        </w:rPr>
      </w:pPr>
    </w:p>
    <w:p>
      <w:pPr>
        <w:ind w:left="180"/>
        <w:spacing w:after="0" w:line="273" w:lineRule="auto"/>
        <w:rPr>
          <w:rFonts w:ascii="Arial" w:cs="Arial" w:eastAsia="Arial" w:hAnsi="Arial"/>
          <w:sz w:val="18"/>
          <w:szCs w:val="18"/>
          <w:color w:val="auto"/>
        </w:rPr>
      </w:pPr>
      <w:r>
        <w:rPr>
          <w:rFonts w:ascii="Arial" w:cs="Arial" w:eastAsia="Arial" w:hAnsi="Arial"/>
          <w:sz w:val="17"/>
          <w:szCs w:val="17"/>
          <w:color w:val="auto"/>
        </w:rPr>
        <w:t>North America net sales represent approximately 73% of our worldwide net sales for fiscal 2004. Our top three North American retail customers together accounted for 67% of our North American fiscal 2004 net sales and 71% of our outstanding accounts receivable as of September 30, 2004. Home Depot, Wal-Mart and Lowe’s represented approximately 36%, 18% and 13%, respectively, of our fiscal 2004 North American net sales. The loss of, or reduction in orders from, Home Depot, Wal-Mart and Lowe’s or any other significant customer could have a material adverse effect on our results of operations, financial position or cash flows, as could customer disputes regarding shipments, fees, merchandise condition or related matters. Our inability to collect accounts receivable from any of these customers could also have a material adverse effect.</w:t>
      </w:r>
    </w:p>
    <w:p>
      <w:pPr>
        <w:spacing w:after="0" w:line="178" w:lineRule="exact"/>
        <w:rPr>
          <w:rFonts w:ascii="Arial" w:cs="Arial" w:eastAsia="Arial" w:hAnsi="Arial"/>
          <w:sz w:val="18"/>
          <w:szCs w:val="18"/>
          <w:color w:val="auto"/>
        </w:rPr>
      </w:pPr>
    </w:p>
    <w:p>
      <w:pPr>
        <w:ind w:left="180" w:right="180"/>
        <w:spacing w:after="0" w:line="259" w:lineRule="auto"/>
        <w:rPr>
          <w:rFonts w:ascii="Arial" w:cs="Arial" w:eastAsia="Arial" w:hAnsi="Arial"/>
          <w:sz w:val="18"/>
          <w:szCs w:val="18"/>
          <w:color w:val="auto"/>
        </w:rPr>
      </w:pPr>
      <w:r>
        <w:rPr>
          <w:rFonts w:ascii="Arial" w:cs="Arial" w:eastAsia="Arial" w:hAnsi="Arial"/>
          <w:sz w:val="18"/>
          <w:szCs w:val="18"/>
          <w:color w:val="auto"/>
        </w:rPr>
        <w:t>We do not have long-term sales agreements or other contractual assurances as to future sales to any of our major retail customers. In addition, continued consolidation in the retail industry has resulted in an increasingly concentrated retail base. To the extent such concentration continues to occur, our results of operations, financial position or cash flows may be increasingly sensitive to a deterioration in the financial condition of, or other adverse developments involving our relationship with, one or more customers.</w:t>
      </w:r>
    </w:p>
    <w:p>
      <w:pPr>
        <w:spacing w:after="0" w:line="186" w:lineRule="exact"/>
        <w:rPr>
          <w:rFonts w:ascii="Arial" w:cs="Arial" w:eastAsia="Arial" w:hAnsi="Arial"/>
          <w:sz w:val="18"/>
          <w:szCs w:val="18"/>
          <w:color w:val="auto"/>
        </w:rPr>
      </w:pPr>
    </w:p>
    <w:p>
      <w:pPr>
        <w:ind w:left="180" w:hanging="172"/>
        <w:spacing w:after="0" w:line="277" w:lineRule="auto"/>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HIGHLY COMPETITIVE NATURE OF THE COMPANY’S MARKETS COULD ADVERSELY AFFECT THE ABILITY OF THE COMPANY TO GROW OR MAINTAIN REVENUES.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0" w:right="180"/>
        <w:spacing w:after="0" w:line="302" w:lineRule="auto"/>
        <w:rPr>
          <w:sz w:val="20"/>
          <w:szCs w:val="20"/>
          <w:color w:val="auto"/>
        </w:rPr>
      </w:pPr>
      <w:r>
        <w:rPr>
          <w:rFonts w:ascii="Arial" w:cs="Arial" w:eastAsia="Arial" w:hAnsi="Arial"/>
          <w:sz w:val="16"/>
          <w:szCs w:val="16"/>
          <w:color w:val="auto"/>
        </w:rPr>
        <w:t>Each of our segments participates in markets that are highly competitive. Many of our competitors sell their products at prices lower than ours, and we compete primarily on the basis of product quality, product performance, value, brand strength, supply chain competency and advertising. Some of our competitors have significant financial resources and research departments. The strong competition that we face in all of our markets may prevent us from achieving our revenue goals, which may have a material adverse effect on our results of operations, financial position or cash flows.</w:t>
      </w:r>
    </w:p>
    <w:p>
      <w:pPr>
        <w:spacing w:after="0" w:line="154" w:lineRule="exact"/>
        <w:rPr>
          <w:sz w:val="20"/>
          <w:szCs w:val="20"/>
          <w:color w:val="auto"/>
        </w:rPr>
      </w:pPr>
    </w:p>
    <w:p>
      <w:pPr>
        <w:ind w:left="180" w:right="480" w:hanging="172"/>
        <w:spacing w:after="0" w:line="277"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MONSANTO WERE TO TERMINATE THE MARKETING AGREEMENT FOR CONSUMER ROUNDUP® PRODUCTS WITHOUT BEING REQUIRED TO PAY ANY TERMINATION FEE, WE WOULD LOSE A SUBSTANTIAL SOURCE OF FUTURE EARNINGS.</w:t>
      </w:r>
    </w:p>
    <w:p>
      <w:pPr>
        <w:spacing w:after="0" w:line="170" w:lineRule="exact"/>
        <w:rPr>
          <w:rFonts w:ascii="Arial" w:cs="Arial" w:eastAsia="Arial" w:hAnsi="Arial"/>
          <w:sz w:val="18"/>
          <w:szCs w:val="18"/>
          <w:color w:val="auto"/>
        </w:rPr>
      </w:pPr>
    </w:p>
    <w:p>
      <w:pPr>
        <w:ind w:left="180" w:right="20"/>
        <w:spacing w:after="0" w:line="259" w:lineRule="auto"/>
        <w:rPr>
          <w:rFonts w:ascii="Arial" w:cs="Arial" w:eastAsia="Arial" w:hAnsi="Arial"/>
          <w:sz w:val="18"/>
          <w:szCs w:val="18"/>
          <w:color w:val="auto"/>
        </w:rPr>
      </w:pPr>
      <w:r>
        <w:rPr>
          <w:rFonts w:ascii="Arial" w:cs="Arial" w:eastAsia="Arial" w:hAnsi="Arial"/>
          <w:sz w:val="18"/>
          <w:szCs w:val="18"/>
          <w:color w:val="auto"/>
        </w:rPr>
        <w:t>If we were to commit a serious default under the marketing agreement with Monsanto for consumer Roundup® products, Monsanto may have the right to terminate the agreement. If Monsanto were to terminate the marketing agreement for cause, we would not be entitled to any termination fee. Monsanto may also be able to terminate the marketing agreement within a given region, including North America, without paying us a termination fee if sales to consumers in that region decline:</w:t>
      </w:r>
    </w:p>
    <w:p>
      <w:pPr>
        <w:spacing w:after="0" w:line="186" w:lineRule="exact"/>
        <w:rPr>
          <w:rFonts w:ascii="Arial" w:cs="Arial" w:eastAsia="Arial" w:hAnsi="Arial"/>
          <w:sz w:val="18"/>
          <w:szCs w:val="18"/>
          <w:color w:val="auto"/>
        </w:rPr>
      </w:pPr>
    </w:p>
    <w:p>
      <w:pPr>
        <w:ind w:left="380" w:hanging="156"/>
        <w:spacing w:after="0"/>
        <w:tabs>
          <w:tab w:leader="none" w:pos="3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over a cumulative three fiscal year period; or</w:t>
      </w:r>
    </w:p>
    <w:p>
      <w:pPr>
        <w:spacing w:after="0" w:line="225" w:lineRule="exact"/>
        <w:rPr>
          <w:rFonts w:ascii="Arial" w:cs="Arial" w:eastAsia="Arial" w:hAnsi="Arial"/>
          <w:sz w:val="18"/>
          <w:szCs w:val="18"/>
          <w:color w:val="auto"/>
        </w:rPr>
      </w:pPr>
    </w:p>
    <w:p>
      <w:pPr>
        <w:ind w:left="380" w:hanging="156"/>
        <w:spacing w:after="0"/>
        <w:tabs>
          <w:tab w:leader="none" w:pos="3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by more than 5% for each of two consecutive fiscal years.</w:t>
      </w:r>
    </w:p>
    <w:p>
      <w:pPr>
        <w:spacing w:after="0" w:line="225" w:lineRule="exact"/>
        <w:rPr>
          <w:sz w:val="20"/>
          <w:szCs w:val="20"/>
          <w:color w:val="auto"/>
        </w:rPr>
      </w:pPr>
    </w:p>
    <w:p>
      <w:pPr>
        <w:ind w:left="180"/>
        <w:spacing w:after="0" w:line="276" w:lineRule="auto"/>
        <w:rPr>
          <w:sz w:val="20"/>
          <w:szCs w:val="20"/>
          <w:color w:val="auto"/>
        </w:rPr>
      </w:pPr>
      <w:r>
        <w:rPr>
          <w:rFonts w:ascii="Arial" w:cs="Arial" w:eastAsia="Arial" w:hAnsi="Arial"/>
          <w:sz w:val="17"/>
          <w:szCs w:val="17"/>
          <w:color w:val="auto"/>
        </w:rPr>
        <w:t>In addition, with respect to the European Union Countries, the term of the Marketing Agreement extends through September 30, 2008, and may be renewed at the option of both parties for successive terms ending on September 30, 2015, and 2018. With a separate determination being made by both parties at least six months prior to the expiration of each term. While the commission structure is likely to be recalculated in a manner favorable to Scotts Miracle-Gro should Monsanto not agree to the renewal term, there is no assurance that the change in terms would be sufficient to offset the loss of earnings from the European Roundupâ business and overhead absorption the Marketing Agreement provides.</w:t>
      </w:r>
    </w:p>
    <w:p>
      <w:pPr>
        <w:spacing w:after="0" w:line="173" w:lineRule="exact"/>
        <w:rPr>
          <w:sz w:val="20"/>
          <w:szCs w:val="20"/>
          <w:color w:val="auto"/>
        </w:rPr>
      </w:pPr>
    </w:p>
    <w:p>
      <w:pPr>
        <w:ind w:left="180" w:right="340" w:hanging="172"/>
        <w:spacing w:after="0" w:line="277"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HAGEDORN PARTNERSHIP, L.P. BENEFICIALLY OWNS APPROXIMATELY 32% OF OUR OUTSTANDING COMMON SHARES ON A FULLY DILUTED BASIS.</w:t>
      </w:r>
    </w:p>
    <w:p>
      <w:pPr>
        <w:spacing w:after="0" w:line="170" w:lineRule="exact"/>
        <w:rPr>
          <w:rFonts w:ascii="Arial" w:cs="Arial" w:eastAsia="Arial" w:hAnsi="Arial"/>
          <w:sz w:val="18"/>
          <w:szCs w:val="18"/>
          <w:color w:val="auto"/>
        </w:rPr>
      </w:pPr>
    </w:p>
    <w:p>
      <w:pPr>
        <w:ind w:left="180" w:right="200"/>
        <w:spacing w:after="0" w:line="277" w:lineRule="auto"/>
        <w:rPr>
          <w:rFonts w:ascii="Arial" w:cs="Arial" w:eastAsia="Arial" w:hAnsi="Arial"/>
          <w:sz w:val="18"/>
          <w:szCs w:val="18"/>
          <w:color w:val="auto"/>
        </w:rPr>
      </w:pPr>
      <w:r>
        <w:rPr>
          <w:rFonts w:ascii="Arial" w:cs="Arial" w:eastAsia="Arial" w:hAnsi="Arial"/>
          <w:sz w:val="18"/>
          <w:szCs w:val="18"/>
          <w:color w:val="auto"/>
        </w:rPr>
        <w:t>The Hagedorn Partnership, L.P. beneficially owns approximately 32% of our outstanding common shares and has sufficient voting power to significantly influence the election of directors and the approval of other actions requiring the approval of our shareholders.</w:t>
      </w:r>
    </w:p>
    <w:p>
      <w:pPr>
        <w:spacing w:after="0" w:line="170" w:lineRule="exact"/>
        <w:rPr>
          <w:rFonts w:ascii="Arial" w:cs="Arial" w:eastAsia="Arial" w:hAnsi="Arial"/>
          <w:sz w:val="18"/>
          <w:szCs w:val="18"/>
          <w:color w:val="auto"/>
        </w:rPr>
      </w:pPr>
    </w:p>
    <w:p>
      <w:pPr>
        <w:ind w:left="180" w:right="740" w:hanging="172"/>
        <w:spacing w:after="0" w:line="277"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ENVIRONMENTAL AND OTHER PUBLIC HEALTH REGULATIONS COULD INCREASE OUR COST OF DOING BUSINESS.</w:t>
      </w:r>
    </w:p>
    <w:p>
      <w:pPr>
        <w:spacing w:after="0" w:line="170" w:lineRule="exact"/>
        <w:rPr>
          <w:rFonts w:ascii="Arial" w:cs="Arial" w:eastAsia="Arial" w:hAnsi="Arial"/>
          <w:sz w:val="18"/>
          <w:szCs w:val="18"/>
          <w:color w:val="auto"/>
        </w:rPr>
      </w:pPr>
    </w:p>
    <w:p>
      <w:pPr>
        <w:ind w:left="180" w:right="80"/>
        <w:spacing w:after="0" w:line="255" w:lineRule="auto"/>
        <w:rPr>
          <w:rFonts w:ascii="Arial" w:cs="Arial" w:eastAsia="Arial" w:hAnsi="Arial"/>
          <w:sz w:val="18"/>
          <w:szCs w:val="18"/>
          <w:color w:val="auto"/>
        </w:rPr>
      </w:pPr>
      <w:r>
        <w:rPr>
          <w:rFonts w:ascii="Arial" w:cs="Arial" w:eastAsia="Arial" w:hAnsi="Arial"/>
          <w:sz w:val="18"/>
          <w:szCs w:val="18"/>
          <w:color w:val="auto"/>
        </w:rPr>
        <w:t>Local, state, federal and foreign laws and regulations relating to environmental matters affect us in several ways. In the United States, all products containing pesticides must be registered with the United States Environmental Protection Agency (“U.S. EPA”) and, in many cases, similar state agencies before they can be sold. The inability to obtain or the cancellation of any registration could have an adverse effect on our business.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93" w:lineRule="exact"/>
        <w:rPr>
          <w:rFonts w:ascii="Arial" w:cs="Arial" w:eastAsia="Arial" w:hAnsi="Arial"/>
          <w:sz w:val="18"/>
          <w:szCs w:val="18"/>
          <w:color w:val="auto"/>
        </w:rPr>
      </w:pPr>
    </w:p>
    <w:p>
      <w:pPr>
        <w:ind w:left="180" w:right="60"/>
        <w:spacing w:after="0" w:line="270" w:lineRule="auto"/>
        <w:rPr>
          <w:rFonts w:ascii="Arial" w:cs="Arial" w:eastAsia="Arial" w:hAnsi="Arial"/>
          <w:sz w:val="18"/>
          <w:szCs w:val="18"/>
          <w:color w:val="auto"/>
        </w:rPr>
      </w:pPr>
      <w:r>
        <w:rPr>
          <w:rFonts w:ascii="Arial" w:cs="Arial" w:eastAsia="Arial" w:hAnsi="Arial"/>
          <w:sz w:val="17"/>
          <w:szCs w:val="17"/>
          <w:color w:val="auto"/>
        </w:rPr>
        <w:t>The Food Quality Protection Act, enacted by the U.S. Congress in August 1996, established the following standard for food-use pesticides: a reasonable certainty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continue to be evaluated by the U.S. EPA as part of this exposure risk assessment. It is possible that the U.S. EPA or a third party active ingredient registrant may decide that a pesticide we use in our products will be limited or made unavailable to us. For example, in June 2000, DowAgroSciences, an active ingredient registrant, voluntarily agreed to a gradual phase-out of residential uses of chlorpyrifos, an active ingredient that was used in certain of our lawn and garden products. In December 2000, the U.S. EPA reached agreement with various parties, including manufacturers, regarding a phased withdrawal from retailers by December 2004 of residential use products containing diazinon, an active ingredient used in certain of our lawn and garden products. We cannot predict the outcome or the severity 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effect of the U.S. EPA’s continuing evaluations of active ingredients used in our products.</w:t>
      </w:r>
    </w:p>
    <w:p>
      <w:pPr>
        <w:spacing w:after="0" w:line="225" w:lineRule="exact"/>
        <w:rPr>
          <w:sz w:val="20"/>
          <w:szCs w:val="20"/>
          <w:color w:val="auto"/>
        </w:rPr>
      </w:pPr>
    </w:p>
    <w:p>
      <w:pPr>
        <w:ind w:left="140"/>
        <w:spacing w:after="0" w:line="272" w:lineRule="auto"/>
        <w:rPr>
          <w:sz w:val="20"/>
          <w:szCs w:val="20"/>
          <w:color w:val="auto"/>
        </w:rPr>
      </w:pPr>
      <w:r>
        <w:rPr>
          <w:rFonts w:ascii="Arial" w:cs="Arial" w:eastAsia="Arial" w:hAnsi="Arial"/>
          <w:sz w:val="17"/>
          <w:szCs w:val="17"/>
          <w:color w:val="auto"/>
        </w:rPr>
        <w:t>The use of certain pesticide and fertilizer products is regulated by various local, state, federal and foreign environmental and public health agencies. Regulations regarding the use of some pesticide and fertilizer products may include requirements that only certified or professional users apply the product, that the products be used only in specified locations or that certain ingredients not be used.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you that our products, particularly pesticide products, will not cause injury to the environment or to people under all circumstances. The costs of compliance, remediation or products liability have adversely affected results of operations, financial position and cash flows in the past and could do so again in the future.</w:t>
      </w:r>
    </w:p>
    <w:p>
      <w:pPr>
        <w:spacing w:after="0" w:line="178" w:lineRule="exact"/>
        <w:rPr>
          <w:sz w:val="20"/>
          <w:szCs w:val="20"/>
          <w:color w:val="auto"/>
        </w:rPr>
      </w:pPr>
    </w:p>
    <w:p>
      <w:pPr>
        <w:ind w:left="140"/>
        <w:spacing w:after="0" w:line="264" w:lineRule="auto"/>
        <w:rPr>
          <w:sz w:val="20"/>
          <w:szCs w:val="20"/>
          <w:color w:val="auto"/>
        </w:rPr>
      </w:pPr>
      <w:r>
        <w:rPr>
          <w:rFonts w:ascii="Arial" w:cs="Arial" w:eastAsia="Arial" w:hAnsi="Arial"/>
          <w:sz w:val="18"/>
          <w:szCs w:val="18"/>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w:t>
      </w:r>
    </w:p>
    <w:p>
      <w:pPr>
        <w:spacing w:after="0" w:line="181" w:lineRule="exact"/>
        <w:rPr>
          <w:sz w:val="20"/>
          <w:szCs w:val="20"/>
          <w:color w:val="auto"/>
        </w:rPr>
      </w:pPr>
    </w:p>
    <w:p>
      <w:pPr>
        <w:ind w:left="140" w:right="80"/>
        <w:spacing w:after="0" w:line="255" w:lineRule="auto"/>
        <w:rPr>
          <w:sz w:val="20"/>
          <w:szCs w:val="20"/>
          <w:color w:val="auto"/>
        </w:rPr>
      </w:pPr>
      <w:r>
        <w:rPr>
          <w:rFonts w:ascii="Arial" w:cs="Arial" w:eastAsia="Arial" w:hAnsi="Arial"/>
          <w:sz w:val="18"/>
          <w:szCs w:val="18"/>
          <w:color w:val="auto"/>
        </w:rPr>
        <w:t>In addition to the regulations already described, local, state, federal and foreign agencies regulate the disposal, handling and storage of waste, air and water discharges from our facilities. In June 1997, the Ohio Environmental Protection Agency (“Ohio EPA”) initiated an enforcement action against us with respect to alleged surface water violations and inadequate treatment capabilities at our Marysville facility and is seeking corrective action under the Resource Conservation Recovery Act. We have met with the Ohio EPA and the Ohio Attorney General’s office to negotiate an amicable resolution of these issues. On December 3, 2001, an agreed judicial Consent Order was submitted to the Union County Common Pleas Court and was entered by the court on January 25, 2002.</w:t>
      </w:r>
    </w:p>
    <w:p>
      <w:pPr>
        <w:spacing w:after="0" w:line="193" w:lineRule="exact"/>
        <w:rPr>
          <w:sz w:val="20"/>
          <w:szCs w:val="20"/>
          <w:color w:val="auto"/>
        </w:rPr>
      </w:pPr>
    </w:p>
    <w:p>
      <w:pPr>
        <w:ind w:left="140" w:right="240"/>
        <w:spacing w:after="0" w:line="277" w:lineRule="auto"/>
        <w:rPr>
          <w:sz w:val="20"/>
          <w:szCs w:val="20"/>
          <w:color w:val="auto"/>
        </w:rPr>
      </w:pPr>
      <w:r>
        <w:rPr>
          <w:rFonts w:ascii="Arial" w:cs="Arial" w:eastAsia="Arial" w:hAnsi="Arial"/>
          <w:sz w:val="18"/>
          <w:szCs w:val="18"/>
          <w:color w:val="auto"/>
        </w:rPr>
        <w:t>During the first six months of fiscal 2005, we have expensed approximately $1.6 million related to environmental matters, compared with approximately $3.3 million in environmental expenditures for all of fiscal 2004.</w:t>
      </w:r>
    </w:p>
    <w:p>
      <w:pPr>
        <w:spacing w:after="0" w:line="170" w:lineRule="exact"/>
        <w:rPr>
          <w:sz w:val="20"/>
          <w:szCs w:val="20"/>
          <w:color w:val="auto"/>
        </w:rPr>
      </w:pPr>
    </w:p>
    <w:p>
      <w:pPr>
        <w:ind w:left="140" w:right="220"/>
        <w:spacing w:after="0" w:line="277" w:lineRule="auto"/>
        <w:rPr>
          <w:sz w:val="20"/>
          <w:szCs w:val="20"/>
          <w:color w:val="auto"/>
        </w:rPr>
      </w:pPr>
      <w:r>
        <w:rPr>
          <w:rFonts w:ascii="Arial" w:cs="Arial" w:eastAsia="Arial" w:hAnsi="Arial"/>
          <w:sz w:val="18"/>
          <w:szCs w:val="18"/>
          <w:color w:val="auto"/>
        </w:rPr>
        <w:t>The adequacy of these estimated future expenditures is based on our operating in substantial compliance with applicable environmental and public health laws and regulations and several significant assumptions:</w:t>
      </w:r>
    </w:p>
    <w:p>
      <w:pPr>
        <w:spacing w:after="0" w:line="170" w:lineRule="exact"/>
        <w:rPr>
          <w:sz w:val="20"/>
          <w:szCs w:val="20"/>
          <w:color w:val="auto"/>
        </w:rPr>
      </w:pPr>
    </w:p>
    <w:p>
      <w:pPr>
        <w:ind w:left="380" w:hanging="156"/>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we have identified all of the significant sites that must be remediated;</w:t>
      </w:r>
    </w:p>
    <w:p>
      <w:pPr>
        <w:spacing w:after="0" w:line="225" w:lineRule="exact"/>
        <w:rPr>
          <w:rFonts w:ascii="Arial" w:cs="Arial" w:eastAsia="Arial" w:hAnsi="Arial"/>
          <w:sz w:val="18"/>
          <w:szCs w:val="18"/>
          <w:color w:val="auto"/>
        </w:rPr>
      </w:pPr>
    </w:p>
    <w:p>
      <w:pPr>
        <w:ind w:left="380" w:hanging="156"/>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there are no significant conditions of potential contamination that are unknown to us; and</w:t>
      </w:r>
    </w:p>
    <w:p>
      <w:pPr>
        <w:spacing w:after="0" w:line="225" w:lineRule="exact"/>
        <w:rPr>
          <w:rFonts w:ascii="Arial" w:cs="Arial" w:eastAsia="Arial" w:hAnsi="Arial"/>
          <w:sz w:val="18"/>
          <w:szCs w:val="18"/>
          <w:color w:val="auto"/>
        </w:rPr>
      </w:pPr>
    </w:p>
    <w:p>
      <w:pPr>
        <w:ind w:left="380" w:right="360" w:hanging="156"/>
        <w:spacing w:after="0" w:line="277"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70" w:lineRule="exact"/>
        <w:rPr>
          <w:sz w:val="20"/>
          <w:szCs w:val="20"/>
          <w:color w:val="auto"/>
        </w:rPr>
      </w:pPr>
    </w:p>
    <w:p>
      <w:pPr>
        <w:jc w:val="both"/>
        <w:ind w:left="180" w:right="280"/>
        <w:spacing w:after="0" w:line="264" w:lineRule="auto"/>
        <w:rPr>
          <w:sz w:val="20"/>
          <w:szCs w:val="20"/>
          <w:color w:val="auto"/>
        </w:rPr>
      </w:pPr>
      <w:r>
        <w:rPr>
          <w:rFonts w:ascii="Arial" w:cs="Arial" w:eastAsia="Arial" w:hAnsi="Arial"/>
          <w:sz w:val="18"/>
          <w:szCs w:val="18"/>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181" w:lineRule="exact"/>
        <w:rPr>
          <w:sz w:val="20"/>
          <w:szCs w:val="20"/>
          <w:color w:val="auto"/>
        </w:rPr>
      </w:pPr>
    </w:p>
    <w:p>
      <w:pPr>
        <w:ind w:left="180" w:hanging="172"/>
        <w:spacing w:after="0" w:line="277"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SIGNIFICANT INTERNATIONAL OPERATIONS MAKE US SUSCEPTIBLE TO FLUCTUATIONS IN CURRENCY EXCHANGE RATES AND TO THE COSTS OF INTERNATIONAL REGULATION.</w:t>
      </w:r>
    </w:p>
    <w:p>
      <w:pPr>
        <w:spacing w:after="0" w:line="170" w:lineRule="exact"/>
        <w:rPr>
          <w:rFonts w:ascii="Arial" w:cs="Arial" w:eastAsia="Arial" w:hAnsi="Arial"/>
          <w:sz w:val="18"/>
          <w:szCs w:val="18"/>
          <w:color w:val="auto"/>
        </w:rPr>
      </w:pPr>
    </w:p>
    <w:p>
      <w:pPr>
        <w:jc w:val="both"/>
        <w:ind w:left="180" w:right="100"/>
        <w:spacing w:after="0" w:line="264" w:lineRule="auto"/>
        <w:rPr>
          <w:rFonts w:ascii="Arial" w:cs="Arial" w:eastAsia="Arial" w:hAnsi="Arial"/>
          <w:sz w:val="18"/>
          <w:szCs w:val="18"/>
          <w:color w:val="auto"/>
        </w:rPr>
      </w:pPr>
      <w:r>
        <w:rPr>
          <w:rFonts w:ascii="Arial" w:cs="Arial" w:eastAsia="Arial" w:hAnsi="Arial"/>
          <w:sz w:val="18"/>
          <w:szCs w:val="18"/>
          <w:color w:val="auto"/>
        </w:rPr>
        <w:t>We currently operate manufacturing, sales and service facilities outside of North America, particularly in the United Kingdom, Germany, France, Belgium and the Netherlands. In fiscal 2004, international sales accounted for approximately 20% of our total sales. Accordingly, we are subject to risks associated with operations in foreign countries, including:</w:t>
      </w:r>
    </w:p>
    <w:p>
      <w:pPr>
        <w:spacing w:after="0" w:line="181" w:lineRule="exact"/>
        <w:rPr>
          <w:rFonts w:ascii="Arial" w:cs="Arial" w:eastAsia="Arial" w:hAnsi="Arial"/>
          <w:sz w:val="18"/>
          <w:szCs w:val="18"/>
          <w:color w:val="auto"/>
        </w:rPr>
      </w:pPr>
    </w:p>
    <w:p>
      <w:pPr>
        <w:ind w:left="380" w:hanging="156"/>
        <w:spacing w:after="0"/>
        <w:tabs>
          <w:tab w:leader="none" w:pos="3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25" w:lineRule="exact"/>
        <w:rPr>
          <w:rFonts w:ascii="Arial" w:cs="Arial" w:eastAsia="Arial" w:hAnsi="Arial"/>
          <w:sz w:val="18"/>
          <w:szCs w:val="18"/>
          <w:color w:val="auto"/>
        </w:rPr>
      </w:pPr>
    </w:p>
    <w:p>
      <w:pPr>
        <w:ind w:left="380" w:hanging="156"/>
        <w:spacing w:after="0"/>
        <w:tabs>
          <w:tab w:leader="none" w:pos="3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limitations on the conversion of foreign currencies into U.S. dollars;</w:t>
      </w:r>
    </w:p>
    <w:p>
      <w:pPr>
        <w:spacing w:after="0" w:line="225" w:lineRule="exact"/>
        <w:rPr>
          <w:rFonts w:ascii="Arial" w:cs="Arial" w:eastAsia="Arial" w:hAnsi="Arial"/>
          <w:sz w:val="18"/>
          <w:szCs w:val="18"/>
          <w:color w:val="auto"/>
        </w:rPr>
      </w:pPr>
    </w:p>
    <w:p>
      <w:pPr>
        <w:ind w:left="380" w:hanging="156"/>
        <w:spacing w:after="0"/>
        <w:tabs>
          <w:tab w:leader="none" w:pos="3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limitations on the remittance of dividends and other payments by foreign subsidiaries;</w:t>
      </w:r>
    </w:p>
    <w:p>
      <w:pPr>
        <w:spacing w:after="0" w:line="225" w:lineRule="exact"/>
        <w:rPr>
          <w:rFonts w:ascii="Arial" w:cs="Arial" w:eastAsia="Arial" w:hAnsi="Arial"/>
          <w:sz w:val="18"/>
          <w:szCs w:val="18"/>
          <w:color w:val="auto"/>
        </w:rPr>
      </w:pPr>
    </w:p>
    <w:p>
      <w:pPr>
        <w:ind w:left="380" w:hanging="156"/>
        <w:spacing w:after="0"/>
        <w:tabs>
          <w:tab w:leader="none" w:pos="3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additional costs of compliance with local regulations;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historically, higher rates of inflation than in the United States.</w:t>
      </w:r>
    </w:p>
    <w:p>
      <w:pPr>
        <w:spacing w:after="0" w:line="225" w:lineRule="exact"/>
        <w:rPr>
          <w:sz w:val="20"/>
          <w:szCs w:val="20"/>
          <w:color w:val="auto"/>
        </w:rPr>
      </w:pPr>
    </w:p>
    <w:p>
      <w:pPr>
        <w:ind w:left="140" w:right="220"/>
        <w:spacing w:after="0" w:line="264" w:lineRule="auto"/>
        <w:rPr>
          <w:sz w:val="20"/>
          <w:szCs w:val="20"/>
          <w:color w:val="auto"/>
        </w:rPr>
      </w:pPr>
      <w:r>
        <w:rPr>
          <w:rFonts w:ascii="Arial" w:cs="Arial" w:eastAsia="Arial" w:hAnsi="Arial"/>
          <w:sz w:val="18"/>
          <w:szCs w:val="18"/>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operations could adversely affect our results of operations, financial position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25" w:lineRule="exact"/>
        <w:rPr>
          <w:sz w:val="20"/>
          <w:szCs w:val="20"/>
          <w:color w:val="auto"/>
        </w:rPr>
      </w:pPr>
    </w:p>
    <w:p>
      <w:pPr>
        <w:ind w:left="140" w:right="720"/>
        <w:spacing w:after="0" w:line="277" w:lineRule="auto"/>
        <w:rPr>
          <w:sz w:val="20"/>
          <w:szCs w:val="20"/>
          <w:color w:val="auto"/>
        </w:rPr>
      </w:pPr>
      <w:r>
        <w:rPr>
          <w:rFonts w:ascii="Arial" w:cs="Arial" w:eastAsia="Arial" w:hAnsi="Arial"/>
          <w:sz w:val="18"/>
          <w:szCs w:val="18"/>
          <w:color w:val="auto"/>
        </w:rPr>
        <w:t>Market risks have not changed significantly from those disclosed in The Scotts Company’s Annual Report on Form 10-K for the fiscal year ended September 30, 2004.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25" w:lineRule="exact"/>
        <w:rPr>
          <w:sz w:val="20"/>
          <w:szCs w:val="20"/>
          <w:color w:val="auto"/>
        </w:rPr>
      </w:pPr>
    </w:p>
    <w:p>
      <w:pPr>
        <w:ind w:left="140" w:right="60"/>
        <w:spacing w:after="0" w:line="279" w:lineRule="auto"/>
        <w:rPr>
          <w:sz w:val="20"/>
          <w:szCs w:val="20"/>
          <w:color w:val="auto"/>
        </w:rPr>
      </w:pPr>
      <w:r>
        <w:rPr>
          <w:rFonts w:ascii="Arial" w:cs="Arial" w:eastAsia="Arial" w:hAnsi="Arial"/>
          <w:sz w:val="17"/>
          <w:szCs w:val="17"/>
          <w:color w:val="auto"/>
        </w:rPr>
        <w:t>With the participation of The Scotts Miracle-Gro Company’s (the “Registrant’s”) principal executive officer and principal financial officer, the Registrant’s management has evaluated the effectiveness of the Registrant’s disclosure controls and procedures (as defined in Rule 13a-15(e) under the Securities Exchange Act of 1934, as amended (the “Exchange Act”)), as of the end of the quarterly period covered by this Quarterly Report on Form 10-Q. Based upon that evaluation, the Registrant’s principal executive officer and principal financial officer have concluded that:</w:t>
      </w:r>
    </w:p>
    <w:p>
      <w:pPr>
        <w:spacing w:after="0" w:line="171" w:lineRule="exact"/>
        <w:rPr>
          <w:sz w:val="20"/>
          <w:szCs w:val="20"/>
          <w:color w:val="auto"/>
        </w:rPr>
      </w:pPr>
    </w:p>
    <w:p>
      <w:pPr>
        <w:ind w:left="580" w:right="40" w:hanging="356"/>
        <w:spacing w:after="0" w:line="264"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information required to be disclosed by the Registrant in this Quarterly Report on Form 10-Q and the other reports that the Registrant files or submits under the Exchange Act would be accumulated and communicated to the Registrant’s management, including its principal executive and financial officers, as appropriate to allow timely decisions regarding required disclosure;</w:t>
      </w:r>
    </w:p>
    <w:p>
      <w:pPr>
        <w:spacing w:after="0" w:line="181" w:lineRule="exact"/>
        <w:rPr>
          <w:rFonts w:ascii="Arial" w:cs="Arial" w:eastAsia="Arial" w:hAnsi="Arial"/>
          <w:sz w:val="18"/>
          <w:szCs w:val="18"/>
          <w:color w:val="auto"/>
        </w:rPr>
      </w:pPr>
    </w:p>
    <w:p>
      <w:pPr>
        <w:jc w:val="both"/>
        <w:ind w:left="580" w:right="40" w:hanging="356"/>
        <w:spacing w:after="0" w:line="342"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information required to be disclosed by the Registrant in this Quarterly Report on Form 10-Q and the other reports that the Registrant files or submits under the Exchange Act would be recorded, processed, summarized and reported within the time periods specified in the SEC’s rules and forms; and</w:t>
      </w:r>
    </w:p>
    <w:p>
      <w:pPr>
        <w:spacing w:after="0" w:line="123" w:lineRule="exact"/>
        <w:rPr>
          <w:rFonts w:ascii="Arial" w:cs="Arial" w:eastAsia="Arial" w:hAnsi="Arial"/>
          <w:sz w:val="16"/>
          <w:szCs w:val="16"/>
          <w:color w:val="auto"/>
        </w:rPr>
      </w:pPr>
    </w:p>
    <w:p>
      <w:pPr>
        <w:ind w:left="580" w:hanging="356"/>
        <w:spacing w:after="0" w:line="286" w:lineRule="auto"/>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disclosure controls and procedures are effective as of the end of the quarterly period covered by this Quarterly Report on Form 10-Q to ensure that material information relating to the Registrant and its consolidated subsidiaries is made known to them, particularly during the period in which the Registrant’s periodic reports, including this Quarterly Report on Form 10-Q, are being prepared.</w:t>
      </w:r>
    </w:p>
    <w:p>
      <w:pPr>
        <w:spacing w:after="0" w:line="166" w:lineRule="exact"/>
        <w:rPr>
          <w:sz w:val="20"/>
          <w:szCs w:val="20"/>
          <w:color w:val="auto"/>
        </w:rPr>
      </w:pPr>
    </w:p>
    <w:p>
      <w:pPr>
        <w:ind w:left="140" w:right="220"/>
        <w:spacing w:after="0" w:line="264"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April 2, 2005 that have materially affected, or are reasonably likely to materially affect, the Registrant’s internal control over financial reporting.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Pending material legal proceedings with material developments since the first quarter of fiscal 2005 are as follows: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AgrEvo Environmental Health, Inc.</w:t>
      </w:r>
    </w:p>
    <w:p>
      <w:pPr>
        <w:spacing w:after="0" w:line="225" w:lineRule="exact"/>
        <w:rPr>
          <w:sz w:val="20"/>
          <w:szCs w:val="20"/>
          <w:color w:val="auto"/>
        </w:rPr>
      </w:pPr>
    </w:p>
    <w:p>
      <w:pPr>
        <w:ind w:left="140"/>
        <w:spacing w:after="0" w:line="270" w:lineRule="auto"/>
        <w:rPr>
          <w:sz w:val="20"/>
          <w:szCs w:val="20"/>
          <w:color w:val="auto"/>
        </w:rPr>
      </w:pPr>
      <w:r>
        <w:rPr>
          <w:rFonts w:ascii="Arial" w:cs="Arial" w:eastAsia="Arial" w:hAnsi="Arial"/>
          <w:sz w:val="17"/>
          <w:szCs w:val="17"/>
          <w:color w:val="auto"/>
        </w:rPr>
        <w:t>On June 3, 1999, AgrEvo Environmental Health, Inc. (“AgrEvo”) (which subsequently changed its name to Aventis Environmental Health Science USA LP) filed a complaint in the U.S. District Court for the Southern District of New York (the “New York Action”), against The Scotts Company, a subsidiary of The Scotts Company and Monsanto seeking damages and injunctive relief for alleged antitrust violations and breach of contract by The Scotts Company and its subsidiary and antitrust violations and tortious interference with contract by Monsanto. The Scotts Company purchased a consumer herbicide business from AgrEvo in May 1998. AgrEvo claims in the suit that The Scotts Company’s subsequent agreement to become Monsanto’s exclusive sales and marketing agent for Monsanto’s consumer Roundupâ business violated the federal antitrust laws. AgrEvo contends that Monsanto attempted to or did monopolize the market for non-selective herbicides and conspired with The Scotts Company to eliminate the herbicide The Scotts Company previously purchased from AgrEvo, which competes with Monsanto’s Roundupâ. AgrEvo also contends that The Scotts Company’s execution of various agreements with Monsanto, including the Roundupâ marketing agreement, as well as The Scotts Company’s subsequent actions, violated agreements between AgrEvo and The Scotts Company.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 w:right="320"/>
        <w:spacing w:after="0" w:line="264" w:lineRule="auto"/>
        <w:rPr>
          <w:sz w:val="20"/>
          <w:szCs w:val="20"/>
          <w:color w:val="auto"/>
        </w:rPr>
      </w:pPr>
      <w:r>
        <w:rPr>
          <w:rFonts w:ascii="Arial" w:cs="Arial" w:eastAsia="Arial" w:hAnsi="Arial"/>
          <w:sz w:val="18"/>
          <w:szCs w:val="18"/>
          <w:color w:val="auto"/>
        </w:rPr>
        <w:t>AgrEvo is requesting damages as well as affirmative injunctive relief, and seeking to have the court invalidate the Roundupâ marketing agreement as violative of the federal antitrust laws. Under the indemnification provisions of the Roundupâ marketing agreement, Monsanto and The Scotts Company each have requested that the other indemnify against any losses arising from this lawsuit.</w:t>
      </w:r>
    </w:p>
    <w:p>
      <w:pPr>
        <w:spacing w:after="0" w:line="181" w:lineRule="exact"/>
        <w:rPr>
          <w:sz w:val="20"/>
          <w:szCs w:val="20"/>
          <w:color w:val="auto"/>
        </w:rPr>
      </w:pPr>
    </w:p>
    <w:p>
      <w:pPr>
        <w:jc w:val="both"/>
        <w:ind w:left="140" w:right="400"/>
        <w:spacing w:after="0" w:line="312" w:lineRule="auto"/>
        <w:rPr>
          <w:sz w:val="20"/>
          <w:szCs w:val="20"/>
          <w:color w:val="auto"/>
        </w:rPr>
      </w:pPr>
      <w:r>
        <w:rPr>
          <w:rFonts w:ascii="Arial" w:cs="Arial" w:eastAsia="Arial" w:hAnsi="Arial"/>
          <w:sz w:val="16"/>
          <w:szCs w:val="16"/>
          <w:color w:val="auto"/>
        </w:rPr>
        <w:t>On January 10, 2003, The Scotts Company filed a supplemental counterclaim against AgrEvo for breach of contract. The Scotts Company alleges that AgrEvo owes The Scotts Company for amounts that The Scotts Company overpaid to AgrEvo. The Scotts Company’s counterclaim is now part of the underlying litigation. Recently, Monsanto settled with AgrEvo. The terms of that settlement are not known. A trial date has been set for May 23, 2005.</w:t>
      </w:r>
    </w:p>
    <w:p>
      <w:pPr>
        <w:spacing w:after="0" w:line="147" w:lineRule="exact"/>
        <w:rPr>
          <w:sz w:val="20"/>
          <w:szCs w:val="20"/>
          <w:color w:val="auto"/>
        </w:rPr>
      </w:pPr>
    </w:p>
    <w:p>
      <w:pPr>
        <w:ind w:left="140" w:right="100"/>
        <w:spacing w:after="0" w:line="259" w:lineRule="auto"/>
        <w:rPr>
          <w:sz w:val="20"/>
          <w:szCs w:val="20"/>
          <w:color w:val="auto"/>
        </w:rPr>
      </w:pPr>
      <w:r>
        <w:rPr>
          <w:rFonts w:ascii="Arial" w:cs="Arial" w:eastAsia="Arial" w:hAnsi="Arial"/>
          <w:sz w:val="18"/>
          <w:szCs w:val="18"/>
          <w:color w:val="auto"/>
        </w:rPr>
        <w:t>The Company believes that AgrEvo’s claims in these matters are without merit and is vigorously defending against them. If the above actions are determined adversely to the Company, the result could have a material adverse effect on Scotts Miracle-Gro’s results of operations, financial position and cash flows. Any potential exposure that Scotts Miracle-Gro may face cannot be reasonably estimated. Therefore, no accrual has been established related to these matters.</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Central Garden &amp; Pet Company</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Scotts Company v. Central Garden, Southern District of Ohio</w:t>
      </w:r>
    </w:p>
    <w:p>
      <w:pPr>
        <w:spacing w:after="0" w:line="225" w:lineRule="exact"/>
        <w:rPr>
          <w:sz w:val="20"/>
          <w:szCs w:val="20"/>
          <w:color w:val="auto"/>
        </w:rPr>
      </w:pPr>
    </w:p>
    <w:p>
      <w:pPr>
        <w:ind w:left="140" w:right="280"/>
        <w:spacing w:after="0" w:line="342" w:lineRule="auto"/>
        <w:rPr>
          <w:sz w:val="20"/>
          <w:szCs w:val="20"/>
          <w:color w:val="auto"/>
        </w:rPr>
      </w:pPr>
      <w:r>
        <w:rPr>
          <w:rFonts w:ascii="Arial" w:cs="Arial" w:eastAsia="Arial" w:hAnsi="Arial"/>
          <w:sz w:val="16"/>
          <w:szCs w:val="16"/>
          <w:color w:val="auto"/>
        </w:rPr>
        <w:t>On June 30, 2000, The Scotts Company filed suit against Central Garden &amp; Pet Company (“Central Garden”) in the U.S. District Court for the Southern District of Ohio (the “Ohio Action”) to recover approximately $24 million in accounts receivable and additional damages for other breaches of duty.</w:t>
      </w:r>
    </w:p>
    <w:p>
      <w:pPr>
        <w:spacing w:after="0" w:line="124" w:lineRule="exact"/>
        <w:rPr>
          <w:sz w:val="20"/>
          <w:szCs w:val="20"/>
          <w:color w:val="auto"/>
        </w:rPr>
      </w:pPr>
    </w:p>
    <w:p>
      <w:pPr>
        <w:ind w:left="140"/>
        <w:spacing w:after="0" w:line="287" w:lineRule="auto"/>
        <w:rPr>
          <w:sz w:val="20"/>
          <w:szCs w:val="20"/>
          <w:color w:val="auto"/>
        </w:rPr>
      </w:pPr>
      <w:r>
        <w:rPr>
          <w:rFonts w:ascii="Arial" w:cs="Arial" w:eastAsia="Arial" w:hAnsi="Arial"/>
          <w:sz w:val="16"/>
          <w:szCs w:val="16"/>
          <w:color w:val="auto"/>
        </w:rPr>
        <w:t>Central Garden filed counterclaims including allegations that The Scotts Company and Central Garden had entered into an oral agreement in April 1998 whereby The Scotts Company would allegedly share with Central Garden the benefits and liabilities of any future business integration between The Scotts Company and Monsanto. The court dismissed a number of Central Garden’s counterclaims as well as The Scotts Company’s claims that Central Garden breached other duties owed to The Scotts Company. On April 22, 2002, a jury returned a verdict in favor of The Scotts Company of $22.5 million and for Central Garden on its remaining counterclaims in an amount of approximately $12.1 million. Various post-trial motions were filed. As a result of those motions, the trial court reduced Central Garden’s verdict by $750,000, denied Central Garden’s motion for a new trial on two of its counterclaims and granted the parties pre-judgment interest on their respective verdicts. On September 22, 2003, the court entered a final judgment, which provided for a net award to The Scotts Company of approximately $14 million, together with interest at 2.31% through the date of payment. Central Garden appealed and The Scotts Company cross-appealed from that final judgment. On April 12, 2005, the Sixth Circuit modified in part and affirmed the trial court’s judgment. The judgment as modified and affirmed provides for a net award of approximately $15 million to the Company. Management considers this judgement a gain contingency and therefore does not anticipate recording this net award until payment is received.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Index to Exhibits at page 41 for a list of the exhibits included herewith.</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Christopher L. Nagel</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Date: May 12, 2005</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and Principal Accounting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(Duly Authorized Officer)</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QUARTERLY PERIOD ENDED APRIL 2, 2005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EXHIBITS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14"/>
                <w:szCs w:val="14"/>
                <w:color w:val="auto"/>
              </w:rPr>
            </w:pPr>
          </w:p>
        </w:tc>
        <w:tc>
          <w:tcPr>
            <w:tcW w:w="9260" w:type="dxa"/>
            <w:vAlign w:val="bottom"/>
            <w:tcBorders>
              <w:bottom w:val="single" w:sz="8" w:color="auto"/>
            </w:tcBorders>
          </w:tcPr>
          <w:p>
            <w:pPr>
              <w:ind w:left="41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r>
      <w:tr>
        <w:trPr>
          <w:trHeight w:val="224"/>
        </w:trPr>
        <w:tc>
          <w:tcPr>
            <w:tcW w:w="1160" w:type="dxa"/>
            <w:vAlign w:val="bottom"/>
          </w:tcPr>
          <w:p>
            <w:pPr>
              <w:spacing w:after="0"/>
              <w:rPr>
                <w:sz w:val="20"/>
                <w:szCs w:val="20"/>
                <w:color w:val="auto"/>
              </w:rPr>
            </w:pPr>
            <w:r>
              <w:rPr>
                <w:rFonts w:ascii="Arial" w:cs="Arial" w:eastAsia="Arial" w:hAnsi="Arial"/>
                <w:sz w:val="18"/>
                <w:szCs w:val="18"/>
                <w:color w:val="auto"/>
              </w:rPr>
              <w:t>10(y)</w:t>
            </w:r>
          </w:p>
        </w:tc>
        <w:tc>
          <w:tcPr>
            <w:tcW w:w="10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w w:val="95"/>
              </w:rPr>
              <w:t>Amendment to The Scotts Company 1992 Long Term Incentive Plan — 2005 Amendment, effective as of March 18, 2005</w:t>
            </w:r>
          </w:p>
        </w:tc>
        <w:tc>
          <w:tcPr>
            <w:tcW w:w="10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10(z)</w:t>
            </w:r>
          </w:p>
        </w:tc>
        <w:tc>
          <w:tcPr>
            <w:tcW w:w="9360" w:type="dxa"/>
            <w:vAlign w:val="bottom"/>
            <w:gridSpan w:val="2"/>
          </w:tcPr>
          <w:p>
            <w:pPr>
              <w:ind w:left="100"/>
              <w:spacing w:after="0"/>
              <w:rPr>
                <w:sz w:val="20"/>
                <w:szCs w:val="20"/>
                <w:color w:val="auto"/>
              </w:rPr>
            </w:pPr>
            <w:r>
              <w:rPr>
                <w:rFonts w:ascii="Arial" w:cs="Arial" w:eastAsia="Arial" w:hAnsi="Arial"/>
                <w:sz w:val="18"/>
                <w:szCs w:val="18"/>
                <w:color w:val="auto"/>
              </w:rPr>
              <w:t>Amendment to The Scotts Company 1996 Stock Option Plan — 2005 Amendment, effective as of March 18, 2005</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10(AA)</w:t>
            </w:r>
          </w:p>
        </w:tc>
        <w:tc>
          <w:tcPr>
            <w:tcW w:w="9360" w:type="dxa"/>
            <w:vAlign w:val="bottom"/>
            <w:gridSpan w:val="2"/>
          </w:tcPr>
          <w:p>
            <w:pPr>
              <w:ind w:left="100"/>
              <w:spacing w:after="0"/>
              <w:rPr>
                <w:sz w:val="20"/>
                <w:szCs w:val="20"/>
                <w:color w:val="auto"/>
              </w:rPr>
            </w:pPr>
            <w:r>
              <w:rPr>
                <w:rFonts w:ascii="Arial" w:cs="Arial" w:eastAsia="Arial" w:hAnsi="Arial"/>
                <w:sz w:val="18"/>
                <w:szCs w:val="18"/>
                <w:color w:val="auto"/>
                <w:w w:val="98"/>
              </w:rPr>
              <w:t>First Amendment to The Scotts Company 2003 Stock Option and Incentive Equity Plan ,effective as of March 18, 2005</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10(BB)</w:t>
            </w:r>
          </w:p>
        </w:tc>
        <w:tc>
          <w:tcPr>
            <w:tcW w:w="9360" w:type="dxa"/>
            <w:vAlign w:val="bottom"/>
            <w:gridSpan w:val="2"/>
          </w:tcPr>
          <w:p>
            <w:pPr>
              <w:ind w:left="100"/>
              <w:spacing w:after="0"/>
              <w:rPr>
                <w:sz w:val="20"/>
                <w:szCs w:val="20"/>
                <w:color w:val="auto"/>
              </w:rPr>
            </w:pPr>
            <w:r>
              <w:rPr>
                <w:rFonts w:ascii="Arial" w:cs="Arial" w:eastAsia="Arial" w:hAnsi="Arial"/>
                <w:sz w:val="18"/>
                <w:szCs w:val="18"/>
                <w:color w:val="auto"/>
              </w:rPr>
              <w:t>First Amendment to The Scotts Company Executive Annual Incentive Plan, effective as of March 18, 2005</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10(CC)</w:t>
            </w:r>
          </w:p>
        </w:tc>
        <w:tc>
          <w:tcPr>
            <w:tcW w:w="9360" w:type="dxa"/>
            <w:vAlign w:val="bottom"/>
            <w:gridSpan w:val="2"/>
          </w:tcPr>
          <w:p>
            <w:pPr>
              <w:ind w:left="100"/>
              <w:spacing w:after="0"/>
              <w:rPr>
                <w:sz w:val="20"/>
                <w:szCs w:val="20"/>
                <w:color w:val="auto"/>
              </w:rPr>
            </w:pPr>
            <w:r>
              <w:rPr>
                <w:rFonts w:ascii="Arial" w:cs="Arial" w:eastAsia="Arial" w:hAnsi="Arial"/>
                <w:sz w:val="18"/>
                <w:szCs w:val="18"/>
                <w:color w:val="auto"/>
              </w:rPr>
              <w:t>Third Amendment to The O.M. Scott &amp; Sons Company Excess Benefit Plan, effective as of March 18, 2005</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10(DD)</w:t>
            </w:r>
          </w:p>
        </w:tc>
        <w:tc>
          <w:tcPr>
            <w:tcW w:w="9360" w:type="dxa"/>
            <w:vAlign w:val="bottom"/>
            <w:gridSpan w:val="2"/>
          </w:tcPr>
          <w:p>
            <w:pPr>
              <w:ind w:left="100"/>
              <w:spacing w:after="0"/>
              <w:rPr>
                <w:sz w:val="20"/>
                <w:szCs w:val="20"/>
                <w:color w:val="auto"/>
              </w:rPr>
            </w:pPr>
            <w:r>
              <w:rPr>
                <w:rFonts w:ascii="Arial" w:cs="Arial" w:eastAsia="Arial" w:hAnsi="Arial"/>
                <w:sz w:val="18"/>
                <w:szCs w:val="18"/>
                <w:color w:val="auto"/>
              </w:rPr>
              <w:t>Fifth Amendment to The Scotts Company Executive Retirement Plan, effective as of March 18, 2005</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31(a)</w:t>
            </w:r>
          </w:p>
        </w:tc>
        <w:tc>
          <w:tcPr>
            <w:tcW w:w="9360" w:type="dxa"/>
            <w:vAlign w:val="bottom"/>
            <w:gridSpan w:val="2"/>
          </w:tcPr>
          <w:p>
            <w:pPr>
              <w:ind w:left="100"/>
              <w:spacing w:after="0"/>
              <w:rPr>
                <w:sz w:val="20"/>
                <w:szCs w:val="20"/>
                <w:color w:val="auto"/>
              </w:rPr>
            </w:pPr>
            <w:r>
              <w:rPr>
                <w:rFonts w:ascii="Arial" w:cs="Arial" w:eastAsia="Arial" w:hAnsi="Arial"/>
                <w:sz w:val="18"/>
                <w:szCs w:val="18"/>
                <w:color w:val="auto"/>
              </w:rPr>
              <w:t>Rule 13a-14(a)/15d-14(a) Certification (Principal Executive Officer)</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31(b)</w:t>
            </w:r>
          </w:p>
        </w:tc>
        <w:tc>
          <w:tcPr>
            <w:tcW w:w="9360" w:type="dxa"/>
            <w:vAlign w:val="bottom"/>
            <w:gridSpan w:val="2"/>
          </w:tcPr>
          <w:p>
            <w:pPr>
              <w:ind w:left="100"/>
              <w:spacing w:after="0"/>
              <w:rPr>
                <w:sz w:val="20"/>
                <w:szCs w:val="20"/>
                <w:color w:val="auto"/>
              </w:rPr>
            </w:pPr>
            <w:r>
              <w:rPr>
                <w:rFonts w:ascii="Arial" w:cs="Arial" w:eastAsia="Arial" w:hAnsi="Arial"/>
                <w:sz w:val="18"/>
                <w:szCs w:val="18"/>
                <w:color w:val="auto"/>
              </w:rPr>
              <w:t>Rule 13a-14(a)/15d-14(a) Certification (Principal Financial Officer)</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9360" w:type="dxa"/>
            <w:vAlign w:val="bottom"/>
            <w:gridSpan w:val="2"/>
          </w:tcPr>
          <w:p>
            <w:pPr>
              <w:ind w:left="100"/>
              <w:spacing w:after="0"/>
              <w:rPr>
                <w:sz w:val="20"/>
                <w:szCs w:val="20"/>
                <w:color w:val="auto"/>
              </w:rPr>
            </w:pPr>
            <w:r>
              <w:rPr>
                <w:rFonts w:ascii="Arial" w:cs="Arial" w:eastAsia="Arial" w:hAnsi="Arial"/>
                <w:sz w:val="18"/>
                <w:szCs w:val="18"/>
                <w:color w:val="auto"/>
              </w:rPr>
              <w:t>Section 1350 Certification (Principal Executive Officer and Principal Financial Officer)</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19"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10(y)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 1992 LONG TERM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AMENDMENT</w:t>
      </w:r>
    </w:p>
    <w:p>
      <w:pPr>
        <w:spacing w:after="0" w:line="185" w:lineRule="exact"/>
        <w:rPr>
          <w:sz w:val="20"/>
          <w:szCs w:val="20"/>
          <w:color w:val="auto"/>
        </w:rPr>
      </w:pPr>
    </w:p>
    <w:p>
      <w:pPr>
        <w:ind w:right="32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shareholders of The Scotts Company (“Scotts”) previously approved the adoption of The Scotts Company 1992 Long Term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“Plan”); and</w:t>
      </w:r>
    </w:p>
    <w:p>
      <w:pPr>
        <w:spacing w:after="0" w:line="121" w:lineRule="exact"/>
        <w:rPr>
          <w:sz w:val="20"/>
          <w:szCs w:val="20"/>
          <w:color w:val="auto"/>
        </w:rPr>
      </w:pPr>
    </w:p>
    <w:p>
      <w:pPr>
        <w:ind w:right="160" w:firstLine="225"/>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March 18, 2005 (the “Effective Time”), Scotts consummated the restructuring of Scotts’ corporate structure into a holding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 by merging Scotts into a wholly-owned second-tier Ohio limited liability company subsidiary, The Scotts Company LLC (“Scotts LLC”), pursuant to the Agreement and Plan of Merger, dated as of December 13, 2004 (the “Merger Agreement”), by and among Scotts, Scotts LLC and The Scotts Miracle-Gro Company (the “Company”); and</w:t>
      </w:r>
    </w:p>
    <w:p>
      <w:pPr>
        <w:spacing w:after="0" w:line="153" w:lineRule="exact"/>
        <w:rPr>
          <w:sz w:val="20"/>
          <w:szCs w:val="20"/>
          <w:color w:val="auto"/>
        </w:rPr>
      </w:pPr>
    </w:p>
    <w:p>
      <w:pPr>
        <w:ind w:right="40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the Merger Agreement, the Company assumed, as of the Effective Time, the Plan and all obligations and liabilities of Scotts</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 and</w:t>
      </w:r>
    </w:p>
    <w:p>
      <w:pPr>
        <w:spacing w:after="0" w:line="121" w:lineRule="exact"/>
        <w:rPr>
          <w:sz w:val="20"/>
          <w:szCs w:val="20"/>
          <w:color w:val="auto"/>
        </w:rPr>
      </w:pPr>
    </w:p>
    <w:p>
      <w:pPr>
        <w:ind w:left="240" w:right="1340"/>
        <w:spacing w:after="0" w:line="4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Section 10 of the Plan provides that the Company’s Board of Directors (the “Board”) may amend the Plan at any time; and</w:t>
      </w:r>
      <w:r>
        <w:rPr>
          <w:rFonts w:ascii="Arial" w:cs="Arial" w:eastAsia="Arial" w:hAnsi="Arial"/>
          <w:sz w:val="18"/>
          <w:szCs w:val="18"/>
          <w:b w:val="1"/>
          <w:bCs w:val="1"/>
          <w:color w:val="auto"/>
        </w:rPr>
        <w:t xml:space="preserve"> WHEREAS, </w:t>
      </w:r>
      <w:r>
        <w:rPr>
          <w:rFonts w:ascii="Arial" w:cs="Arial" w:eastAsia="Arial" w:hAnsi="Arial"/>
          <w:sz w:val="18"/>
          <w:szCs w:val="18"/>
          <w:color w:val="auto"/>
        </w:rPr>
        <w:t>the Board has resolved to amend the Plan to reflect the Company’s assumption of the Plan;</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Plan is amended effective as of the Effective Time as follows:</w:t>
      </w:r>
    </w:p>
    <w:p>
      <w:pPr>
        <w:spacing w:after="0" w:line="189" w:lineRule="exact"/>
        <w:rPr>
          <w:sz w:val="20"/>
          <w:szCs w:val="20"/>
          <w:color w:val="auto"/>
        </w:rPr>
      </w:pPr>
    </w:p>
    <w:p>
      <w:pPr>
        <w:ind w:left="400" w:hanging="167"/>
        <w:spacing w:after="0"/>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title of the Plan is amended to be “The Scotts Miracle-Gro Company 1992 Long Term Incentive Plan.”</w:t>
      </w:r>
    </w:p>
    <w:p>
      <w:pPr>
        <w:spacing w:after="0" w:line="184" w:lineRule="exact"/>
        <w:rPr>
          <w:rFonts w:ascii="Arial" w:cs="Arial" w:eastAsia="Arial" w:hAnsi="Arial"/>
          <w:sz w:val="18"/>
          <w:szCs w:val="18"/>
          <w:color w:val="auto"/>
        </w:rPr>
      </w:pPr>
    </w:p>
    <w:p>
      <w:pPr>
        <w:ind w:right="420" w:firstLine="233"/>
        <w:spacing w:after="0" w:line="277" w:lineRule="auto"/>
        <w:tabs>
          <w:tab w:leader="none" w:pos="4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Section 2.1(i) of the Plan is amended and restated to read, in its entirety, as follows: “Company” means The Scotts Miracle-Gro Company, an Ohio corporation, and any successor thereto.</w:t>
      </w:r>
    </w:p>
    <w:p>
      <w:pPr>
        <w:spacing w:after="0" w:line="143" w:lineRule="exact"/>
        <w:rPr>
          <w:rFonts w:ascii="Arial" w:cs="Arial" w:eastAsia="Arial" w:hAnsi="Arial"/>
          <w:sz w:val="18"/>
          <w:szCs w:val="18"/>
          <w:color w:val="auto"/>
        </w:rPr>
      </w:pPr>
    </w:p>
    <w:p>
      <w:pPr>
        <w:ind w:right="180" w:firstLine="233"/>
        <w:spacing w:after="0" w:line="277" w:lineRule="auto"/>
        <w:tabs>
          <w:tab w:leader="none" w:pos="4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Section 2.1(s) of the Plan is amended and restated to read, in its entirety, as follows: “Plan” means The Scotts Miracle-Gro Company 1992 Long Term Incentive Plan, as in effect from time to time.</w:t>
      </w:r>
    </w:p>
    <w:p>
      <w:pPr>
        <w:spacing w:after="0" w:line="126" w:lineRule="exact"/>
        <w:rPr>
          <w:sz w:val="20"/>
          <w:szCs w:val="20"/>
          <w:color w:val="auto"/>
        </w:rPr>
      </w:pPr>
    </w:p>
    <w:p>
      <w:pPr>
        <w:ind w:right="420" w:firstLine="225"/>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caused this Amendment to be executed as of the 6th day of May, 2005, to be effective as of March 18,</w:t>
      </w:r>
      <w:r>
        <w:rPr>
          <w:rFonts w:ascii="Arial" w:cs="Arial" w:eastAsia="Arial" w:hAnsi="Arial"/>
          <w:sz w:val="18"/>
          <w:szCs w:val="18"/>
          <w:b w:val="1"/>
          <w:bCs w:val="1"/>
          <w:color w:val="auto"/>
        </w:rPr>
        <w:t xml:space="preserve"> </w:t>
      </w:r>
      <w:r>
        <w:rPr>
          <w:rFonts w:ascii="Arial" w:cs="Arial" w:eastAsia="Arial" w:hAnsi="Arial"/>
          <w:sz w:val="18"/>
          <w:szCs w:val="18"/>
          <w:color w:val="auto"/>
        </w:rPr>
        <w:t>2005.</w:t>
      </w:r>
    </w:p>
    <w:p>
      <w:pPr>
        <w:spacing w:after="0" w:line="16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THE SCOTTS MIRACLE-GRO COMPANY</w:t>
      </w:r>
    </w:p>
    <w:p>
      <w:pPr>
        <w:spacing w:after="0" w:line="2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 /s/ Christopher L. Nagel</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Print Name: Christopher L. Nagel</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 EVP and Chief Financial Officer</w:t>
      </w:r>
    </w:p>
    <w:p>
      <w:pPr>
        <w:sectPr>
          <w:pgSz w:w="11900" w:h="16838" w:orient="portrait"/>
          <w:cols w:equalWidth="0" w:num="1">
            <w:col w:w="11420"/>
          </w:cols>
          <w:pgMar w:left="240" w:top="936"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10(z)</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 1996 STOCK OPTION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AMENDMENT</w:t>
      </w:r>
    </w:p>
    <w:p>
      <w:pPr>
        <w:spacing w:after="0" w:line="185" w:lineRule="exact"/>
        <w:rPr>
          <w:sz w:val="20"/>
          <w:szCs w:val="20"/>
          <w:color w:val="auto"/>
        </w:rPr>
      </w:pPr>
    </w:p>
    <w:p>
      <w:pPr>
        <w:ind w:right="18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shareholders of The Scotts Company (“Scotts”) previously approved the adoption of The Scotts Company 1996 Stock Option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w:t>
      </w:r>
    </w:p>
    <w:p>
      <w:pPr>
        <w:spacing w:after="0" w:line="121" w:lineRule="exact"/>
        <w:rPr>
          <w:sz w:val="20"/>
          <w:szCs w:val="20"/>
          <w:color w:val="auto"/>
        </w:rPr>
      </w:pPr>
    </w:p>
    <w:p>
      <w:pPr>
        <w:ind w:right="160" w:firstLine="225"/>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March 18, 2005 (the “Effective Time”), Scotts consummated the restructuring of Scotts’ corporate structure into a holding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 by merging Scotts into a wholly-owned second-tier Ohio limited liability company subsidiary, The Scotts Company LLC (“Scotts LLC”), pursuant to the Agreement and Plan of Merger, dated as of December 13, 2004 (the “Merger Agreement”), by and among Scotts, Scotts LLC and The Scotts Miracle-Gro Company (the “Company”); and</w:t>
      </w:r>
    </w:p>
    <w:p>
      <w:pPr>
        <w:spacing w:after="0" w:line="153" w:lineRule="exact"/>
        <w:rPr>
          <w:sz w:val="20"/>
          <w:szCs w:val="20"/>
          <w:color w:val="auto"/>
        </w:rPr>
      </w:pPr>
    </w:p>
    <w:p>
      <w:pPr>
        <w:ind w:right="40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the Merger Agreement, the Company assumed, as of the Effective Time, the Plan and all obligations and liabilities of Scotts</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 and</w:t>
      </w:r>
    </w:p>
    <w:p>
      <w:pPr>
        <w:spacing w:after="0" w:line="121" w:lineRule="exact"/>
        <w:rPr>
          <w:sz w:val="20"/>
          <w:szCs w:val="20"/>
          <w:color w:val="auto"/>
        </w:rPr>
      </w:pPr>
    </w:p>
    <w:p>
      <w:pPr>
        <w:jc w:val="both"/>
        <w:ind w:right="180" w:firstLine="225"/>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Section 9 of the Plan provides that the Company’s Board of Directors (the “Board”) may amend the Plan at any time without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except to the extent that shareholder approval is required to satisfy applicable requirements imposed by Rule 16b-3 under the Securities Exchange Act of 1934, as amended; applicable requirements of the Internal Revenue Code of 1986, as amended; or any securities exchange, market or other quotation system on or through which the Company’s securities are listed or traded; and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has resolved to amend the Plan to reflect the Company’s assumption of the Plan;</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Plan is amended effective as of the Effective Time as follows:</w:t>
      </w:r>
    </w:p>
    <w:p>
      <w:pPr>
        <w:spacing w:after="0" w:line="189" w:lineRule="exact"/>
        <w:rPr>
          <w:sz w:val="20"/>
          <w:szCs w:val="20"/>
          <w:color w:val="auto"/>
        </w:rPr>
      </w:pPr>
    </w:p>
    <w:p>
      <w:pPr>
        <w:ind w:left="400" w:hanging="167"/>
        <w:spacing w:after="0"/>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title of the Plan is amended to be “The Scotts Miracle-Gro Company 1996 Stock Option Plan.”</w:t>
      </w:r>
    </w:p>
    <w:p>
      <w:pPr>
        <w:spacing w:after="0" w:line="184" w:lineRule="exact"/>
        <w:rPr>
          <w:rFonts w:ascii="Arial" w:cs="Arial" w:eastAsia="Arial" w:hAnsi="Arial"/>
          <w:sz w:val="18"/>
          <w:szCs w:val="18"/>
          <w:color w:val="auto"/>
        </w:rPr>
      </w:pPr>
    </w:p>
    <w:p>
      <w:pPr>
        <w:ind w:right="380" w:firstLine="233"/>
        <w:spacing w:after="0" w:line="277" w:lineRule="auto"/>
        <w:tabs>
          <w:tab w:leader="none" w:pos="4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2.1(k) of the Plan is amended and restated, in its entirety, to read as follows: “Company” means The Scotts Miracle-Gro Company, an Ohio corporation, and any successor thereto.</w:t>
      </w:r>
    </w:p>
    <w:p>
      <w:pPr>
        <w:spacing w:after="0" w:line="143" w:lineRule="exact"/>
        <w:rPr>
          <w:rFonts w:ascii="Arial" w:cs="Arial" w:eastAsia="Arial" w:hAnsi="Arial"/>
          <w:sz w:val="18"/>
          <w:szCs w:val="18"/>
          <w:color w:val="auto"/>
        </w:rPr>
      </w:pPr>
    </w:p>
    <w:p>
      <w:pPr>
        <w:ind w:right="40" w:firstLine="233"/>
        <w:spacing w:after="0" w:line="277" w:lineRule="auto"/>
        <w:tabs>
          <w:tab w:leader="none" w:pos="4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2.1(s) of the Plan is amended and restated to read, in its entirety, as follows: “Plan” means The Scotts Miracle-Gro Company 1996 Stock Option Plan, as in effect from time to time.</w:t>
      </w:r>
    </w:p>
    <w:p>
      <w:pPr>
        <w:spacing w:after="0" w:line="126" w:lineRule="exact"/>
        <w:rPr>
          <w:sz w:val="20"/>
          <w:szCs w:val="20"/>
          <w:color w:val="auto"/>
        </w:rPr>
      </w:pPr>
    </w:p>
    <w:p>
      <w:pPr>
        <w:ind w:right="420" w:firstLine="225"/>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caused this Amendment to be executed as of the 6th day of May, 2005, to be effective as of March 18,</w:t>
      </w:r>
      <w:r>
        <w:rPr>
          <w:rFonts w:ascii="Arial" w:cs="Arial" w:eastAsia="Arial" w:hAnsi="Arial"/>
          <w:sz w:val="18"/>
          <w:szCs w:val="18"/>
          <w:b w:val="1"/>
          <w:bCs w:val="1"/>
          <w:color w:val="auto"/>
        </w:rPr>
        <w:t xml:space="preserve"> </w:t>
      </w:r>
      <w:r>
        <w:rPr>
          <w:rFonts w:ascii="Arial" w:cs="Arial" w:eastAsia="Arial" w:hAnsi="Arial"/>
          <w:sz w:val="18"/>
          <w:szCs w:val="18"/>
          <w:color w:val="auto"/>
        </w:rPr>
        <w:t>2005.</w:t>
      </w:r>
    </w:p>
    <w:p>
      <w:pPr>
        <w:spacing w:after="0" w:line="16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THE SCOTTS MIRACLE-GRO COMPANY</w:t>
      </w:r>
    </w:p>
    <w:p>
      <w:pPr>
        <w:spacing w:after="0" w:line="2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 /s/ Christopher L. Nagel</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Print Name: Christopher L. Nagel</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 EVP and Chief Financial Officer</w:t>
      </w:r>
    </w:p>
    <w:p>
      <w:pPr>
        <w:sectPr>
          <w:pgSz w:w="11900" w:h="16838" w:orient="portrait"/>
          <w:cols w:equalWidth="0" w:num="1">
            <w:col w:w="11420"/>
          </w:cols>
          <w:pgMar w:left="240" w:top="936"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10(AA)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STOCK OPTION AND INCENTIVE EQUITY PLAN</w:t>
      </w:r>
    </w:p>
    <w:p>
      <w:pPr>
        <w:spacing w:after="0" w:line="166" w:lineRule="exact"/>
        <w:rPr>
          <w:sz w:val="20"/>
          <w:szCs w:val="20"/>
          <w:color w:val="auto"/>
        </w:rPr>
      </w:pPr>
    </w:p>
    <w:p>
      <w:pPr>
        <w:ind w:right="58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shareholders of The Scotts Company (“Scotts”) previously approved the adoption of The Scotts Company 2003 Stock Option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Equity Plan (the “Plan”); and</w:t>
      </w:r>
    </w:p>
    <w:p>
      <w:pPr>
        <w:spacing w:after="0" w:line="121" w:lineRule="exact"/>
        <w:rPr>
          <w:sz w:val="20"/>
          <w:szCs w:val="20"/>
          <w:color w:val="auto"/>
        </w:rPr>
      </w:pPr>
    </w:p>
    <w:p>
      <w:pPr>
        <w:ind w:right="160" w:firstLine="225"/>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March 18, 2005 (the “Effective Time”), Scotts consummated the restructuring of Scotts’ corporate structure into a holding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 by merging Scotts into a wholly-owned second-tier Ohio limited liability company subsidiary, The Scotts Company LLC (“Scotts LLC”), pursuant to the Agreement and Plan of Merger, dated as of December 13, 2004 (the “Merger Agreement”), by and among Scotts, Scotts LLC and The Scotts Miracle-Gro Company (the “Company”); and</w:t>
      </w:r>
    </w:p>
    <w:p>
      <w:pPr>
        <w:spacing w:after="0" w:line="153" w:lineRule="exact"/>
        <w:rPr>
          <w:sz w:val="20"/>
          <w:szCs w:val="20"/>
          <w:color w:val="auto"/>
        </w:rPr>
      </w:pPr>
    </w:p>
    <w:p>
      <w:pPr>
        <w:ind w:right="40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the Merger Agreement, the Company assumed, as of the Effective Time, the Plan and all obligations and liabilities of Scotts</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 and</w:t>
      </w:r>
    </w:p>
    <w:p>
      <w:pPr>
        <w:spacing w:after="0" w:line="121" w:lineRule="exact"/>
        <w:rPr>
          <w:sz w:val="20"/>
          <w:szCs w:val="20"/>
          <w:color w:val="auto"/>
        </w:rPr>
      </w:pPr>
    </w:p>
    <w:p>
      <w:pPr>
        <w:ind w:right="100" w:firstLine="225"/>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Section 13.00 of the Plan provides that the Company’s Board of Directors (the “Board”) may amend the Plan at any time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approval except to the extent that shareholder approval is required to satisfy applicable requirements imposed by Rule 16b-3 under the Securities Exchange Act of 1934, as amended; applicable requirements of the Internal Revenue Code of 1986, as amended; or any securities exchange, market or other quotation system on or through which the Company’s securities are listed or traded; and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has resolved to amend the Plan to reflect the Company’s assumption of the Plan;</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Plan is amended effective as of the Effective Time as follows:</w:t>
      </w:r>
    </w:p>
    <w:p>
      <w:pPr>
        <w:spacing w:after="0" w:line="189" w:lineRule="exact"/>
        <w:rPr>
          <w:sz w:val="20"/>
          <w:szCs w:val="20"/>
          <w:color w:val="auto"/>
        </w:rPr>
      </w:pPr>
    </w:p>
    <w:p>
      <w:pPr>
        <w:ind w:left="400" w:hanging="167"/>
        <w:spacing w:after="0"/>
        <w:tabs>
          <w:tab w:leader="none" w:pos="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title of the Plan is amended to be “The Scotts Miracle-Gro Company 2003 Stock Option and Incentive Equity Plan.”</w:t>
      </w:r>
    </w:p>
    <w:p>
      <w:pPr>
        <w:spacing w:after="0" w:line="184" w:lineRule="exact"/>
        <w:rPr>
          <w:rFonts w:ascii="Arial" w:cs="Arial" w:eastAsia="Arial" w:hAnsi="Arial"/>
          <w:sz w:val="18"/>
          <w:szCs w:val="18"/>
          <w:color w:val="auto"/>
        </w:rPr>
      </w:pPr>
    </w:p>
    <w:p>
      <w:pPr>
        <w:ind w:right="120" w:firstLine="233"/>
        <w:spacing w:after="0" w:line="277" w:lineRule="auto"/>
        <w:tabs>
          <w:tab w:leader="none" w:pos="4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Section 2.15 is amended and restated to read, in its entirety, as follows: “Company” means The Scotts Miracle-Gro Company, an Ohio corporation, and any and all successors to it.</w:t>
      </w:r>
    </w:p>
    <w:p>
      <w:pPr>
        <w:spacing w:after="0" w:line="143" w:lineRule="exact"/>
        <w:rPr>
          <w:rFonts w:ascii="Arial" w:cs="Arial" w:eastAsia="Arial" w:hAnsi="Arial"/>
          <w:sz w:val="18"/>
          <w:szCs w:val="18"/>
          <w:color w:val="auto"/>
        </w:rPr>
      </w:pPr>
    </w:p>
    <w:p>
      <w:pPr>
        <w:ind w:right="660" w:firstLine="233"/>
        <w:spacing w:after="0" w:line="277" w:lineRule="auto"/>
        <w:tabs>
          <w:tab w:leader="none" w:pos="4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Section 2.34 is amended and restated to read, in its entirety, as follows: “Plan” means The Scotts Miracle-Gro Company 2003 Stock Option and Incentive Equity Plan.</w:t>
      </w:r>
    </w:p>
    <w:p>
      <w:pPr>
        <w:spacing w:after="0" w:line="126" w:lineRule="exact"/>
        <w:rPr>
          <w:sz w:val="20"/>
          <w:szCs w:val="20"/>
          <w:color w:val="auto"/>
        </w:rPr>
      </w:pPr>
    </w:p>
    <w:p>
      <w:pPr>
        <w:ind w:right="420" w:firstLine="225"/>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caused this Amendment to be executed as of the 6th day of May, 2005, to be effective as of March 18,</w:t>
      </w:r>
      <w:r>
        <w:rPr>
          <w:rFonts w:ascii="Arial" w:cs="Arial" w:eastAsia="Arial" w:hAnsi="Arial"/>
          <w:sz w:val="18"/>
          <w:szCs w:val="18"/>
          <w:b w:val="1"/>
          <w:bCs w:val="1"/>
          <w:color w:val="auto"/>
        </w:rPr>
        <w:t xml:space="preserve"> </w:t>
      </w:r>
      <w:r>
        <w:rPr>
          <w:rFonts w:ascii="Arial" w:cs="Arial" w:eastAsia="Arial" w:hAnsi="Arial"/>
          <w:sz w:val="18"/>
          <w:szCs w:val="18"/>
          <w:color w:val="auto"/>
        </w:rPr>
        <w:t>2005.</w:t>
      </w:r>
    </w:p>
    <w:p>
      <w:pPr>
        <w:spacing w:after="0" w:line="1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SCOTTS MIRACLE-GRO COMPANY</w:t>
      </w: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Christopher L. Nagel</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 Christopher L. Nagel</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EVP and Chief Financial Officer</w:t>
      </w:r>
    </w:p>
    <w:p>
      <w:pPr>
        <w:sectPr>
          <w:pgSz w:w="11900" w:h="16838" w:orient="portrait"/>
          <w:cols w:equalWidth="0" w:num="1">
            <w:col w:w="11420"/>
          </w:cols>
          <w:pgMar w:left="240" w:top="93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10(BB)</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ANNUAL INCENTIVE PLAN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Scotts Company (“Scotts”) sponsors The Scotts Company Executive Annual Incentive Plan (the “Plan”); and</w:t>
      </w:r>
    </w:p>
    <w:p>
      <w:pPr>
        <w:spacing w:after="0" w:line="185" w:lineRule="exact"/>
        <w:rPr>
          <w:sz w:val="20"/>
          <w:szCs w:val="20"/>
          <w:color w:val="auto"/>
        </w:rPr>
      </w:pPr>
    </w:p>
    <w:p>
      <w:pPr>
        <w:ind w:right="20" w:firstLine="225"/>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March 18, 2005 (the “Effective Time”), Scotts consummated the restructuring of Scotts’ corporate structure into a holding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 by merging Scotts into a wholly-owned second-tier Ohio limited liability company subsidiary, The Scotts Company LLC (the “Company”), pursuant to the Agreement and Plan of Merger, dated as of December 13, 2004 (the “Merger Agreement”), by and among Scotts, The Scotts Miracle-Gro Company (“Scotts Miracle-Gro”) and the Company; and</w:t>
      </w:r>
    </w:p>
    <w:p>
      <w:pPr>
        <w:spacing w:after="0" w:line="153"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connection with and as a result of the merger of Scotts into the Company, the Company assumed, as of the Effective Time, the Plan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and liabilities of Scotts thereunder;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effective as of March 18, 2005, the Plan is amended as follows to reflect the Company’s assumption of the Plan:</w:t>
      </w:r>
    </w:p>
    <w:p>
      <w:pPr>
        <w:spacing w:after="0" w:line="189" w:lineRule="exact"/>
        <w:rPr>
          <w:sz w:val="20"/>
          <w:szCs w:val="20"/>
          <w:color w:val="auto"/>
        </w:rPr>
      </w:pPr>
    </w:p>
    <w:p>
      <w:pPr>
        <w:ind w:left="640" w:hanging="182"/>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title of the Plan is amended to be “The Scotts Company LLC Executive Annual Incentive Plan.”</w:t>
      </w:r>
    </w:p>
    <w:p>
      <w:pPr>
        <w:spacing w:after="0" w:line="198" w:lineRule="exact"/>
        <w:rPr>
          <w:rFonts w:ascii="Arial" w:cs="Arial" w:eastAsia="Arial" w:hAnsi="Arial"/>
          <w:sz w:val="18"/>
          <w:szCs w:val="18"/>
          <w:color w:val="auto"/>
        </w:rPr>
      </w:pPr>
    </w:p>
    <w:p>
      <w:pPr>
        <w:ind w:left="640" w:hanging="182"/>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5, part (c) of the Plan is amended and restated to read, in its entirety, as follows:</w:t>
      </w:r>
    </w:p>
    <w:p>
      <w:pPr>
        <w:spacing w:after="0" w:line="185"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 Compensation and Organization Committee of The Scotts Miracle-Gro Company’s Board of Directors (the “Compensation and Organization Committee”) is responsible for approving changes in the Plan, to include: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Changes in Plan design;</w:t>
      </w:r>
    </w:p>
    <w:p>
      <w:pPr>
        <w:spacing w:after="0" w:line="198" w:lineRule="exact"/>
        <w:rPr>
          <w:sz w:val="20"/>
          <w:szCs w:val="20"/>
          <w:color w:val="auto"/>
        </w:rPr>
      </w:pPr>
    </w:p>
    <w:p>
      <w:pPr>
        <w:ind w:left="640" w:hanging="18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payout of percentage;</w:t>
      </w:r>
    </w:p>
    <w:p>
      <w:pPr>
        <w:spacing w:after="0" w:line="184" w:lineRule="exact"/>
        <w:rPr>
          <w:rFonts w:ascii="Arial" w:cs="Arial" w:eastAsia="Arial" w:hAnsi="Arial"/>
          <w:sz w:val="18"/>
          <w:szCs w:val="18"/>
          <w:color w:val="auto"/>
        </w:rPr>
      </w:pPr>
    </w:p>
    <w:p>
      <w:pPr>
        <w:ind w:left="700" w:hanging="242"/>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or deletions of eligible associates;</w:t>
      </w:r>
    </w:p>
    <w:p>
      <w:pPr>
        <w:spacing w:after="0" w:line="184" w:lineRule="exact"/>
        <w:rPr>
          <w:rFonts w:ascii="Arial" w:cs="Arial" w:eastAsia="Arial" w:hAnsi="Arial"/>
          <w:sz w:val="18"/>
          <w:szCs w:val="18"/>
          <w:color w:val="auto"/>
        </w:rPr>
      </w:pPr>
    </w:p>
    <w:p>
      <w:pPr>
        <w:ind w:left="680" w:hanging="222"/>
        <w:spacing w:after="0"/>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Adjustments, if any, reflecting individual performance of the Chief Executive Officer, Executive Vice Presidents and Senior Vice Presidents; and</w:t>
      </w:r>
    </w:p>
    <w:p>
      <w:pPr>
        <w:spacing w:after="0" w:line="221" w:lineRule="exact"/>
        <w:rPr>
          <w:rFonts w:ascii="Arial" w:cs="Arial" w:eastAsia="Arial" w:hAnsi="Arial"/>
          <w:sz w:val="16"/>
          <w:szCs w:val="16"/>
          <w:color w:val="auto"/>
        </w:rPr>
      </w:pPr>
    </w:p>
    <w:p>
      <w:pPr>
        <w:ind w:left="620" w:hanging="162"/>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Payouts to all Participants.</w:t>
      </w:r>
    </w:p>
    <w:p>
      <w:pPr>
        <w:spacing w:after="0" w:line="185"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Compensation and Organization Committee shall review the operation of the Plan and, if at any time the continuation of the Plan or any of its provisions becomes inappropriate or inadvisable, the Compensation and Organization Committee shall recommend to the Company’s managing member that the Plan be suspended or withdrawn. In addition, the Compensation and Organization Committee shall have the right to modify incentive formulas to reflect unusual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6" w:name="page47"/>
    <w:bookmarkEnd w:id="46"/>
    <w:p>
      <w:pPr>
        <w:spacing w:after="0" w:line="277" w:lineRule="auto"/>
        <w:rPr>
          <w:sz w:val="20"/>
          <w:szCs w:val="20"/>
          <w:color w:val="auto"/>
        </w:rPr>
      </w:pPr>
      <w:r>
        <w:rPr>
          <w:rFonts w:ascii="Arial" w:cs="Arial" w:eastAsia="Arial" w:hAnsi="Arial"/>
          <w:sz w:val="18"/>
          <w:szCs w:val="18"/>
          <w:color w:val="auto"/>
        </w:rPr>
        <w:t>The Company reserves to itself the right to suspend the Plan, to withdraw the Plan, and to make substantial alterations in Plan concept, subject to approval by the Compensation and Organization Committee.</w:t>
      </w:r>
    </w:p>
    <w:p>
      <w:pPr>
        <w:spacing w:after="0" w:line="139" w:lineRule="exact"/>
        <w:rPr>
          <w:sz w:val="20"/>
          <w:szCs w:val="20"/>
          <w:color w:val="auto"/>
        </w:rPr>
      </w:pPr>
    </w:p>
    <w:p>
      <w:pPr>
        <w:ind w:right="120" w:firstLine="225"/>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caused this First Amendment to be executed on this 6th day of May, 2005, to be effective as of March 18,</w:t>
      </w:r>
      <w:r>
        <w:rPr>
          <w:rFonts w:ascii="Arial" w:cs="Arial" w:eastAsia="Arial" w:hAnsi="Arial"/>
          <w:sz w:val="18"/>
          <w:szCs w:val="18"/>
          <w:b w:val="1"/>
          <w:bCs w:val="1"/>
          <w:color w:val="auto"/>
        </w:rPr>
        <w:t xml:space="preserve"> </w:t>
      </w:r>
      <w:r>
        <w:rPr>
          <w:rFonts w:ascii="Arial" w:cs="Arial" w:eastAsia="Arial" w:hAnsi="Arial"/>
          <w:sz w:val="18"/>
          <w:szCs w:val="18"/>
          <w:color w:val="auto"/>
        </w:rPr>
        <w:t>2005.</w:t>
      </w:r>
    </w:p>
    <w:p>
      <w:pPr>
        <w:spacing w:after="0" w:line="3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SCOTTS COMPANY LLC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Christopher L. Nagel</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 Christopher L. Nagel</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EVP and Chief Financial Officer</w:t>
      </w:r>
    </w:p>
    <w:p>
      <w:pPr>
        <w:sectPr>
          <w:pgSz w:w="11900" w:h="16838" w:orient="portrait"/>
          <w:cols w:equalWidth="0" w:num="1">
            <w:col w:w="11360"/>
          </w:cols>
          <w:pgMar w:left="240" w:top="936" w:right="2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10(CC)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O.M. SCOTT &amp; SONS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EXCESS BENEFIT PLAN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Scotts Company (“Scotts”) sponsors The O.M. Scott &amp; Sons Company Excess Benefit Plan (the “Plan”); and</w:t>
      </w:r>
    </w:p>
    <w:p>
      <w:pPr>
        <w:spacing w:after="0" w:line="185" w:lineRule="exact"/>
        <w:rPr>
          <w:sz w:val="20"/>
          <w:szCs w:val="20"/>
          <w:color w:val="auto"/>
        </w:rPr>
      </w:pPr>
    </w:p>
    <w:p>
      <w:pPr>
        <w:ind w:right="20" w:firstLine="225"/>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March 18, 2005 (the “Effective Time”), Scotts consummated the restructuring of Scotts’ corporate structure into a holding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 by merging Scotts into a wholly-owned second-tier Ohio limited liability company subsidiary, The Scotts Company LLC (the “Company”), pursuant to the Agreement and Plan of Merger, dated as of December 13, 2004 (the “Merger Agreement”), by and among Scotts, The Scotts Miracle-Gro Company (“Scotts Miracle-Gro”) and the Company; and</w:t>
      </w:r>
    </w:p>
    <w:p>
      <w:pPr>
        <w:spacing w:after="0" w:line="153"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connection with and as a result of the merger of Scotts into the Company, the Company assumed, as of the Effective Time, the Plan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and liabilities of Scotts thereunder; and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Section 6.1 of the Plan provides that the Company may amend the Plan;</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effective as of March 18, 2005, the Plan is amended as follows to reflect the Company’s assumption of the Plan:</w:t>
      </w:r>
    </w:p>
    <w:p>
      <w:pPr>
        <w:spacing w:after="0" w:line="202" w:lineRule="exact"/>
        <w:rPr>
          <w:sz w:val="20"/>
          <w:szCs w:val="20"/>
          <w:color w:val="auto"/>
        </w:rPr>
      </w:pPr>
    </w:p>
    <w:p>
      <w:pPr>
        <w:ind w:left="640" w:hanging="182"/>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title of the Plan is amended to be “The Scotts Company LLC Excess Benefit Plan.”</w:t>
      </w:r>
    </w:p>
    <w:p>
      <w:pPr>
        <w:spacing w:after="0" w:line="184" w:lineRule="exact"/>
        <w:rPr>
          <w:rFonts w:ascii="Arial" w:cs="Arial" w:eastAsia="Arial" w:hAnsi="Arial"/>
          <w:sz w:val="18"/>
          <w:szCs w:val="18"/>
          <w:color w:val="auto"/>
        </w:rPr>
      </w:pPr>
    </w:p>
    <w:p>
      <w:pPr>
        <w:ind w:right="360" w:firstLine="458"/>
        <w:spacing w:after="0" w:line="277" w:lineRule="auto"/>
        <w:tabs>
          <w:tab w:leader="none" w:pos="63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Section 1, the definition of “Base Plan” is amended and restated to read, in its entirety, as follows: “Base Plan” means The Scotts Company LLC Associates’ Pension Plan.</w:t>
      </w:r>
    </w:p>
    <w:p>
      <w:pPr>
        <w:spacing w:after="0" w:line="129" w:lineRule="exact"/>
        <w:rPr>
          <w:rFonts w:ascii="Arial" w:cs="Arial" w:eastAsia="Arial" w:hAnsi="Arial"/>
          <w:sz w:val="18"/>
          <w:szCs w:val="18"/>
          <w:color w:val="auto"/>
        </w:rPr>
      </w:pPr>
    </w:p>
    <w:p>
      <w:pPr>
        <w:ind w:right="140" w:firstLine="458"/>
        <w:spacing w:after="0" w:line="277" w:lineRule="auto"/>
        <w:tabs>
          <w:tab w:leader="none" w:pos="63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Section 1, the definition of “Company” is amended and restated to read, in its entirety, as follows: “Company” means The Scotts Company LLC, an Ohio limited liability company.</w:t>
      </w:r>
    </w:p>
    <w:p>
      <w:pPr>
        <w:spacing w:after="0" w:line="143" w:lineRule="exact"/>
        <w:rPr>
          <w:rFonts w:ascii="Arial" w:cs="Arial" w:eastAsia="Arial" w:hAnsi="Arial"/>
          <w:sz w:val="18"/>
          <w:szCs w:val="18"/>
          <w:color w:val="auto"/>
        </w:rPr>
      </w:pPr>
    </w:p>
    <w:p>
      <w:pPr>
        <w:ind w:left="640" w:hanging="182"/>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Section 1, the definition of “Plan” is amended and restated to read, in its entirety, as follows: “Plan” means The Scotts Company LLC Excess Benefit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Amendment to be executed on this 6th day of May, 2005, to be effective as of March 18, 2005.</w:t>
      </w:r>
    </w:p>
    <w:p>
      <w:pPr>
        <w:spacing w:after="0" w:line="200" w:lineRule="exact"/>
        <w:rPr>
          <w:sz w:val="20"/>
          <w:szCs w:val="20"/>
          <w:color w:val="auto"/>
        </w:rPr>
      </w:pP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SCOTTS COMPANY LLC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Christopher L. Nagel</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 Christopher L. Nagel</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EVP and Chief Financial Officer</w:t>
      </w:r>
    </w:p>
    <w:p>
      <w:pPr>
        <w:sectPr>
          <w:pgSz w:w="11900" w:h="16838" w:orient="portrait"/>
          <w:cols w:equalWidth="0" w:num="1">
            <w:col w:w="11420"/>
          </w:cols>
          <w:pgMar w:left="240" w:top="936"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10(DD)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RETIREMENT PLAN</w:t>
      </w:r>
    </w:p>
    <w:p>
      <w:pPr>
        <w:spacing w:after="0" w:line="166" w:lineRule="exact"/>
        <w:rPr>
          <w:sz w:val="20"/>
          <w:szCs w:val="20"/>
          <w:color w:val="auto"/>
        </w:rPr>
      </w:pPr>
    </w:p>
    <w:p>
      <w:pPr>
        <w:ind w:right="26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Scotts Company (“Scotts”) previously adopted The Scotts Company Incentive Pay Deferral Plan, subsequently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January 1, 1999 as The Scotts Company Executive Retirement Plan (the “Plan”); and</w:t>
      </w:r>
    </w:p>
    <w:p>
      <w:pPr>
        <w:spacing w:after="0" w:line="121" w:lineRule="exact"/>
        <w:rPr>
          <w:sz w:val="20"/>
          <w:szCs w:val="20"/>
          <w:color w:val="auto"/>
        </w:rPr>
      </w:pPr>
    </w:p>
    <w:p>
      <w:pPr>
        <w:ind w:right="20" w:firstLine="225"/>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March 18, 2005 (the “Effective Time”), Scotts consummated the restructuring of Scotts’ corporate structure into a holding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 by merging Scotts into a wholly-owned second-tier Ohio limited liability company subsidiary, The Scotts Company LLC (the “Company”), pursuant to the Agreement and Plan of Merger, dated as of December 13, 2004 (the “Merger Agreement”), by and among Scotts, The Scotts Miracle-Gro Company (“Scotts Miracle-Gro”) and the Company; and</w:t>
      </w:r>
    </w:p>
    <w:p>
      <w:pPr>
        <w:spacing w:after="0" w:line="153"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connection with and as a result of the merger of Scotts into the Company, the Company assumed, as of the Effective Time, the Plan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and liabilities of Scotts thereunder; and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Section XI of the Plan provides that the Administrative Committee for the Plan may amend, modify or terminate the Plan;</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effective as of March 18, 2005, the Plan is amended as follows to reflect the Company’s assumption of the Plan:</w:t>
      </w:r>
    </w:p>
    <w:p>
      <w:pPr>
        <w:spacing w:after="0" w:line="202" w:lineRule="exact"/>
        <w:rPr>
          <w:sz w:val="20"/>
          <w:szCs w:val="20"/>
          <w:color w:val="auto"/>
        </w:rPr>
      </w:pPr>
    </w:p>
    <w:p>
      <w:pPr>
        <w:ind w:left="400" w:hanging="167"/>
        <w:spacing w:after="0"/>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title of the Plan is amended to be “The Scotts Company LLC Executive Retirement Plan.”</w:t>
      </w:r>
    </w:p>
    <w:p>
      <w:pPr>
        <w:spacing w:after="0" w:line="184" w:lineRule="exact"/>
        <w:rPr>
          <w:rFonts w:ascii="Arial" w:cs="Arial" w:eastAsia="Arial" w:hAnsi="Arial"/>
          <w:sz w:val="18"/>
          <w:szCs w:val="18"/>
          <w:color w:val="auto"/>
        </w:rPr>
      </w:pPr>
    </w:p>
    <w:p>
      <w:pPr>
        <w:ind w:right="20" w:firstLine="233"/>
        <w:spacing w:after="0" w:line="279" w:lineRule="auto"/>
        <w:tabs>
          <w:tab w:leader="none" w:pos="405" w:val="left"/>
        </w:tabs>
        <w:numPr>
          <w:ilvl w:val="0"/>
          <w:numId w:val="39"/>
        </w:numPr>
        <w:rPr>
          <w:rFonts w:ascii="Arial" w:cs="Arial" w:eastAsia="Arial" w:hAnsi="Arial"/>
          <w:sz w:val="17"/>
          <w:szCs w:val="17"/>
          <w:color w:val="auto"/>
        </w:rPr>
      </w:pPr>
      <w:r>
        <w:rPr>
          <w:rFonts w:ascii="Arial" w:cs="Arial" w:eastAsia="Arial" w:hAnsi="Arial"/>
          <w:sz w:val="17"/>
          <w:szCs w:val="17"/>
          <w:color w:val="auto"/>
        </w:rPr>
        <w:t>Section I of the Plan is amended and restated to read, in its entirety, as follows: The Scotts Company LLC Executive Retirement Plan provides Eligible Employees with the opportunity to defer bonuses (under the Executive Annual Incentive Plan) and compensation, and supplements the benefits of Eligible Employees under The Scotts Company LLC Retirement Savings Plan. The benefits under the Plan are to be provided from the Plan on an unfunded basis. It is intended that the Plan be exempt from the funding, participation, vesting and fiduciary provisions of Title I of ERISA.</w:t>
      </w:r>
    </w:p>
    <w:p>
      <w:pPr>
        <w:spacing w:after="0" w:line="130" w:lineRule="exact"/>
        <w:rPr>
          <w:rFonts w:ascii="Arial" w:cs="Arial" w:eastAsia="Arial" w:hAnsi="Arial"/>
          <w:sz w:val="17"/>
          <w:szCs w:val="17"/>
          <w:color w:val="auto"/>
        </w:rPr>
      </w:pPr>
    </w:p>
    <w:p>
      <w:pPr>
        <w:ind w:right="80" w:firstLine="233"/>
        <w:spacing w:after="0" w:line="259" w:lineRule="auto"/>
        <w:tabs>
          <w:tab w:leader="none" w:pos="40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definition of “Administrative Committee” contained in Section II of the Plan is amended and restated to read, in its entirety, as follows: “Administrative Committee” means (a) the administrative committee appointed to administer the tax qualified retirement plans which are also sponsored by the Employer or (b) any person or entity to which the Administrative Committee delegates any of the administrative or ministerial duties assigned to it in this Plan.</w:t>
      </w:r>
    </w:p>
    <w:p>
      <w:pPr>
        <w:spacing w:after="0" w:line="159" w:lineRule="exact"/>
        <w:rPr>
          <w:rFonts w:ascii="Arial" w:cs="Arial" w:eastAsia="Arial" w:hAnsi="Arial"/>
          <w:sz w:val="18"/>
          <w:szCs w:val="18"/>
          <w:color w:val="auto"/>
        </w:rPr>
      </w:pPr>
    </w:p>
    <w:p>
      <w:pPr>
        <w:ind w:left="400" w:hanging="167"/>
        <w:spacing w:after="0"/>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definition of “Board” contained in Section II of the Plan is deleted in its entirety.</w:t>
      </w:r>
    </w:p>
    <w:p>
      <w:pPr>
        <w:spacing w:after="0" w:line="184" w:lineRule="exact"/>
        <w:rPr>
          <w:rFonts w:ascii="Arial" w:cs="Arial" w:eastAsia="Arial" w:hAnsi="Arial"/>
          <w:sz w:val="18"/>
          <w:szCs w:val="18"/>
          <w:color w:val="auto"/>
        </w:rPr>
      </w:pPr>
    </w:p>
    <w:p>
      <w:pPr>
        <w:ind w:right="20" w:firstLine="233"/>
        <w:spacing w:after="0" w:line="264" w:lineRule="auto"/>
        <w:tabs>
          <w:tab w:leader="none" w:pos="40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definition of “Company Stock Fund” contained in Section II of the Plan is amended and restated to read, in its entirety, as follows: “Company Stock Fund” means a fund consisting of common shares of The Scotts Miracle-Gro Company and cash or cash equivalents needed to meet obligations of such fund or for the purchase of common shares of The Scotts Miracle-Gro Company.</w:t>
      </w:r>
    </w:p>
    <w:p>
      <w:pPr>
        <w:spacing w:after="0" w:line="140" w:lineRule="exact"/>
        <w:rPr>
          <w:rFonts w:ascii="Arial" w:cs="Arial" w:eastAsia="Arial" w:hAnsi="Arial"/>
          <w:sz w:val="18"/>
          <w:szCs w:val="18"/>
          <w:color w:val="auto"/>
        </w:rPr>
      </w:pPr>
    </w:p>
    <w:p>
      <w:pPr>
        <w:ind w:right="420" w:firstLine="233"/>
        <w:spacing w:after="0" w:line="277" w:lineRule="auto"/>
        <w:tabs>
          <w:tab w:leader="none" w:pos="40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definition of “Employer” contained in Section II of the Plan is amended and restated to read, in its entirety, as follows: “Employer” means The Scotts Company LLC and affiliates of The Scotts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9" w:name="page50"/>
    <w:bookmarkEnd w:id="49"/>
    <w:p>
      <w:pPr>
        <w:ind w:right="680" w:firstLine="233"/>
        <w:spacing w:after="0" w:line="342" w:lineRule="auto"/>
        <w:tabs>
          <w:tab w:leader="none" w:pos="40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definition of “Plan” contained in Section II of the Plan is amended and restated to read, in its entirety, as follows: “Plan” means The Scotts Company LLC Executive Retirement Plan, as reflected in this document, as the same may be amended from time to time after the Effective Date.</w:t>
      </w:r>
    </w:p>
    <w:p>
      <w:pPr>
        <w:spacing w:after="0" w:line="96" w:lineRule="exact"/>
        <w:rPr>
          <w:rFonts w:ascii="Arial" w:cs="Arial" w:eastAsia="Arial" w:hAnsi="Arial"/>
          <w:sz w:val="16"/>
          <w:szCs w:val="16"/>
          <w:color w:val="auto"/>
        </w:rPr>
      </w:pPr>
    </w:p>
    <w:p>
      <w:pPr>
        <w:ind w:right="60" w:firstLine="233"/>
        <w:spacing w:after="0" w:line="277" w:lineRule="auto"/>
        <w:tabs>
          <w:tab w:leader="none" w:pos="40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definition of “Qualified Plan” contained in Section II of the Plan is amended and restated to read, in its entirety, as follows: “Qualified Plan” means The Scotts Company LLC Retirement Savings Plan and any amendments made thereto.</w:t>
      </w:r>
    </w:p>
    <w:p>
      <w:pPr>
        <w:spacing w:after="0" w:line="129" w:lineRule="exact"/>
        <w:rPr>
          <w:rFonts w:ascii="Arial" w:cs="Arial" w:eastAsia="Arial" w:hAnsi="Arial"/>
          <w:sz w:val="18"/>
          <w:szCs w:val="18"/>
          <w:color w:val="auto"/>
        </w:rPr>
      </w:pPr>
    </w:p>
    <w:p>
      <w:pPr>
        <w:ind w:left="420" w:hanging="187"/>
        <w:spacing w:after="0"/>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Section V, Part B – Method of Distribution is amended and restated to read, in its entirety, as follows:</w:t>
      </w:r>
    </w:p>
    <w:p>
      <w:pPr>
        <w:spacing w:after="0" w:line="185" w:lineRule="exact"/>
        <w:rPr>
          <w:sz w:val="20"/>
          <w:szCs w:val="20"/>
          <w:color w:val="auto"/>
        </w:rPr>
      </w:pPr>
    </w:p>
    <w:p>
      <w:pPr>
        <w:ind w:left="240"/>
        <w:spacing w:after="0" w:line="289" w:lineRule="auto"/>
        <w:rPr>
          <w:sz w:val="20"/>
          <w:szCs w:val="20"/>
          <w:color w:val="auto"/>
        </w:rPr>
      </w:pPr>
      <w:r>
        <w:rPr>
          <w:rFonts w:ascii="Arial" w:cs="Arial" w:eastAsia="Arial" w:hAnsi="Arial"/>
          <w:sz w:val="16"/>
          <w:szCs w:val="16"/>
          <w:color w:val="auto"/>
        </w:rPr>
        <w:t>Amounts credited to a Participant’s Account shall be distributed to the Participant either in a single lump sum payment or in substantially equal annual installments over a period less than ten (10) years. To the extent that an Account is distributed in installment payments, the undisbursed portions of such Account shall continue to be credited with Additions in accordance with the applicable provisions of Section IV.H. In addition, if, as of any business day after the date described in Section V.A., the amount allocated to a Participant’s Account is less than $5,000, the Administrative Committee shall pay such amount to the Participant and reduce the balance of his Account to zero. The method of distribution shall be elected by the Participant in the Executive Incentive Pay Deferral Election and Compensation Deferral Election delivered to the Administrative Committee at the time the applicable deferral election is made. Distributions of amounts credited to Investment Funds other than the Company Stock Fund shall be made in cash. Distributions of amounts credited to the Company Stock Fund shall be distributed in the greatest whole number of common shares of The Scotts Miracle-Gro Company which can be distributed based on the amount credited to the Company Stock Fund (after any applicable withholding), plus cash for any fractional share.</w:t>
      </w:r>
    </w:p>
    <w:p>
      <w:pPr>
        <w:spacing w:after="0" w:line="136" w:lineRule="exact"/>
        <w:rPr>
          <w:sz w:val="20"/>
          <w:szCs w:val="20"/>
          <w:color w:val="auto"/>
        </w:rPr>
      </w:pPr>
    </w:p>
    <w:p>
      <w:pPr>
        <w:ind w:right="120" w:firstLine="225"/>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Administrative Committee, acting on behalf of the Company, has caused this Amendment to be executed on this 6th day</w:t>
      </w:r>
      <w:r>
        <w:rPr>
          <w:rFonts w:ascii="Arial" w:cs="Arial" w:eastAsia="Arial" w:hAnsi="Arial"/>
          <w:sz w:val="18"/>
          <w:szCs w:val="18"/>
          <w:b w:val="1"/>
          <w:bCs w:val="1"/>
          <w:color w:val="auto"/>
        </w:rPr>
        <w:t xml:space="preserve"> </w:t>
      </w:r>
      <w:r>
        <w:rPr>
          <w:rFonts w:ascii="Arial" w:cs="Arial" w:eastAsia="Arial" w:hAnsi="Arial"/>
          <w:sz w:val="18"/>
          <w:szCs w:val="18"/>
          <w:color w:val="auto"/>
        </w:rPr>
        <w:t>of May, 2005, to be effective as of March 18, 2005.</w:t>
      </w:r>
    </w:p>
    <w:p>
      <w:pPr>
        <w:spacing w:after="0" w:line="3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SCOTTS COMPANY LLC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Christopher L. Nagel</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 Christopher L. Nagel</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Member of the Administrative Committee</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935" w:right="25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31(a)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(PRINCIPAL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25" w:lineRule="exact"/>
        <w:rPr>
          <w:sz w:val="20"/>
          <w:szCs w:val="20"/>
          <w:color w:val="auto"/>
        </w:rPr>
      </w:pPr>
    </w:p>
    <w:p>
      <w:pPr>
        <w:ind w:left="460" w:hanging="236"/>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April 2, 2005 of The Scotts Miracle-Gro Company;</w:t>
      </w:r>
    </w:p>
    <w:p>
      <w:pPr>
        <w:spacing w:after="0" w:line="225" w:lineRule="exact"/>
        <w:rPr>
          <w:rFonts w:ascii="Arial" w:cs="Arial" w:eastAsia="Arial" w:hAnsi="Arial"/>
          <w:sz w:val="18"/>
          <w:szCs w:val="18"/>
          <w:color w:val="auto"/>
        </w:rPr>
      </w:pPr>
    </w:p>
    <w:p>
      <w:pPr>
        <w:jc w:val="both"/>
        <w:ind w:left="460" w:right="500" w:hanging="236"/>
        <w:spacing w:after="0" w:line="26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60" w:hanging="236"/>
        <w:spacing w:after="0" w:line="308" w:lineRule="auto"/>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680" w:hanging="236"/>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760" w:right="440" w:hanging="306"/>
        <w:spacing w:after="0" w:line="264" w:lineRule="auto"/>
        <w:tabs>
          <w:tab w:leader="none" w:pos="7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60" w:hanging="306"/>
        <w:spacing w:after="0"/>
        <w:tabs>
          <w:tab w:leader="none" w:pos="7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760" w:right="920" w:hanging="306"/>
        <w:spacing w:after="0" w:line="342" w:lineRule="auto"/>
        <w:tabs>
          <w:tab w:leader="none" w:pos="7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60" w:hanging="306"/>
        <w:spacing w:after="0" w:line="342" w:lineRule="auto"/>
        <w:tabs>
          <w:tab w:leader="none" w:pos="7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460" w:right="380" w:hanging="236"/>
        <w:spacing w:after="0" w:line="308" w:lineRule="auto"/>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60" w:right="340" w:hanging="306"/>
        <w:spacing w:after="0" w:line="277" w:lineRule="auto"/>
        <w:tabs>
          <w:tab w:leader="none" w:pos="7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60" w:right="300" w:hanging="306"/>
        <w:spacing w:after="0" w:line="277" w:lineRule="auto"/>
        <w:tabs>
          <w:tab w:leader="none" w:pos="7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May 12,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Hagedorn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555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Chairman of the Board</w:t>
      </w:r>
    </w:p>
    <w:p>
      <w:pPr>
        <w:sectPr>
          <w:pgSz w:w="11900" w:h="16838" w:orient="portrait"/>
          <w:cols w:equalWidth="0" w:num="1">
            <w:col w:w="11420"/>
          </w:cols>
          <w:pgMar w:left="240" w:top="936"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31(b)</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(PRINCIPAL FINANCIAL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 Nagel, certify that:</w:t>
      </w:r>
    </w:p>
    <w:p>
      <w:pPr>
        <w:spacing w:after="0" w:line="225" w:lineRule="exact"/>
        <w:rPr>
          <w:sz w:val="20"/>
          <w:szCs w:val="20"/>
          <w:color w:val="auto"/>
        </w:rPr>
      </w:pPr>
    </w:p>
    <w:p>
      <w:pPr>
        <w:ind w:left="460" w:hanging="236"/>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April 2, 2005 of The Scotts Miracle-Gro Company;</w:t>
      </w:r>
    </w:p>
    <w:p>
      <w:pPr>
        <w:spacing w:after="0" w:line="225" w:lineRule="exact"/>
        <w:rPr>
          <w:rFonts w:ascii="Arial" w:cs="Arial" w:eastAsia="Arial" w:hAnsi="Arial"/>
          <w:sz w:val="18"/>
          <w:szCs w:val="18"/>
          <w:color w:val="auto"/>
        </w:rPr>
      </w:pPr>
    </w:p>
    <w:p>
      <w:pPr>
        <w:jc w:val="both"/>
        <w:ind w:left="460" w:right="500" w:hanging="236"/>
        <w:spacing w:after="0" w:line="26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60" w:hanging="236"/>
        <w:spacing w:after="0" w:line="308"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680" w:hanging="236"/>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760" w:right="440" w:hanging="306"/>
        <w:spacing w:after="0" w:line="264" w:lineRule="auto"/>
        <w:tabs>
          <w:tab w:leader="none" w:pos="7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60" w:hanging="306"/>
        <w:spacing w:after="0"/>
        <w:tabs>
          <w:tab w:leader="none" w:pos="7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760" w:right="920" w:hanging="306"/>
        <w:spacing w:after="0" w:line="342" w:lineRule="auto"/>
        <w:tabs>
          <w:tab w:leader="none" w:pos="7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60" w:hanging="306"/>
        <w:spacing w:after="0" w:line="342" w:lineRule="auto"/>
        <w:tabs>
          <w:tab w:leader="none" w:pos="7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460" w:right="380" w:hanging="236"/>
        <w:spacing w:after="0" w:line="308"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60" w:right="340" w:hanging="306"/>
        <w:spacing w:after="0" w:line="277" w:lineRule="auto"/>
        <w:tabs>
          <w:tab w:leader="none" w:pos="7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60" w:right="300" w:hanging="306"/>
        <w:spacing w:after="0" w:line="277" w:lineRule="auto"/>
        <w:tabs>
          <w:tab w:leader="none" w:pos="7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May 12,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Christopher L. Nagel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93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w:t>
      </w:r>
    </w:p>
    <w:p>
      <w:pPr>
        <w:spacing w:after="0" w:line="185"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 connection with the Quarterly Report of The Scotts Miracle-Gro Company (the “Company”) on Form 10-Q for the quarterly period ended April 2, 2005 as filed with the Securities and Exchange Commission on the date hereof (the “Report”), the undersigned, James Hagedorn, President, Chief Executive Officer and Chairman of the Board of the Company, and Christopher L. Nagel,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88" w:lineRule="exact"/>
        <w:rPr>
          <w:sz w:val="20"/>
          <w:szCs w:val="20"/>
          <w:color w:val="auto"/>
        </w:rPr>
      </w:pPr>
    </w:p>
    <w:p>
      <w:pPr>
        <w:ind w:left="460" w:hanging="236"/>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460" w:hanging="236"/>
        <w:spacing w:after="0"/>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Hagedorn</w:t>
            </w:r>
          </w:p>
        </w:tc>
        <w:tc>
          <w:tcPr>
            <w:tcW w:w="680" w:type="dxa"/>
            <w:vAlign w:val="bottom"/>
          </w:tcPr>
          <w:p>
            <w:pPr>
              <w:spacing w:after="0"/>
              <w:rPr>
                <w:sz w:val="20"/>
                <w:szCs w:val="20"/>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L. Nagel</w:t>
            </w:r>
          </w:p>
        </w:tc>
      </w:tr>
      <w:tr>
        <w:trPr>
          <w:trHeight w:val="209"/>
        </w:trPr>
        <w:tc>
          <w:tcPr>
            <w:tcW w:w="5360" w:type="dxa"/>
            <w:vAlign w:val="bottom"/>
          </w:tcPr>
          <w:p>
            <w:pPr>
              <w:spacing w:after="0"/>
              <w:rPr>
                <w:sz w:val="20"/>
                <w:szCs w:val="20"/>
                <w:color w:val="auto"/>
              </w:rPr>
            </w:pPr>
            <w:r>
              <w:rPr>
                <w:rFonts w:ascii="Arial" w:cs="Arial" w:eastAsia="Arial" w:hAnsi="Arial"/>
                <w:sz w:val="18"/>
                <w:szCs w:val="18"/>
                <w:color w:val="auto"/>
              </w:rPr>
              <w:t>James Hagedorn</w:t>
            </w:r>
          </w:p>
        </w:tc>
        <w:tc>
          <w:tcPr>
            <w:tcW w:w="6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Christopher L. Nagel</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6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and Chairman of the Board</w:t>
            </w:r>
          </w:p>
        </w:tc>
        <w:tc>
          <w:tcPr>
            <w:tcW w:w="6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Date: May 12, 2005</w:t>
            </w:r>
          </w:p>
        </w:tc>
        <w:tc>
          <w:tcPr>
            <w:tcW w:w="6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Date: May 12, 2005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33350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33500" cy="34290"/>
                    </a:xfrm>
                    <a:prstGeom prst="rect">
                      <a:avLst/>
                    </a:prstGeom>
                    <a:noFill/>
                  </pic:spPr>
                </pic:pic>
              </a:graphicData>
            </a:graphic>
          </wp:anchor>
        </w:drawing>
      </w:r>
    </w:p>
    <w:p>
      <w:pPr>
        <w:spacing w:after="0" w:line="303" w:lineRule="exact"/>
        <w:rPr>
          <w:sz w:val="20"/>
          <w:szCs w:val="20"/>
          <w:color w:val="auto"/>
        </w:rPr>
      </w:pPr>
    </w:p>
    <w:p>
      <w:pPr>
        <w:ind w:left="200" w:hanging="192"/>
        <w:spacing w:after="0"/>
        <w:tabs>
          <w:tab w:leader="none" w:pos="2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THIS CERTIFICATION IS BEING FURNISHED AS REQUIRED BY RULE 13a-14(b) UNDER THE SECURITIES EXCHANGE ACT OF 1934 (THE</w:t>
      </w:r>
    </w:p>
    <w:p>
      <w:pPr>
        <w:spacing w:after="0" w:line="34" w:lineRule="exact"/>
        <w:rPr>
          <w:rFonts w:ascii="Arial" w:cs="Arial" w:eastAsia="Arial" w:hAnsi="Arial"/>
          <w:sz w:val="17"/>
          <w:szCs w:val="17"/>
          <w:color w:val="auto"/>
        </w:rPr>
      </w:pPr>
    </w:p>
    <w:p>
      <w:pPr>
        <w:ind w:left="200" w:right="340"/>
        <w:spacing w:after="0" w:line="253" w:lineRule="auto"/>
        <w:rPr>
          <w:rFonts w:ascii="Arial" w:cs="Arial" w:eastAsia="Arial" w:hAnsi="Arial"/>
          <w:sz w:val="17"/>
          <w:szCs w:val="17"/>
          <w:color w:val="auto"/>
        </w:rPr>
      </w:pPr>
      <w:r>
        <w:rPr>
          <w:rFonts w:ascii="Arial" w:cs="Arial" w:eastAsia="Arial" w:hAnsi="Arial"/>
          <w:sz w:val="18"/>
          <w:szCs w:val="18"/>
          <w:color w:val="auto"/>
        </w:rPr>
        <w:t>“EXCHANGE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TO THE EXTENT THAT THE COMPANY SPECIFICALLY INCORPORATES IT BY REFERENCE.</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o"/>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2"/>
    </w:lvl>
  </w:abstractNum>
  <w:abstractNum w:abstractNumId="4">
    <w:nsid w:val="8EDBDAB"/>
    <w:multiLevelType w:val="hybridMultilevel"/>
    <w:lvl w:ilvl="0">
      <w:lvlJc w:val="left"/>
      <w:lvlText w:val="%1."/>
      <w:numFmt w:val="decimal"/>
      <w:start w:val="3"/>
    </w:lvl>
  </w:abstractNum>
  <w:abstractNum w:abstractNumId="5">
    <w:nsid w:val="79838CB2"/>
    <w:multiLevelType w:val="hybridMultilevel"/>
    <w:lvl w:ilvl="0">
      <w:lvlJc w:val="left"/>
      <w:lvlText w:val="%1."/>
      <w:numFmt w:val="decimal"/>
      <w:start w:val="4"/>
    </w:lvl>
  </w:abstractNum>
  <w:abstractNum w:abstractNumId="6">
    <w:nsid w:val="4353D0CD"/>
    <w:multiLevelType w:val="hybridMultilevel"/>
    <w:lvl w:ilvl="0">
      <w:lvlJc w:val="left"/>
      <w:lvlText w:val="%1."/>
      <w:numFmt w:val="decimal"/>
      <w:start w:val="5"/>
    </w:lvl>
  </w:abstractNum>
  <w:abstractNum w:abstractNumId="7">
    <w:nsid w:val="B03E0C6"/>
    <w:multiLevelType w:val="hybridMultilevel"/>
    <w:lvl w:ilvl="0">
      <w:lvlJc w:val="left"/>
      <w:lvlText w:val="%1."/>
      <w:numFmt w:val="decimal"/>
      <w:start w:val="6"/>
    </w:lvl>
  </w:abstractNum>
  <w:abstractNum w:abstractNumId="8">
    <w:nsid w:val="189A769B"/>
    <w:multiLevelType w:val="hybridMultilevel"/>
    <w:lvl w:ilvl="0">
      <w:lvlJc w:val="left"/>
      <w:lvlText w:val="%1."/>
      <w:numFmt w:val="decimal"/>
      <w:start w:val="7"/>
    </w:lvl>
  </w:abstractNum>
  <w:abstractNum w:abstractNumId="9">
    <w:nsid w:val="54E49EB4"/>
    <w:multiLevelType w:val="hybridMultilevel"/>
    <w:lvl w:ilvl="0">
      <w:lvlJc w:val="left"/>
      <w:lvlText w:val="%1."/>
      <w:numFmt w:val="decimal"/>
      <w:start w:val="8"/>
    </w:lvl>
    <w:lvl w:ilvl="1">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decimal"/>
      <w:start w:val="9"/>
    </w:lvl>
  </w:abstractNum>
  <w:abstractNum w:abstractNumId="12">
    <w:nsid w:val="836C40E"/>
    <w:multiLevelType w:val="hybridMultilevel"/>
    <w:lvl w:ilvl="0">
      <w:lvlJc w:val="left"/>
      <w:lvlText w:val="%1."/>
      <w:numFmt w:val="decimal"/>
      <w:start w:val="12"/>
    </w:lvl>
  </w:abstractNum>
  <w:abstractNum w:abstractNumId="13">
    <w:nsid w:val="2901D82"/>
    <w:multiLevelType w:val="hybridMultilevel"/>
    <w:lvl w:ilvl="0">
      <w:lvlJc w:val="left"/>
      <w:lvlText w:val="%1."/>
      <w:numFmt w:val="decimal"/>
      <w:start w:val="13"/>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lvl w:ilvl="1">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lvl w:ilvl="1">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lvl w:ilvl="1">
      <w:lvlJc w:val="left"/>
      <w:lvlText w:val="-"/>
      <w:numFmt w:val="bullet"/>
      <w:start w:val="1"/>
    </w:lvl>
  </w:abstractNum>
  <w:abstractNum w:abstractNumId="30">
    <w:nsid w:val="7724C67E"/>
    <w:multiLevelType w:val="hybridMultilevel"/>
    <w:lvl w:ilvl="0">
      <w:lvlJc w:val="left"/>
      <w:lvlText w:val="(%1)"/>
      <w:numFmt w:val="upperLetter"/>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lowerRoman"/>
      <w:start w:val="2"/>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7"/>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2019-12-20T06:22:07Z</dcterms:created>
  <dcterms:modified xsi:type="dcterms:W3CDTF">2019-12-20T06:22:07Z</dcterms:modified>
</cp:coreProperties>
</file>