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_________________________________________</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0"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5"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For the quarterly period ended March 28, 2020</w:t>
      </w:r>
    </w:p>
    <w:p>
      <w:pPr>
        <w:spacing w:after="0" w:line="117"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59"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001-11593</w:t>
      </w:r>
    </w:p>
    <w:p>
      <w:pPr>
        <w:spacing w:after="0" w:line="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Scotts Miracle-Gro Company</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w:t>
      </w:r>
    </w:p>
    <w:p>
      <w:pPr>
        <w:spacing w:after="0" w:line="41" w:lineRule="exact"/>
        <w:rPr>
          <w:sz w:val="24"/>
          <w:szCs w:val="24"/>
          <w:color w:val="auto"/>
        </w:rPr>
      </w:pPr>
    </w:p>
    <w:tbl>
      <w:tblPr>
        <w:tblLayout w:type="fixed"/>
        <w:tblInd w:w="1280" w:type="dxa"/>
        <w:tblCellMar>
          <w:top w:w="0" w:type="dxa"/>
          <w:left w:w="0" w:type="dxa"/>
          <w:bottom w:w="0" w:type="dxa"/>
          <w:right w:w="0" w:type="dxa"/>
        </w:tblCellMar>
      </w:tblPr>
      <w:tr>
        <w:trPr>
          <w:trHeight w:val="220"/>
        </w:trPr>
        <w:tc>
          <w:tcPr>
            <w:tcW w:w="4600" w:type="dxa"/>
            <w:vAlign w:val="bottom"/>
          </w:tcPr>
          <w:p>
            <w:pPr>
              <w:jc w:val="center"/>
              <w:ind w:right="2644"/>
              <w:spacing w:after="0"/>
              <w:rPr>
                <w:sz w:val="20"/>
                <w:szCs w:val="20"/>
                <w:color w:val="auto"/>
              </w:rPr>
            </w:pPr>
            <w:r>
              <w:rPr>
                <w:rFonts w:ascii="Arial" w:cs="Arial" w:eastAsia="Arial" w:hAnsi="Arial"/>
                <w:sz w:val="17"/>
                <w:szCs w:val="17"/>
                <w:b w:val="1"/>
                <w:bCs w:val="1"/>
                <w:color w:val="auto"/>
                <w:w w:val="92"/>
              </w:rPr>
              <w:t>Ohio</w:t>
            </w:r>
          </w:p>
        </w:tc>
        <w:tc>
          <w:tcPr>
            <w:tcW w:w="3840" w:type="dxa"/>
            <w:vAlign w:val="bottom"/>
          </w:tcPr>
          <w:p>
            <w:pPr>
              <w:jc w:val="center"/>
              <w:ind w:left="2644"/>
              <w:spacing w:after="0"/>
              <w:rPr>
                <w:sz w:val="20"/>
                <w:szCs w:val="20"/>
                <w:color w:val="auto"/>
              </w:rPr>
            </w:pPr>
            <w:r>
              <w:rPr>
                <w:rFonts w:ascii="Arial" w:cs="Arial" w:eastAsia="Arial" w:hAnsi="Arial"/>
                <w:sz w:val="17"/>
                <w:szCs w:val="17"/>
                <w:b w:val="1"/>
                <w:bCs w:val="1"/>
                <w:color w:val="auto"/>
                <w:w w:val="92"/>
              </w:rPr>
              <w:t>31-1414921</w:t>
            </w:r>
          </w:p>
        </w:tc>
      </w:tr>
      <w:tr>
        <w:trPr>
          <w:trHeight w:val="184"/>
        </w:trPr>
        <w:tc>
          <w:tcPr>
            <w:tcW w:w="4600" w:type="dxa"/>
            <w:vAlign w:val="bottom"/>
          </w:tcPr>
          <w:p>
            <w:pPr>
              <w:jc w:val="center"/>
              <w:ind w:right="2644"/>
              <w:spacing w:after="0"/>
              <w:rPr>
                <w:sz w:val="20"/>
                <w:szCs w:val="20"/>
                <w:color w:val="auto"/>
              </w:rPr>
            </w:pPr>
            <w:r>
              <w:rPr>
                <w:rFonts w:ascii="Arial" w:cs="Arial" w:eastAsia="Arial" w:hAnsi="Arial"/>
                <w:sz w:val="14"/>
                <w:szCs w:val="14"/>
                <w:b w:val="1"/>
                <w:bCs w:val="1"/>
                <w:color w:val="auto"/>
                <w:w w:val="93"/>
              </w:rPr>
              <w:t>(State or other jurisdiction of</w:t>
            </w:r>
          </w:p>
        </w:tc>
        <w:tc>
          <w:tcPr>
            <w:tcW w:w="3840" w:type="dxa"/>
            <w:vAlign w:val="bottom"/>
          </w:tcPr>
          <w:p>
            <w:pPr>
              <w:jc w:val="center"/>
              <w:ind w:left="2644"/>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600" w:type="dxa"/>
            <w:vAlign w:val="bottom"/>
          </w:tcPr>
          <w:p>
            <w:pPr>
              <w:jc w:val="center"/>
              <w:ind w:right="2644"/>
              <w:spacing w:after="0"/>
              <w:rPr>
                <w:sz w:val="20"/>
                <w:szCs w:val="20"/>
                <w:color w:val="auto"/>
              </w:rPr>
            </w:pPr>
            <w:r>
              <w:rPr>
                <w:rFonts w:ascii="Arial" w:cs="Arial" w:eastAsia="Arial" w:hAnsi="Arial"/>
                <w:sz w:val="14"/>
                <w:szCs w:val="14"/>
                <w:b w:val="1"/>
                <w:bCs w:val="1"/>
                <w:color w:val="auto"/>
                <w:w w:val="94"/>
              </w:rPr>
              <w:t>incorporation or organization)</w:t>
            </w:r>
          </w:p>
        </w:tc>
        <w:tc>
          <w:tcPr>
            <w:tcW w:w="3840" w:type="dxa"/>
            <w:vAlign w:val="bottom"/>
          </w:tcPr>
          <w:p>
            <w:pPr>
              <w:jc w:val="center"/>
              <w:ind w:left="2644"/>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14111 Scottslawn Road, Marysville, Ohio 43041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(937</w:t>
      </w:r>
      <w:r>
        <w:rPr>
          <w:rFonts w:ascii="Arial" w:cs="Arial" w:eastAsia="Arial" w:hAnsi="Arial"/>
          <w:sz w:val="17"/>
          <w:szCs w:val="17"/>
          <w:b w:val="1"/>
          <w:bCs w:val="1"/>
          <w:color w:val="auto"/>
        </w:rPr>
        <w:t>)</w:t>
      </w:r>
      <w:r>
        <w:rPr>
          <w:rFonts w:ascii="Arial" w:cs="Arial" w:eastAsia="Arial" w:hAnsi="Arial"/>
          <w:sz w:val="18"/>
          <w:szCs w:val="18"/>
          <w:color w:val="auto"/>
        </w:rPr>
        <w:t xml:space="preserve"> 644-0011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73" w:lineRule="exact"/>
        <w:rPr>
          <w:sz w:val="24"/>
          <w:szCs w:val="24"/>
          <w:color w:val="auto"/>
        </w:rPr>
      </w:pPr>
    </w:p>
    <w:p>
      <w:pPr>
        <w:ind w:left="1060"/>
        <w:spacing w:after="0"/>
        <w:tabs>
          <w:tab w:leader="none" w:pos="4800" w:val="left"/>
          <w:tab w:leader="none" w:pos="796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6"/>
          <w:szCs w:val="16"/>
          <w:color w:val="auto"/>
        </w:rPr>
        <w:t>Trading Symbol(s)</w:t>
      </w:r>
      <w:r>
        <w:rPr>
          <w:sz w:val="20"/>
          <w:szCs w:val="20"/>
          <w:color w:val="auto"/>
        </w:rPr>
        <w:tab/>
      </w:r>
      <w:r>
        <w:rPr>
          <w:rFonts w:ascii="Arial" w:cs="Arial" w:eastAsia="Arial" w:hAnsi="Arial"/>
          <w:sz w:val="14"/>
          <w:szCs w:val="14"/>
          <w:color w:val="auto"/>
        </w:rPr>
        <w:t>Name of each exchange on which registered</w:t>
      </w:r>
    </w:p>
    <w:p>
      <w:pPr>
        <w:spacing w:after="0" w:line="68" w:lineRule="exact"/>
        <w:rPr>
          <w:sz w:val="24"/>
          <w:szCs w:val="24"/>
          <w:color w:val="auto"/>
        </w:rPr>
      </w:pPr>
    </w:p>
    <w:p>
      <w:pPr>
        <w:ind w:left="400"/>
        <w:spacing w:after="0"/>
        <w:tabs>
          <w:tab w:leader="none" w:pos="5220" w:val="left"/>
          <w:tab w:leader="none" w:pos="9180" w:val="left"/>
        </w:tabs>
        <w:rPr>
          <w:sz w:val="20"/>
          <w:szCs w:val="20"/>
          <w:color w:val="auto"/>
        </w:rPr>
      </w:pPr>
      <w:r>
        <w:rPr>
          <w:rFonts w:ascii="Arial" w:cs="Arial" w:eastAsia="Arial" w:hAnsi="Arial"/>
          <w:sz w:val="17"/>
          <w:szCs w:val="17"/>
          <w:color w:val="auto"/>
        </w:rPr>
        <w:t>Common Shares, $0.01 stated value</w:t>
      </w:r>
      <w:r>
        <w:rPr>
          <w:sz w:val="20"/>
          <w:szCs w:val="20"/>
          <w:color w:val="auto"/>
        </w:rPr>
        <w:tab/>
      </w:r>
      <w:r>
        <w:rPr>
          <w:rFonts w:ascii="Arial" w:cs="Arial" w:eastAsia="Arial" w:hAnsi="Arial"/>
          <w:sz w:val="18"/>
          <w:szCs w:val="18"/>
          <w:color w:val="auto"/>
        </w:rPr>
        <w:t>SMG</w:t>
      </w:r>
      <w:r>
        <w:rPr>
          <w:sz w:val="20"/>
          <w:szCs w:val="20"/>
          <w:color w:val="auto"/>
        </w:rPr>
        <w:tab/>
      </w:r>
      <w:r>
        <w:rPr>
          <w:rFonts w:ascii="Arial" w:cs="Arial" w:eastAsia="Arial" w:hAnsi="Arial"/>
          <w:sz w:val="16"/>
          <w:szCs w:val="16"/>
          <w:color w:val="auto"/>
        </w:rPr>
        <w:t>NYSE</w:t>
      </w:r>
    </w:p>
    <w:p>
      <w:pPr>
        <w:spacing w:after="0" w:line="141" w:lineRule="exact"/>
        <w:rPr>
          <w:sz w:val="24"/>
          <w:szCs w:val="24"/>
          <w:color w:val="auto"/>
        </w:rPr>
      </w:pPr>
    </w:p>
    <w:p>
      <w:pPr>
        <w:jc w:val="both"/>
        <w:spacing w:after="0" w:line="29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242" w:lineRule="exact"/>
        <w:tabs>
          <w:tab w:leader="none" w:pos="720" w:val="left"/>
          <w:tab w:leader="none" w:pos="1440" w:val="left"/>
        </w:tabs>
        <w:rPr>
          <w:sz w:val="20"/>
          <w:szCs w:val="20"/>
          <w:color w:val="auto"/>
        </w:rPr>
      </w:pPr>
      <w:r>
        <w:rPr>
          <w:rFonts w:ascii="Arial" w:cs="Arial" w:eastAsia="Arial" w:hAnsi="Arial"/>
          <w:sz w:val="17"/>
          <w:szCs w:val="17"/>
          <w:color w:val="auto"/>
        </w:rPr>
        <w:t>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82" w:lineRule="exact"/>
        <w:rPr>
          <w:sz w:val="24"/>
          <w:szCs w:val="24"/>
          <w:color w:val="auto"/>
        </w:rPr>
      </w:pPr>
    </w:p>
    <w:p>
      <w:pPr>
        <w:jc w:val="both"/>
        <w:spacing w:after="0" w:line="25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3" w:lineRule="exact"/>
        <w:rPr>
          <w:sz w:val="24"/>
          <w:szCs w:val="24"/>
          <w:color w:val="auto"/>
        </w:rPr>
      </w:pPr>
    </w:p>
    <w:p>
      <w:pPr>
        <w:jc w:val="both"/>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540" w:type="dxa"/>
        <w:tblCellMar>
          <w:top w:w="0" w:type="dxa"/>
          <w:left w:w="0" w:type="dxa"/>
          <w:bottom w:w="0" w:type="dxa"/>
          <w:right w:w="0" w:type="dxa"/>
        </w:tblCellMar>
      </w:tblPr>
      <w:tr>
        <w:trPr>
          <w:trHeight w:val="256"/>
        </w:trPr>
        <w:tc>
          <w:tcPr>
            <w:tcW w:w="27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300" w:type="dxa"/>
            <w:vAlign w:val="bottom"/>
          </w:tcPr>
          <w:p>
            <w:pPr>
              <w:ind w:left="880"/>
              <w:spacing w:after="0" w:line="171" w:lineRule="exact"/>
              <w:rPr>
                <w:sz w:val="20"/>
                <w:szCs w:val="20"/>
                <w:color w:val="auto"/>
              </w:rPr>
            </w:pPr>
            <w:r>
              <w:rPr>
                <w:rFonts w:ascii="MS PGothic" w:cs="MS PGothic" w:eastAsia="MS PGothic" w:hAnsi="MS PGothic"/>
                <w:sz w:val="17"/>
                <w:szCs w:val="17"/>
                <w:color w:val="auto"/>
              </w:rPr>
              <w:t>☒</w:t>
            </w:r>
          </w:p>
        </w:tc>
        <w:tc>
          <w:tcPr>
            <w:tcW w:w="2980" w:type="dxa"/>
            <w:vAlign w:val="bottom"/>
          </w:tcPr>
          <w:p>
            <w:pPr>
              <w:ind w:left="260"/>
              <w:spacing w:after="0"/>
              <w:rPr>
                <w:sz w:val="20"/>
                <w:szCs w:val="20"/>
                <w:color w:val="auto"/>
              </w:rPr>
            </w:pPr>
            <w:r>
              <w:rPr>
                <w:rFonts w:ascii="Arial" w:cs="Arial" w:eastAsia="Arial" w:hAnsi="Arial"/>
                <w:sz w:val="17"/>
                <w:szCs w:val="17"/>
                <w:color w:val="auto"/>
              </w:rPr>
              <w:t>Accelerated filer</w:t>
            </w:r>
          </w:p>
        </w:tc>
        <w:tc>
          <w:tcPr>
            <w:tcW w:w="10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67"/>
        </w:trPr>
        <w:tc>
          <w:tcPr>
            <w:tcW w:w="2760" w:type="dxa"/>
            <w:vAlign w:val="bottom"/>
          </w:tcPr>
          <w:p>
            <w:pPr>
              <w:spacing w:after="0"/>
              <w:rPr>
                <w:sz w:val="20"/>
                <w:szCs w:val="20"/>
                <w:color w:val="auto"/>
              </w:rPr>
            </w:pPr>
            <w:r>
              <w:rPr>
                <w:rFonts w:ascii="Arial" w:cs="Arial" w:eastAsia="Arial" w:hAnsi="Arial"/>
                <w:sz w:val="17"/>
                <w:szCs w:val="17"/>
                <w:color w:val="auto"/>
              </w:rPr>
              <w:t>Non-accelerated filer</w:t>
            </w:r>
          </w:p>
        </w:tc>
        <w:tc>
          <w:tcPr>
            <w:tcW w:w="1300" w:type="dxa"/>
            <w:vAlign w:val="bottom"/>
          </w:tcPr>
          <w:p>
            <w:pPr>
              <w:ind w:left="880"/>
              <w:spacing w:after="0" w:line="171" w:lineRule="exact"/>
              <w:rPr>
                <w:sz w:val="20"/>
                <w:szCs w:val="20"/>
                <w:color w:val="auto"/>
              </w:rPr>
            </w:pPr>
            <w:r>
              <w:rPr>
                <w:rFonts w:ascii="MS PGothic" w:cs="MS PGothic" w:eastAsia="MS PGothic" w:hAnsi="MS PGothic"/>
                <w:sz w:val="17"/>
                <w:szCs w:val="17"/>
                <w:color w:val="auto"/>
              </w:rPr>
              <w:t>☐</w:t>
            </w:r>
          </w:p>
        </w:tc>
        <w:tc>
          <w:tcPr>
            <w:tcW w:w="2980" w:type="dxa"/>
            <w:vAlign w:val="bottom"/>
          </w:tcPr>
          <w:p>
            <w:pPr>
              <w:ind w:left="260"/>
              <w:spacing w:after="0"/>
              <w:rPr>
                <w:sz w:val="20"/>
                <w:szCs w:val="20"/>
                <w:color w:val="auto"/>
              </w:rPr>
            </w:pPr>
            <w:r>
              <w:rPr>
                <w:rFonts w:ascii="Arial" w:cs="Arial" w:eastAsia="Arial" w:hAnsi="Arial"/>
                <w:sz w:val="17"/>
                <w:szCs w:val="17"/>
                <w:color w:val="auto"/>
              </w:rPr>
              <w:t>Smaller reporting company</w:t>
            </w:r>
          </w:p>
        </w:tc>
        <w:tc>
          <w:tcPr>
            <w:tcW w:w="10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69"/>
        </w:trPr>
        <w:tc>
          <w:tcPr>
            <w:tcW w:w="276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1300" w:type="dxa"/>
            <w:vAlign w:val="bottom"/>
          </w:tcPr>
          <w:p>
            <w:pPr>
              <w:ind w:left="880"/>
              <w:spacing w:after="0" w:line="171" w:lineRule="exact"/>
              <w:rPr>
                <w:sz w:val="20"/>
                <w:szCs w:val="20"/>
                <w:color w:val="auto"/>
              </w:rPr>
            </w:pPr>
            <w:r>
              <w:rPr>
                <w:rFonts w:ascii="MS PGothic" w:cs="MS PGothic" w:eastAsia="MS PGothic" w:hAnsi="MS PGothic"/>
                <w:sz w:val="17"/>
                <w:szCs w:val="17"/>
                <w:color w:val="auto"/>
              </w:rPr>
              <w:t>☐</w:t>
            </w:r>
          </w:p>
        </w:tc>
        <w:tc>
          <w:tcPr>
            <w:tcW w:w="2980" w:type="dxa"/>
            <w:vAlign w:val="bottom"/>
          </w:tcPr>
          <w:p>
            <w:pPr>
              <w:spacing w:after="0"/>
              <w:rPr>
                <w:sz w:val="23"/>
                <w:szCs w:val="23"/>
                <w:color w:val="auto"/>
              </w:rPr>
            </w:pPr>
          </w:p>
        </w:tc>
        <w:tc>
          <w:tcPr>
            <w:tcW w:w="1020" w:type="dxa"/>
            <w:vAlign w:val="bottom"/>
          </w:tcPr>
          <w:p>
            <w:pPr>
              <w:spacing w:after="0"/>
              <w:rPr>
                <w:sz w:val="23"/>
                <w:szCs w:val="23"/>
                <w:color w:val="auto"/>
              </w:rPr>
            </w:pPr>
          </w:p>
        </w:tc>
      </w:tr>
    </w:tbl>
    <w:p>
      <w:pPr>
        <w:spacing w:after="0" w:line="88" w:lineRule="exact"/>
        <w:rPr>
          <w:sz w:val="24"/>
          <w:szCs w:val="24"/>
          <w:color w:val="auto"/>
        </w:rPr>
      </w:pPr>
    </w:p>
    <w:p>
      <w:pPr>
        <w:spacing w:after="0" w:line="21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18" w:lineRule="exact"/>
        <w:rPr>
          <w:sz w:val="24"/>
          <w:szCs w:val="24"/>
          <w:color w:val="auto"/>
        </w:rPr>
      </w:pPr>
    </w:p>
    <w:p>
      <w:pPr>
        <w:ind w:left="20"/>
        <w:spacing w:after="0" w:line="207" w:lineRule="exact"/>
        <w:tabs>
          <w:tab w:leader="none" w:pos="42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r>
        <w:rPr>
          <w:rFonts w:ascii="MS PGothic" w:cs="MS PGothic" w:eastAsia="MS PGothic" w:hAnsi="MS PGothic"/>
          <w:sz w:val="18"/>
          <w:szCs w:val="18"/>
          <w:color w:val="auto"/>
        </w:rPr>
        <w:t xml:space="preserve">  ☒</w:t>
      </w:r>
    </w:p>
    <w:p>
      <w:pPr>
        <w:spacing w:after="0" w:line="173" w:lineRule="exact"/>
        <w:rPr>
          <w:sz w:val="24"/>
          <w:szCs w:val="24"/>
          <w:color w:val="auto"/>
        </w:rPr>
      </w:pPr>
    </w:p>
    <w:p>
      <w:pPr>
        <w:spacing w:after="0"/>
        <w:rPr>
          <w:sz w:val="20"/>
          <w:szCs w:val="20"/>
          <w:color w:val="auto"/>
        </w:rPr>
      </w:pPr>
      <w:r>
        <w:rPr>
          <w:rFonts w:ascii="Arial" w:cs="Arial" w:eastAsia="Arial" w:hAnsi="Arial"/>
          <w:sz w:val="17"/>
          <w:szCs w:val="17"/>
          <w:color w:val="auto"/>
        </w:rPr>
        <w:t>As of May 1, 2020, there were 55,502,047 Common Shares outstanding.</w:t>
      </w:r>
    </w:p>
    <w:p>
      <w:pPr>
        <w:sectPr>
          <w:pgSz w:w="11900" w:h="16838" w:orient="portrait"/>
          <w:cols w:equalWidth="0" w:num="1">
            <w:col w:w="11240"/>
          </w:cols>
          <w:pgMar w:left="320" w:top="796" w:right="339" w:bottom="1440" w:gutter="0" w:footer="0" w:header="0"/>
        </w:sectPr>
      </w:pP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71"/>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10120" w:type="dxa"/>
            <w:vAlign w:val="bottom"/>
            <w:gridSpan w:val="5"/>
            <w:vMerge w:val="restart"/>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120" w:type="dxa"/>
            <w:vAlign w:val="bottom"/>
            <w:gridSpan w:val="5"/>
            <w:vMerge w:val="continue"/>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860" w:type="dxa"/>
            <w:vAlign w:val="bottom"/>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260" w:type="dxa"/>
            <w:vAlign w:val="bottom"/>
            <w:gridSpan w:val="4"/>
          </w:tcPr>
          <w:p>
            <w:pPr>
              <w:ind w:left="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(Unaudited)</w:t>
              </w:r>
            </w:hyperlink>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60" w:type="dxa"/>
            <w:vAlign w:val="bottom"/>
            <w:gridSpan w:val="3"/>
          </w:tcPr>
          <w:p>
            <w:pPr>
              <w:spacing w:after="0"/>
              <w:rPr>
                <w:rFonts w:ascii="Arial" w:cs="Arial" w:eastAsia="Arial" w:hAnsi="Arial"/>
                <w:sz w:val="18"/>
                <w:szCs w:val="18"/>
                <w:u w:val="single" w:color="auto"/>
                <w:color w:val="0000FF"/>
                <w:w w:val="91"/>
              </w:rPr>
            </w:pPr>
            <w:hyperlink w:anchor="page3">
              <w:r>
                <w:rPr>
                  <w:rFonts w:ascii="Arial" w:cs="Arial" w:eastAsia="Arial" w:hAnsi="Arial"/>
                  <w:sz w:val="18"/>
                  <w:szCs w:val="18"/>
                  <w:u w:val="single" w:color="auto"/>
                  <w:color w:val="0000FF"/>
                  <w:w w:val="91"/>
                </w:rPr>
                <w:t>Condensed Consolidated Statements of Operations — Three and six months ended March 28, 2020 and March 30, 2019</w:t>
              </w:r>
            </w:hyperlink>
          </w:p>
        </w:tc>
        <w:tc>
          <w:tcPr>
            <w:tcW w:w="108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190"/>
        </w:trPr>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60" w:type="dxa"/>
            <w:vAlign w:val="bottom"/>
            <w:gridSpan w:val="3"/>
          </w:tcPr>
          <w:p>
            <w:pPr>
              <w:spacing w:after="0" w:line="190" w:lineRule="exact"/>
              <w:rPr>
                <w:rFonts w:ascii="Arial" w:cs="Arial" w:eastAsia="Arial" w:hAnsi="Arial"/>
                <w:sz w:val="18"/>
                <w:szCs w:val="18"/>
                <w:color w:val="0000FF"/>
                <w:w w:val="92"/>
              </w:rPr>
            </w:pPr>
            <w:hyperlink w:anchor="page3">
              <w:r>
                <w:rPr>
                  <w:rFonts w:ascii="Arial" w:cs="Arial" w:eastAsia="Arial" w:hAnsi="Arial"/>
                  <w:sz w:val="18"/>
                  <w:szCs w:val="18"/>
                  <w:color w:val="0000FF"/>
                  <w:w w:val="92"/>
                </w:rPr>
                <w:t>Condensed Consolidated Statements of Comprehensive Income (Loss) — Three and six months ended March 28, 2020</w:t>
              </w:r>
            </w:hyperlink>
          </w:p>
        </w:tc>
        <w:tc>
          <w:tcPr>
            <w:tcW w:w="1080" w:type="dxa"/>
            <w:vAlign w:val="bottom"/>
            <w:vMerge w:val="restart"/>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3">
              <w:r>
                <w:rPr>
                  <w:rFonts w:ascii="Arial" w:cs="Arial" w:eastAsia="Arial" w:hAnsi="Arial"/>
                  <w:sz w:val="18"/>
                  <w:szCs w:val="18"/>
                  <w:color w:val="0000FF"/>
                  <w:w w:val="89"/>
                </w:rPr>
                <w:t>and March 30, 2019</w:t>
              </w:r>
            </w:hyperlink>
          </w:p>
        </w:tc>
        <w:tc>
          <w:tcPr>
            <w:tcW w:w="712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60" w:type="dxa"/>
            <w:vAlign w:val="bottom"/>
            <w:gridSpan w:val="3"/>
          </w:tcPr>
          <w:p>
            <w:pP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Condensed Consolidated Statements of Cash Flows — Six months ended March 28, 2020 and March 30, 2019</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60" w:type="dxa"/>
            <w:vAlign w:val="bottom"/>
            <w:gridSpan w:val="3"/>
          </w:tcPr>
          <w:p>
            <w:pPr>
              <w:spacing w:after="0"/>
              <w:rPr>
                <w:rFonts w:ascii="Arial" w:cs="Arial" w:eastAsia="Arial" w:hAnsi="Arial"/>
                <w:sz w:val="18"/>
                <w:szCs w:val="18"/>
                <w:color w:val="0000FF"/>
              </w:rPr>
            </w:pPr>
            <w:hyperlink w:anchor="page5">
              <w:r>
                <w:rPr>
                  <w:rFonts w:ascii="Arial" w:cs="Arial" w:eastAsia="Arial" w:hAnsi="Arial"/>
                  <w:sz w:val="18"/>
                  <w:szCs w:val="18"/>
                  <w:u w:val="single" w:color="auto"/>
                  <w:color w:val="0000FF"/>
                </w:rPr>
                <w:t>Condensed Consolidated Balance Sheets — March 28,</w:t>
              </w:r>
              <w:r>
                <w:rPr>
                  <w:rFonts w:ascii="Arial" w:cs="Arial" w:eastAsia="Arial" w:hAnsi="Arial"/>
                  <w:sz w:val="18"/>
                  <w:szCs w:val="18"/>
                  <w:color w:val="0000FF"/>
                </w:rPr>
                <w:t xml:space="preserve"> 2020, </w:t>
              </w:r>
              <w:r>
                <w:rPr>
                  <w:rFonts w:ascii="Arial" w:cs="Arial" w:eastAsia="Arial" w:hAnsi="Arial"/>
                  <w:sz w:val="18"/>
                  <w:szCs w:val="18"/>
                  <w:u w:val="single" w:color="auto"/>
                  <w:color w:val="0000FF"/>
                </w:rPr>
                <w:t>March, 30 2019 and September 30, 2019</w:t>
              </w:r>
            </w:hyperlink>
          </w:p>
        </w:tc>
        <w:tc>
          <w:tcPr>
            <w:tcW w:w="108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60" w:type="dxa"/>
            <w:vAlign w:val="bottom"/>
            <w:gridSpan w:val="3"/>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Notes to Condensed Consolidated Financial Statements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2.</w:t>
              </w:r>
            </w:hyperlink>
          </w:p>
        </w:tc>
        <w:tc>
          <w:tcPr>
            <w:tcW w:w="9260" w:type="dxa"/>
            <w:vAlign w:val="bottom"/>
            <w:gridSpan w:val="4"/>
          </w:tcPr>
          <w:p>
            <w:pPr>
              <w:ind w:left="8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Management’s Discussion and Analysis of Financial Condition and Results of Operations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26</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3.</w:t>
              </w:r>
            </w:hyperlink>
          </w:p>
        </w:tc>
        <w:tc>
          <w:tcPr>
            <w:tcW w:w="9260" w:type="dxa"/>
            <w:vAlign w:val="bottom"/>
            <w:gridSpan w:val="4"/>
          </w:tcPr>
          <w:p>
            <w:pPr>
              <w:ind w:left="8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Quantitative and Qualitative Disclosures about Market Risk</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43</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4.</w:t>
              </w:r>
            </w:hyperlink>
          </w:p>
        </w:tc>
        <w:tc>
          <w:tcPr>
            <w:tcW w:w="9260" w:type="dxa"/>
            <w:vAlign w:val="bottom"/>
            <w:gridSpan w:val="4"/>
          </w:tcPr>
          <w:p>
            <w:pPr>
              <w:ind w:left="8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Controls and Procedures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43</w:t>
              </w:r>
            </w:hyperlink>
          </w:p>
        </w:tc>
        <w:tc>
          <w:tcPr>
            <w:tcW w:w="0" w:type="dxa"/>
            <w:vAlign w:val="bottom"/>
          </w:tcPr>
          <w:p>
            <w:pPr>
              <w:spacing w:after="0"/>
              <w:rPr>
                <w:sz w:val="1"/>
                <w:szCs w:val="1"/>
                <w:color w:val="auto"/>
              </w:rPr>
            </w:pPr>
          </w:p>
        </w:tc>
      </w:tr>
      <w:tr>
        <w:trPr>
          <w:trHeight w:val="500"/>
        </w:trPr>
        <w:tc>
          <w:tcPr>
            <w:tcW w:w="10120" w:type="dxa"/>
            <w:vAlign w:val="bottom"/>
            <w:gridSpan w:val="5"/>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PART II. OTHER INFORMATION:</w:t>
              </w:r>
            </w:hyperlink>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60" w:type="dxa"/>
            <w:vAlign w:val="bottom"/>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1.</w:t>
              </w:r>
            </w:hyperlink>
          </w:p>
        </w:tc>
        <w:tc>
          <w:tcPr>
            <w:tcW w:w="9260" w:type="dxa"/>
            <w:vAlign w:val="bottom"/>
            <w:gridSpan w:val="4"/>
          </w:tcPr>
          <w:p>
            <w:pPr>
              <w:ind w:left="8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Legal Proceedings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43</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1A.</w:t>
              </w:r>
            </w:hyperlink>
          </w:p>
        </w:tc>
        <w:tc>
          <w:tcPr>
            <w:tcW w:w="9260" w:type="dxa"/>
            <w:vAlign w:val="bottom"/>
            <w:gridSpan w:val="4"/>
          </w:tcPr>
          <w:p>
            <w:pPr>
              <w:ind w:left="8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Risk Factors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43</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2.</w:t>
              </w:r>
            </w:hyperlink>
          </w:p>
        </w:tc>
        <w:tc>
          <w:tcPr>
            <w:tcW w:w="9260" w:type="dxa"/>
            <w:vAlign w:val="bottom"/>
            <w:gridSpan w:val="4"/>
          </w:tcPr>
          <w:p>
            <w:pPr>
              <w:ind w:left="8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Unregistered Sales of Equity Securities and Use of Proceeds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45</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3.</w:t>
              </w:r>
            </w:hyperlink>
          </w:p>
        </w:tc>
        <w:tc>
          <w:tcPr>
            <w:tcW w:w="9260" w:type="dxa"/>
            <w:vAlign w:val="bottom"/>
            <w:gridSpan w:val="4"/>
          </w:tcPr>
          <w:p>
            <w:pPr>
              <w:ind w:left="8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Defaults Upon Senior Securities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46</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4.</w:t>
              </w:r>
            </w:hyperlink>
          </w:p>
        </w:tc>
        <w:tc>
          <w:tcPr>
            <w:tcW w:w="9260" w:type="dxa"/>
            <w:vAlign w:val="bottom"/>
            <w:gridSpan w:val="4"/>
          </w:tcPr>
          <w:p>
            <w:pPr>
              <w:ind w:left="8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Mine Safety Disclosures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46</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5.</w:t>
              </w:r>
            </w:hyperlink>
          </w:p>
        </w:tc>
        <w:tc>
          <w:tcPr>
            <w:tcW w:w="9260" w:type="dxa"/>
            <w:vAlign w:val="bottom"/>
            <w:gridSpan w:val="4"/>
          </w:tcPr>
          <w:p>
            <w:pPr>
              <w:ind w:left="8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Other Information</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46</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6.</w:t>
              </w:r>
            </w:hyperlink>
          </w:p>
        </w:tc>
        <w:tc>
          <w:tcPr>
            <w:tcW w:w="9260" w:type="dxa"/>
            <w:vAlign w:val="bottom"/>
            <w:gridSpan w:val="4"/>
          </w:tcPr>
          <w:p>
            <w:pPr>
              <w:ind w:left="8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Exhibits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46</w:t>
              </w:r>
            </w:hyperlink>
          </w:p>
        </w:tc>
        <w:tc>
          <w:tcPr>
            <w:tcW w:w="0" w:type="dxa"/>
            <w:vAlign w:val="bottom"/>
          </w:tcPr>
          <w:p>
            <w:pPr>
              <w:spacing w:after="0"/>
              <w:rPr>
                <w:sz w:val="1"/>
                <w:szCs w:val="1"/>
                <w:color w:val="auto"/>
              </w:rPr>
            </w:pPr>
          </w:p>
        </w:tc>
      </w:tr>
      <w:tr>
        <w:trPr>
          <w:trHeight w:val="229"/>
        </w:trPr>
        <w:tc>
          <w:tcPr>
            <w:tcW w:w="10120" w:type="dxa"/>
            <w:vAlign w:val="bottom"/>
            <w:gridSpan w:val="5"/>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Index to Exhibits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47</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u w:val="single" w:color="auto"/>
                <w:color w:val="0000FF"/>
                <w:w w:val="97"/>
              </w:rPr>
            </w:pPr>
            <w:hyperlink w:anchor="page47">
              <w:r>
                <w:rPr>
                  <w:rFonts w:ascii="Arial" w:cs="Arial" w:eastAsia="Arial" w:hAnsi="Arial"/>
                  <w:sz w:val="18"/>
                  <w:szCs w:val="18"/>
                  <w:u w:val="single" w:color="auto"/>
                  <w:color w:val="0000FF"/>
                  <w:w w:val="97"/>
                </w:rPr>
                <w:t>Signatures</w:t>
              </w:r>
            </w:hyperlink>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48</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28,</w:t>
            </w:r>
          </w:p>
        </w:tc>
        <w:tc>
          <w:tcPr>
            <w:tcW w:w="14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28,</w:t>
            </w:r>
          </w:p>
        </w:tc>
        <w:tc>
          <w:tcPr>
            <w:tcW w:w="140" w:type="dxa"/>
            <w:vAlign w:val="bottom"/>
          </w:tcPr>
          <w:p>
            <w:pPr>
              <w:spacing w:after="0"/>
              <w:rPr>
                <w:sz w:val="13"/>
                <w:szCs w:val="13"/>
                <w:color w:val="auto"/>
              </w:rPr>
            </w:pPr>
          </w:p>
        </w:tc>
        <w:tc>
          <w:tcPr>
            <w:tcW w:w="980" w:type="dxa"/>
            <w:vAlign w:val="bottom"/>
          </w:tcPr>
          <w:p>
            <w:pPr>
              <w:jc w:val="right"/>
              <w:ind w:right="91"/>
              <w:spacing w:after="0" w:line="153"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1,382.8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1,189.9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1,748.6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1,488.0</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829.2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716.8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1,140.6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977.8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64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550.2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472.1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604.4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506.7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195.6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315.4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Impairment, restructuring and other</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14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37"/>
        </w:trPr>
        <w:tc>
          <w:tcPr>
            <w:tcW w:w="6400" w:type="dxa"/>
            <w:vAlign w:val="bottom"/>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333.8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523.4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238.7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37"/>
        </w:trPr>
        <w:tc>
          <w:tcPr>
            <w:tcW w:w="6400" w:type="dxa"/>
            <w:vAlign w:val="bottom"/>
          </w:tcPr>
          <w:p>
            <w:pPr>
              <w:ind w:left="34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249.8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396.9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64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252.4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396.4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181.1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252.2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Basic income (loss) per common share:</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 net income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common shares outstanding during the period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Diluted income (loss) per common share:</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 net income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2"/>
              </w:rPr>
              <w:t>Weighted-average common shares outstanding during the period plus dilutive potential</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ind w:right="52"/>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ind w:right="52"/>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common shares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28,</w:t>
            </w:r>
          </w:p>
        </w:tc>
        <w:tc>
          <w:tcPr>
            <w:tcW w:w="14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28,</w:t>
            </w:r>
          </w:p>
        </w:tc>
        <w:tc>
          <w:tcPr>
            <w:tcW w:w="140" w:type="dxa"/>
            <w:vAlign w:val="bottom"/>
          </w:tcPr>
          <w:p>
            <w:pPr>
              <w:spacing w:after="0"/>
              <w:rPr>
                <w:sz w:val="13"/>
                <w:szCs w:val="13"/>
                <w:color w:val="auto"/>
              </w:rPr>
            </w:pPr>
          </w:p>
        </w:tc>
        <w:tc>
          <w:tcPr>
            <w:tcW w:w="960" w:type="dxa"/>
            <w:vAlign w:val="bottom"/>
          </w:tcPr>
          <w:p>
            <w:pPr>
              <w:jc w:val="right"/>
              <w:ind w:right="73"/>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64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r>
      <w:tr>
        <w:trPr>
          <w:trHeight w:val="249"/>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252.4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396.4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181.1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316.8</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64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Net foreign currency translation adjustment, including reclassifications to net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6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income of zero, $2.5, zero and $2.5,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r>
      <w:tr>
        <w:trPr>
          <w:trHeight w:val="229"/>
        </w:trPr>
        <w:tc>
          <w:tcPr>
            <w:tcW w:w="6480" w:type="dxa"/>
            <w:vAlign w:val="bottom"/>
          </w:tcPr>
          <w:p>
            <w:pPr>
              <w:ind w:left="460"/>
              <w:spacing w:after="0"/>
              <w:rPr>
                <w:sz w:val="20"/>
                <w:szCs w:val="20"/>
                <w:color w:val="auto"/>
              </w:rPr>
            </w:pPr>
            <w:r>
              <w:rPr>
                <w:rFonts w:ascii="Arial" w:cs="Arial" w:eastAsia="Arial" w:hAnsi="Arial"/>
                <w:sz w:val="18"/>
                <w:szCs w:val="18"/>
                <w:color w:val="auto"/>
                <w:w w:val="95"/>
              </w:rPr>
              <w:t>Net unrealized loss on derivative instruments, net of tax of $(3.9), $(0.8), $(4.3)</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480" w:type="dxa"/>
            <w:vAlign w:val="bottom"/>
          </w:tcPr>
          <w:p>
            <w:pPr>
              <w:ind w:left="460"/>
              <w:spacing w:after="0"/>
              <w:rPr>
                <w:sz w:val="20"/>
                <w:szCs w:val="20"/>
                <w:color w:val="auto"/>
              </w:rPr>
            </w:pPr>
            <w:r>
              <w:rPr>
                <w:rFonts w:ascii="Arial" w:cs="Arial" w:eastAsia="Arial" w:hAnsi="Arial"/>
                <w:sz w:val="18"/>
                <w:szCs w:val="18"/>
                <w:color w:val="auto"/>
              </w:rPr>
              <w:t>and $(3.6), respectively</w:t>
            </w:r>
          </w:p>
        </w:tc>
        <w:tc>
          <w:tcPr>
            <w:tcW w:w="14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(10.3)</w:t>
            </w:r>
          </w:p>
        </w:tc>
      </w:tr>
      <w:tr>
        <w:trPr>
          <w:trHeight w:val="27"/>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64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4"/>
              </w:rPr>
              <w:t>Reclassification of net unrealized (gains) losses on derivative instruments to net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6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income, net of tax of $0.7, $(0.7), $0.9 and $(0.7),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r>
      <w:tr>
        <w:trPr>
          <w:trHeight w:val="229"/>
        </w:trPr>
        <w:tc>
          <w:tcPr>
            <w:tcW w:w="6480" w:type="dxa"/>
            <w:vAlign w:val="bottom"/>
          </w:tcPr>
          <w:p>
            <w:pPr>
              <w:ind w:left="460"/>
              <w:spacing w:after="0"/>
              <w:rPr>
                <w:sz w:val="20"/>
                <w:szCs w:val="20"/>
                <w:color w:val="auto"/>
              </w:rPr>
            </w:pPr>
            <w:r>
              <w:rPr>
                <w:rFonts w:ascii="Arial" w:cs="Arial" w:eastAsia="Arial" w:hAnsi="Arial"/>
                <w:sz w:val="18"/>
                <w:szCs w:val="18"/>
                <w:color w:val="auto"/>
                <w:w w:val="92"/>
              </w:rPr>
              <w:t>Reclassification of net pension and other post-retirement benefit (gains) losses to</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480" w:type="dxa"/>
            <w:vAlign w:val="bottom"/>
          </w:tcPr>
          <w:p>
            <w:pPr>
              <w:ind w:left="460"/>
              <w:spacing w:after="0"/>
              <w:rPr>
                <w:sz w:val="20"/>
                <w:szCs w:val="20"/>
                <w:color w:val="auto"/>
              </w:rPr>
            </w:pPr>
            <w:r>
              <w:rPr>
                <w:rFonts w:ascii="Arial" w:cs="Arial" w:eastAsia="Arial" w:hAnsi="Arial"/>
                <w:sz w:val="18"/>
                <w:szCs w:val="18"/>
                <w:color w:val="auto"/>
              </w:rPr>
              <w:t>net income, net of tax of $0.7, $(0.1), $0.4 and $0.2, respectively</w:t>
            </w:r>
          </w:p>
        </w:tc>
        <w:tc>
          <w:tcPr>
            <w:tcW w:w="140" w:type="dxa"/>
            <w:vAlign w:val="bottom"/>
          </w:tcPr>
          <w:p>
            <w:pPr>
              <w:spacing w:after="0"/>
              <w:rPr>
                <w:sz w:val="20"/>
                <w:szCs w:val="20"/>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0.6</w:t>
            </w:r>
          </w:p>
        </w:tc>
      </w:tr>
      <w:tr>
        <w:trPr>
          <w:trHeight w:val="27"/>
        </w:trPr>
        <w:tc>
          <w:tcPr>
            <w:tcW w:w="6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w:t>
            </w: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392.5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300.5</w:t>
            </w:r>
          </w:p>
        </w:tc>
      </w:tr>
      <w:tr>
        <w:trPr>
          <w:trHeight w:val="27"/>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Comprehensive income attributable to controlling interest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392.6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300.6</w:t>
            </w:r>
          </w:p>
        </w:tc>
      </w:tr>
      <w:tr>
        <w:trPr>
          <w:trHeight w:val="27"/>
        </w:trPr>
        <w:tc>
          <w:tcPr>
            <w:tcW w:w="6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
        </w:trPr>
        <w:tc>
          <w:tcPr>
            <w:tcW w:w="6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28,</w:t>
            </w:r>
          </w:p>
        </w:tc>
        <w:tc>
          <w:tcPr>
            <w:tcW w:w="220" w:type="dxa"/>
            <w:vAlign w:val="bottom"/>
          </w:tcPr>
          <w:p>
            <w:pPr>
              <w:spacing w:after="0"/>
              <w:rPr>
                <w:sz w:val="13"/>
                <w:szCs w:val="13"/>
                <w:color w:val="auto"/>
              </w:rPr>
            </w:pPr>
          </w:p>
        </w:tc>
        <w:tc>
          <w:tcPr>
            <w:tcW w:w="1260" w:type="dxa"/>
            <w:vAlign w:val="bottom"/>
          </w:tcPr>
          <w:p>
            <w:pPr>
              <w:jc w:val="right"/>
              <w:ind w:right="288"/>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8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188"/>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7"/>
        </w:trPr>
        <w:tc>
          <w:tcPr>
            <w:tcW w:w="816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181.1</w:t>
            </w:r>
          </w:p>
        </w:tc>
        <w:tc>
          <w:tcPr>
            <w:tcW w:w="1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316.8</w:t>
            </w:r>
          </w:p>
        </w:tc>
      </w:tr>
      <w:tr>
        <w:trPr>
          <w:trHeight w:val="208"/>
        </w:trPr>
        <w:tc>
          <w:tcPr>
            <w:tcW w:w="8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Adjustments to reconcile net income to net cash used in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7"/>
        </w:trPr>
        <w:tc>
          <w:tcPr>
            <w:tcW w:w="8160" w:type="dxa"/>
            <w:vAlign w:val="bottom"/>
          </w:tcPr>
          <w:p>
            <w:pPr>
              <w:ind w:left="660"/>
              <w:spacing w:after="0"/>
              <w:rPr>
                <w:sz w:val="20"/>
                <w:szCs w:val="20"/>
                <w:color w:val="auto"/>
              </w:rPr>
            </w:pPr>
            <w:r>
              <w:rPr>
                <w:rFonts w:ascii="Arial" w:cs="Arial" w:eastAsia="Arial" w:hAnsi="Arial"/>
                <w:sz w:val="14"/>
                <w:szCs w:val="14"/>
                <w:color w:val="auto"/>
              </w:rPr>
              <w:t>Impairment, restructuring and other</w:t>
            </w:r>
          </w:p>
        </w:tc>
        <w:tc>
          <w:tcPr>
            <w:tcW w:w="2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0.5</w:t>
            </w:r>
          </w:p>
        </w:tc>
      </w:tr>
      <w:tr>
        <w:trPr>
          <w:trHeight w:val="208"/>
        </w:trPr>
        <w:tc>
          <w:tcPr>
            <w:tcW w:w="81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Costs related to refinancing</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8160" w:type="dxa"/>
            <w:vAlign w:val="bottom"/>
          </w:tcPr>
          <w:p>
            <w:pPr>
              <w:ind w:left="660"/>
              <w:spacing w:after="0"/>
              <w:rPr>
                <w:sz w:val="20"/>
                <w:szCs w:val="20"/>
                <w:color w:val="auto"/>
              </w:rPr>
            </w:pPr>
            <w:r>
              <w:rPr>
                <w:rFonts w:ascii="Arial" w:cs="Arial" w:eastAsia="Arial" w:hAnsi="Arial"/>
                <w:sz w:val="14"/>
                <w:szCs w:val="14"/>
                <w:color w:val="auto"/>
              </w:rPr>
              <w:t>Share-based compensation expense</w:t>
            </w: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17.0</w:t>
            </w:r>
          </w:p>
        </w:tc>
      </w:tr>
      <w:tr>
        <w:trPr>
          <w:trHeight w:val="208"/>
        </w:trPr>
        <w:tc>
          <w:tcPr>
            <w:tcW w:w="81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Depreciation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27.9</w:t>
            </w:r>
          </w:p>
        </w:tc>
      </w:tr>
      <w:tr>
        <w:trPr>
          <w:trHeight w:val="196"/>
        </w:trPr>
        <w:tc>
          <w:tcPr>
            <w:tcW w:w="8160" w:type="dxa"/>
            <w:vAlign w:val="bottom"/>
          </w:tcPr>
          <w:p>
            <w:pPr>
              <w:ind w:left="660"/>
              <w:spacing w:after="0"/>
              <w:rPr>
                <w:sz w:val="20"/>
                <w:szCs w:val="20"/>
                <w:color w:val="auto"/>
              </w:rPr>
            </w:pPr>
            <w:r>
              <w:rPr>
                <w:rFonts w:ascii="Arial" w:cs="Arial" w:eastAsia="Arial" w:hAnsi="Arial"/>
                <w:sz w:val="14"/>
                <w:szCs w:val="14"/>
                <w:color w:val="auto"/>
              </w:rPr>
              <w:t>Amortization</w:t>
            </w: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16.8</w:t>
            </w:r>
          </w:p>
        </w:tc>
      </w:tr>
      <w:tr>
        <w:trPr>
          <w:trHeight w:val="208"/>
        </w:trPr>
        <w:tc>
          <w:tcPr>
            <w:tcW w:w="81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Deferred taxes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r>
      <w:tr>
        <w:trPr>
          <w:trHeight w:val="197"/>
        </w:trPr>
        <w:tc>
          <w:tcPr>
            <w:tcW w:w="8160" w:type="dxa"/>
            <w:vAlign w:val="bottom"/>
          </w:tcPr>
          <w:p>
            <w:pPr>
              <w:ind w:left="660"/>
              <w:spacing w:after="0"/>
              <w:rPr>
                <w:sz w:val="20"/>
                <w:szCs w:val="20"/>
                <w:color w:val="auto"/>
              </w:rPr>
            </w:pPr>
            <w:r>
              <w:rPr>
                <w:rFonts w:ascii="Arial" w:cs="Arial" w:eastAsia="Arial" w:hAnsi="Arial"/>
                <w:sz w:val="14"/>
                <w:szCs w:val="14"/>
                <w:color w:val="auto"/>
              </w:rPr>
              <w:t>(Gain) loss on long-lived assets</w:t>
            </w:r>
          </w:p>
        </w:tc>
        <w:tc>
          <w:tcPr>
            <w:tcW w:w="22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0.9</w:t>
            </w:r>
          </w:p>
        </w:tc>
      </w:tr>
      <w:tr>
        <w:trPr>
          <w:trHeight w:val="208"/>
        </w:trPr>
        <w:tc>
          <w:tcPr>
            <w:tcW w:w="81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(Gain) loss on sale of business / unconsolidated affiliate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(259.8)</w:t>
            </w:r>
          </w:p>
        </w:tc>
      </w:tr>
      <w:tr>
        <w:trPr>
          <w:trHeight w:val="197"/>
        </w:trPr>
        <w:tc>
          <w:tcPr>
            <w:tcW w:w="8160" w:type="dxa"/>
            <w:vAlign w:val="bottom"/>
          </w:tcPr>
          <w:p>
            <w:pPr>
              <w:ind w:left="660"/>
              <w:spacing w:after="0"/>
              <w:rPr>
                <w:sz w:val="20"/>
                <w:szCs w:val="20"/>
                <w:color w:val="auto"/>
              </w:rPr>
            </w:pPr>
            <w:r>
              <w:rPr>
                <w:rFonts w:ascii="Arial" w:cs="Arial" w:eastAsia="Arial" w:hAnsi="Arial"/>
                <w:sz w:val="14"/>
                <w:szCs w:val="14"/>
                <w:color w:val="auto"/>
              </w:rPr>
              <w:t>Recognition of accumulated foreign currency translation loss</w:t>
            </w:r>
          </w:p>
        </w:tc>
        <w:tc>
          <w:tcPr>
            <w:tcW w:w="2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2.5</w:t>
            </w:r>
          </w:p>
        </w:tc>
      </w:tr>
      <w:tr>
        <w:trPr>
          <w:trHeight w:val="208"/>
        </w:trPr>
        <w:tc>
          <w:tcPr>
            <w:tcW w:w="81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Equity in income and distributions from unconsolidated affiliates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r>
      <w:tr>
        <w:trPr>
          <w:trHeight w:val="197"/>
        </w:trPr>
        <w:tc>
          <w:tcPr>
            <w:tcW w:w="8160" w:type="dxa"/>
            <w:vAlign w:val="bottom"/>
          </w:tcPr>
          <w:p>
            <w:pPr>
              <w:ind w:left="660"/>
              <w:spacing w:after="0"/>
              <w:rPr>
                <w:sz w:val="20"/>
                <w:szCs w:val="20"/>
                <w:color w:val="auto"/>
              </w:rPr>
            </w:pPr>
            <w:r>
              <w:rPr>
                <w:rFonts w:ascii="Arial" w:cs="Arial" w:eastAsia="Arial" w:hAnsi="Arial"/>
                <w:sz w:val="14"/>
                <w:szCs w:val="14"/>
                <w:color w:val="auto"/>
              </w:rPr>
              <w:t>Changes in assets and liabilities, net of acquired businesses: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8"/>
        </w:trPr>
        <w:tc>
          <w:tcPr>
            <w:tcW w:w="81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Accounts receivable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(723.9)</w:t>
            </w:r>
          </w:p>
        </w:tc>
      </w:tr>
      <w:tr>
        <w:trPr>
          <w:trHeight w:val="197"/>
        </w:trPr>
        <w:tc>
          <w:tcPr>
            <w:tcW w:w="8160" w:type="dxa"/>
            <w:vAlign w:val="bottom"/>
          </w:tcPr>
          <w:p>
            <w:pPr>
              <w:ind w:left="1100"/>
              <w:spacing w:after="0"/>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(206.7)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(196.5)</w:t>
            </w:r>
          </w:p>
        </w:tc>
      </w:tr>
      <w:tr>
        <w:trPr>
          <w:trHeight w:val="208"/>
        </w:trPr>
        <w:tc>
          <w:tcPr>
            <w:tcW w:w="81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Prepaid and other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w:t>
            </w:r>
          </w:p>
        </w:tc>
      </w:tr>
      <w:tr>
        <w:trPr>
          <w:trHeight w:val="197"/>
        </w:trPr>
        <w:tc>
          <w:tcPr>
            <w:tcW w:w="8160" w:type="dxa"/>
            <w:vAlign w:val="bottom"/>
          </w:tcPr>
          <w:p>
            <w:pPr>
              <w:ind w:left="110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129.8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154.5</w:t>
            </w:r>
          </w:p>
        </w:tc>
      </w:tr>
      <w:tr>
        <w:trPr>
          <w:trHeight w:val="208"/>
        </w:trPr>
        <w:tc>
          <w:tcPr>
            <w:tcW w:w="81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Other 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238.2</w:t>
            </w:r>
          </w:p>
        </w:tc>
      </w:tr>
      <w:tr>
        <w:trPr>
          <w:trHeight w:val="196"/>
        </w:trPr>
        <w:tc>
          <w:tcPr>
            <w:tcW w:w="8160" w:type="dxa"/>
            <w:vAlign w:val="bottom"/>
          </w:tcPr>
          <w:p>
            <w:pPr>
              <w:ind w:left="1100"/>
              <w:spacing w:after="0"/>
              <w:rPr>
                <w:sz w:val="20"/>
                <w:szCs w:val="20"/>
                <w:color w:val="auto"/>
              </w:rPr>
            </w:pPr>
            <w:r>
              <w:rPr>
                <w:rFonts w:ascii="Arial" w:cs="Arial" w:eastAsia="Arial" w:hAnsi="Arial"/>
                <w:sz w:val="14"/>
                <w:szCs w:val="14"/>
                <w:color w:val="auto"/>
              </w:rPr>
              <w:t>Restructuring and other</w:t>
            </w:r>
          </w:p>
        </w:tc>
        <w:tc>
          <w:tcPr>
            <w:tcW w:w="22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(55.9)</w:t>
            </w:r>
          </w:p>
        </w:tc>
      </w:tr>
      <w:tr>
        <w:trPr>
          <w:trHeight w:val="209"/>
        </w:trPr>
        <w:tc>
          <w:tcPr>
            <w:tcW w:w="81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Other non-current items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r>
      <w:tr>
        <w:trPr>
          <w:trHeight w:val="197"/>
        </w:trPr>
        <w:tc>
          <w:tcPr>
            <w:tcW w:w="8160" w:type="dxa"/>
            <w:vAlign w:val="bottom"/>
            <w:tcBorders>
              <w:bottom w:val="single" w:sz="8" w:color="CCEEFF"/>
            </w:tcBorders>
          </w:tcPr>
          <w:p>
            <w:pPr>
              <w:ind w:left="1100"/>
              <w:spacing w:after="0"/>
              <w:rPr>
                <w:sz w:val="20"/>
                <w:szCs w:val="20"/>
                <w:color w:val="auto"/>
              </w:rPr>
            </w:pPr>
            <w:r>
              <w:rPr>
                <w:rFonts w:ascii="Arial" w:cs="Arial" w:eastAsia="Arial" w:hAnsi="Arial"/>
                <w:sz w:val="14"/>
                <w:szCs w:val="14"/>
                <w:color w:val="auto"/>
              </w:rPr>
              <w:t>Other, net</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0.7</w:t>
            </w:r>
          </w:p>
        </w:tc>
      </w:tr>
      <w:tr>
        <w:trPr>
          <w:trHeight w:val="196"/>
        </w:trPr>
        <w:tc>
          <w:tcPr>
            <w:tcW w:w="816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Net cash used in operating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(607.1)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(546.1)</w:t>
            </w:r>
          </w:p>
        </w:tc>
      </w:tr>
      <w:tr>
        <w:trPr>
          <w:trHeight w:val="202"/>
        </w:trPr>
        <w:tc>
          <w:tcPr>
            <w:tcW w:w="8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6"/>
        </w:trPr>
        <w:tc>
          <w:tcPr>
            <w:tcW w:w="8160" w:type="dxa"/>
            <w:vAlign w:val="bottom"/>
          </w:tcPr>
          <w:p>
            <w:pPr>
              <w:ind w:left="340"/>
              <w:spacing w:after="0"/>
              <w:rPr>
                <w:sz w:val="20"/>
                <w:szCs w:val="20"/>
                <w:color w:val="auto"/>
              </w:rPr>
            </w:pPr>
            <w:r>
              <w:rPr>
                <w:rFonts w:ascii="Arial" w:cs="Arial" w:eastAsia="Arial" w:hAnsi="Arial"/>
                <w:sz w:val="14"/>
                <w:szCs w:val="14"/>
                <w:color w:val="auto"/>
              </w:rPr>
              <w:t>Proceeds from sale of long-lived assets</w:t>
            </w: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0.1</w:t>
            </w:r>
          </w:p>
        </w:tc>
      </w:tr>
      <w:tr>
        <w:trPr>
          <w:trHeight w:val="209"/>
        </w:trPr>
        <w:tc>
          <w:tcPr>
            <w:tcW w:w="8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Investments in property, plant and equipment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w:t>
            </w:r>
          </w:p>
        </w:tc>
      </w:tr>
      <w:tr>
        <w:trPr>
          <w:trHeight w:val="196"/>
        </w:trPr>
        <w:tc>
          <w:tcPr>
            <w:tcW w:w="8160" w:type="dxa"/>
            <w:vAlign w:val="bottom"/>
          </w:tcPr>
          <w:p>
            <w:pPr>
              <w:ind w:left="340"/>
              <w:spacing w:after="0"/>
              <w:rPr>
                <w:sz w:val="20"/>
                <w:szCs w:val="20"/>
                <w:color w:val="auto"/>
              </w:rPr>
            </w:pPr>
            <w:r>
              <w:rPr>
                <w:rFonts w:ascii="Arial" w:cs="Arial" w:eastAsia="Arial" w:hAnsi="Arial"/>
                <w:sz w:val="14"/>
                <w:szCs w:val="14"/>
                <w:color w:val="auto"/>
              </w:rPr>
              <w:t>Proceeds from (investments in) loans receivable</w:t>
            </w:r>
          </w:p>
        </w:tc>
        <w:tc>
          <w:tcPr>
            <w:tcW w:w="22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18.4</w:t>
            </w:r>
          </w:p>
        </w:tc>
      </w:tr>
      <w:tr>
        <w:trPr>
          <w:trHeight w:val="209"/>
        </w:trPr>
        <w:tc>
          <w:tcPr>
            <w:tcW w:w="8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sale of brand extension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8160" w:type="dxa"/>
            <w:vAlign w:val="bottom"/>
          </w:tcPr>
          <w:p>
            <w:pPr>
              <w:ind w:left="340"/>
              <w:spacing w:after="0"/>
              <w:rPr>
                <w:sz w:val="20"/>
                <w:szCs w:val="20"/>
                <w:color w:val="auto"/>
              </w:rPr>
            </w:pPr>
            <w:r>
              <w:rPr>
                <w:rFonts w:ascii="Arial" w:cs="Arial" w:eastAsia="Arial" w:hAnsi="Arial"/>
                <w:sz w:val="14"/>
                <w:szCs w:val="14"/>
                <w:color w:val="auto"/>
              </w:rPr>
              <w:t>Proceeds from sale of investment in unconsolidated affiliates</w:t>
            </w:r>
          </w:p>
        </w:tc>
        <w:tc>
          <w:tcPr>
            <w:tcW w:w="2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237.7</w:t>
            </w:r>
          </w:p>
        </w:tc>
      </w:tr>
      <w:tr>
        <w:trPr>
          <w:trHeight w:val="209"/>
        </w:trPr>
        <w:tc>
          <w:tcPr>
            <w:tcW w:w="8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Investments in acquired businesses, net of cash acquired</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r>
      <w:tr>
        <w:trPr>
          <w:trHeight w:val="196"/>
        </w:trPr>
        <w:tc>
          <w:tcPr>
            <w:tcW w:w="81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investing, net</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w:t>
            </w:r>
          </w:p>
        </w:tc>
      </w:tr>
      <w:tr>
        <w:trPr>
          <w:trHeight w:val="196"/>
        </w:trPr>
        <w:tc>
          <w:tcPr>
            <w:tcW w:w="8160" w:type="dxa"/>
            <w:vAlign w:val="bottom"/>
            <w:shd w:val="clear" w:color="auto" w:fill="CCEEFF"/>
          </w:tcPr>
          <w:p>
            <w:pPr>
              <w:ind w:left="1380"/>
              <w:spacing w:after="0"/>
              <w:rPr>
                <w:sz w:val="20"/>
                <w:szCs w:val="20"/>
                <w:color w:val="auto"/>
              </w:rPr>
            </w:pPr>
            <w:r>
              <w:rPr>
                <w:rFonts w:ascii="Arial" w:cs="Arial" w:eastAsia="Arial" w:hAnsi="Arial"/>
                <w:sz w:val="14"/>
                <w:szCs w:val="14"/>
                <w:color w:val="auto"/>
              </w:rPr>
              <w:t>Net cash provided by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82.1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229.7</w:t>
            </w:r>
          </w:p>
        </w:tc>
      </w:tr>
      <w:tr>
        <w:trPr>
          <w:trHeight w:val="202"/>
        </w:trPr>
        <w:tc>
          <w:tcPr>
            <w:tcW w:w="8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7"/>
        </w:trPr>
        <w:tc>
          <w:tcPr>
            <w:tcW w:w="8160" w:type="dxa"/>
            <w:vAlign w:val="bottom"/>
          </w:tcPr>
          <w:p>
            <w:pPr>
              <w:ind w:left="340"/>
              <w:spacing w:after="0"/>
              <w:rPr>
                <w:sz w:val="20"/>
                <w:szCs w:val="20"/>
                <w:color w:val="auto"/>
              </w:rPr>
            </w:pPr>
            <w:r>
              <w:rPr>
                <w:rFonts w:ascii="Arial" w:cs="Arial" w:eastAsia="Arial" w:hAnsi="Arial"/>
                <w:sz w:val="14"/>
                <w:szCs w:val="14"/>
                <w:color w:val="auto"/>
              </w:rPr>
              <w:t>Borrowings under revolving and bank lines of credit and term loans</w:t>
            </w: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1,089.3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777.9</w:t>
            </w:r>
          </w:p>
        </w:tc>
      </w:tr>
      <w:tr>
        <w:trPr>
          <w:trHeight w:val="208"/>
        </w:trPr>
        <w:tc>
          <w:tcPr>
            <w:tcW w:w="8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Repayments under revolving and bank lines of credit and term loans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(394.2)</w:t>
            </w:r>
          </w:p>
        </w:tc>
      </w:tr>
      <w:tr>
        <w:trPr>
          <w:trHeight w:val="197"/>
        </w:trPr>
        <w:tc>
          <w:tcPr>
            <w:tcW w:w="8160" w:type="dxa"/>
            <w:vAlign w:val="bottom"/>
          </w:tcPr>
          <w:p>
            <w:pPr>
              <w:ind w:left="340"/>
              <w:spacing w:after="0"/>
              <w:rPr>
                <w:sz w:val="20"/>
                <w:szCs w:val="20"/>
                <w:color w:val="auto"/>
              </w:rPr>
            </w:pPr>
            <w:r>
              <w:rPr>
                <w:rFonts w:ascii="Arial" w:cs="Arial" w:eastAsia="Arial" w:hAnsi="Arial"/>
                <w:sz w:val="14"/>
                <w:szCs w:val="14"/>
                <w:color w:val="auto"/>
              </w:rPr>
              <w:t>Proceeds from issuance of 4.500% Senior Notes</w:t>
            </w: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450.0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8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Repayment of 6.000% Senior Notes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8160" w:type="dxa"/>
            <w:vAlign w:val="bottom"/>
          </w:tcPr>
          <w:p>
            <w:pPr>
              <w:ind w:left="340"/>
              <w:spacing w:after="0"/>
              <w:rPr>
                <w:sz w:val="20"/>
                <w:szCs w:val="20"/>
                <w:color w:val="auto"/>
              </w:rPr>
            </w:pPr>
            <w:r>
              <w:rPr>
                <w:rFonts w:ascii="Arial" w:cs="Arial" w:eastAsia="Arial" w:hAnsi="Arial"/>
                <w:sz w:val="14"/>
                <w:szCs w:val="14"/>
                <w:color w:val="auto"/>
              </w:rPr>
              <w:t>Financing and issuance fees</w:t>
            </w:r>
          </w:p>
        </w:tc>
        <w:tc>
          <w:tcPr>
            <w:tcW w:w="22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8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Dividends paid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(61.6)</w:t>
            </w:r>
          </w:p>
        </w:tc>
      </w:tr>
      <w:tr>
        <w:trPr>
          <w:trHeight w:val="197"/>
        </w:trPr>
        <w:tc>
          <w:tcPr>
            <w:tcW w:w="8160" w:type="dxa"/>
            <w:vAlign w:val="bottom"/>
          </w:tcPr>
          <w:p>
            <w:pPr>
              <w:ind w:left="340"/>
              <w:spacing w:after="0"/>
              <w:rPr>
                <w:sz w:val="20"/>
                <w:szCs w:val="20"/>
                <w:color w:val="auto"/>
              </w:rPr>
            </w:pPr>
            <w:r>
              <w:rPr>
                <w:rFonts w:ascii="Arial" w:cs="Arial" w:eastAsia="Arial" w:hAnsi="Arial"/>
                <w:sz w:val="14"/>
                <w:szCs w:val="14"/>
                <w:color w:val="auto"/>
              </w:rPr>
              <w:t>Purchase of Common Shares</w:t>
            </w:r>
          </w:p>
        </w:tc>
        <w:tc>
          <w:tcPr>
            <w:tcW w:w="22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(3.0)</w:t>
            </w:r>
          </w:p>
        </w:tc>
      </w:tr>
      <w:tr>
        <w:trPr>
          <w:trHeight w:val="208"/>
        </w:trPr>
        <w:tc>
          <w:tcPr>
            <w:tcW w:w="8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Payments on seller notes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r>
      <w:tr>
        <w:trPr>
          <w:trHeight w:val="197"/>
        </w:trPr>
        <w:tc>
          <w:tcPr>
            <w:tcW w:w="81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Cash received from exercise of stock options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w:t>
            </w:r>
          </w:p>
        </w:tc>
      </w:tr>
      <w:tr>
        <w:trPr>
          <w:trHeight w:val="202"/>
        </w:trPr>
        <w:tc>
          <w:tcPr>
            <w:tcW w:w="816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Net cash provided by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537.3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320.6</w:t>
            </w:r>
          </w:p>
        </w:tc>
      </w:tr>
      <w:tr>
        <w:trPr>
          <w:trHeight w:val="19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r>
      <w:tr>
        <w:trPr>
          <w:trHeight w:val="202"/>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w:t>
            </w:r>
          </w:p>
        </w:tc>
      </w:tr>
      <w:tr>
        <w:trPr>
          <w:trHeight w:val="196"/>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33.9</w:t>
            </w:r>
          </w:p>
        </w:tc>
      </w:tr>
      <w:tr>
        <w:trPr>
          <w:trHeight w:val="221"/>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37.5</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28,</w:t>
            </w:r>
          </w:p>
        </w:tc>
        <w:tc>
          <w:tcPr>
            <w:tcW w:w="22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30,</w:t>
            </w:r>
          </w:p>
        </w:tc>
        <w:tc>
          <w:tcPr>
            <w:tcW w:w="160" w:type="dxa"/>
            <w:vAlign w:val="bottom"/>
          </w:tcPr>
          <w:p>
            <w:pPr>
              <w:spacing w:after="0"/>
              <w:rPr>
                <w:sz w:val="14"/>
                <w:szCs w:val="14"/>
                <w:color w:val="auto"/>
              </w:rPr>
            </w:pPr>
          </w:p>
        </w:tc>
        <w:tc>
          <w:tcPr>
            <w:tcW w:w="1340" w:type="dxa"/>
            <w:vAlign w:val="bottom"/>
          </w:tcPr>
          <w:p>
            <w:pPr>
              <w:jc w:val="right"/>
              <w:ind w:right="11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r>
      <w:tr>
        <w:trPr>
          <w:trHeight w:val="229"/>
        </w:trPr>
        <w:tc>
          <w:tcPr>
            <w:tcW w:w="6520" w:type="dxa"/>
            <w:vAlign w:val="bottom"/>
          </w:tcPr>
          <w:p>
            <w:pPr>
              <w:ind w:left="528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18.8</w:t>
            </w:r>
          </w:p>
        </w:tc>
      </w:tr>
      <w:tr>
        <w:trPr>
          <w:trHeight w:val="27"/>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receivable, less allowances of $12.6, $8.8 and $4.2, respectively</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994.7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223.9</w:t>
            </w: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Accounts receivable pledged</w:t>
            </w:r>
          </w:p>
        </w:tc>
        <w:tc>
          <w:tcPr>
            <w:tcW w:w="32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84.5</w:t>
            </w:r>
          </w:p>
        </w:tc>
      </w:tr>
      <w:tr>
        <w:trPr>
          <w:trHeight w:val="27"/>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743.3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540.3</w:t>
            </w: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174.2</w:t>
            </w:r>
          </w:p>
        </w:tc>
      </w:tr>
      <w:tr>
        <w:trPr>
          <w:trHeight w:val="27"/>
        </w:trPr>
        <w:tc>
          <w:tcPr>
            <w:tcW w:w="6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2,042.4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1,041.7</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Investment in unconsolidated affiliates</w:t>
            </w:r>
          </w:p>
        </w:tc>
        <w:tc>
          <w:tcPr>
            <w:tcW w:w="3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Property, plant and equipment, net of accumulated depreciation of $655.7, $636.4 and</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$628.0,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535.4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546.0</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538.3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538.7</w:t>
            </w:r>
          </w:p>
        </w:tc>
      </w:tr>
      <w:tr>
        <w:trPr>
          <w:trHeight w:val="27"/>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692.0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707.5</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327.6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194.8</w:t>
            </w:r>
          </w:p>
        </w:tc>
      </w:tr>
      <w:tr>
        <w:trPr>
          <w:trHeight w:val="27"/>
        </w:trPr>
        <w:tc>
          <w:tcPr>
            <w:tcW w:w="6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6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4,135.7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3,956.5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3,028.7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6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50"/>
        </w:trPr>
        <w:tc>
          <w:tcPr>
            <w:tcW w:w="6840" w:type="dxa"/>
            <w:vAlign w:val="bottom"/>
            <w:tcBorders>
              <w:bottom w:val="single" w:sz="8" w:color="CCEEFF"/>
            </w:tcBorders>
            <w:gridSpan w:val="2"/>
            <w:shd w:val="clear" w:color="auto" w:fill="CCEEFF"/>
          </w:tcPr>
          <w:p>
            <w:pPr>
              <w:ind w:left="4480"/>
              <w:spacing w:after="0"/>
              <w:rPr>
                <w:sz w:val="20"/>
                <w:szCs w:val="20"/>
                <w:color w:val="auto"/>
              </w:rPr>
            </w:pPr>
            <w:r>
              <w:rPr>
                <w:rFonts w:ascii="Arial" w:cs="Arial" w:eastAsia="Arial" w:hAnsi="Arial"/>
                <w:sz w:val="18"/>
                <w:szCs w:val="18"/>
                <w:b w:val="1"/>
                <w:bCs w:val="1"/>
                <w:color w:val="auto"/>
              </w:rPr>
              <w:t>LIABILITIES AND EQUITY</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portion of debt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128.1</w:t>
            </w: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324.7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298.7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214.2</w:t>
            </w:r>
          </w:p>
        </w:tc>
      </w:tr>
      <w:tr>
        <w:trPr>
          <w:trHeight w:val="27"/>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278.2</w:t>
            </w:r>
          </w:p>
        </w:tc>
      </w:tr>
      <w:tr>
        <w:trPr>
          <w:trHeight w:val="237"/>
        </w:trPr>
        <w:tc>
          <w:tcPr>
            <w:tcW w:w="652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981.2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1,159.9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620.5</w:t>
            </w:r>
          </w:p>
        </w:tc>
      </w:tr>
      <w:tr>
        <w:trPr>
          <w:trHeight w:val="27"/>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2,113.8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2,039.1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1,523.5</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246.1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161.5</w:t>
            </w:r>
          </w:p>
        </w:tc>
      </w:tr>
      <w:tr>
        <w:trPr>
          <w:trHeight w:val="27"/>
        </w:trPr>
        <w:tc>
          <w:tcPr>
            <w:tcW w:w="6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3,341.1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2,305.5</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Commitments and contingencies (Note 10)</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9"/>
        </w:trPr>
        <w:tc>
          <w:tcPr>
            <w:tcW w:w="6520" w:type="dxa"/>
            <w:vAlign w:val="bottom"/>
          </w:tcPr>
          <w:p>
            <w:pPr>
              <w:ind w:left="340"/>
              <w:spacing w:after="0"/>
              <w:rPr>
                <w:sz w:val="20"/>
                <w:szCs w:val="20"/>
                <w:color w:val="auto"/>
              </w:rPr>
            </w:pPr>
            <w:r>
              <w:rPr>
                <w:rFonts w:ascii="Arial" w:cs="Arial" w:eastAsia="Arial" w:hAnsi="Arial"/>
                <w:sz w:val="18"/>
                <w:szCs w:val="18"/>
                <w:color w:val="auto"/>
              </w:rPr>
              <w:t>Common shares and capital in excess of $.01 stated value per share; shares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520" w:type="dxa"/>
            <w:vAlign w:val="bottom"/>
          </w:tcPr>
          <w:p>
            <w:pPr>
              <w:ind w:left="340"/>
              <w:spacing w:after="0"/>
              <w:rPr>
                <w:sz w:val="20"/>
                <w:szCs w:val="20"/>
                <w:color w:val="auto"/>
              </w:rPr>
            </w:pPr>
            <w:r>
              <w:rPr>
                <w:rFonts w:ascii="Arial" w:cs="Arial" w:eastAsia="Arial" w:hAnsi="Arial"/>
                <w:sz w:val="18"/>
                <w:szCs w:val="18"/>
                <w:color w:val="auto"/>
              </w:rPr>
              <w:t>outstanding of 55.5, 55.4 and 55.8, respectively</w:t>
            </w:r>
          </w:p>
        </w:tc>
        <w:tc>
          <w:tcPr>
            <w:tcW w:w="320" w:type="dxa"/>
            <w:vAlign w:val="bottom"/>
          </w:tcPr>
          <w:p>
            <w:pPr>
              <w:spacing w:after="0"/>
              <w:rPr>
                <w:sz w:val="20"/>
                <w:szCs w:val="20"/>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450.5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426.2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442.2</w:t>
            </w:r>
          </w:p>
        </w:tc>
      </w:tr>
      <w:tr>
        <w:trPr>
          <w:trHeight w:val="27"/>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1,389.0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1,274.7</w:t>
            </w: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Treasury shares, at cost; 12.7, 12.7 and 12.4 shares, respectively</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(941.9)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(929.0)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(904.3)</w:t>
            </w:r>
          </w:p>
        </w:tc>
      </w:tr>
      <w:tr>
        <w:trPr>
          <w:trHeight w:val="27"/>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w:t>
            </w:r>
          </w:p>
        </w:tc>
      </w:tr>
      <w:tr>
        <w:trPr>
          <w:trHeight w:val="237"/>
        </w:trPr>
        <w:tc>
          <w:tcPr>
            <w:tcW w:w="6520" w:type="dxa"/>
            <w:vAlign w:val="bottom"/>
          </w:tcPr>
          <w:p>
            <w:pPr>
              <w:ind w:left="660"/>
              <w:spacing w:after="0"/>
              <w:rPr>
                <w:sz w:val="20"/>
                <w:szCs w:val="20"/>
                <w:color w:val="auto"/>
              </w:rPr>
            </w:pPr>
            <w:r>
              <w:rPr>
                <w:rFonts w:ascii="Arial" w:cs="Arial" w:eastAsia="Arial" w:hAnsi="Arial"/>
                <w:sz w:val="18"/>
                <w:szCs w:val="18"/>
                <w:color w:val="auto"/>
              </w:rPr>
              <w:t>Total equity—controlling interest</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789.7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617.2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718.7</w:t>
            </w:r>
          </w:p>
        </w:tc>
      </w:tr>
      <w:tr>
        <w:trPr>
          <w:trHeight w:val="27"/>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w:t>
            </w:r>
          </w:p>
        </w:tc>
      </w:tr>
      <w:tr>
        <w:trPr>
          <w:trHeight w:val="237"/>
        </w:trPr>
        <w:tc>
          <w:tcPr>
            <w:tcW w:w="6520" w:type="dxa"/>
            <w:vAlign w:val="bottom"/>
          </w:tcPr>
          <w:p>
            <w:pPr>
              <w:ind w:left="660"/>
              <w:spacing w:after="0"/>
              <w:rPr>
                <w:sz w:val="20"/>
                <w:szCs w:val="20"/>
                <w:color w:val="auto"/>
              </w:rPr>
            </w:pPr>
            <w:r>
              <w:rPr>
                <w:rFonts w:ascii="Arial" w:cs="Arial" w:eastAsia="Arial" w:hAnsi="Arial"/>
                <w:sz w:val="18"/>
                <w:szCs w:val="18"/>
                <w:color w:val="auto"/>
              </w:rPr>
              <w:t>Total equity</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794.6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622.1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723.2</w:t>
            </w:r>
          </w:p>
        </w:tc>
      </w:tr>
      <w:tr>
        <w:trPr>
          <w:trHeight w:val="27"/>
        </w:trPr>
        <w:tc>
          <w:tcPr>
            <w:tcW w:w="6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6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4,135.7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3,956.5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3,028.7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ind w:left="206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Scotts Miracle-Gro Company (“Scotts Miracle-Gro” or “Parent”) and its subsidiaries (collectively, together with Scotts Miracle-Gro, the “Company”) are engaged in the manufacturing, marketing and sale of products for lawn and garden care and indoor, urban and hydroponic gardening. The Company’s products are sold in North America, Europe and Asia.</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Due to the seasonal nature of the consumer lawn and garden business, the majority of the Company’s sales to customers occur in the Company’s second and third fiscal quarters. On a combined basis, net sales for the second and third quarters of the last three fiscal years represented approximately 75% of the Company’s annual net sales.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5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Company’s unaudited condensed consolidated financial statements for the three and six months ended March 28, 2020 and March 30, 2019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in which the Company has a controlling interest, is consolidated, with the equity owned by other shareholders shown as noncontrolling interest in the Condensed Consolidated Balance Sheets, and the other shareholders’ portion of net earnings and other comprehensive income shown as net (income) loss or comprehensive (income) loss attributable to noncontrolling interest in the Condensed Consolidated Statements of Operations and Condensed Consolidated Statements of Comprehensive Income (Loss), respectively.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w:t>
      </w:r>
    </w:p>
    <w:p>
      <w:pPr>
        <w:spacing w:after="0" w:line="10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should be read in conjunction with Scotts Miracle-Gro’s Annual Report on Form 10-K for the fiscal year ended September 30, 2019 (the “2019 Annual Report”), which includes a complete set of footnote disclosures, including the Company’s significant accounting policies.</w:t>
      </w:r>
    </w:p>
    <w:p>
      <w:pPr>
        <w:spacing w:after="0" w:line="10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Condensed Consolidated Balance Sheet at September 30, 2019 has been derived from the Company’s audited Consolidated Balance Sheet at that date, but does not include all of the information and footnotes required by GAAP for complete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4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had non-cash investing activities of $3.7 million and $3.6 million during the six months ended March 28, 2020 and March 30, 2019, respectively, representing unpaid liabilities to acquire property, plant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262"/>
              <w:spacing w:after="0" w:line="153" w:lineRule="exact"/>
              <w:rPr>
                <w:sz w:val="20"/>
                <w:szCs w:val="20"/>
                <w:color w:val="auto"/>
              </w:rPr>
            </w:pPr>
            <w:r>
              <w:rPr>
                <w:rFonts w:ascii="Arial" w:cs="Arial" w:eastAsia="Arial" w:hAnsi="Arial"/>
                <w:sz w:val="14"/>
                <w:szCs w:val="14"/>
                <w:b w:val="1"/>
                <w:bCs w:val="1"/>
                <w:color w:val="auto"/>
              </w:rPr>
              <w:t>MARCH 28,</w:t>
            </w:r>
          </w:p>
        </w:tc>
        <w:tc>
          <w:tcPr>
            <w:tcW w:w="460" w:type="dxa"/>
            <w:vAlign w:val="bottom"/>
          </w:tcPr>
          <w:p>
            <w:pPr>
              <w:spacing w:after="0"/>
              <w:rPr>
                <w:sz w:val="13"/>
                <w:szCs w:val="13"/>
                <w:color w:val="auto"/>
              </w:rPr>
            </w:pPr>
          </w:p>
        </w:tc>
        <w:tc>
          <w:tcPr>
            <w:tcW w:w="1160" w:type="dxa"/>
            <w:vAlign w:val="bottom"/>
          </w:tcPr>
          <w:p>
            <w:pPr>
              <w:jc w:val="right"/>
              <w:ind w:right="279"/>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8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r>
      <w:tr>
        <w:trPr>
          <w:trHeight w:val="196"/>
        </w:trPr>
        <w:tc>
          <w:tcPr>
            <w:tcW w:w="8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jc w:val="center"/>
              <w:ind w:left="862"/>
              <w:spacing w:after="0"/>
              <w:rPr>
                <w:sz w:val="20"/>
                <w:szCs w:val="20"/>
                <w:color w:val="auto"/>
              </w:rPr>
            </w:pPr>
            <w:r>
              <w:rPr>
                <w:rFonts w:ascii="Arial" w:cs="Arial" w:eastAsia="Arial" w:hAnsi="Arial"/>
                <w:sz w:val="14"/>
                <w:szCs w:val="14"/>
                <w:b w:val="1"/>
                <w:bCs w:val="1"/>
                <w:color w:val="auto"/>
                <w:w w:val="96"/>
              </w:rPr>
              <w:t>(In millions)</w:t>
            </w:r>
          </w:p>
        </w:tc>
        <w:tc>
          <w:tcPr>
            <w:tcW w:w="1160" w:type="dxa"/>
            <w:vAlign w:val="bottom"/>
          </w:tcPr>
          <w:p>
            <w:pPr>
              <w:spacing w:after="0"/>
              <w:rPr>
                <w:sz w:val="17"/>
                <w:szCs w:val="17"/>
                <w:color w:val="auto"/>
              </w:rPr>
            </w:pPr>
          </w:p>
        </w:tc>
      </w:tr>
      <w:tr>
        <w:trPr>
          <w:trHeight w:val="25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rPr>
              <w:t>40.2</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49.8</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Income tax payments</w:t>
            </w:r>
          </w:p>
        </w:tc>
        <w:tc>
          <w:tcPr>
            <w:tcW w:w="220" w:type="dxa"/>
            <w:vAlign w:val="bottom"/>
          </w:tcPr>
          <w:p>
            <w:pPr>
              <w:spacing w:after="0"/>
              <w:rPr>
                <w:sz w:val="21"/>
                <w:szCs w:val="21"/>
                <w:color w:val="auto"/>
              </w:rPr>
            </w:pPr>
          </w:p>
        </w:tc>
        <w:tc>
          <w:tcPr>
            <w:tcW w:w="1240" w:type="dxa"/>
            <w:vAlign w:val="bottom"/>
          </w:tcPr>
          <w:p>
            <w:pPr>
              <w:jc w:val="right"/>
              <w:ind w:right="62"/>
              <w:spacing w:after="0"/>
              <w:rPr>
                <w:sz w:val="20"/>
                <w:szCs w:val="20"/>
                <w:color w:val="auto"/>
              </w:rPr>
            </w:pPr>
            <w:r>
              <w:rPr>
                <w:rFonts w:ascii="Arial" w:cs="Arial" w:eastAsia="Arial" w:hAnsi="Arial"/>
                <w:sz w:val="18"/>
                <w:szCs w:val="18"/>
                <w:color w:val="auto"/>
              </w:rPr>
              <w:t>15.4</w:t>
            </w:r>
          </w:p>
        </w:tc>
        <w:tc>
          <w:tcPr>
            <w:tcW w:w="460" w:type="dxa"/>
            <w:vAlign w:val="bottom"/>
          </w:tcPr>
          <w:p>
            <w:pPr>
              <w:spacing w:after="0"/>
              <w:rPr>
                <w:sz w:val="21"/>
                <w:szCs w:val="21"/>
                <w:color w:val="auto"/>
              </w:rPr>
            </w:pPr>
          </w:p>
        </w:tc>
        <w:tc>
          <w:tcPr>
            <w:tcW w:w="1160" w:type="dxa"/>
            <w:vAlign w:val="bottom"/>
          </w:tcPr>
          <w:p>
            <w:pPr>
              <w:jc w:val="right"/>
              <w:ind w:right="79"/>
              <w:spacing w:after="0"/>
              <w:rPr>
                <w:sz w:val="20"/>
                <w:szCs w:val="20"/>
                <w:color w:val="auto"/>
              </w:rPr>
            </w:pPr>
            <w:r>
              <w:rPr>
                <w:rFonts w:ascii="Arial" w:cs="Arial" w:eastAsia="Arial" w:hAnsi="Arial"/>
                <w:sz w:val="18"/>
                <w:szCs w:val="18"/>
                <w:color w:val="auto"/>
              </w:rPr>
              <w:t>7.5</w:t>
            </w:r>
          </w:p>
        </w:tc>
      </w:tr>
    </w:tbl>
    <w:p>
      <w:pPr>
        <w:spacing w:after="0" w:line="16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six months ended March 30, 2019, the Company paid a post-closing net working capital adjustment obligation of $6.6 million related to the fiscal 2018 acquisition of Sunlight Supply, Inc., Sunlight Garden Supply, Inc., Sunlight Garden Supply, ULC, and IP Holdings, LLC, and all of the issued and outstanding equity interests of Columbia River Industrial Holdings, LLC (collectively “Sunlight Supply”), which was classified as an investing activity in the “Investments in acquired businesses, net of cash acquired” line in the Condensed Consolidated Statements of Cash Flows.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15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Inventories are stated at the lower of cost or net realizable value and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or net realizable value. Inventories are determined by the first in, first out method of accounting. Inventories acquired through the acquisition of or subsequently produced by Sunlight Supply were initially recorded at fair value at the date of the acquisition and subsequently were measured using the average costing method of inventory valuation. During the three months ended December 28, 2019, the Company determined it was preferable to use the first in, first out inventory valuation method and adopted this method for the remaining Sunlight Supply inventories not subject to the first in, first out method. This change in accounting principle resulted in an increase in inventories of $0.2 million as of December 28, 2019, with a corresponding decrease in cost of goods sold for the three months ended December 28, 2019. The change in accounting principle was not material to prior periods so it was not retrospectively applied.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Effective October 1, 2019, the Company adopted Accounting Standards Codification (“ASC”) 842, “Leases” (“ASC 842”). Under this guidance, the Company determines whether an arrangement contains a lease at inception by determining if the contract conveys the right to control the use of identified property, plant or equipment for a period of time in exchange for consideration and other facts and circumstances. Right-of-use (“ROU”) assets represent the Company’s right to use an underlying asset for the lease term and lease liabilities represent the Company’s obligation to make lease payments arising from the lease. ROU assets are calculated based on the lease liability adjusted for any lease payments paid to the lessor at or before the commencement date and initial direct costs incurred by the Company and excludes any lease incentives received from the lessor. Lease liabilities are recognized based on the present value of the future minimum lease payments over the lease term. The lease term may include options to extend or terminate the lease when it is reasonably certain that the Company will exercise that option. As the Company’s leases typically do not contain a readily determinable implicit rate, the Company determines the present value of the lease liability using its incremental borrowing rate at the lease commencement date based on the lease term. The Company considers its credit rating and the current economic environment in determining this collateralized rate. Variable lease payments are the portion of lease payments that are not fixed over the lease term. Variable lease payments are expensed as incurred and include certain non-lease components, such as maintenance and other services provided by the lessor, and other charges included in the lease, as applicable. The Company elected to exclude short-term leases, defined as leases with initial terms of 12 months or less, from its Condensed Consolidated Balance Sheet.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PRONOUNCEMENTS</w:t>
      </w:r>
    </w:p>
    <w:p>
      <w:pPr>
        <w:spacing w:after="0" w:line="162"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In February 2016, the Financial Accounting Standards Board (“FASB”) issued its final standard on lease accounting, ASC 842. This guidance requires lessees to recognize a lease liability for the obligation to make lease payments and a ROU asset for the right to use the underlying asset for the lease term. The Company elected the optional transition method and adopted the new guidance on October 1, 2019 on a modified retrospective basis with no restatement of prior period amounts. Fiscal 2019 balances and related disclosures supporting those comparative period balances continue to be presented under ASC 840, “Leases.” As allowed under the new accounting standard, the Company elected to apply practical expedients to carry forward the original lease determinations, lease classifications and accounting of initial direct costs for all asset classes at the time of adoption. The Company also elected to exclude short-term leases from its Condensed Consolidated Balance Sheet. The Company’s adoption of the new standard resulted in the recognition of ROU assets of $129.6 million in the “Other assets” line in the Condensed Consolidated Balance Sheet, liabilities of $45.4 million in the “Other current liabilities” line in the Condensed Consolidated Balance Sheet and liabilities of $88.8 million in the “Other liabilities” line in the Condensed Consolidated Balance Sheet as of the October 1, 2019 adoption date. Adoption of the new standard did not result in a material cumulative effect adjustment to equity as of the date of adoption and did not have a material impact on the Company’s Condensed Consolidated Statements of Operations or Cash Flows. In connection with the adoption of this guidance, as required, the Company reclassified certain restructuring reserves (refer to “NOTE 4. IMPAIRMENT, RESTRUCTURING AND OTHER” for more information) and deferred rent liabilities as reductions to the ROU asset. Refer to “NOTE 13. LEASES AND OTHER COMMITMENTS” for more information.</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March 2, 2020, the SEC issued a final rule that amends the financial disclosure requirements related to certain registered securities under SEC Regulation S-X, Rule 3-10, “Financial Statements of Guarantors and Issuers of Guaranteed Securities Registered or Being Registered.” These amendments are generally effective for registration statements filed pursuant to the Securities Act of 1933, as amended, or the Securities Exchange of Act of 1934, as amended (the “Exchange Act”), on or after January 4, 2021 and periodic reports filed pursuant to the Exchange Act for fiscal periods beginning after January 4, 2021. However, voluntary compliance in advance of these effective dates is permitted. The amendments permit the omission from the applicable filings of separate financial statements for each issuer of a registered security that is guaranteed and each guarantor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 w:name="page9"/>
    <w:bookmarkEnd w:id="8"/>
    <w:p>
      <w:pPr>
        <w:jc w:val="both"/>
        <w:spacing w:after="0" w:line="291" w:lineRule="auto"/>
        <w:rPr>
          <w:sz w:val="20"/>
          <w:szCs w:val="20"/>
          <w:color w:val="auto"/>
        </w:rPr>
      </w:pPr>
      <w:r>
        <w:rPr>
          <w:rFonts w:ascii="Arial" w:cs="Arial" w:eastAsia="Arial" w:hAnsi="Arial"/>
          <w:sz w:val="16"/>
          <w:szCs w:val="16"/>
          <w:color w:val="auto"/>
        </w:rPr>
        <w:t>of a registered security that would be required of a registrant under Regulation S-X if, subject to additional conditions, the parent company of such issuers and/or guarantors provides supplemental financial and non-financial disclosures about the subsidiary issuers and/or guarantors and the guarantees. Under the amended Rule 3-10, in lieu of separate financial statements, a parent company of the subsidiary issuers and/or guarantors may provide summarized financial information of the issuers and guarantors, as well as other qualitative disclosures about the guarantees and the issuers and guarantors, in the parent company’s Management’s Discussion and Analysis (“MD&amp;A”) or its consolidated financial statements. As permitted under these amendments, the Company elected to provide the summarized financial information and qualitative disclosures permitted under the amended Rule 3-10 during the second quarter of fiscal 2020 and has provided such information and disclosures within the “Liquidity and Capital Resources” section of the MD&amp;A.</w:t>
      </w:r>
    </w:p>
    <w:p>
      <w:pPr>
        <w:spacing w:after="0" w:line="8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March 12, 2020, the FASB issued Accounting Standards Update (“ASU”) No. 2020-04, “Facilitation of the Effects of Reference Rate Reform on Financial Reporting,” which provides optional expedients and exceptions for applying GAAP to contracts, hedging relationships and other transactions affected by reference rate reform if certain criteria are met. The Company may elect to apply the contract modification provisions as of any date from the beginning of an interim period that includes or is subsequent to March 12, 2020 up until December 31, 2022. The hedge accounting expedients may be applied, on an individual hedging relationship basis, to eligible hedge accounting relationships that existed as of the beginning of the interim period that includes March 12, 2020 and to new eligible hedging relationships entered into after the beginning of the interim period that includes March 12, 2020; however, those expedients generally cannot be applied to hedging relationships evaluated for periods after December 31, 2022. The Company adopted the hedge accounting expedient related to probability of forecasted transactions during the second quarter of fiscal 2020. The adoption of this guidance did not have a significant impact on the Company’s consolidated financial position, results of operations or cash flows. The Company is continuing to assess other optional expedients and exceptions available within the amended guidance.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PRONOUNCEMENTS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June 2016, the FASB issued ASU No. 2016-13, “Financial Instruments - Credit Losses (Topic 326),” which changes the impairment model for most financial assets to require measurement and recognition of expected credit losses for financial assets held. The provisions are effective for the Company’s financial statements no later than the fiscal year beginning October 1, 2020. The Company is continuing to assess the impact of the amended guidance.</w:t>
      </w:r>
    </w:p>
    <w:p>
      <w:pPr>
        <w:spacing w:after="0" w:line="1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August 2018, the FASB issued ASU No. 2018-14, “Compensation-Retirement Benefits-Defined Benefit Plans-General (Topic 715): Disclosure Framework–Changes to the Disclosure Requirements for Defined Benefit Plans,” which removes certain disclosures that are not considered cost beneficial, clarifies certain required disclosures and requires certain additional disclosures related to defined benefit pension and other postretirement plans. The provisions are effective for the Company’s financial statements no later than the fiscal year beginning October 1, 2020. The Company is continuing to assess the impact of the amended guidance.</w:t>
      </w:r>
    </w:p>
    <w:p>
      <w:pPr>
        <w:spacing w:after="0" w:line="12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August 2018, the FASB issued ASU No. 2018-15, “Intangibles-Goodwill and Other-Internal-Use Software (Topic 350):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provisions are effective for the Company’s financial statements no later than the fiscal year beginning October 1, 2020. The Company is continuing to assess the impact of the amended guidance.</w:t>
      </w:r>
    </w:p>
    <w:p>
      <w:pPr>
        <w:spacing w:after="0" w:line="12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simplifies the accounting for income taxes by removing certain exceptions to the general principles in ASC 740 and also clarifies and amends existing guidance to improve consistent application. The provisions are effective for the Company’s financial statements no later than the fiscal year beginning October 1, 2021. The Company is continuing to assess the impact of the amended guidance.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Wild Bird Food</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During fiscal 2014, the Company completed the sale of its U.S. and Canadian wild bird food business. As a result, effective in fiscal 2014, the Company classified its results of operations for all periods presented to reflect the wild bird food business as a discontinued operation. At each of March 28, 2020, March 30, 2019 and September 30, 2019, zero, $42.5 million and zero, respectively, was accrued for a probable loss related to the previously disclosed legal matter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xml:space="preserve"> in the “Other current liabilities” line in the Condensed Consolidated Balance Sheet. This matter relates to a class-action lawsuit filed in 2012 in connection with the sale of wild bird food products that were the subject of a voluntary recall in 2008 by the Company’s previously sold wild bird food business. During the three and six months ended March 28,</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t>2020, the Company recognized insurance recoveries of $1.5 million related to this matter. During the three and six months ended March 30, 2019, the Company received insurance reimbursement payments related to this matter of $8.4 million and $13.4 million, respectively. The Company recognized insurance recoveries of $5.0 million related to this matter during the first quarter of fiscal 2019, and the remaining $8.4 million of reimbursements were recognized as an accrued liability in the Condensed Consolidated Balance Sheets as of March 30, 2019 pending the finalization of the settlement which occurred during the third quarter of fiscal 2019.</w:t>
      </w:r>
    </w:p>
    <w:p>
      <w:pPr>
        <w:spacing w:after="0" w:line="107" w:lineRule="exact"/>
        <w:rPr>
          <w:sz w:val="20"/>
          <w:szCs w:val="20"/>
          <w:color w:val="auto"/>
        </w:rPr>
      </w:pPr>
    </w:p>
    <w:p>
      <w:pPr>
        <w:jc w:val="both"/>
        <w:ind w:right="20" w:firstLine="369"/>
        <w:spacing w:after="0" w:line="276" w:lineRule="auto"/>
        <w:rPr>
          <w:sz w:val="20"/>
          <w:szCs w:val="20"/>
          <w:color w:val="auto"/>
        </w:rPr>
      </w:pPr>
      <w:r>
        <w:rPr>
          <w:rFonts w:ascii="Arial" w:cs="Arial" w:eastAsia="Arial" w:hAnsi="Arial"/>
          <w:sz w:val="18"/>
          <w:szCs w:val="18"/>
          <w:color w:val="auto"/>
        </w:rPr>
        <w:t>The following table summarizes the results of discontinued operations described above and reflected within discontinued operations in the Company’s condensed consolidated financial statements for each of the periods presented: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MARCH 28,</w:t>
            </w:r>
          </w:p>
        </w:tc>
        <w:tc>
          <w:tcPr>
            <w:tcW w:w="140" w:type="dxa"/>
            <w:vAlign w:val="bottom"/>
          </w:tcPr>
          <w:p>
            <w:pPr>
              <w:spacing w:after="0"/>
              <w:rPr>
                <w:sz w:val="13"/>
                <w:szCs w:val="13"/>
                <w:color w:val="auto"/>
              </w:rPr>
            </w:pPr>
          </w:p>
        </w:tc>
        <w:tc>
          <w:tcPr>
            <w:tcW w:w="10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3"/>
                <w:szCs w:val="13"/>
                <w:color w:val="auto"/>
              </w:rPr>
            </w:pPr>
          </w:p>
        </w:tc>
        <w:tc>
          <w:tcPr>
            <w:tcW w:w="10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28,</w:t>
            </w:r>
          </w:p>
        </w:tc>
        <w:tc>
          <w:tcPr>
            <w:tcW w:w="140" w:type="dxa"/>
            <w:vAlign w:val="bottom"/>
          </w:tcPr>
          <w:p>
            <w:pPr>
              <w:spacing w:after="0"/>
              <w:rPr>
                <w:sz w:val="13"/>
                <w:szCs w:val="13"/>
                <w:color w:val="auto"/>
              </w:rPr>
            </w:pPr>
          </w:p>
        </w:tc>
        <w:tc>
          <w:tcPr>
            <w:tcW w:w="96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6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r>
      <w:tr>
        <w:trPr>
          <w:trHeight w:val="196"/>
        </w:trPr>
        <w:tc>
          <w:tcPr>
            <w:tcW w:w="6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gridSpan w:val="5"/>
          </w:tcPr>
          <w:p>
            <w:pPr>
              <w:ind w:left="6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and exit costs (recoveries)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center"/>
              <w:ind w:left="297"/>
              <w:spacing w:after="0"/>
              <w:rPr>
                <w:sz w:val="20"/>
                <w:szCs w:val="20"/>
                <w:color w:val="auto"/>
              </w:rPr>
            </w:pPr>
            <w:r>
              <w:rPr>
                <w:rFonts w:ascii="Arial" w:cs="Arial" w:eastAsia="Arial" w:hAnsi="Arial"/>
                <w:sz w:val="18"/>
                <w:szCs w:val="18"/>
                <w:color w:val="auto"/>
                <w:w w:val="91"/>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center"/>
              <w:ind w:left="317"/>
              <w:spacing w:after="0"/>
              <w:rPr>
                <w:sz w:val="20"/>
                <w:szCs w:val="20"/>
                <w:color w:val="auto"/>
              </w:rPr>
            </w:pPr>
            <w:r>
              <w:rPr>
                <w:rFonts w:ascii="Arial" w:cs="Arial" w:eastAsia="Arial" w:hAnsi="Arial"/>
                <w:sz w:val="18"/>
                <w:szCs w:val="18"/>
                <w:color w:val="auto"/>
                <w:w w:val="97"/>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0.1</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Impairment, restructuring and other charges (recoveries), net</w:t>
            </w:r>
          </w:p>
        </w:tc>
        <w:tc>
          <w:tcPr>
            <w:tcW w:w="140" w:type="dxa"/>
            <w:vAlign w:val="bottom"/>
          </w:tcPr>
          <w:p>
            <w:pPr>
              <w:spacing w:after="0"/>
              <w:rPr>
                <w:sz w:val="21"/>
                <w:szCs w:val="21"/>
                <w:color w:val="auto"/>
              </w:rPr>
            </w:pPr>
          </w:p>
        </w:tc>
        <w:tc>
          <w:tcPr>
            <w:tcW w:w="960" w:type="dxa"/>
            <w:vAlign w:val="bottom"/>
          </w:tcPr>
          <w:p>
            <w:pPr>
              <w:jc w:val="center"/>
              <w:ind w:left="297"/>
              <w:spacing w:after="0"/>
              <w:rPr>
                <w:sz w:val="20"/>
                <w:szCs w:val="20"/>
                <w:color w:val="auto"/>
              </w:rPr>
            </w:pPr>
            <w:r>
              <w:rPr>
                <w:rFonts w:ascii="Arial" w:cs="Arial" w:eastAsia="Arial" w:hAnsi="Arial"/>
                <w:sz w:val="18"/>
                <w:szCs w:val="18"/>
                <w:color w:val="auto"/>
                <w:w w:val="91"/>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center"/>
              <w:ind w:left="317"/>
              <w:spacing w:after="0"/>
              <w:rPr>
                <w:sz w:val="20"/>
                <w:szCs w:val="20"/>
                <w:color w:val="auto"/>
              </w:rPr>
            </w:pPr>
            <w:r>
              <w:rPr>
                <w:rFonts w:ascii="Arial" w:cs="Arial" w:eastAsia="Arial" w:hAnsi="Arial"/>
                <w:sz w:val="18"/>
                <w:szCs w:val="18"/>
                <w:color w:val="auto"/>
                <w:w w:val="97"/>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(4.9)</w:t>
            </w:r>
          </w:p>
        </w:tc>
      </w:tr>
      <w:tr>
        <w:trPr>
          <w:trHeight w:val="27"/>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6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337"/>
              <w:spacing w:after="0"/>
              <w:rPr>
                <w:sz w:val="20"/>
                <w:szCs w:val="20"/>
                <w:color w:val="auto"/>
              </w:rPr>
            </w:pPr>
            <w:r>
              <w:rPr>
                <w:rFonts w:ascii="Arial" w:cs="Arial" w:eastAsia="Arial" w:hAnsi="Arial"/>
                <w:sz w:val="18"/>
                <w:szCs w:val="18"/>
                <w:color w:val="auto"/>
                <w:w w:val="87"/>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337"/>
              <w:spacing w:after="0"/>
              <w:rPr>
                <w:sz w:val="20"/>
                <w:szCs w:val="20"/>
                <w:color w:val="auto"/>
              </w:rPr>
            </w:pPr>
            <w:r>
              <w:rPr>
                <w:rFonts w:ascii="Arial" w:cs="Arial" w:eastAsia="Arial" w:hAnsi="Arial"/>
                <w:sz w:val="18"/>
                <w:szCs w:val="18"/>
                <w:color w:val="auto"/>
                <w:w w:val="87"/>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4.8</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Income tax expense from discontinued operations</w:t>
            </w:r>
          </w:p>
        </w:tc>
        <w:tc>
          <w:tcPr>
            <w:tcW w:w="140" w:type="dxa"/>
            <w:vAlign w:val="bottom"/>
          </w:tcPr>
          <w:p>
            <w:pPr>
              <w:spacing w:after="0"/>
              <w:rPr>
                <w:sz w:val="21"/>
                <w:szCs w:val="21"/>
                <w:color w:val="auto"/>
              </w:rPr>
            </w:pPr>
          </w:p>
        </w:tc>
        <w:tc>
          <w:tcPr>
            <w:tcW w:w="960" w:type="dxa"/>
            <w:vAlign w:val="bottom"/>
          </w:tcPr>
          <w:p>
            <w:pPr>
              <w:jc w:val="center"/>
              <w:ind w:left="337"/>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7"/>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center"/>
              <w:ind w:left="337"/>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2.3</w:t>
            </w:r>
          </w:p>
        </w:tc>
      </w:tr>
      <w:tr>
        <w:trPr>
          <w:trHeight w:val="27"/>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6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center"/>
              <w:ind w:left="337"/>
              <w:spacing w:after="0"/>
              <w:rPr>
                <w:sz w:val="20"/>
                <w:szCs w:val="20"/>
                <w:color w:val="auto"/>
              </w:rPr>
            </w:pPr>
            <w:r>
              <w:rPr>
                <w:rFonts w:ascii="Arial" w:cs="Arial" w:eastAsia="Arial" w:hAnsi="Arial"/>
                <w:sz w:val="18"/>
                <w:szCs w:val="18"/>
                <w:color w:val="auto"/>
                <w:w w:val="87"/>
              </w:rPr>
              <w:t>2.6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center"/>
              <w:ind w:left="337"/>
              <w:spacing w:after="0"/>
              <w:rPr>
                <w:sz w:val="20"/>
                <w:szCs w:val="20"/>
                <w:color w:val="auto"/>
              </w:rPr>
            </w:pPr>
            <w:r>
              <w:rPr>
                <w:rFonts w:ascii="Arial" w:cs="Arial" w:eastAsia="Arial" w:hAnsi="Arial"/>
                <w:sz w:val="18"/>
                <w:szCs w:val="18"/>
                <w:color w:val="auto"/>
                <w:w w:val="87"/>
              </w:rPr>
              <w:t>2.6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Condensed Consolidated Statements of Cash Flows do not present the cash flows from discontinued operations separately from cash flows from continuing operations. Cash (used in) provided by operating activities related to discontinued operations was $3.9 million and $(34.7) million for the six months ended March 28, 2020 and March 30, 2019, respectively. Cash (used in) provided by investing activities related to discontinued operations was zero for the six months ended March 28, 2020 and March 30,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IN UNCONSOLIDATED AFFILIATES</w:t>
      </w:r>
    </w:p>
    <w:p>
      <w:pPr>
        <w:spacing w:after="0" w:line="16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On March 19, 2019, the Company entered into an agreement under which it sold, to TruGreen Companies L.L.C., a subsidiary of TruGreen Holding Corporation, all of its approximately 30% equity interest in Outdoor Home Services Holdings LLC, a lawn services joint venture between the Company and TruGreen Holding Corporation (the “TruGreen Joint Venture”). Prior to this transaction, the Company’s net investment and advances with respect to the TruGreen Joint Venture had been reduced to a liability which resulted in an amount recorded in the “Distributions in excess of investment in unconsolidated affiliate” line in the Condensed Consolidated Balance Sheets. In connection with this transaction, the Company received cash proceeds of $234.2 million related to the sale of its equity interest in the TruGreen Joint Venture and $18.4 million related to the payoff of second lien term loan financing by the TruGreen Joint Venture. During the three and six months ended March 30, 2019, the Company also received a distribution from the TruGreen Joint Venture intended to cover certain required tax payments of $3.5 million, which was classified as an investing activity in the Condensed Consolidated Statements of Cash Flows. During the three and six months ended March 30, 2019, the Company recognized a pre-tax gain of $259.8 million related to this sale in the “Other non-operating income, net” line in the Condensed Consolidated Statements of Operations. During the three months ended March 30, 2019, the Company also reclassified $47.1 million from deferred tax liabilities, which were previously recorded in the “Other liabilities” line in the Condensed Consolidated Balance Sheets, to accrued taxes, which are recorded in the “Other current liabilities” line in the Condensed Consolidated Balance Sheets, related to the outside basis difference in the TruGreen Joint Venture as a result of the sale of the Company’s equity interest.</w:t>
      </w:r>
    </w:p>
    <w:p>
      <w:pPr>
        <w:spacing w:after="0" w:line="1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March 30, 2019, the Company held a noncontrolling equity interest in an unconsolidated affiliate whose products supported the professional U.S. industrial, turf and ornamental market (the “IT&amp;O Joint Venture”). During the three and six months ended March 30, 2019, the Company received a distribution of net earnings from the IT&amp;O Joint Venture of $4.9 million, which was classified as an operating activity in the Condensed Consolidated Statements of Cash Flows. On April 1, 2019, the Company sold all of its noncontrolling equity interest in the IT&amp;O Joint Venture for cash proceeds of $36.6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IMPAIRMENT, RESTRUCTURING AND OTHER</w:t>
      </w:r>
    </w:p>
    <w:p>
      <w:pPr>
        <w:spacing w:after="0" w:line="1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(loss) from discontinued operations, net of tax” lines in the Condensed Consolidated Statements of Operations. The following table details impairment, restructuring and other charges (recoveries) for each of the periods presented:</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28,</w:t>
            </w:r>
          </w:p>
        </w:tc>
        <w:tc>
          <w:tcPr>
            <w:tcW w:w="140" w:type="dxa"/>
            <w:vAlign w:val="bottom"/>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3"/>
                <w:szCs w:val="13"/>
                <w:color w:val="auto"/>
              </w:rPr>
            </w:pPr>
          </w:p>
        </w:tc>
        <w:tc>
          <w:tcPr>
            <w:tcW w:w="10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28,</w:t>
            </w:r>
          </w:p>
        </w:tc>
        <w:tc>
          <w:tcPr>
            <w:tcW w:w="140" w:type="dxa"/>
            <w:vAlign w:val="bottom"/>
          </w:tcPr>
          <w:p>
            <w:pPr>
              <w:spacing w:after="0"/>
              <w:rPr>
                <w:sz w:val="13"/>
                <w:szCs w:val="13"/>
                <w:color w:val="auto"/>
              </w:rPr>
            </w:pPr>
          </w:p>
        </w:tc>
        <w:tc>
          <w:tcPr>
            <w:tcW w:w="98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r>
      <w:tr>
        <w:trPr>
          <w:trHeight w:val="196"/>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200"/>
              <w:spacing w:after="0"/>
              <w:rPr>
                <w:sz w:val="20"/>
                <w:szCs w:val="20"/>
                <w:color w:val="auto"/>
              </w:rPr>
            </w:pPr>
            <w:r>
              <w:rPr>
                <w:rFonts w:ascii="Arial" w:cs="Arial" w:eastAsia="Arial" w:hAnsi="Arial"/>
                <w:sz w:val="18"/>
                <w:szCs w:val="18"/>
                <w:color w:val="auto"/>
              </w:rPr>
              <w:t>Restructuring and other charges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ind w:left="375"/>
              <w:spacing w:after="0"/>
              <w:rPr>
                <w:sz w:val="20"/>
                <w:szCs w:val="20"/>
                <w:color w:val="auto"/>
              </w:rPr>
            </w:pPr>
            <w:r>
              <w:rPr>
                <w:rFonts w:ascii="Arial" w:cs="Arial" w:eastAsia="Arial" w:hAnsi="Arial"/>
                <w:sz w:val="18"/>
                <w:szCs w:val="18"/>
                <w:color w:val="auto"/>
                <w:w w:val="95"/>
              </w:rPr>
              <w:t>3.0</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plant and equipment impairments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left="375"/>
              <w:spacing w:after="0"/>
              <w:rPr>
                <w:sz w:val="20"/>
                <w:szCs w:val="20"/>
                <w:color w:val="auto"/>
              </w:rPr>
            </w:pPr>
            <w:r>
              <w:rPr>
                <w:rFonts w:ascii="Arial" w:cs="Arial" w:eastAsia="Arial" w:hAnsi="Arial"/>
                <w:sz w:val="18"/>
                <w:szCs w:val="18"/>
                <w:color w:val="auto"/>
                <w:w w:val="95"/>
              </w:rPr>
              <w:t>0.5</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 and other charges (recoveries), net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ind w:left="375"/>
              <w:spacing w:after="0"/>
              <w:rPr>
                <w:sz w:val="20"/>
                <w:szCs w:val="20"/>
                <w:color w:val="auto"/>
              </w:rPr>
            </w:pPr>
            <w:r>
              <w:rPr>
                <w:rFonts w:ascii="Arial" w:cs="Arial" w:eastAsia="Arial" w:hAnsi="Arial"/>
                <w:sz w:val="18"/>
                <w:szCs w:val="18"/>
                <w:color w:val="auto"/>
                <w:w w:val="95"/>
              </w:rPr>
              <w:t>3.7</w:t>
            </w: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Impairment, restructuring and other charges from continuing operations</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center"/>
              <w:ind w:left="375"/>
              <w:spacing w:after="0"/>
              <w:rPr>
                <w:sz w:val="20"/>
                <w:szCs w:val="20"/>
                <w:color w:val="auto"/>
              </w:rPr>
            </w:pPr>
            <w:r>
              <w:rPr>
                <w:rFonts w:ascii="Arial" w:cs="Arial" w:eastAsia="Arial" w:hAnsi="Arial"/>
                <w:sz w:val="18"/>
                <w:szCs w:val="18"/>
                <w:color w:val="auto"/>
                <w:w w:val="95"/>
              </w:rPr>
              <w:t>7.2</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 (recoveries), net, from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ind w:left="355"/>
              <w:spacing w:after="0"/>
              <w:rPr>
                <w:sz w:val="20"/>
                <w:szCs w:val="20"/>
                <w:color w:val="auto"/>
              </w:rPr>
            </w:pPr>
            <w:r>
              <w:rPr>
                <w:rFonts w:ascii="Arial" w:cs="Arial" w:eastAsia="Arial" w:hAnsi="Arial"/>
                <w:sz w:val="18"/>
                <w:szCs w:val="18"/>
                <w:color w:val="auto"/>
                <w:w w:val="91"/>
              </w:rPr>
              <w:t>(4.9)</w:t>
            </w: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Total impairment, restructuring and other charges (recoveries)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center"/>
              <w:ind w:left="375"/>
              <w:spacing w:after="0"/>
              <w:rPr>
                <w:sz w:val="20"/>
                <w:szCs w:val="20"/>
                <w:color w:val="auto"/>
              </w:rPr>
            </w:pPr>
            <w:r>
              <w:rPr>
                <w:rFonts w:ascii="Arial" w:cs="Arial" w:eastAsia="Arial" w:hAnsi="Arial"/>
                <w:sz w:val="18"/>
                <w:szCs w:val="18"/>
                <w:color w:val="auto"/>
                <w:w w:val="95"/>
              </w:rPr>
              <w:t>2.3</w:t>
            </w:r>
          </w:p>
        </w:tc>
      </w:tr>
      <w:tr>
        <w:trPr>
          <w:trHeight w:val="27"/>
        </w:trPr>
        <w:tc>
          <w:tcPr>
            <w:tcW w:w="6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618"/>
        <w:spacing w:after="0" w:line="274" w:lineRule="auto"/>
        <w:rPr>
          <w:sz w:val="20"/>
          <w:szCs w:val="20"/>
          <w:color w:val="auto"/>
        </w:rPr>
      </w:pPr>
      <w:r>
        <w:rPr>
          <w:rFonts w:ascii="Arial" w:cs="Arial" w:eastAsia="Arial" w:hAnsi="Arial"/>
          <w:sz w:val="18"/>
          <w:szCs w:val="18"/>
          <w:color w:val="auto"/>
        </w:rPr>
        <w:t>The following table summarizes the activity related to liabilities associated with restructuring and other, excluding insurance reimbursement recoveries, during the six months ended March 28, 2020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accrued for restructuring and other at September 30, 2019</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11.6</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Restructuring and other charges from continuing operations</w:t>
            </w:r>
          </w:p>
        </w:tc>
        <w:tc>
          <w:tcPr>
            <w:tcW w:w="5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4.1</w:t>
            </w:r>
          </w:p>
        </w:tc>
      </w:tr>
      <w:tr>
        <w:trPr>
          <w:trHeight w:val="27"/>
        </w:trPr>
        <w:tc>
          <w:tcPr>
            <w:tcW w:w="9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and other</w:t>
            </w:r>
          </w:p>
        </w:tc>
        <w:tc>
          <w:tcPr>
            <w:tcW w:w="5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37"/>
        </w:trPr>
        <w:tc>
          <w:tcPr>
            <w:tcW w:w="9740" w:type="dxa"/>
            <w:vAlign w:val="bottom"/>
          </w:tcPr>
          <w:p>
            <w:pPr>
              <w:ind w:left="20"/>
              <w:spacing w:after="0"/>
              <w:rPr>
                <w:sz w:val="20"/>
                <w:szCs w:val="20"/>
                <w:color w:val="auto"/>
              </w:rPr>
            </w:pPr>
            <w:r>
              <w:rPr>
                <w:rFonts w:ascii="Arial" w:cs="Arial" w:eastAsia="Arial" w:hAnsi="Arial"/>
                <w:sz w:val="18"/>
                <w:szCs w:val="18"/>
                <w:color w:val="auto"/>
              </w:rPr>
              <w:t>Amounts accrued for restructuring and other at March 28, 2020</w:t>
            </w: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9.4</w:t>
            </w:r>
          </w:p>
        </w:tc>
      </w:tr>
      <w:tr>
        <w:trPr>
          <w:trHeight w:val="27"/>
        </w:trPr>
        <w:tc>
          <w:tcPr>
            <w:tcW w:w="97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9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connection with the adoption of ASC 842 on October 1, 2019, the Company reclassified restructuring accruals of $1.7 million to lease ROU assets, and has presented this reclassification within “Payments and other” in the table above. Refer to “NOTE 1. SUMMARY OF SIGNIFICANT ACCOUNTING POLICIES” and “NOTE 13. LEASES AND OTHER COMMITMENTS” for more information. Included in restructuring accruals, as of March 28, 2020, is $0.7 million that is classified as long-term. Payments against the long-term accruals will be incurred as the employees covered by the restructuring plan retire or through the passage of time. The remaining amounts accrued will continue to be paid out over the course of the next twelve months.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COVID-19</w:t>
      </w:r>
    </w:p>
    <w:p>
      <w:pPr>
        <w:spacing w:after="0" w:line="158"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The World Health Organization recognized a novel strain of coronavirus (“COVID-19”) as a public health emergency of international concern on January 30, 2020 and as a global pandemic on March 11, 2020. In response to the COVID-19 pandemic, the Company has implemented additional measures intended to both protect the health and safety of its employees and maintain its ability to provide products to its customers, including (i) requiring a significant part of its workforce to work from home, (ii) monitoring its employees for COVID-19 symptoms, (iii) making additional personal protective equipment available to its operations team, (iv) requiring all manufacturing and warehousing associates to take their temperatures before beginning a shift,</w:t>
      </w:r>
    </w:p>
    <w:p>
      <w:pPr>
        <w:spacing w:after="0" w:line="2" w:lineRule="exact"/>
        <w:rPr>
          <w:sz w:val="20"/>
          <w:szCs w:val="20"/>
          <w:color w:val="auto"/>
        </w:rPr>
      </w:pPr>
    </w:p>
    <w:p>
      <w:pPr>
        <w:jc w:val="both"/>
        <w:ind w:firstLine="8"/>
        <w:spacing w:after="0" w:line="286" w:lineRule="auto"/>
        <w:tabs>
          <w:tab w:leader="none" w:pos="264" w:val="left"/>
        </w:tabs>
        <w:numPr>
          <w:ilvl w:val="0"/>
          <w:numId w:val="3"/>
        </w:numPr>
        <w:rPr>
          <w:rFonts w:ascii="Arial" w:cs="Arial" w:eastAsia="Arial" w:hAnsi="Arial"/>
          <w:sz w:val="16"/>
          <w:szCs w:val="16"/>
          <w:color w:val="auto"/>
        </w:rPr>
      </w:pPr>
      <w:r>
        <w:rPr>
          <w:rFonts w:ascii="Arial" w:cs="Arial" w:eastAsia="Arial" w:hAnsi="Arial"/>
          <w:sz w:val="16"/>
          <w:szCs w:val="16"/>
          <w:color w:val="auto"/>
        </w:rPr>
        <w:t>modifying work methods and schedules of its manufacturing and field associates to create distance or add barriers between associates, consumers and others, (vi) expanding cleaning efforts at its operation centers, (vii) modifying attendance policies so that associates may elect to stay home if they have symptoms, (viii) prioritizing production for goods that are more essential to its customers and (ix) implementing an interim premium pay allowance for associates in its field sales force as well as those still working in manufacturing or distribution centers. In addition, to help address the critical shortage of personal protective equipment in the fight against COVID-19, the Company has shifted production in its Temecula, California manufacturing plant to produce face shields to help protect healthcare workers and first responders in critical need areas across the country. During the three and six months ended March 28, 2020, the Company incurred costs of $3.8 million associated with the COVID-19 pandemic primarily related to premium pay and incremental cleaning costs. The Company incurred costs of $2.6 million in its U.S. Consumer segment and $0.5 million in its Hawthorne segment in the “Cost of sales —impairment, restructuring and other” line in the Condensed Consolidated Statements of Operations during the three and six months ended March 28, 2020. The Company incurred costs of $0.7 million in its U.S. Consumer segment in the “Impairment, restructuring</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 w:name="page12"/>
    <w:bookmarkEnd w:id="11"/>
    <w:p>
      <w:pPr>
        <w:ind w:right="1980"/>
        <w:spacing w:after="0" w:line="406" w:lineRule="auto"/>
        <w:rPr>
          <w:sz w:val="20"/>
          <w:szCs w:val="20"/>
          <w:color w:val="auto"/>
        </w:rPr>
      </w:pPr>
      <w:r>
        <w:rPr>
          <w:rFonts w:ascii="Arial" w:cs="Arial" w:eastAsia="Arial" w:hAnsi="Arial"/>
          <w:sz w:val="18"/>
          <w:szCs w:val="18"/>
          <w:color w:val="auto"/>
        </w:rPr>
        <w:t xml:space="preserve">and other” line in the Condensed Consolidated Statements of Operations during the three and six months ended March 28, 2020. </w:t>
      </w:r>
      <w:r>
        <w:rPr>
          <w:rFonts w:ascii="Arial" w:cs="Arial" w:eastAsia="Arial" w:hAnsi="Arial"/>
          <w:sz w:val="18"/>
          <w:szCs w:val="18"/>
          <w:b w:val="1"/>
          <w:bCs w:val="1"/>
          <w:i w:val="1"/>
          <w:iCs w:val="1"/>
          <w:u w:val="single" w:color="auto"/>
          <w:color w:val="auto"/>
        </w:rPr>
        <w:t>Project Catalyst</w:t>
      </w:r>
    </w:p>
    <w:p>
      <w:pPr>
        <w:spacing w:after="0" w:line="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connection with the acquisition of Sunlight Supply during the third quarter of fiscal 2018, the Company announced the launch of an initiative called Project Catalyst, which is a company-wide restructuring effort to reduce operating costs throughout the U.S. Consumer, Hawthorne and Other segments and drive synergies from acquisitions within the Hawthorne segment. Costs incurred during the three and six months ended March 28, 2020 related to Project Catalyst were not material. Costs incurred to date since the inception of Project Catalyst are $25.9 million for the Hawthorne segment, $13.4 million for the U.S. Consumer segment, $1.3 million for the Other segment and $2.8 million for Corporate. Additionally, during the three and six months ended March 28, 2020, the Company received zero and $2.6 million, respectively, from the final settlement of escrow funds related to a previous acquisition within the Hawthorne segment that was recognized in the “Impairment, restructuring and other” line in the Condensed Consolidated Statements of Operations.</w:t>
      </w:r>
    </w:p>
    <w:p>
      <w:pPr>
        <w:spacing w:after="0" w:line="12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During the three and six months ended March 30, 2019, the Company incurred charges of $2.1 million and $7.6 million, respectively, related to Project Catalyst. The Company incurred charges of $0.1 million and $0.4 million in its U.S. Consumer segment, $0.6 million and $2.5 million in its Hawthorne segment and $0.3 million and $0.6 million in its Other segment in the “Cost of sales—impairment, restructuring and other” line in the Condensed Consolidated Statements of Operations during the three and six months ended March 30, 2019, respectively, related to employee termination benefits, facility closure costs and impairment of property, plant and equipment. The Company incurred charges of $0.1 million and $0.5 million in its U.S. Consumer segment, $0.4 million and $2.1 million in its Hawthorne segment, $0.5 million and $0.6 million in its Other segment and $0.1 million and $0.9 million at Corporate in the “Impairment, restructuring and other” line in the Condensed Consolidated Statements of Operations during the three and six months ended March 30, 2019, respectively, related to employee termination benefits and facility closure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During the three and six months ended March 28, 2020, the Company recognized insurance recoveries of $1.5 million related to the previously disclosed legal matter </w:t>
      </w:r>
      <w:r>
        <w:rPr>
          <w:rFonts w:ascii="Arial" w:cs="Arial" w:eastAsia="Arial" w:hAnsi="Arial"/>
          <w:sz w:val="18"/>
          <w:szCs w:val="18"/>
          <w:i w:val="1"/>
          <w:iCs w:val="1"/>
          <w:color w:val="auto"/>
        </w:rPr>
        <w:t>In re Morning Song Bird Food Litigation</w:t>
      </w:r>
      <w:r>
        <w:rPr>
          <w:rFonts w:ascii="Arial" w:cs="Arial" w:eastAsia="Arial" w:hAnsi="Arial"/>
          <w:sz w:val="18"/>
          <w:szCs w:val="18"/>
          <w:color w:val="auto"/>
        </w:rPr>
        <w:t xml:space="preserve"> in the “Income (loss) from discontinued operations, net of tax” line in the Condensed Consolidated Statements of Operations. During the three and six months ended March 30, 2019, the Company recognized insurance recoveries of zero and $5.0 million related to this matter in the “Income (loss) from discontinued operations, net of tax” line in the Condensed Consolidated Statements of Operations Refer to “NOTE 2. DISCONTINUED OPERATIONS” for more information.</w:t>
      </w:r>
    </w:p>
    <w:p>
      <w:pPr>
        <w:spacing w:after="0" w:line="12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During the three and six months ended March 30, 2019, the Company recognized favorable adjustments of $0.9 million and $0.4 million, respectively, related to the previously disclosed legal matter </w:t>
      </w:r>
      <w:r>
        <w:rPr>
          <w:rFonts w:ascii="Arial" w:cs="Arial" w:eastAsia="Arial" w:hAnsi="Arial"/>
          <w:sz w:val="18"/>
          <w:szCs w:val="18"/>
          <w:i w:val="1"/>
          <w:iCs w:val="1"/>
          <w:color w:val="auto"/>
        </w:rPr>
        <w:t>In re Scotts EZ Seed Litigation</w:t>
      </w:r>
      <w:r>
        <w:rPr>
          <w:rFonts w:ascii="Arial" w:cs="Arial" w:eastAsia="Arial" w:hAnsi="Arial"/>
          <w:sz w:val="18"/>
          <w:szCs w:val="18"/>
          <w:color w:val="auto"/>
        </w:rPr>
        <w:t xml:space="preserve"> in the “Impairment, restructuring and other” line in the Condensed Consolidated Statements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MARCH 30,</w:t>
            </w:r>
          </w:p>
        </w:tc>
        <w:tc>
          <w:tcPr>
            <w:tcW w:w="160" w:type="dxa"/>
            <w:vAlign w:val="bottom"/>
          </w:tcPr>
          <w:p>
            <w:pPr>
              <w:spacing w:after="0"/>
              <w:rPr>
                <w:sz w:val="14"/>
                <w:szCs w:val="14"/>
                <w:color w:val="auto"/>
              </w:rPr>
            </w:pPr>
          </w:p>
        </w:tc>
        <w:tc>
          <w:tcPr>
            <w:tcW w:w="1340" w:type="dxa"/>
            <w:vAlign w:val="bottom"/>
          </w:tcPr>
          <w:p>
            <w:pPr>
              <w:jc w:val="right"/>
              <w:ind w:right="11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r>
      <w:tr>
        <w:trPr>
          <w:trHeight w:val="196"/>
        </w:trPr>
        <w:tc>
          <w:tcPr>
            <w:tcW w:w="6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520.0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469.8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344.9</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78"/>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6"/>
              <w:spacing w:after="0"/>
              <w:rPr>
                <w:sz w:val="20"/>
                <w:szCs w:val="20"/>
                <w:color w:val="auto"/>
              </w:rPr>
            </w:pPr>
            <w:r>
              <w:rPr>
                <w:rFonts w:ascii="Arial" w:cs="Arial" w:eastAsia="Arial" w:hAnsi="Arial"/>
                <w:sz w:val="18"/>
                <w:szCs w:val="18"/>
                <w:color w:val="auto"/>
              </w:rPr>
              <w:t>63.6</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155.7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131.8</w:t>
            </w:r>
          </w:p>
        </w:tc>
      </w:tr>
      <w:tr>
        <w:trPr>
          <w:trHeight w:val="237"/>
        </w:trPr>
        <w:tc>
          <w:tcPr>
            <w:tcW w:w="654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743.3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color w:val="auto"/>
              </w:rPr>
              <w:t>675.3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540.3</w:t>
            </w:r>
          </w:p>
        </w:tc>
      </w:tr>
      <w:tr>
        <w:trPr>
          <w:trHeight w:val="27"/>
        </w:trPr>
        <w:tc>
          <w:tcPr>
            <w:tcW w:w="6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7"/>
        <w:spacing w:after="0" w:line="277" w:lineRule="auto"/>
        <w:rPr>
          <w:sz w:val="20"/>
          <w:szCs w:val="20"/>
          <w:color w:val="auto"/>
        </w:rPr>
      </w:pPr>
      <w:r>
        <w:rPr>
          <w:rFonts w:ascii="Arial" w:cs="Arial" w:eastAsia="Arial" w:hAnsi="Arial"/>
          <w:sz w:val="18"/>
          <w:szCs w:val="18"/>
          <w:color w:val="auto"/>
        </w:rPr>
        <w:t>Adjustments to reflect inventories at net realizable values were $12.5 million at March 28, 2020, $8.1 million at March 30, 2019 and $8.8 million at September 30,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14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6"/>
          <w:szCs w:val="16"/>
          <w:color w:val="auto"/>
        </w:rPr>
        <w:t>The Scotts Company LLC (“Scotts LLC”) is the exclusive agent of Monsanto Company, a subsidiary of Bayer AG since June 2018 (“Monsanto”), for the marketing and distribution of certain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products in the United States and certain other specified countries. Effective August 1, 2019, the Company entered into the Third Amended and Restated Exclusive Agency and Marketing Agreement (the “Third Restated Agreement”) which amended, among other things, the provisions of the Second Amended and Restated Exclusive Agency and Marketing Agreement (the “Restated Marketing Agreement”) relating to commissions, contributions, noncompetition, and termination. The annual commission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2" w:name="page13"/>
    <w:bookmarkEnd w:id="12"/>
    <w:p>
      <w:pPr>
        <w:jc w:val="both"/>
        <w:spacing w:after="0" w:line="232" w:lineRule="auto"/>
        <w:rPr>
          <w:sz w:val="20"/>
          <w:szCs w:val="20"/>
          <w:color w:val="auto"/>
        </w:rPr>
      </w:pPr>
      <w:r>
        <w:rPr>
          <w:rFonts w:ascii="Arial" w:cs="Arial" w:eastAsia="Arial" w:hAnsi="Arial"/>
          <w:sz w:val="17"/>
          <w:szCs w:val="17"/>
          <w:color w:val="auto"/>
        </w:rPr>
        <w:t>payable under the Third Restated Agreement is equal to 50% of the actual earnings before interest and income taxes of Monsanto’s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business in the markets covered by the Third Restated Agreement (“Program EBIT”). Prior to the Third Restated Agreement, the annual commission payable was equal to (1) 50% of the actual earnings before interest and income taxes of Monsanto’s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business in the markets covered for program years 2017 and 2018 and (2) 50% of the actual earnings before interest and income taxes of Monsanto’s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business in the markets covered in excess of $40.0 million for program year 2019. The Third Restated Agreement also requires the Company to make annual payments of $18.0 million to Monsanto as a contribution against the overall expenses of its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business, subject to reduction pursuant to the Third Restated Agreement for any program year in which the Program EBIT does not equal or exceed $36.0 million. During the third quarter of fiscal 2019, Monsanto agreed to reimburse the Company for $20.0 million of additional expenses incurred by the Company for certain activities connected to the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marketing agreement and this payment was recognized in the “Net sales” line in the Condensed Consolidated Statements of Operations during the third quarter of fiscal 2019.</w:t>
      </w:r>
    </w:p>
    <w:p>
      <w:pPr>
        <w:spacing w:after="0" w:line="12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Unless Monsanto terminates the Third Restated Agreement due to an event of default by the Company, termination rights under the Third Restated Agreement include the following:</w:t>
      </w:r>
    </w:p>
    <w:p>
      <w:pPr>
        <w:spacing w:after="0" w:line="103" w:lineRule="exact"/>
        <w:rPr>
          <w:sz w:val="20"/>
          <w:szCs w:val="20"/>
          <w:color w:val="auto"/>
        </w:rPr>
      </w:pPr>
    </w:p>
    <w:p>
      <w:pPr>
        <w:ind w:left="66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may terminate the Third Restated Agreement (i) for any reason effective as of September 30, 2022 by delivery of notice of termination to Monsanto on January 15, 2021 (a “Convenience Termination”) or (ii) upon the insolvency or bankruptcy of Monsanto;</w:t>
      </w:r>
    </w:p>
    <w:p>
      <w:pPr>
        <w:spacing w:after="0" w:line="78" w:lineRule="exact"/>
        <w:rPr>
          <w:rFonts w:ascii="Arial" w:cs="Arial" w:eastAsia="Arial" w:hAnsi="Arial"/>
          <w:sz w:val="17"/>
          <w:szCs w:val="17"/>
          <w:color w:val="auto"/>
        </w:rPr>
      </w:pPr>
    </w:p>
    <w:p>
      <w:pPr>
        <w:jc w:val="both"/>
        <w:ind w:left="660" w:hanging="328"/>
        <w:spacing w:after="0" w:line="23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in the lawn and garden market (a “Brand Decommissioning Termination”); and</w:t>
      </w:r>
    </w:p>
    <w:p>
      <w:pPr>
        <w:spacing w:after="0" w:line="1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party may terminate the Third Restated Agreement if Program EBIT falls below $50.0 million and, in such case, no termination fee would be payable to either party.</w:t>
      </w:r>
    </w:p>
    <w:p>
      <w:pPr>
        <w:spacing w:after="0" w:line="10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termination fee structure requires Monsanto to pay a termination fee to the Company in an amount equal to (i) $175.0 million upon a Convenience Termination, (ii) $375.0 million upon a Brand Decommissioning Event, and (iii) the greater of $175.0 million or four times an amount equal to the average of the Program EBIT for the three program years before the year of termination, minus $186.4 million, if Monsanto or its successor terminates the Third Restated Agreement as a result of a Roundup Sale or Change of Control of Monsanto (each, as defined in the Third Restated Agreement).</w:t>
      </w:r>
    </w:p>
    <w:p>
      <w:pPr>
        <w:spacing w:after="0" w:line="120" w:lineRule="exact"/>
        <w:rPr>
          <w:sz w:val="20"/>
          <w:szCs w:val="20"/>
          <w:color w:val="auto"/>
        </w:rPr>
      </w:pPr>
    </w:p>
    <w:p>
      <w:pPr>
        <w:jc w:val="both"/>
        <w:ind w:firstLine="405"/>
        <w:spacing w:after="0" w:line="280" w:lineRule="auto"/>
        <w:rPr>
          <w:sz w:val="20"/>
          <w:szCs w:val="20"/>
          <w:color w:val="auto"/>
        </w:rPr>
      </w:pPr>
      <w:r>
        <w:rPr>
          <w:rFonts w:ascii="Arial" w:cs="Arial" w:eastAsia="Arial" w:hAnsi="Arial"/>
          <w:sz w:val="16"/>
          <w:szCs w:val="16"/>
          <w:color w:val="auto"/>
        </w:rPr>
        <w:t>In connection with the signing of the Third Restated Agreement, the Company also entered into the BEA Purchase Agreement. The BEA Purchase Agreement provides for the sale by the Company to Monsanto of specified assets related to, among other things, the development, manufacture, production, advertising, marketing, promotion, distribution, importation, exportation, offer for sale and sale of specified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products sold outside the non-selective weedkiller category within the residential lawn and garden market. The consideration paid by Monsanto was $112.0 million plus the value of finished goods inventory of $3.5 million. This consideration was recorded in the “Prepaid and other current assets” line in the Consolidated Balance Sheets until it was received by the Company on January 13, 2020. The carrying value of the assets sold, which included the brand extension agreement intangible asset with a carrying value of $111.7 million, approximated the consideration received, resulting in an insignificant gain on the sale.</w:t>
      </w:r>
    </w:p>
    <w:p>
      <w:pPr>
        <w:spacing w:after="0" w:line="9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8"/>
          <w:szCs w:val="18"/>
          <w:color w:val="auto"/>
        </w:rPr>
        <w:t>The elements of the net commission and reimbursements earned under the Restated Marketing Agreement and Third Restated Agreement and included in the “Net sales” line in the Condensed Consolidated Statements of Operations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3"/>
                <w:szCs w:val="13"/>
                <w:color w:val="auto"/>
              </w:rPr>
            </w:pPr>
          </w:p>
        </w:tc>
        <w:tc>
          <w:tcPr>
            <w:tcW w:w="11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30,</w:t>
            </w:r>
          </w:p>
        </w:tc>
        <w:tc>
          <w:tcPr>
            <w:tcW w:w="160" w:type="dxa"/>
            <w:vAlign w:val="bottom"/>
          </w:tcPr>
          <w:p>
            <w:pPr>
              <w:spacing w:after="0"/>
              <w:rPr>
                <w:sz w:val="13"/>
                <w:szCs w:val="13"/>
                <w:color w:val="auto"/>
              </w:rPr>
            </w:pPr>
          </w:p>
        </w:tc>
        <w:tc>
          <w:tcPr>
            <w:tcW w:w="11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3"/>
                <w:szCs w:val="13"/>
                <w:color w:val="auto"/>
              </w:rPr>
            </w:pPr>
          </w:p>
        </w:tc>
        <w:tc>
          <w:tcPr>
            <w:tcW w:w="10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6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2019</w:t>
            </w:r>
          </w:p>
        </w:tc>
      </w:tr>
      <w:tr>
        <w:trPr>
          <w:trHeight w:val="196"/>
        </w:trPr>
        <w:tc>
          <w:tcPr>
            <w:tcW w:w="6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5"/>
          </w:tcPr>
          <w:p>
            <w:pPr>
              <w:ind w:left="7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commission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23.9</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Contribution expenses</w:t>
            </w:r>
          </w:p>
        </w:tc>
        <w:tc>
          <w:tcPr>
            <w:tcW w:w="180" w:type="dxa"/>
            <w:vAlign w:val="bottom"/>
          </w:tcPr>
          <w:p>
            <w:pPr>
              <w:spacing w:after="0"/>
              <w:rPr>
                <w:sz w:val="21"/>
                <w:szCs w:val="21"/>
                <w:color w:val="auto"/>
              </w:rPr>
            </w:pPr>
          </w:p>
        </w:tc>
        <w:tc>
          <w:tcPr>
            <w:tcW w:w="1040" w:type="dxa"/>
            <w:vAlign w:val="bottom"/>
          </w:tcPr>
          <w:p>
            <w:pPr>
              <w:ind w:left="58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ind w:left="58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ind w:left="580"/>
              <w:spacing w:after="0"/>
              <w:rPr>
                <w:sz w:val="20"/>
                <w:szCs w:val="20"/>
                <w:color w:val="auto"/>
              </w:rPr>
            </w:pPr>
            <w:r>
              <w:rPr>
                <w:rFonts w:ascii="Arial" w:cs="Arial" w:eastAsia="Arial" w:hAnsi="Arial"/>
                <w:sz w:val="18"/>
                <w:szCs w:val="18"/>
                <w:color w:val="auto"/>
              </w:rPr>
              <w:t>(9.0)</w:t>
            </w:r>
          </w:p>
        </w:tc>
      </w:tr>
      <w:tr>
        <w:trPr>
          <w:trHeight w:val="27"/>
        </w:trPr>
        <w:tc>
          <w:tcPr>
            <w:tcW w:w="6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commission</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14.9</w:t>
            </w:r>
          </w:p>
        </w:tc>
      </w:tr>
      <w:tr>
        <w:trPr>
          <w:trHeight w:val="27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Reimbursements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27.0</w:t>
            </w:r>
          </w:p>
        </w:tc>
      </w:tr>
      <w:tr>
        <w:trPr>
          <w:trHeight w:val="289"/>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sales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41.9</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7. DEBT</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debt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MARCH 30,</w:t>
            </w:r>
          </w:p>
        </w:tc>
        <w:tc>
          <w:tcPr>
            <w:tcW w:w="160" w:type="dxa"/>
            <w:vAlign w:val="bottom"/>
          </w:tcPr>
          <w:p>
            <w:pPr>
              <w:spacing w:after="0"/>
              <w:rPr>
                <w:sz w:val="14"/>
                <w:szCs w:val="14"/>
                <w:color w:val="auto"/>
              </w:rPr>
            </w:pPr>
          </w:p>
        </w:tc>
        <w:tc>
          <w:tcPr>
            <w:tcW w:w="1340" w:type="dxa"/>
            <w:vAlign w:val="bottom"/>
          </w:tcPr>
          <w:p>
            <w:pPr>
              <w:jc w:val="right"/>
              <w:ind w:right="113"/>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196"/>
        </w:trPr>
        <w:tc>
          <w:tcPr>
            <w:tcW w:w="6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Facilities: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6540" w:type="dxa"/>
            <w:vAlign w:val="bottom"/>
          </w:tcPr>
          <w:p>
            <w:pPr>
              <w:ind w:left="220"/>
              <w:spacing w:after="0"/>
              <w:rPr>
                <w:sz w:val="20"/>
                <w:szCs w:val="20"/>
                <w:color w:val="auto"/>
              </w:rPr>
            </w:pPr>
            <w:r>
              <w:rPr>
                <w:rFonts w:ascii="Arial" w:cs="Arial" w:eastAsia="Arial" w:hAnsi="Arial"/>
                <w:sz w:val="18"/>
                <w:szCs w:val="18"/>
                <w:color w:val="auto"/>
              </w:rPr>
              <w:t>Revolving loans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691.9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666.2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147.2</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Term loans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740.0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750.0</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Senior Notes – 5.250%</w:t>
            </w:r>
          </w:p>
        </w:tc>
        <w:tc>
          <w:tcPr>
            <w:tcW w:w="24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250.0</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 6.000%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400.0</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Senior Notes – 4.500%</w:t>
            </w:r>
          </w:p>
        </w:tc>
        <w:tc>
          <w:tcPr>
            <w:tcW w:w="24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facility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76.0</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4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25.8</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10.3</w:t>
            </w:r>
          </w:p>
        </w:tc>
      </w:tr>
      <w:tr>
        <w:trPr>
          <w:trHeight w:val="237"/>
        </w:trPr>
        <w:tc>
          <w:tcPr>
            <w:tcW w:w="65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2,336.5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2,405.3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1,659.3</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128.1</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24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7.7</w:t>
            </w:r>
          </w:p>
        </w:tc>
      </w:tr>
      <w:tr>
        <w:trPr>
          <w:trHeight w:val="27"/>
        </w:trPr>
        <w:tc>
          <w:tcPr>
            <w:tcW w:w="6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2,113.8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2,039.1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1,523.5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July 5, 2018, the Company entered into a fifth amended and restated credit agreement (the “Fifth A&amp;R Credit Agreement”), providing the Company and certain of its subsidiaries with five-year senior secured loan facilities in the aggregate principal amount of $2.3 billion, comprised of a revolving credit facility of $1.5 billion and a term loan in the original principal amount of $800.0 million (the “Fifth A&amp;R Credit Facilities”).</w:t>
      </w:r>
    </w:p>
    <w:p>
      <w:pPr>
        <w:spacing w:after="0" w:line="9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March 28, 2020, the Company had letters of credit outstanding in the aggregate principal amount of $22.4 million, and $785.7 million of borrowing availability under the Fifth A&amp;R Credit Agreement. The weighted average interest rates on average borrowings under the Fifth A&amp;R Credit Agreement were 3.7% and 4.6% for the six months ended March 28, 2020 and March 30, 2019, respectively.</w:t>
      </w:r>
    </w:p>
    <w:p>
      <w:pPr>
        <w:spacing w:after="0" w:line="11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Fifth A&amp;R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Fifth A&amp;R Credit Agreement (“Adjusted EBITDA”). The maximum leverage ratio is 4.75 for the second quarter of fiscal 2020 through the fourth quarter of fiscal 2020 and 4.50 for the first quarter of fiscal 2021 and thereafter. The Company’s leverage ratio was 3.13 at March 28, 2020. The Fifth A&amp;R Credit Agreement also contains an affirmative covenant regarding the Company’s interest coverage ratio determined as of the end of each of its fiscal quarters. The interest coverage ratio is calculated as Adjusted EBITDA divided by interest expense, as described in the Fifth A&amp;R Credit Agreement, and excludes costs related to refinancings. The minimum interest coverage ratio was 3.00 for the twelve months ended March 28, 2020. The Company’s interest coverage ratio was 7.29 for the twelve months ended March 28, 2020.</w:t>
      </w:r>
    </w:p>
    <w:p>
      <w:pPr>
        <w:spacing w:after="0" w:line="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Fifth A&amp;R Credit Agreement allows the Company to make unlimited restricted payments (as defined in the Fifth A&amp;R Credit Agreement), including dividend payments and repurchases of the common shares of Scotts Miracle-Gro (“Common Shares”), as long as the leverage ratio resulting from the making of such restricted payments is 4.00 or less. Otherwise the Company may make further restricted payments in an aggregate amount for each fiscal year not to exceed $225.0 million for fiscal 2020 and thereafter.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5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December 15, 2016, Scotts Miracle-Gro issued $250.0 million aggregate principal amount of 5.250% Senior Notes due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 Substantially all of Scotts Miracle-Gro’s directly and indirectly owned domestic subsidiaries serve as guarantors of the 5.250% Senior Notes.</w:t>
      </w:r>
    </w:p>
    <w:p>
      <w:pPr>
        <w:spacing w:after="0" w:line="9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October 22, 2019, Scotts Miracle-Gro issued $450.0 million aggregate principal amount of 4.500% Senior Notes due 2029 (the “4.500% Senior Notes”). The net proceeds of the offering were used to redeem all of the Company’s outstanding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6.000% Senior Notes due 2023 (the “6.000% Senior Notes”) and for general corporate purposes. The 4.500% Senior Notes represent general unsecured senior obligations and rank equal in right of payment with the Company’s existing and future unsecured senior debt. The 4.500% Senior Notes have interest payment dates of April 15 and October 15 of each year, commencing April 15, 2020. All of Scotts Miracle-Gro’s domestic subsidiaries that serve as guarantors of the 5.250% Senior Notes also serve as guarantors of the 4.500% Senior Notes.</w:t>
      </w:r>
    </w:p>
    <w:p>
      <w:pPr>
        <w:spacing w:after="0" w:line="10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23, 2019, Scotts Miracle-Gro redeemed all of its outstanding 6.000% Senior Notes for a redemption price of $412.5 million, comprised of $0.5 million of accrued and unpaid interest, $12.0 million of redemption premium, and $400.0 million for outstanding principal amount. The $12.0 million redemption premium was recognized in the “Costs related to refinancing” line on the Condensed Consolidated Statements of Operations during the first quarter of fiscal 2020. Additionally, the Company had $3.1 million in unamortized bond issuance costs associated with the 6.000% Senior Notes, which were written-off during the first quarter of fiscal 2020 and were recognized in the “Costs related to refinancing” line in the Condensed Consolidated Statements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5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April 7, 2017, the Company entered into a Master Repurchase Agreement (including the annexes thereto, the “Repurchase Agreement”) and a Master Framework Agreement, as amended annually (the “Framework Agreement” and, together with the Repurchase Agreement, the “Receivables Facility”). Under the Receivables Facility, the Company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million and the commitment amount during the seasonal commitment period beginning on February 28, 2020 and ending on June 19, 2020 is $160.0 million. The Receivables Facility expires on August 21, 2020.</w:t>
      </w:r>
    </w:p>
    <w:p>
      <w:pPr>
        <w:spacing w:after="0" w:line="9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accounts for the sale of receivables under the Receivables Facility as short-term debt and continues to carry the receivables on its Condensed Consolidated Balance Sheets, primarily as a result of the Company’s requirement to repurchase receivables sold. As of March 28, 2020 and March 30, 2019, there were $160.0 million and $300.0 million, respectively, in borrowings on receivables pledged as collateral under the Receivables Facility, and the carrying value of the receivables pledged as collateral was $177.8 million and $333.3 million,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5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$1,450.0 million, $1,300.0 million and $850.0 million at March 28, 2020, March 30, 2019 and September 30, 2019, respectively. On May 5, 2020, the Company executed two interest rate swap agreements, one with a fixed notional amount of $200.0 million beginning June 2023 through an expiration date in June 2026 that has a fixed rate of 0.85175%, and the other beginning January 2022 through an expiration date in June 2024 that has a fixed rate of 0.577% and has varying notional amounts that adjust in accordance with a specified seasonal schedule with a maximum notional amount at any point in time of $200.0 million. Interest payments made between the effective date and expiration date are hedged by the swap agreements, except as noted below.</w:t>
      </w:r>
    </w:p>
    <w:p>
      <w:pPr>
        <w:spacing w:after="0" w:line="9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8"/>
          <w:szCs w:val="18"/>
          <w:color w:val="auto"/>
        </w:rPr>
        <w:t>The notional amount, effective date, expiration date and rate of each of these swap agreements outstanding at March 28, 2020 are shown in the table below:</w:t>
      </w:r>
    </w:p>
    <w:tbl>
      <w:tblPr>
        <w:tblLayout w:type="fixed"/>
        <w:tblInd w:w="40" w:type="dxa"/>
        <w:tblCellMar>
          <w:top w:w="0" w:type="dxa"/>
          <w:left w:w="0" w:type="dxa"/>
          <w:bottom w:w="0" w:type="dxa"/>
          <w:right w:w="0" w:type="dxa"/>
        </w:tblCellMar>
      </w:tblPr>
      <w:tr>
        <w:trPr>
          <w:trHeight w:val="150"/>
        </w:trPr>
        <w:tc>
          <w:tcPr>
            <w:tcW w:w="380" w:type="dxa"/>
            <w:vAlign w:val="bottom"/>
          </w:tcPr>
          <w:p>
            <w:pPr>
              <w:spacing w:after="0"/>
              <w:rPr>
                <w:sz w:val="13"/>
                <w:szCs w:val="13"/>
                <w:color w:val="auto"/>
              </w:rPr>
            </w:pPr>
          </w:p>
        </w:tc>
        <w:tc>
          <w:tcPr>
            <w:tcW w:w="1980" w:type="dxa"/>
            <w:vAlign w:val="bottom"/>
          </w:tcPr>
          <w:p>
            <w:pPr>
              <w:jc w:val="right"/>
              <w:ind w:right="574"/>
              <w:spacing w:after="0" w:line="150" w:lineRule="exact"/>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3"/>
                <w:szCs w:val="13"/>
                <w:color w:val="auto"/>
              </w:rPr>
            </w:pPr>
          </w:p>
        </w:tc>
        <w:tc>
          <w:tcPr>
            <w:tcW w:w="2860" w:type="dxa"/>
            <w:vAlign w:val="bottom"/>
            <w:gridSpan w:val="2"/>
          </w:tcPr>
          <w:p>
            <w:pPr>
              <w:jc w:val="center"/>
              <w:ind w:right="360"/>
              <w:spacing w:after="0" w:line="150" w:lineRule="exact"/>
              <w:rPr>
                <w:sz w:val="20"/>
                <w:szCs w:val="20"/>
                <w:color w:val="auto"/>
              </w:rPr>
            </w:pPr>
            <w:r>
              <w:rPr>
                <w:rFonts w:ascii="Arial" w:cs="Arial" w:eastAsia="Arial" w:hAnsi="Arial"/>
                <w:sz w:val="14"/>
                <w:szCs w:val="14"/>
                <w:b w:val="1"/>
                <w:bCs w:val="1"/>
                <w:color w:val="auto"/>
                <w:w w:val="92"/>
              </w:rPr>
              <w:t>Effective</w:t>
            </w:r>
          </w:p>
        </w:tc>
        <w:tc>
          <w:tcPr>
            <w:tcW w:w="2840" w:type="dxa"/>
            <w:vAlign w:val="bottom"/>
            <w:gridSpan w:val="2"/>
          </w:tcPr>
          <w:p>
            <w:pPr>
              <w:jc w:val="center"/>
              <w:ind w:right="380"/>
              <w:spacing w:after="0" w:line="150" w:lineRule="exact"/>
              <w:rPr>
                <w:sz w:val="20"/>
                <w:szCs w:val="20"/>
                <w:color w:val="auto"/>
              </w:rPr>
            </w:pPr>
            <w:r>
              <w:rPr>
                <w:rFonts w:ascii="Arial" w:cs="Arial" w:eastAsia="Arial" w:hAnsi="Arial"/>
                <w:sz w:val="14"/>
                <w:szCs w:val="14"/>
                <w:b w:val="1"/>
                <w:bCs w:val="1"/>
                <w:color w:val="auto"/>
                <w:w w:val="96"/>
              </w:rPr>
              <w:t>Expiration</w:t>
            </w:r>
          </w:p>
        </w:tc>
        <w:tc>
          <w:tcPr>
            <w:tcW w:w="2560" w:type="dxa"/>
            <w:vAlign w:val="bottom"/>
          </w:tcPr>
          <w:p>
            <w:pPr>
              <w:jc w:val="right"/>
              <w:ind w:right="934"/>
              <w:spacing w:after="0" w:line="150" w:lineRule="exact"/>
              <w:rPr>
                <w:sz w:val="20"/>
                <w:szCs w:val="20"/>
                <w:color w:val="auto"/>
              </w:rPr>
            </w:pPr>
            <w:r>
              <w:rPr>
                <w:rFonts w:ascii="Arial" w:cs="Arial" w:eastAsia="Arial" w:hAnsi="Arial"/>
                <w:sz w:val="14"/>
                <w:szCs w:val="14"/>
                <w:b w:val="1"/>
                <w:bCs w:val="1"/>
                <w:color w:val="auto"/>
              </w:rPr>
              <w:t>Fixed</w:t>
            </w:r>
          </w:p>
        </w:tc>
        <w:tc>
          <w:tcPr>
            <w:tcW w:w="220" w:type="dxa"/>
            <w:vAlign w:val="bottom"/>
          </w:tcPr>
          <w:p>
            <w:pPr>
              <w:spacing w:after="0"/>
              <w:rPr>
                <w:sz w:val="13"/>
                <w:szCs w:val="13"/>
                <w:color w:val="auto"/>
              </w:rPr>
            </w:pPr>
          </w:p>
        </w:tc>
      </w:tr>
      <w:tr>
        <w:trPr>
          <w:trHeight w:val="192"/>
        </w:trPr>
        <w:tc>
          <w:tcPr>
            <w:tcW w:w="380" w:type="dxa"/>
            <w:vAlign w:val="bottom"/>
          </w:tcPr>
          <w:p>
            <w:pPr>
              <w:spacing w:after="0"/>
              <w:rPr>
                <w:sz w:val="16"/>
                <w:szCs w:val="16"/>
                <w:color w:val="auto"/>
              </w:rPr>
            </w:pPr>
          </w:p>
        </w:tc>
        <w:tc>
          <w:tcPr>
            <w:tcW w:w="1980" w:type="dxa"/>
            <w:vAlign w:val="bottom"/>
          </w:tcPr>
          <w:p>
            <w:pPr>
              <w:jc w:val="right"/>
              <w:ind w:right="734"/>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2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Date (a)</w:t>
            </w:r>
          </w:p>
        </w:tc>
        <w:tc>
          <w:tcPr>
            <w:tcW w:w="2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Date</w:t>
            </w:r>
          </w:p>
        </w:tc>
        <w:tc>
          <w:tcPr>
            <w:tcW w:w="2560" w:type="dxa"/>
            <w:vAlign w:val="bottom"/>
          </w:tcPr>
          <w:p>
            <w:pPr>
              <w:jc w:val="right"/>
              <w:ind w:right="954"/>
              <w:spacing w:after="0"/>
              <w:rPr>
                <w:sz w:val="20"/>
                <w:szCs w:val="20"/>
                <w:color w:val="auto"/>
              </w:rPr>
            </w:pPr>
            <w:r>
              <w:rPr>
                <w:rFonts w:ascii="Arial" w:cs="Arial" w:eastAsia="Arial" w:hAnsi="Arial"/>
                <w:sz w:val="14"/>
                <w:szCs w:val="14"/>
                <w:b w:val="1"/>
                <w:bCs w:val="1"/>
                <w:color w:val="auto"/>
              </w:rPr>
              <w:t>Rate</w:t>
            </w:r>
          </w:p>
        </w:tc>
        <w:tc>
          <w:tcPr>
            <w:tcW w:w="220" w:type="dxa"/>
            <w:vAlign w:val="bottom"/>
          </w:tcPr>
          <w:p>
            <w:pPr>
              <w:spacing w:after="0"/>
              <w:rPr>
                <w:sz w:val="16"/>
                <w:szCs w:val="16"/>
                <w:color w:val="auto"/>
              </w:rPr>
            </w:pPr>
          </w:p>
        </w:tc>
      </w:tr>
      <w:tr>
        <w:trPr>
          <w:trHeight w:val="269"/>
        </w:trPr>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250</w:t>
            </w:r>
          </w:p>
        </w:tc>
        <w:tc>
          <w:tcPr>
            <w:tcW w:w="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w:t>
            </w: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1/8/2018</w:t>
            </w:r>
          </w:p>
        </w:tc>
        <w:tc>
          <w:tcPr>
            <w:tcW w:w="360" w:type="dxa"/>
            <w:vAlign w:val="bottom"/>
            <w:tcBorders>
              <w:top w:val="single" w:sz="8" w:color="CCEEFF"/>
            </w:tcBorders>
            <w:shd w:val="clear" w:color="auto" w:fill="CCEEFF"/>
          </w:tcPr>
          <w:p>
            <w:pPr>
              <w:spacing w:after="0"/>
              <w:rPr>
                <w:sz w:val="23"/>
                <w:szCs w:val="23"/>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6/8/2020</w:t>
            </w:r>
          </w:p>
        </w:tc>
        <w:tc>
          <w:tcPr>
            <w:tcW w:w="360" w:type="dxa"/>
            <w:vAlign w:val="bottom"/>
            <w:tcBorders>
              <w:top w:val="single" w:sz="8" w:color="CCEEFF"/>
            </w:tcBorders>
            <w:shd w:val="clear" w:color="auto" w:fill="CCEEFF"/>
          </w:tcPr>
          <w:p>
            <w:pPr>
              <w:spacing w:after="0"/>
              <w:rPr>
                <w:sz w:val="23"/>
                <w:szCs w:val="23"/>
                <w:color w:val="auto"/>
              </w:rPr>
            </w:pP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80" w:type="dxa"/>
            <w:vAlign w:val="bottom"/>
          </w:tcPr>
          <w:p>
            <w:pPr>
              <w:spacing w:after="0"/>
              <w:rPr>
                <w:sz w:val="21"/>
                <w:szCs w:val="21"/>
                <w:color w:val="auto"/>
              </w:rPr>
            </w:pPr>
          </w:p>
        </w:tc>
        <w:tc>
          <w:tcPr>
            <w:tcW w:w="1980" w:type="dxa"/>
            <w:vAlign w:val="bottom"/>
          </w:tcPr>
          <w:p>
            <w:pPr>
              <w:jc w:val="right"/>
              <w:ind w:right="74"/>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6/20/2018</w:t>
            </w:r>
          </w:p>
        </w:tc>
        <w:tc>
          <w:tcPr>
            <w:tcW w:w="36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10/20/2020</w:t>
            </w:r>
          </w:p>
        </w:tc>
        <w:tc>
          <w:tcPr>
            <w:tcW w:w="36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38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20"/>
                <w:szCs w:val="20"/>
                <w:color w:val="auto"/>
              </w:rPr>
            </w:pPr>
            <w:r>
              <w:rPr>
                <w:rFonts w:ascii="Arial" w:cs="Arial" w:eastAsia="Arial" w:hAnsi="Arial"/>
                <w:sz w:val="13"/>
                <w:szCs w:val="13"/>
                <w:color w:val="auto"/>
              </w:rPr>
              <w:t>(b)</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60" w:type="dxa"/>
            <w:vAlign w:val="bottom"/>
            <w:shd w:val="clear" w:color="auto" w:fill="CCEEFF"/>
          </w:tcPr>
          <w:p>
            <w:pPr>
              <w:spacing w:after="0"/>
              <w:rPr>
                <w:sz w:val="23"/>
                <w:szCs w:val="23"/>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6/7/2021</w:t>
            </w:r>
          </w:p>
        </w:tc>
        <w:tc>
          <w:tcPr>
            <w:tcW w:w="360" w:type="dxa"/>
            <w:vAlign w:val="bottom"/>
            <w:shd w:val="clear" w:color="auto" w:fill="CCEEFF"/>
          </w:tcPr>
          <w:p>
            <w:pPr>
              <w:spacing w:after="0"/>
              <w:rPr>
                <w:sz w:val="23"/>
                <w:szCs w:val="23"/>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80" w:type="dxa"/>
            <w:vAlign w:val="bottom"/>
          </w:tcPr>
          <w:p>
            <w:pPr>
              <w:spacing w:after="0"/>
              <w:rPr>
                <w:sz w:val="21"/>
                <w:szCs w:val="21"/>
                <w:color w:val="auto"/>
              </w:rPr>
            </w:pPr>
          </w:p>
        </w:tc>
        <w:tc>
          <w:tcPr>
            <w:tcW w:w="1980" w:type="dxa"/>
            <w:vAlign w:val="bottom"/>
          </w:tcPr>
          <w:p>
            <w:pPr>
              <w:jc w:val="right"/>
              <w:ind w:right="74"/>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11/7/2018</w:t>
            </w:r>
          </w:p>
        </w:tc>
        <w:tc>
          <w:tcPr>
            <w:tcW w:w="36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7/7/2021</w:t>
            </w:r>
          </w:p>
        </w:tc>
        <w:tc>
          <w:tcPr>
            <w:tcW w:w="36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200</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6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6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80" w:type="dxa"/>
            <w:vAlign w:val="bottom"/>
          </w:tcPr>
          <w:p>
            <w:pPr>
              <w:spacing w:after="0"/>
              <w:rPr>
                <w:sz w:val="21"/>
                <w:szCs w:val="21"/>
                <w:color w:val="auto"/>
              </w:rPr>
            </w:pPr>
          </w:p>
        </w:tc>
        <w:tc>
          <w:tcPr>
            <w:tcW w:w="1980" w:type="dxa"/>
            <w:vAlign w:val="bottom"/>
          </w:tcPr>
          <w:p>
            <w:pPr>
              <w:jc w:val="right"/>
              <w:ind w:right="74"/>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12/21/2020</w:t>
            </w:r>
          </w:p>
        </w:tc>
        <w:tc>
          <w:tcPr>
            <w:tcW w:w="36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6/20/2023</w:t>
            </w:r>
          </w:p>
        </w:tc>
        <w:tc>
          <w:tcPr>
            <w:tcW w:w="36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38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300</w:t>
            </w:r>
          </w:p>
        </w:tc>
        <w:tc>
          <w:tcPr>
            <w:tcW w:w="340" w:type="dxa"/>
            <w:vAlign w:val="bottom"/>
            <w:shd w:val="clear" w:color="auto" w:fill="CCEEFF"/>
          </w:tcPr>
          <w:p>
            <w:pPr>
              <w:spacing w:after="0"/>
              <w:rPr>
                <w:sz w:val="20"/>
                <w:szCs w:val="20"/>
                <w:color w:val="auto"/>
              </w:rPr>
            </w:pPr>
            <w:r>
              <w:rPr>
                <w:rFonts w:ascii="Arial" w:cs="Arial" w:eastAsia="Arial" w:hAnsi="Arial"/>
                <w:sz w:val="13"/>
                <w:szCs w:val="13"/>
                <w:color w:val="auto"/>
              </w:rPr>
              <w:t>(b)</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1/7/2021</w:t>
            </w:r>
          </w:p>
        </w:tc>
        <w:tc>
          <w:tcPr>
            <w:tcW w:w="360" w:type="dxa"/>
            <w:vAlign w:val="bottom"/>
            <w:shd w:val="clear" w:color="auto" w:fill="CCEEFF"/>
          </w:tcPr>
          <w:p>
            <w:pPr>
              <w:spacing w:after="0"/>
              <w:rPr>
                <w:sz w:val="23"/>
                <w:szCs w:val="23"/>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shd w:val="clear" w:color="auto" w:fill="CCEEFF"/>
          </w:tcPr>
          <w:p>
            <w:pPr>
              <w:spacing w:after="0"/>
              <w:rPr>
                <w:sz w:val="23"/>
                <w:szCs w:val="23"/>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80" w:type="dxa"/>
            <w:vAlign w:val="bottom"/>
          </w:tcPr>
          <w:p>
            <w:pPr>
              <w:spacing w:after="0"/>
              <w:rPr>
                <w:sz w:val="21"/>
                <w:szCs w:val="21"/>
                <w:color w:val="auto"/>
              </w:rPr>
            </w:pPr>
          </w:p>
        </w:tc>
        <w:tc>
          <w:tcPr>
            <w:tcW w:w="1980" w:type="dxa"/>
            <w:vAlign w:val="bottom"/>
          </w:tcPr>
          <w:p>
            <w:pPr>
              <w:jc w:val="right"/>
              <w:ind w:right="74"/>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10/7/2021</w:t>
            </w:r>
          </w:p>
        </w:tc>
        <w:tc>
          <w:tcPr>
            <w:tcW w:w="36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121"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first hedged by the applicable swap agreement.</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weighted average interest rates on the Company’s debt were 4.3% and 4.7% for the six months ended March 28, 2020 and March 30, 2019,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w:t>
      </w:r>
    </w:p>
    <w:p>
      <w:pPr>
        <w:spacing w:after="0" w:line="148" w:lineRule="exact"/>
        <w:rPr>
          <w:sz w:val="20"/>
          <w:szCs w:val="20"/>
          <w:color w:val="auto"/>
        </w:rPr>
      </w:pPr>
    </w:p>
    <w:p>
      <w:pPr>
        <w:ind w:right="20" w:firstLine="912"/>
        <w:spacing w:after="0" w:line="277" w:lineRule="auto"/>
        <w:rPr>
          <w:sz w:val="20"/>
          <w:szCs w:val="20"/>
          <w:color w:val="auto"/>
        </w:rPr>
      </w:pPr>
      <w:r>
        <w:rPr>
          <w:rFonts w:ascii="Arial" w:cs="Arial" w:eastAsia="Arial" w:hAnsi="Arial"/>
          <w:sz w:val="18"/>
          <w:szCs w:val="18"/>
          <w:color w:val="auto"/>
        </w:rPr>
        <w:t>The following table provides a summary of the changes in total equity, equity attributable to controlling interest, and equity attributable to noncontrolling interests for each of the periods indicated (in millions):</w:t>
      </w:r>
    </w:p>
    <w:tbl>
      <w:tblPr>
        <w:tblLayout w:type="fixed"/>
        <w:tblInd w:w="0" w:type="dxa"/>
        <w:tblCellMar>
          <w:top w:w="0" w:type="dxa"/>
          <w:left w:w="0" w:type="dxa"/>
          <w:bottom w:w="0" w:type="dxa"/>
          <w:right w:w="0" w:type="dxa"/>
        </w:tblCellMar>
      </w:tblPr>
      <w:tr>
        <w:trPr>
          <w:trHeight w:val="139"/>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87"/>
              </w:rPr>
              <w:t>Common Shares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5"/>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and Capital in</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Accumulated Other</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Excess of Stated</w:t>
            </w:r>
          </w:p>
        </w:tc>
        <w:tc>
          <w:tcPr>
            <w:tcW w:w="20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Retained</w:t>
            </w:r>
          </w:p>
        </w:tc>
        <w:tc>
          <w:tcPr>
            <w:tcW w:w="20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Total Equity -</w:t>
            </w: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240" w:type="dxa"/>
            <w:vAlign w:val="bottom"/>
          </w:tcPr>
          <w:p>
            <w:pPr>
              <w:spacing w:after="0"/>
              <w:rPr>
                <w:sz w:val="11"/>
                <w:szCs w:val="11"/>
                <w:color w:val="auto"/>
              </w:rPr>
            </w:pPr>
          </w:p>
        </w:tc>
        <w:tc>
          <w:tcPr>
            <w:tcW w:w="900" w:type="dxa"/>
            <w:vAlign w:val="bottom"/>
          </w:tcPr>
          <w:p>
            <w:pPr>
              <w:jc w:val="right"/>
              <w:ind w:right="369"/>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Value</w:t>
            </w:r>
          </w:p>
        </w:tc>
        <w:tc>
          <w:tcPr>
            <w:tcW w:w="20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Arial" w:cs="Arial" w:eastAsia="Arial" w:hAnsi="Arial"/>
                <w:sz w:val="13"/>
                <w:szCs w:val="13"/>
                <w:b w:val="1"/>
                <w:bCs w:val="1"/>
                <w:color w:val="auto"/>
              </w:rPr>
              <w:t>Earnings</w:t>
            </w:r>
          </w:p>
        </w:tc>
        <w:tc>
          <w:tcPr>
            <w:tcW w:w="2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8"/>
              </w:rPr>
              <w:t>Loss</w:t>
            </w:r>
          </w:p>
        </w:tc>
        <w:tc>
          <w:tcPr>
            <w:tcW w:w="12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Controlling Interest</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15"/>
                <w:szCs w:val="15"/>
                <w:color w:val="auto"/>
              </w:rPr>
            </w:pPr>
          </w:p>
        </w:tc>
        <w:tc>
          <w:tcPr>
            <w:tcW w:w="900" w:type="dxa"/>
            <w:vAlign w:val="bottom"/>
          </w:tcPr>
          <w:p>
            <w:pPr>
              <w:jc w:val="right"/>
              <w:ind w:right="329"/>
              <w:spacing w:after="0"/>
              <w:rPr>
                <w:sz w:val="20"/>
                <w:szCs w:val="20"/>
                <w:color w:val="auto"/>
              </w:rPr>
            </w:pPr>
            <w:r>
              <w:rPr>
                <w:rFonts w:ascii="Arial" w:cs="Arial" w:eastAsia="Arial" w:hAnsi="Arial"/>
                <w:sz w:val="13"/>
                <w:szCs w:val="13"/>
                <w:b w:val="1"/>
                <w:bCs w:val="1"/>
                <w:color w:val="auto"/>
              </w:rPr>
              <w:t>Equity</w:t>
            </w:r>
          </w:p>
        </w:tc>
      </w:tr>
      <w:tr>
        <w:trPr>
          <w:trHeight w:val="203"/>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442.2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1,274.7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(904.3)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(93.9)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718.7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4.5</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723.2</w:t>
            </w:r>
          </w:p>
        </w:tc>
      </w:tr>
      <w:tr>
        <w:trPr>
          <w:trHeight w:val="197"/>
        </w:trPr>
        <w:tc>
          <w:tcPr>
            <w:tcW w:w="25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(71.4)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(71.3)</w:t>
            </w:r>
          </w:p>
        </w:tc>
      </w:tr>
      <w:tr>
        <w:trPr>
          <w:trHeight w:val="208"/>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2.9</w:t>
            </w:r>
          </w:p>
        </w:tc>
      </w:tr>
      <w:tr>
        <w:trPr>
          <w:trHeight w:val="197"/>
        </w:trPr>
        <w:tc>
          <w:tcPr>
            <w:tcW w:w="25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tcPr>
          <w:p>
            <w:pPr>
              <w:spacing w:after="0"/>
              <w:rPr>
                <w:sz w:val="17"/>
                <w:szCs w:val="17"/>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7.0</w:t>
            </w:r>
          </w:p>
        </w:tc>
      </w:tr>
      <w:tr>
        <w:trPr>
          <w:trHeight w:val="208"/>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($0.580 per share)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(33.5)</w:t>
            </w:r>
          </w:p>
        </w:tc>
      </w:tr>
      <w:tr>
        <w:trPr>
          <w:trHeight w:val="197"/>
        </w:trPr>
        <w:tc>
          <w:tcPr>
            <w:tcW w:w="2560" w:type="dxa"/>
            <w:vAlign w:val="bottom"/>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tcPr>
          <w:p>
            <w:pPr>
              <w:spacing w:after="0"/>
              <w:rPr>
                <w:sz w:val="17"/>
                <w:szCs w:val="17"/>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0.9</w:t>
            </w:r>
          </w:p>
        </w:tc>
      </w:tr>
      <w:tr>
        <w:trPr>
          <w:trHeight w:val="202"/>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28,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448.9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1,169.8</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(903.1)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624.6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4.7</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629.3</w:t>
            </w:r>
          </w:p>
        </w:tc>
      </w:tr>
      <w:tr>
        <w:trPr>
          <w:trHeight w:val="196"/>
        </w:trPr>
        <w:tc>
          <w:tcPr>
            <w:tcW w:w="25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252.2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252.2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252.4</w:t>
            </w: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(16.9)</w:t>
            </w:r>
          </w:p>
        </w:tc>
      </w:tr>
      <w:tr>
        <w:trPr>
          <w:trHeight w:val="196"/>
        </w:trPr>
        <w:tc>
          <w:tcPr>
            <w:tcW w:w="25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tcPr>
          <w:p>
            <w:pPr>
              <w:spacing w:after="0"/>
              <w:rPr>
                <w:sz w:val="17"/>
                <w:szCs w:val="17"/>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12.0</w:t>
            </w: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($0.580 per share)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(33.0)</w:t>
            </w:r>
          </w:p>
        </w:tc>
      </w:tr>
      <w:tr>
        <w:trPr>
          <w:trHeight w:val="196"/>
        </w:trPr>
        <w:tc>
          <w:tcPr>
            <w:tcW w:w="2560" w:type="dxa"/>
            <w:vAlign w:val="bottom"/>
          </w:tcPr>
          <w:p>
            <w:pPr>
              <w:ind w:left="20"/>
              <w:spacing w:after="0"/>
              <w:rPr>
                <w:sz w:val="20"/>
                <w:szCs w:val="20"/>
                <w:color w:val="auto"/>
              </w:rPr>
            </w:pPr>
            <w:r>
              <w:rPr>
                <w:rFonts w:ascii="Arial" w:cs="Arial" w:eastAsia="Arial" w:hAnsi="Arial"/>
                <w:sz w:val="14"/>
                <w:szCs w:val="14"/>
                <w:color w:val="auto"/>
              </w:rPr>
              <w:t>Treasury share purchases</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(52.9)</w:t>
            </w:r>
          </w:p>
        </w:tc>
      </w:tr>
      <w:tr>
        <w:trPr>
          <w:trHeight w:val="203"/>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3.7</w:t>
            </w:r>
          </w:p>
        </w:tc>
      </w:tr>
      <w:tr>
        <w:trPr>
          <w:trHeight w:val="202"/>
        </w:trPr>
        <w:tc>
          <w:tcPr>
            <w:tcW w:w="2560" w:type="dxa"/>
            <w:vAlign w:val="bottom"/>
          </w:tcPr>
          <w:p>
            <w:pPr>
              <w:ind w:left="20"/>
              <w:spacing w:after="0"/>
              <w:rPr>
                <w:sz w:val="20"/>
                <w:szCs w:val="20"/>
                <w:color w:val="auto"/>
              </w:rPr>
            </w:pPr>
            <w:r>
              <w:rPr>
                <w:rFonts w:ascii="Arial" w:cs="Arial" w:eastAsia="Arial" w:hAnsi="Arial"/>
                <w:sz w:val="14"/>
                <w:szCs w:val="14"/>
                <w:color w:val="auto"/>
              </w:rPr>
              <w:t>Balance at March 28,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450.5</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1,389.0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(941.9)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789.7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794.6</w:t>
            </w:r>
          </w:p>
        </w:tc>
      </w:tr>
      <w:tr>
        <w:trPr>
          <w:trHeight w:val="21"/>
        </w:trPr>
        <w:tc>
          <w:tcPr>
            <w:tcW w:w="2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Common Shares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5"/>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and Capital in</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Accumulated Other</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Excess of Stated</w:t>
            </w:r>
          </w:p>
        </w:tc>
        <w:tc>
          <w:tcPr>
            <w:tcW w:w="20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Retained</w:t>
            </w:r>
          </w:p>
        </w:tc>
        <w:tc>
          <w:tcPr>
            <w:tcW w:w="20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Total Equity -</w:t>
            </w: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240" w:type="dxa"/>
            <w:vAlign w:val="bottom"/>
          </w:tcPr>
          <w:p>
            <w:pPr>
              <w:spacing w:after="0"/>
              <w:rPr>
                <w:sz w:val="11"/>
                <w:szCs w:val="11"/>
                <w:color w:val="auto"/>
              </w:rPr>
            </w:pPr>
          </w:p>
        </w:tc>
        <w:tc>
          <w:tcPr>
            <w:tcW w:w="900" w:type="dxa"/>
            <w:vAlign w:val="bottom"/>
          </w:tcPr>
          <w:p>
            <w:pPr>
              <w:jc w:val="right"/>
              <w:ind w:right="369"/>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Value</w:t>
            </w:r>
          </w:p>
        </w:tc>
        <w:tc>
          <w:tcPr>
            <w:tcW w:w="20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Arial" w:cs="Arial" w:eastAsia="Arial" w:hAnsi="Arial"/>
                <w:sz w:val="13"/>
                <w:szCs w:val="13"/>
                <w:b w:val="1"/>
                <w:bCs w:val="1"/>
                <w:color w:val="auto"/>
              </w:rPr>
              <w:t>Earnings</w:t>
            </w:r>
          </w:p>
        </w:tc>
        <w:tc>
          <w:tcPr>
            <w:tcW w:w="2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8"/>
              </w:rPr>
              <w:t>Loss</w:t>
            </w:r>
          </w:p>
        </w:tc>
        <w:tc>
          <w:tcPr>
            <w:tcW w:w="12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Controlling Interest</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15"/>
                <w:szCs w:val="15"/>
                <w:color w:val="auto"/>
              </w:rPr>
            </w:pPr>
          </w:p>
        </w:tc>
        <w:tc>
          <w:tcPr>
            <w:tcW w:w="900" w:type="dxa"/>
            <w:vAlign w:val="bottom"/>
          </w:tcPr>
          <w:p>
            <w:pPr>
              <w:jc w:val="right"/>
              <w:ind w:right="329"/>
              <w:spacing w:after="0"/>
              <w:rPr>
                <w:sz w:val="20"/>
                <w:szCs w:val="20"/>
                <w:color w:val="auto"/>
              </w:rPr>
            </w:pPr>
            <w:r>
              <w:rPr>
                <w:rFonts w:ascii="Arial" w:cs="Arial" w:eastAsia="Arial" w:hAnsi="Arial"/>
                <w:sz w:val="13"/>
                <w:szCs w:val="13"/>
                <w:b w:val="1"/>
                <w:bCs w:val="1"/>
                <w:color w:val="auto"/>
              </w:rPr>
              <w:t>Equity</w:t>
            </w:r>
          </w:p>
        </w:tc>
      </w:tr>
      <w:tr>
        <w:trPr>
          <w:trHeight w:val="203"/>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420.3</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919.9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(939.6)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(46.0)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354.6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5.0</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359.6</w:t>
            </w:r>
          </w:p>
        </w:tc>
      </w:tr>
      <w:tr>
        <w:trPr>
          <w:trHeight w:val="157"/>
        </w:trPr>
        <w:tc>
          <w:tcPr>
            <w:tcW w:w="2560" w:type="dxa"/>
            <w:vAlign w:val="bottom"/>
          </w:tcPr>
          <w:p>
            <w:pPr>
              <w:ind w:left="20"/>
              <w:spacing w:after="0" w:line="157" w:lineRule="exact"/>
              <w:rPr>
                <w:sz w:val="20"/>
                <w:szCs w:val="20"/>
                <w:color w:val="auto"/>
              </w:rPr>
            </w:pPr>
            <w:r>
              <w:rPr>
                <w:rFonts w:ascii="Arial" w:cs="Arial" w:eastAsia="Arial" w:hAnsi="Arial"/>
                <w:sz w:val="14"/>
                <w:szCs w:val="14"/>
                <w:color w:val="auto"/>
              </w:rPr>
              <w:t>Adoption of new accounting</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8"/>
        </w:trPr>
        <w:tc>
          <w:tcPr>
            <w:tcW w:w="2560" w:type="dxa"/>
            <w:vAlign w:val="bottom"/>
          </w:tcPr>
          <w:p>
            <w:pPr>
              <w:ind w:left="20"/>
              <w:spacing w:after="0"/>
              <w:rPr>
                <w:sz w:val="20"/>
                <w:szCs w:val="20"/>
                <w:color w:val="auto"/>
              </w:rPr>
            </w:pPr>
            <w:r>
              <w:rPr>
                <w:rFonts w:ascii="Arial" w:cs="Arial" w:eastAsia="Arial" w:hAnsi="Arial"/>
                <w:sz w:val="14"/>
                <w:szCs w:val="14"/>
                <w:color w:val="auto"/>
              </w:rPr>
              <w:t>pronouncements</w:t>
            </w:r>
          </w:p>
        </w:tc>
        <w:tc>
          <w:tcPr>
            <w:tcW w:w="10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9.1</w:t>
            </w:r>
          </w:p>
        </w:tc>
      </w:tr>
      <w:tr>
        <w:trPr>
          <w:trHeight w:val="208"/>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(79.7)</w:t>
            </w:r>
          </w:p>
        </w:tc>
      </w:tr>
      <w:tr>
        <w:trPr>
          <w:trHeight w:val="197"/>
        </w:trPr>
        <w:tc>
          <w:tcPr>
            <w:tcW w:w="256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(12.4)</w:t>
            </w:r>
          </w:p>
        </w:tc>
      </w:tr>
      <w:tr>
        <w:trPr>
          <w:trHeight w:val="208"/>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6.6</w:t>
            </w:r>
          </w:p>
        </w:tc>
      </w:tr>
      <w:tr>
        <w:trPr>
          <w:trHeight w:val="196"/>
        </w:trPr>
        <w:tc>
          <w:tcPr>
            <w:tcW w:w="2560" w:type="dxa"/>
            <w:vAlign w:val="bottom"/>
          </w:tcPr>
          <w:p>
            <w:pPr>
              <w:ind w:left="20"/>
              <w:spacing w:after="0"/>
              <w:rPr>
                <w:sz w:val="20"/>
                <w:szCs w:val="20"/>
                <w:color w:val="auto"/>
              </w:rPr>
            </w:pPr>
            <w:r>
              <w:rPr>
                <w:rFonts w:ascii="Arial" w:cs="Arial" w:eastAsia="Arial" w:hAnsi="Arial"/>
                <w:sz w:val="14"/>
                <w:szCs w:val="14"/>
                <w:color w:val="auto"/>
              </w:rPr>
              <w:t>Dividends declared ($0.550 per share)</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(30.9)</w:t>
            </w:r>
          </w:p>
        </w:tc>
      </w:tr>
      <w:tr>
        <w:trPr>
          <w:trHeight w:val="203"/>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0.9</w:t>
            </w:r>
          </w:p>
        </w:tc>
      </w:tr>
      <w:tr>
        <w:trPr>
          <w:trHeight w:val="196"/>
        </w:trPr>
        <w:tc>
          <w:tcPr>
            <w:tcW w:w="2560" w:type="dxa"/>
            <w:vAlign w:val="bottom"/>
          </w:tcPr>
          <w:p>
            <w:pPr>
              <w:ind w:left="20"/>
              <w:spacing w:after="0"/>
              <w:rPr>
                <w:sz w:val="20"/>
                <w:szCs w:val="20"/>
                <w:color w:val="auto"/>
              </w:rPr>
            </w:pPr>
            <w:r>
              <w:rPr>
                <w:rFonts w:ascii="Arial" w:cs="Arial" w:eastAsia="Arial" w:hAnsi="Arial"/>
                <w:sz w:val="14"/>
                <w:szCs w:val="14"/>
                <w:color w:val="auto"/>
              </w:rPr>
              <w:t>Balance at December 29, 2018</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425.9</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835.4</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(937.7)</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248.3</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253.2</w:t>
            </w:r>
          </w:p>
        </w:tc>
      </w:tr>
      <w:tr>
        <w:trPr>
          <w:trHeight w:val="208"/>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396.5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396.5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396.4</w:t>
            </w:r>
          </w:p>
        </w:tc>
      </w:tr>
      <w:tr>
        <w:trPr>
          <w:trHeight w:val="197"/>
        </w:trPr>
        <w:tc>
          <w:tcPr>
            <w:tcW w:w="256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(3.9)</w:t>
            </w:r>
          </w:p>
        </w:tc>
      </w:tr>
      <w:tr>
        <w:trPr>
          <w:trHeight w:val="208"/>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10.4</w:t>
            </w:r>
          </w:p>
        </w:tc>
      </w:tr>
      <w:tr>
        <w:trPr>
          <w:trHeight w:val="197"/>
        </w:trPr>
        <w:tc>
          <w:tcPr>
            <w:tcW w:w="2560" w:type="dxa"/>
            <w:vAlign w:val="bottom"/>
          </w:tcPr>
          <w:p>
            <w:pPr>
              <w:ind w:left="20"/>
              <w:spacing w:after="0"/>
              <w:rPr>
                <w:sz w:val="20"/>
                <w:szCs w:val="20"/>
                <w:color w:val="auto"/>
              </w:rPr>
            </w:pPr>
            <w:r>
              <w:rPr>
                <w:rFonts w:ascii="Arial" w:cs="Arial" w:eastAsia="Arial" w:hAnsi="Arial"/>
                <w:sz w:val="14"/>
                <w:szCs w:val="14"/>
                <w:color w:val="auto"/>
              </w:rPr>
              <w:t>Dividends declared ($0.550 per share)</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(32.7)</w:t>
            </w:r>
          </w:p>
        </w:tc>
      </w:tr>
      <w:tr>
        <w:trPr>
          <w:trHeight w:val="208"/>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purchases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w:t>
            </w:r>
          </w:p>
        </w:tc>
      </w:tr>
      <w:tr>
        <w:trPr>
          <w:trHeight w:val="197"/>
        </w:trPr>
        <w:tc>
          <w:tcPr>
            <w:tcW w:w="2560" w:type="dxa"/>
            <w:vAlign w:val="bottom"/>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tcPr>
          <w:p>
            <w:pPr>
              <w:spacing w:after="0"/>
              <w:rPr>
                <w:sz w:val="17"/>
                <w:szCs w:val="17"/>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1.1</w:t>
            </w:r>
          </w:p>
        </w:tc>
      </w:tr>
      <w:tr>
        <w:trPr>
          <w:trHeight w:val="227"/>
        </w:trPr>
        <w:tc>
          <w:tcPr>
            <w:tcW w:w="2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30, 2019</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426.2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1,199.2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(929.0)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617.2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622.1</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Accumulated Other Comprehensive Loss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March 28, 2020 and September 30, 2019, the Company had unrecognized losses on pension and other postretirement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liabilities of $67.3 million, net of tax of $22.4 million, and $68.4 million, net of tax of $22.8 million, respectively, recorded in accumulated other comprehensive loss. At March 28, 2020 and September 30, 2019, the Company had accumulated foreign currency translation losses of $22.7 million and $17.4 million, respectively, recorded in accumulated other comprehensive loss. At March 28, 2020 and September 30, 2019, the Company had unrecognized losses on derivatives of $17.9 million, net of tax of $6.2 million, and $8.1 million, net of tax of $2.8 million, respectively, recorded in accumulated other comprehensive loss.</w:t>
      </w:r>
    </w:p>
    <w:p>
      <w:pPr>
        <w:spacing w:after="0" w:line="10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and six months ended March 30, 2019, the Company recognized a charge of $2.5 million in the “Other non-operating income, net” line in the Condensed Consolidated Statements of Operations related to the write-off of accumulated foreign currency translation loss adjustments of a foreign subsidiary that was substantially liquidated.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Dividends</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July 30, 2019, the Scotts Miracle-Gro Board of Directors approved an increase in the Company’s quarterly cash dividend from $0.55 to $0.58 per Common Share.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Repurchases</w:t>
      </w:r>
    </w:p>
    <w:p>
      <w:pPr>
        <w:spacing w:after="0" w:line="158"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On August 11, 2014, Scotts Miracle-Gro announced that its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On August 2, 2019, the Scotts Miracle-Gro Board of Directors authorized an extension of the current share repurchase authorization through March 28, 2020. The amended authorization allows for repurchases of Common Shares of up to an aggregate amount of $1.0 billion through March 28, 2020.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may be suspended or discontinued by the Board of Directors at any time, and there can be no guarantee as to the timing or amount of any repurchases. During the three and six months ended March 28, 2020, Scotts Miracle-Gro repurchased 0.4 million Common Shares under the program for $48.2 million. There were no share repurchases under the share repurchase authorization during the three and six months ended March 30, 2019. The “Treasury share purchases” lines in the tables above include cash paid to tax authorities to satisfy statutory income tax withholding obligations related to share-based compensation of $4.7 million for the three and six months ended March 28, 2020 and $2.5 million for the three and six months ended March 30, 2019. From the effective date of the share repurchase authorization in the fourth quarter of fiscal 2014 through March 28, 2020, Scotts Miracle-Gro repurchased approximately 8.7 million Common Shares for $762.8 million. On January 31, 2020, the Scotts Miracle-Gro Board of Directors authorized a new repurchase program allowing for repurchases of up to $750.0 million of Common Shares from April 30, 2020 through March 25, 2023. On March 26, 2020, the Company announced a temporary suspension of share repurchase activity, effective as of March 30, 2020, in order to enhance the Company’s financial flexibility in response to the COVID-19 pandemic.</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44" w:lineRule="exact"/>
        <w:rPr>
          <w:sz w:val="20"/>
          <w:szCs w:val="20"/>
          <w:color w:val="auto"/>
        </w:rPr>
      </w:pPr>
    </w:p>
    <w:p>
      <w:pPr>
        <w:jc w:val="both"/>
        <w:ind w:firstLine="819"/>
        <w:spacing w:after="0" w:line="288" w:lineRule="auto"/>
        <w:rPr>
          <w:sz w:val="20"/>
          <w:szCs w:val="20"/>
          <w:color w:val="auto"/>
        </w:rPr>
      </w:pPr>
      <w:r>
        <w:rPr>
          <w:rFonts w:ascii="Arial" w:cs="Arial" w:eastAsia="Arial" w:hAnsi="Arial"/>
          <w:sz w:val="16"/>
          <w:szCs w:val="16"/>
          <w:color w:val="auto"/>
        </w:rPr>
        <w:t>Scotts Miracle-Gro grants share-based awards annually to officers and certain other employees of the Company and non-employee directors of Scotts Miracle-Gro. The share-based awards have consisted of stock options, restricted stock units, deferred stock units and performance-based awards. All of these share-based awards have been made under plans approved by the shareholders. Generally, employee share-based awards provide for three-year cliff vesting. Vesting for non-employee director awards is generally one year from the time of the award. Vesting of performance-based awards is dependent on service and achievement of specified performance targets. Share-based awards are forfeited if a holder terminates employment or service with the Company prior to the vesting date, except in cases where employees are eligible for accelerated vesting based on having satisfied retirement requirements relating to age and years of service. The Company estimates that 15% to 20% of its share-based awards will be forfeited based on an analysis of historical trends. This assumption is re-evaluated on an annual basis and adjusted as appropriate. Stock options have exercise prices equal to the market price of the underlying Common Shares on the date of grant with a term of 10 years. If available, Scotts Miracle-Gro will typically use treasury shares, or if not available, newly-issued Common Shares, in satisfaction of its share-based awards.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7" w:name="page18"/>
    <w:bookmarkEnd w:id="17"/>
    <w:p>
      <w:pPr>
        <w:ind w:left="420"/>
        <w:spacing w:after="0"/>
        <w:rPr>
          <w:sz w:val="20"/>
          <w:szCs w:val="20"/>
          <w:color w:val="auto"/>
        </w:rPr>
      </w:pPr>
      <w:r>
        <w:rPr>
          <w:rFonts w:ascii="Arial" w:cs="Arial" w:eastAsia="Arial" w:hAnsi="Arial"/>
          <w:sz w:val="18"/>
          <w:szCs w:val="18"/>
          <w:color w:val="auto"/>
        </w:rPr>
        <w:t>The following is a summary of the share-based awards granted during each of the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gridSpan w:val="4"/>
          </w:tcPr>
          <w:p>
            <w:pPr>
              <w:jc w:val="right"/>
              <w:ind w:right="148"/>
              <w:spacing w:after="0" w:line="153" w:lineRule="exact"/>
              <w:rPr>
                <w:sz w:val="20"/>
                <w:szCs w:val="20"/>
                <w:color w:val="auto"/>
              </w:rPr>
            </w:pPr>
            <w:r>
              <w:rPr>
                <w:rFonts w:ascii="Arial" w:cs="Arial" w:eastAsia="Arial" w:hAnsi="Arial"/>
                <w:sz w:val="14"/>
                <w:szCs w:val="14"/>
                <w:b w:val="1"/>
                <w:bCs w:val="1"/>
                <w:color w:val="auto"/>
              </w:rPr>
              <w:t>MARCH 28,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Employees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Restricted stock units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117,266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161,322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Performance units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37,166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68,949</w:t>
            </w:r>
          </w:p>
        </w:tc>
        <w:tc>
          <w:tcPr>
            <w:tcW w:w="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Non-Employee Directors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Restricted and deferred stock units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15,483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29,995</w:t>
            </w:r>
          </w:p>
        </w:tc>
        <w:tc>
          <w:tcPr>
            <w:tcW w:w="20" w:type="dxa"/>
            <w:vAlign w:val="bottom"/>
          </w:tcPr>
          <w:p>
            <w:pPr>
              <w:spacing w:after="0"/>
              <w:rPr>
                <w:sz w:val="21"/>
                <w:szCs w:val="2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share-based awards</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169,915</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260,266</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fair value at grant dates (in millions)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19.6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351"/>
        </w:trPr>
        <w:tc>
          <w:tcPr>
            <w:tcW w:w="6400" w:type="dxa"/>
            <w:vAlign w:val="bottom"/>
          </w:tcPr>
          <w:p>
            <w:pPr>
              <w:ind w:left="420"/>
              <w:spacing w:after="0"/>
              <w:rPr>
                <w:sz w:val="20"/>
                <w:szCs w:val="20"/>
                <w:color w:val="auto"/>
              </w:rPr>
            </w:pPr>
            <w:r>
              <w:rPr>
                <w:rFonts w:ascii="Arial" w:cs="Arial" w:eastAsia="Arial" w:hAnsi="Arial"/>
                <w:sz w:val="18"/>
                <w:szCs w:val="18"/>
                <w:color w:val="auto"/>
                <w:w w:val="91"/>
              </w:rPr>
              <w:t>Total share-based compensation was as follows for each of the periods indicated: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6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Borders>
              <w:bottom w:val="single" w:sz="8" w:color="auto"/>
            </w:tcBorders>
            <w:gridSpan w:val="6"/>
          </w:tcPr>
          <w:p>
            <w:pPr>
              <w:jc w:val="right"/>
              <w:ind w:right="375"/>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9"/>
                <w:szCs w:val="19"/>
                <w:color w:val="auto"/>
              </w:rPr>
            </w:pPr>
          </w:p>
        </w:tc>
      </w:tr>
      <w:tr>
        <w:trPr>
          <w:trHeight w:val="152"/>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81"/>
              <w:spacing w:after="0" w:line="153" w:lineRule="exact"/>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3"/>
                <w:szCs w:val="13"/>
                <w:color w:val="auto"/>
              </w:rPr>
            </w:pPr>
          </w:p>
        </w:tc>
        <w:tc>
          <w:tcPr>
            <w:tcW w:w="900" w:type="dxa"/>
            <w:vAlign w:val="bottom"/>
            <w:gridSpan w:val="2"/>
          </w:tcPr>
          <w:p>
            <w:pPr>
              <w:jc w:val="right"/>
              <w:ind w:right="28"/>
              <w:spacing w:after="0" w:line="153" w:lineRule="exact"/>
              <w:rPr>
                <w:sz w:val="20"/>
                <w:szCs w:val="20"/>
                <w:color w:val="auto"/>
              </w:rPr>
            </w:pPr>
            <w:r>
              <w:rPr>
                <w:rFonts w:ascii="Arial" w:cs="Arial" w:eastAsia="Arial" w:hAnsi="Arial"/>
                <w:sz w:val="14"/>
                <w:szCs w:val="14"/>
                <w:b w:val="1"/>
                <w:bCs w:val="1"/>
                <w:color w:val="auto"/>
              </w:rPr>
              <w:t>MARCH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3"/>
                <w:szCs w:val="13"/>
                <w:color w:val="auto"/>
              </w:rPr>
            </w:pPr>
          </w:p>
        </w:tc>
        <w:tc>
          <w:tcPr>
            <w:tcW w:w="10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196"/>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12.0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10.4</w:t>
            </w:r>
          </w:p>
        </w:tc>
        <w:tc>
          <w:tcPr>
            <w:tcW w:w="820" w:type="dxa"/>
            <w:vAlign w:val="bottom"/>
            <w:tcBorders>
              <w:bottom w:val="single" w:sz="8" w:color="CCEEFF"/>
            </w:tcBorders>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1"/>
              </w:rPr>
              <w:t>19.0</w:t>
            </w:r>
          </w:p>
        </w:tc>
        <w:tc>
          <w:tcPr>
            <w:tcW w:w="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2"/>
                <w:szCs w:val="22"/>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Tax benefit recognized</w:t>
            </w:r>
          </w:p>
        </w:tc>
        <w:tc>
          <w:tcPr>
            <w:tcW w:w="140" w:type="dxa"/>
            <w:vAlign w:val="bottom"/>
          </w:tcPr>
          <w:p>
            <w:pPr>
              <w:spacing w:after="0"/>
              <w:rPr>
                <w:sz w:val="21"/>
                <w:szCs w:val="21"/>
                <w:color w:val="auto"/>
              </w:rPr>
            </w:pPr>
          </w:p>
        </w:tc>
        <w:tc>
          <w:tcPr>
            <w:tcW w:w="980" w:type="dxa"/>
            <w:vAlign w:val="bottom"/>
          </w:tcPr>
          <w:p>
            <w:pPr>
              <w:jc w:val="right"/>
              <w:ind w:right="61"/>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1"/>
                <w:szCs w:val="21"/>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1"/>
                <w:szCs w:val="2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share-based awards</w:t>
      </w:r>
    </w:p>
    <w:p>
      <w:pPr>
        <w:spacing w:after="0" w:line="158" w:lineRule="exact"/>
        <w:rPr>
          <w:sz w:val="20"/>
          <w:szCs w:val="20"/>
          <w:color w:val="auto"/>
        </w:rPr>
      </w:pPr>
    </w:p>
    <w:p>
      <w:pPr>
        <w:jc w:val="both"/>
        <w:ind w:right="200" w:firstLine="405"/>
        <w:spacing w:after="0" w:line="276" w:lineRule="auto"/>
        <w:rPr>
          <w:sz w:val="20"/>
          <w:szCs w:val="20"/>
          <w:color w:val="auto"/>
        </w:rPr>
      </w:pPr>
      <w:r>
        <w:rPr>
          <w:rFonts w:ascii="Arial" w:cs="Arial" w:eastAsia="Arial" w:hAnsi="Arial"/>
          <w:sz w:val="18"/>
          <w:szCs w:val="18"/>
          <w:color w:val="auto"/>
        </w:rPr>
        <w:t>Restricted share-based award activity (including restricted stock units and deferred stock units) during the six months ended March 28, 2020 was as follows:</w:t>
      </w:r>
    </w:p>
    <w:tbl>
      <w:tblPr>
        <w:tblLayout w:type="fixed"/>
        <w:tblInd w:w="0" w:type="dxa"/>
        <w:tblCellMar>
          <w:top w:w="0" w:type="dxa"/>
          <w:left w:w="0" w:type="dxa"/>
          <w:bottom w:w="0" w:type="dxa"/>
          <w:right w:w="0" w:type="dxa"/>
        </w:tblCellMar>
      </w:tblPr>
      <w:tr>
        <w:trPr>
          <w:trHeight w:val="150"/>
        </w:trPr>
        <w:tc>
          <w:tcPr>
            <w:tcW w:w="7200" w:type="dxa"/>
            <w:vAlign w:val="bottom"/>
          </w:tcPr>
          <w:p>
            <w:pPr>
              <w:spacing w:after="0"/>
              <w:rPr>
                <w:sz w:val="13"/>
                <w:szCs w:val="13"/>
                <w:color w:val="auto"/>
              </w:rPr>
            </w:pPr>
          </w:p>
        </w:tc>
        <w:tc>
          <w:tcPr>
            <w:tcW w:w="196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No. of Units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tcPr>
          <w:p>
            <w:pPr>
              <w:jc w:val="right"/>
              <w:ind w:right="76"/>
              <w:spacing w:after="0" w:line="150" w:lineRule="exact"/>
              <w:rPr>
                <w:sz w:val="20"/>
                <w:szCs w:val="20"/>
                <w:color w:val="auto"/>
              </w:rPr>
            </w:pPr>
            <w:r>
              <w:rPr>
                <w:rFonts w:ascii="Arial" w:cs="Arial" w:eastAsia="Arial" w:hAnsi="Arial"/>
                <w:sz w:val="14"/>
                <w:szCs w:val="14"/>
                <w:b w:val="1"/>
                <w:bCs w:val="1"/>
                <w:color w:val="auto"/>
                <w:w w:val="97"/>
              </w:rPr>
              <w:t>Wtd. Avg. Grant Date Fair</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Value per Unit</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2019</w:t>
            </w:r>
          </w:p>
        </w:tc>
        <w:tc>
          <w:tcPr>
            <w:tcW w:w="1960" w:type="dxa"/>
            <w:vAlign w:val="bottom"/>
            <w:tcBorders>
              <w:bottom w:val="single" w:sz="8" w:color="CCEEFF"/>
            </w:tcBorders>
            <w:shd w:val="clear" w:color="auto" w:fill="CCEEFF"/>
          </w:tcPr>
          <w:p>
            <w:pPr>
              <w:jc w:val="center"/>
              <w:ind w:left="974"/>
              <w:spacing w:after="0"/>
              <w:rPr>
                <w:sz w:val="20"/>
                <w:szCs w:val="20"/>
                <w:color w:val="auto"/>
              </w:rPr>
            </w:pPr>
            <w:r>
              <w:rPr>
                <w:rFonts w:ascii="Arial" w:cs="Arial" w:eastAsia="Arial" w:hAnsi="Arial"/>
                <w:sz w:val="18"/>
                <w:szCs w:val="18"/>
                <w:color w:val="auto"/>
                <w:w w:val="89"/>
              </w:rPr>
              <w:t>488,409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85.94</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Granted</w:t>
            </w:r>
          </w:p>
        </w:tc>
        <w:tc>
          <w:tcPr>
            <w:tcW w:w="1960" w:type="dxa"/>
            <w:vAlign w:val="bottom"/>
          </w:tcPr>
          <w:p>
            <w:pPr>
              <w:jc w:val="center"/>
              <w:ind w:left="974"/>
              <w:spacing w:after="0"/>
              <w:rPr>
                <w:sz w:val="20"/>
                <w:szCs w:val="20"/>
                <w:color w:val="auto"/>
              </w:rPr>
            </w:pPr>
            <w:r>
              <w:rPr>
                <w:rFonts w:ascii="Arial" w:cs="Arial" w:eastAsia="Arial" w:hAnsi="Arial"/>
                <w:sz w:val="18"/>
                <w:szCs w:val="18"/>
                <w:color w:val="auto"/>
                <w:w w:val="89"/>
              </w:rPr>
              <w:t>132,749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jc w:val="right"/>
              <w:ind w:right="76"/>
              <w:spacing w:after="0"/>
              <w:rPr>
                <w:sz w:val="20"/>
                <w:szCs w:val="20"/>
                <w:color w:val="auto"/>
              </w:rPr>
            </w:pPr>
            <w:r>
              <w:rPr>
                <w:rFonts w:ascii="Arial" w:cs="Arial" w:eastAsia="Arial" w:hAnsi="Arial"/>
                <w:sz w:val="18"/>
                <w:szCs w:val="18"/>
                <w:color w:val="auto"/>
              </w:rPr>
              <w:t>120.80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60" w:type="dxa"/>
            <w:vAlign w:val="bottom"/>
            <w:tcBorders>
              <w:bottom w:val="single" w:sz="8" w:color="CCEEFF"/>
            </w:tcBorders>
            <w:shd w:val="clear" w:color="auto" w:fill="CCEEFF"/>
          </w:tcPr>
          <w:p>
            <w:pPr>
              <w:jc w:val="center"/>
              <w:ind w:left="954"/>
              <w:spacing w:after="0"/>
              <w:rPr>
                <w:sz w:val="20"/>
                <w:szCs w:val="20"/>
                <w:color w:val="auto"/>
              </w:rPr>
            </w:pPr>
            <w:r>
              <w:rPr>
                <w:rFonts w:ascii="Arial" w:cs="Arial" w:eastAsia="Arial" w:hAnsi="Arial"/>
                <w:sz w:val="18"/>
                <w:szCs w:val="18"/>
                <w:color w:val="auto"/>
                <w:w w:val="93"/>
              </w:rPr>
              <w:t>(121,948)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91.19</w:t>
            </w:r>
          </w:p>
        </w:tc>
        <w:tc>
          <w:tcPr>
            <w:tcW w:w="0" w:type="dxa"/>
            <w:vAlign w:val="bottom"/>
          </w:tcPr>
          <w:p>
            <w:pPr>
              <w:spacing w:after="0"/>
              <w:rPr>
                <w:sz w:val="1"/>
                <w:szCs w:val="1"/>
                <w:color w:val="auto"/>
              </w:rPr>
            </w:pPr>
          </w:p>
        </w:tc>
      </w:tr>
      <w:tr>
        <w:trPr>
          <w:trHeight w:val="263"/>
        </w:trPr>
        <w:tc>
          <w:tcPr>
            <w:tcW w:w="7200" w:type="dxa"/>
            <w:vAlign w:val="bottom"/>
          </w:tcPr>
          <w:p>
            <w:pPr>
              <w:ind w:left="20"/>
              <w:spacing w:after="0"/>
              <w:rPr>
                <w:sz w:val="20"/>
                <w:szCs w:val="20"/>
                <w:color w:val="auto"/>
              </w:rPr>
            </w:pPr>
            <w:r>
              <w:rPr>
                <w:rFonts w:ascii="Arial" w:cs="Arial" w:eastAsia="Arial" w:hAnsi="Arial"/>
                <w:sz w:val="18"/>
                <w:szCs w:val="18"/>
                <w:color w:val="auto"/>
              </w:rPr>
              <w:t>Awards outstanding at March 28, 2020</w:t>
            </w:r>
          </w:p>
        </w:tc>
        <w:tc>
          <w:tcPr>
            <w:tcW w:w="1960" w:type="dxa"/>
            <w:vAlign w:val="bottom"/>
            <w:tcBorders>
              <w:top w:val="single" w:sz="8" w:color="auto"/>
              <w:bottom w:val="single" w:sz="8" w:color="auto"/>
            </w:tcBorders>
          </w:tcPr>
          <w:p>
            <w:pPr>
              <w:jc w:val="center"/>
              <w:ind w:left="974"/>
              <w:spacing w:after="0"/>
              <w:rPr>
                <w:sz w:val="20"/>
                <w:szCs w:val="20"/>
                <w:color w:val="auto"/>
              </w:rPr>
            </w:pPr>
            <w:r>
              <w:rPr>
                <w:rFonts w:ascii="Arial" w:cs="Arial" w:eastAsia="Arial" w:hAnsi="Arial"/>
                <w:sz w:val="18"/>
                <w:szCs w:val="18"/>
                <w:color w:val="auto"/>
                <w:w w:val="89"/>
              </w:rPr>
              <w:t>499,210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40" w:type="dxa"/>
            <w:vAlign w:val="bottom"/>
          </w:tcPr>
          <w:p>
            <w:pPr>
              <w:jc w:val="right"/>
              <w:ind w:right="76"/>
              <w:spacing w:after="0"/>
              <w:rPr>
                <w:sz w:val="20"/>
                <w:szCs w:val="20"/>
                <w:color w:val="auto"/>
              </w:rPr>
            </w:pPr>
            <w:r>
              <w:rPr>
                <w:rFonts w:ascii="Arial" w:cs="Arial" w:eastAsia="Arial" w:hAnsi="Arial"/>
                <w:sz w:val="18"/>
                <w:szCs w:val="18"/>
                <w:color w:val="auto"/>
              </w:rPr>
              <w:t>93.93</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March 28, 2020, the total pre-tax compensation cost, net of estimated forfeitures, related to nonvested restricted stock units not yet recognized was $14.9 million, which is expected to be recognized over a weighted-average period of 2.0 years. The total fair value of restricted stock units and deferred stock units vested was $14.7 million for the six months ended March 28,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Performance-based award activity during the six months ended March 28, 2020 was as follows (based on target award amounts):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9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No. of Units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Pr>
          <w:p>
            <w:pPr>
              <w:jc w:val="right"/>
              <w:ind w:right="75"/>
              <w:spacing w:after="0"/>
              <w:rPr>
                <w:sz w:val="20"/>
                <w:szCs w:val="20"/>
                <w:color w:val="auto"/>
              </w:rPr>
            </w:pPr>
            <w:r>
              <w:rPr>
                <w:rFonts w:ascii="Arial" w:cs="Arial" w:eastAsia="Arial" w:hAnsi="Arial"/>
                <w:sz w:val="14"/>
                <w:szCs w:val="14"/>
                <w:b w:val="1"/>
                <w:bCs w:val="1"/>
                <w:color w:val="auto"/>
                <w:w w:val="97"/>
              </w:rPr>
              <w:t>Wtd. Avg. Grant Date Fair</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Value per Unit</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2019</w:t>
            </w:r>
          </w:p>
        </w:tc>
        <w:tc>
          <w:tcPr>
            <w:tcW w:w="1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648,131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90.13</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73"/>
              <w:spacing w:after="0"/>
              <w:rPr>
                <w:sz w:val="20"/>
                <w:szCs w:val="20"/>
                <w:color w:val="auto"/>
              </w:rPr>
            </w:pPr>
            <w:r>
              <w:rPr>
                <w:rFonts w:ascii="Arial" w:cs="Arial" w:eastAsia="Arial" w:hAnsi="Arial"/>
                <w:sz w:val="18"/>
                <w:szCs w:val="18"/>
                <w:color w:val="auto"/>
              </w:rPr>
              <w:t>37,166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jc w:val="right"/>
              <w:ind w:right="75"/>
              <w:spacing w:after="0"/>
              <w:rPr>
                <w:sz w:val="20"/>
                <w:szCs w:val="20"/>
                <w:color w:val="auto"/>
              </w:rPr>
            </w:pPr>
            <w:r>
              <w:rPr>
                <w:rFonts w:ascii="Arial" w:cs="Arial" w:eastAsia="Arial" w:hAnsi="Arial"/>
                <w:sz w:val="18"/>
                <w:szCs w:val="18"/>
                <w:color w:val="auto"/>
              </w:rPr>
              <w:t>123.86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(1)</w:t>
            </w:r>
          </w:p>
        </w:tc>
        <w:tc>
          <w:tcPr>
            <w:tcW w:w="1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(19,421)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92.73</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960" w:type="dxa"/>
            <w:vAlign w:val="bottom"/>
          </w:tcPr>
          <w:p>
            <w:pPr>
              <w:jc w:val="right"/>
              <w:ind w:right="13"/>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jc w:val="right"/>
              <w:ind w:right="75"/>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March 28, 2020</w:t>
            </w:r>
          </w:p>
        </w:tc>
        <w:tc>
          <w:tcPr>
            <w:tcW w:w="1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665,724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Vested at an average of 166 percent of the target performance share units granted.</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March 28, 2020, the total pre-tax compensation cost, net of estimated forfeitures, related to nonvested performance-based units not yet recognized was $23.2 million, which is expected to be recognized over a weighted-average period of 1.9 years. The total fair value of performance-based units vested was $3.9 million for the six months ended March 28, 2020.</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9. INCOME TAXES</w:t>
      </w:r>
    </w:p>
    <w:p>
      <w:pPr>
        <w:spacing w:after="0" w:line="16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effective tax rates related to continuing operations for the six months ended March 28, 2020 and March 30, 2019 were 25.2% and 24.7%, respectively.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 end.</w:t>
      </w:r>
    </w:p>
    <w:p>
      <w:pPr>
        <w:spacing w:after="0" w:line="10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There are currently no ongoing audits with respect to the U.S. federal or foreign jurisdictions. Subject to the following exceptions, the Company is no longer subject to examination by these tax authorities for fiscal years prior to 2016. The Company is currently under examination by certain U.S. state and local tax authorities covering various periods from fiscal years 2012 through 2018. In addition to the aforementioned audits, certain other tax deficiency notices and refund claims for previous years remain unresolved.</w:t>
      </w:r>
    </w:p>
    <w:p>
      <w:pPr>
        <w:spacing w:after="0" w:line="10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CONTINGENCIES</w:t>
      </w:r>
    </w:p>
    <w:p>
      <w:pPr>
        <w:spacing w:after="0" w:line="14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5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At March 28, 2020, $3.8 million was accrued in the “Other liabilities” line in the Condensed Consolidated Balance Sheets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5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9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11. DERIVATIVE INSTRUMENTS AND HEDGING ACTIVITIES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Company uses currency forward contracts to manage the exchange rate risk associated with intercompany loans and certain other balances denominated in foreign currencies. The notional amount of outstanding currency forward contracts was $141.2 million, $118.3 million and $120.0 million at March 28, 2020, March 30, 2019 and September 30, 2019, respectively. Contracts outstanding at March 28, 2020 will mature over the next fiscal quarter.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enters into interest rate swap agreements as a means to hedge its variable interest rate risk on debt instruments. Net amounts to be received or paid under the swap agreements are reflected as adjustments to interest expense.</w:t>
      </w:r>
    </w:p>
    <w:p>
      <w:pPr>
        <w:spacing w:after="0" w:line="89"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$1,450.0 million, $1,300.0 million and $850.0 million at March 28, 2020, March 30, 2019 and September 30, 2019, respectively. Refer to “NOTE 7. DEBT” for the terms of the swap agreements outstanding at March 28, 2020. Included in the AOCI balance at March 28, 2020 was a loss of $8.0 million related to interest rate swap agreements that is expected to be reclassified to earnings during the next twelve months, consistent with the timing of the underlying hedged transactions.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5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enters into hedging arrangements designed to fix the price of a portion of its projected future urea, diesel and resin requirements. Changes in the fair value of derivative contracts that qualify for hedge accounting are recorded in AOCI. Realized gains or losses remain as a component of AOCI until the related inventory is sold. Included in the AOCI balance at March 28, 2020 was a loss of $2.2 million related to commodity hedges that is expected to be reclassified to earnings during the next twelve months, consistent with the timing of the underlying hedged transactions.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COMMODITY</w:t>
            </w:r>
          </w:p>
        </w:tc>
        <w:tc>
          <w:tcPr>
            <w:tcW w:w="120" w:type="dxa"/>
            <w:vAlign w:val="bottom"/>
            <w:vMerge w:val="restart"/>
          </w:tcPr>
          <w:p>
            <w:pPr>
              <w:spacing w:after="0"/>
              <w:rPr>
                <w:sz w:val="14"/>
                <w:szCs w:val="14"/>
                <w:color w:val="auto"/>
              </w:rPr>
            </w:pPr>
          </w:p>
        </w:tc>
        <w:tc>
          <w:tcPr>
            <w:tcW w:w="2060" w:type="dxa"/>
            <w:vAlign w:val="bottom"/>
            <w:gridSpan w:val="2"/>
          </w:tcPr>
          <w:p>
            <w:pPr>
              <w:ind w:left="580"/>
              <w:spacing w:after="0"/>
              <w:rPr>
                <w:sz w:val="20"/>
                <w:szCs w:val="20"/>
                <w:color w:val="auto"/>
              </w:rPr>
            </w:pPr>
            <w:r>
              <w:rPr>
                <w:rFonts w:ascii="Arial" w:cs="Arial" w:eastAsia="Arial" w:hAnsi="Arial"/>
                <w:sz w:val="14"/>
                <w:szCs w:val="14"/>
                <w:b w:val="1"/>
                <w:bCs w:val="1"/>
                <w:color w:val="auto"/>
              </w:rPr>
              <w:t>MARCH 28,</w:t>
            </w:r>
          </w:p>
        </w:tc>
        <w:tc>
          <w:tcPr>
            <w:tcW w:w="2080" w:type="dxa"/>
            <w:vAlign w:val="bottom"/>
            <w:gridSpan w:val="2"/>
          </w:tcPr>
          <w:p>
            <w:pPr>
              <w:ind w:left="600"/>
              <w:spacing w:after="0"/>
              <w:rPr>
                <w:sz w:val="20"/>
                <w:szCs w:val="20"/>
                <w:color w:val="auto"/>
              </w:rPr>
            </w:pPr>
            <w:r>
              <w:rPr>
                <w:rFonts w:ascii="Arial" w:cs="Arial" w:eastAsia="Arial" w:hAnsi="Arial"/>
                <w:sz w:val="14"/>
                <w:szCs w:val="14"/>
                <w:b w:val="1"/>
                <w:bCs w:val="1"/>
                <w:color w:val="auto"/>
              </w:rPr>
              <w:t>MARCH 30,</w:t>
            </w:r>
          </w:p>
        </w:tc>
        <w:tc>
          <w:tcPr>
            <w:tcW w:w="2020" w:type="dxa"/>
            <w:vAlign w:val="bottom"/>
            <w:gridSpan w:val="2"/>
          </w:tcPr>
          <w:p>
            <w:pPr>
              <w:ind w:lef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4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Urea</w:t>
            </w:r>
          </w:p>
        </w:tc>
        <w:tc>
          <w:tcPr>
            <w:tcW w:w="2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 tons</w:t>
            </w:r>
          </w:p>
        </w:tc>
        <w:tc>
          <w:tcPr>
            <w:tcW w:w="2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33,000 tons</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78,500 tons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Resin</w:t>
            </w: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8,100,000 pounds</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6,100,000 pounds</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14,900,000 pounds</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Diesel</w:t>
            </w:r>
          </w:p>
        </w:tc>
        <w:tc>
          <w:tcPr>
            <w:tcW w:w="2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5,418,000 gallons</w:t>
            </w:r>
          </w:p>
        </w:tc>
        <w:tc>
          <w:tcPr>
            <w:tcW w:w="2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4,452,000 gallons</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4,956,000 gallons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Heating Oil</w:t>
            </w: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1,890,000 gallons</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756,000 gallons</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1,344,000 gallons</w:t>
            </w:r>
          </w:p>
        </w:tc>
        <w:tc>
          <w:tcPr>
            <w:tcW w:w="0" w:type="dxa"/>
            <w:vAlign w:val="bottom"/>
          </w:tcPr>
          <w:p>
            <w:pPr>
              <w:spacing w:after="0"/>
              <w:rPr>
                <w:sz w:val="1"/>
                <w:szCs w:val="1"/>
                <w:color w:val="auto"/>
              </w:rPr>
            </w:pPr>
          </w:p>
        </w:tc>
      </w:tr>
      <w:tr>
        <w:trPr>
          <w:trHeight w:val="904"/>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jc w:val="right"/>
              <w:ind w:right="12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instruments, which represent Level 2 fair value measurements,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ASSETS / (LIABILITIES)</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4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DERIVATIVES DESIGNATED AS HEDGING</w:t>
            </w:r>
          </w:p>
        </w:tc>
        <w:tc>
          <w:tcPr>
            <w:tcW w:w="3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13"/>
                <w:szCs w:val="13"/>
                <w:color w:val="auto"/>
              </w:rPr>
            </w:pPr>
          </w:p>
        </w:tc>
        <w:tc>
          <w:tcPr>
            <w:tcW w:w="126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MARCH 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MARCH 30,</w:t>
            </w:r>
          </w:p>
        </w:tc>
        <w:tc>
          <w:tcPr>
            <w:tcW w:w="160" w:type="dxa"/>
            <w:vAlign w:val="bottom"/>
          </w:tcPr>
          <w:p>
            <w:pPr>
              <w:spacing w:after="0"/>
              <w:rPr>
                <w:sz w:val="13"/>
                <w:szCs w:val="13"/>
                <w:color w:val="auto"/>
              </w:rPr>
            </w:pPr>
          </w:p>
        </w:tc>
        <w:tc>
          <w:tcPr>
            <w:tcW w:w="134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480" w:type="dxa"/>
            <w:vAlign w:val="bottom"/>
            <w:gridSpan w:val="2"/>
          </w:tcPr>
          <w:p>
            <w:pPr>
              <w:ind w:left="20"/>
              <w:spacing w:after="0"/>
              <w:rPr>
                <w:sz w:val="20"/>
                <w:szCs w:val="20"/>
                <w:color w:val="auto"/>
              </w:rPr>
            </w:pPr>
            <w:r>
              <w:rPr>
                <w:rFonts w:ascii="Arial" w:cs="Arial" w:eastAsia="Arial" w:hAnsi="Arial"/>
                <w:sz w:val="14"/>
                <w:szCs w:val="14"/>
                <w:b w:val="1"/>
                <w:bCs w:val="1"/>
                <w:color w:val="auto"/>
              </w:rPr>
              <w:t>INSTRUMENTS</w:t>
            </w:r>
          </w:p>
        </w:tc>
        <w:tc>
          <w:tcPr>
            <w:tcW w:w="3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54"/>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3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hedging instruments</w:t>
            </w: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6560" w:type="dxa"/>
            <w:vAlign w:val="bottom"/>
            <w:gridSpan w:val="4"/>
          </w:tcPr>
          <w:p>
            <w:pPr>
              <w:ind w:left="340"/>
              <w:spacing w:after="0"/>
              <w:rPr>
                <w:sz w:val="20"/>
                <w:szCs w:val="20"/>
                <w:color w:val="auto"/>
              </w:rPr>
            </w:pPr>
            <w:r>
              <w:rPr>
                <w:rFonts w:ascii="Arial" w:cs="Arial" w:eastAsia="Arial" w:hAnsi="Arial"/>
                <w:sz w:val="18"/>
                <w:szCs w:val="18"/>
                <w:color w:val="auto"/>
              </w:rPr>
              <w:t>Total derivatives designated as hedging instruments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4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DERIVATIVES NOT DESIGNATED AS HEDGING</w:t>
            </w:r>
          </w:p>
        </w:tc>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Borders>
              <w:bottom w:val="single" w:sz="8" w:color="CCEEFF"/>
            </w:tcBorders>
          </w:tcPr>
          <w:p>
            <w:pPr>
              <w:spacing w:after="0"/>
              <w:rPr>
                <w:sz w:val="16"/>
                <w:szCs w:val="16"/>
                <w:color w:val="auto"/>
              </w:rPr>
            </w:pPr>
          </w:p>
        </w:tc>
        <w:tc>
          <w:tcPr>
            <w:tcW w:w="2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Currency forward contracts</w:t>
            </w: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hedging instruments</w:t>
            </w: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6560" w:type="dxa"/>
            <w:vAlign w:val="bottom"/>
            <w:gridSpan w:val="4"/>
          </w:tcPr>
          <w:p>
            <w:pPr>
              <w:ind w:left="340"/>
              <w:spacing w:after="0"/>
              <w:rPr>
                <w:sz w:val="20"/>
                <w:szCs w:val="20"/>
                <w:color w:val="auto"/>
              </w:rPr>
            </w:pPr>
            <w:r>
              <w:rPr>
                <w:rFonts w:ascii="Arial" w:cs="Arial" w:eastAsia="Arial" w:hAnsi="Arial"/>
                <w:sz w:val="18"/>
                <w:szCs w:val="18"/>
                <w:color w:val="auto"/>
              </w:rPr>
              <w:t>Total derivatives not designated as hedging instruments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derivatives</w:t>
            </w:r>
          </w:p>
        </w:tc>
        <w:tc>
          <w:tcPr>
            <w:tcW w:w="2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(21.0)</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8"/>
          <w:szCs w:val="18"/>
          <w:color w:val="auto"/>
        </w:rPr>
        <w:t>The effect of derivative instruments on AOCI and the Condensed Consolidated Statements of Operations for each of the periods presented was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940" w:type="dxa"/>
            <w:vAlign w:val="bottom"/>
            <w:tcBorders>
              <w:bottom w:val="single" w:sz="8" w:color="auto"/>
            </w:tcBorders>
            <w:gridSpan w:val="16"/>
          </w:tcPr>
          <w:p>
            <w:pPr>
              <w:jc w:val="right"/>
              <w:ind w:right="717"/>
              <w:spacing w:after="0"/>
              <w:rPr>
                <w:sz w:val="20"/>
                <w:szCs w:val="20"/>
                <w:color w:val="auto"/>
              </w:rPr>
            </w:pPr>
            <w:r>
              <w:rPr>
                <w:rFonts w:ascii="Arial" w:cs="Arial" w:eastAsia="Arial" w:hAnsi="Arial"/>
                <w:sz w:val="14"/>
                <w:szCs w:val="14"/>
                <w:b w:val="1"/>
                <w:bCs w:val="1"/>
                <w:color w:val="auto"/>
              </w:rPr>
              <w:t>AMOUNT OF GAIN / (LOSS) RECOGNIZED IN AOCI</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60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rPr>
              <w:t>MARCH 28,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rPr>
              <w:t>MARCH 30,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rPr>
              <w:t>MARCH 28,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rPr>
              <w:t>MARCH 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60" w:type="dxa"/>
            <w:vAlign w:val="bottom"/>
            <w:gridSpan w:val="6"/>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2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center"/>
              <w:ind w:left="380"/>
              <w:spacing w:after="0"/>
              <w:rPr>
                <w:sz w:val="20"/>
                <w:szCs w:val="20"/>
                <w:color w:val="auto"/>
              </w:rPr>
            </w:pPr>
            <w:r>
              <w:rPr>
                <w:rFonts w:ascii="Arial" w:cs="Arial" w:eastAsia="Arial" w:hAnsi="Arial"/>
                <w:sz w:val="18"/>
                <w:szCs w:val="18"/>
                <w:color w:val="auto"/>
                <w:w w:val="91"/>
              </w:rPr>
              <w:t>(2.2)</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(9.7)</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Commodity hedging instruments</w:t>
            </w:r>
          </w:p>
        </w:tc>
        <w:tc>
          <w:tcPr>
            <w:tcW w:w="2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left="380"/>
              <w:spacing w:after="0"/>
              <w:rPr>
                <w:sz w:val="20"/>
                <w:szCs w:val="20"/>
                <w:color w:val="auto"/>
              </w:rPr>
            </w:pPr>
            <w:r>
              <w:rPr>
                <w:rFonts w:ascii="Arial" w:cs="Arial" w:eastAsia="Arial" w:hAnsi="Arial"/>
                <w:sz w:val="18"/>
                <w:szCs w:val="18"/>
                <w:color w:val="auto"/>
                <w:w w:val="91"/>
              </w:rPr>
              <w:t>(0.2)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center"/>
              <w:ind w:left="380"/>
              <w:spacing w:after="0"/>
              <w:rPr>
                <w:sz w:val="20"/>
                <w:szCs w:val="20"/>
                <w:color w:val="auto"/>
              </w:rPr>
            </w:pPr>
            <w:r>
              <w:rPr>
                <w:rFonts w:ascii="Arial" w:cs="Arial" w:eastAsia="Arial" w:hAnsi="Arial"/>
                <w:sz w:val="18"/>
                <w:szCs w:val="18"/>
                <w:color w:val="auto"/>
                <w:w w:val="91"/>
              </w:rPr>
              <w:t>(2.4)</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(12.5)</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rPr>
              <w:t>AMOUNT OF GAIN / (LOSS)</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RECLASSIFIED FROM AOCI</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DERIVATIVES IN CASH FLOW HEDGING</w:t>
            </w:r>
          </w:p>
        </w:tc>
        <w:tc>
          <w:tcPr>
            <w:tcW w:w="2320" w:type="dxa"/>
            <w:vAlign w:val="bottom"/>
            <w:gridSpan w:val="4"/>
          </w:tcPr>
          <w:p>
            <w:pPr>
              <w:jc w:val="center"/>
              <w:ind w:right="80"/>
              <w:spacing w:after="0" w:line="153" w:lineRule="exact"/>
              <w:rPr>
                <w:sz w:val="20"/>
                <w:szCs w:val="20"/>
                <w:color w:val="auto"/>
              </w:rPr>
            </w:pPr>
            <w:r>
              <w:rPr>
                <w:rFonts w:ascii="Arial" w:cs="Arial" w:eastAsia="Arial" w:hAnsi="Arial"/>
                <w:sz w:val="14"/>
                <w:szCs w:val="14"/>
                <w:b w:val="1"/>
                <w:bCs w:val="1"/>
                <w:color w:val="auto"/>
              </w:rPr>
              <w:t>INTO</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rPr>
              <w:t>MARCH 28,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rPr>
              <w:t>MARCH 30,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rPr>
              <w:t>MARCH 28,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rPr>
              <w:t>MARCH 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40" w:type="dxa"/>
            <w:vAlign w:val="bottom"/>
            <w:gridSpan w:val="2"/>
          </w:tcPr>
          <w:p>
            <w:pPr>
              <w:ind w:left="20"/>
              <w:spacing w:after="0"/>
              <w:rPr>
                <w:sz w:val="20"/>
                <w:szCs w:val="20"/>
                <w:color w:val="auto"/>
              </w:rPr>
            </w:pPr>
            <w:r>
              <w:rPr>
                <w:rFonts w:ascii="Arial" w:cs="Arial" w:eastAsia="Arial" w:hAnsi="Arial"/>
                <w:sz w:val="14"/>
                <w:szCs w:val="14"/>
                <w:b w:val="1"/>
                <w:bCs w:val="1"/>
                <w:color w:val="auto"/>
              </w:rPr>
              <w:t>RELATIONSHIPS</w:t>
            </w:r>
          </w:p>
        </w:tc>
        <w:tc>
          <w:tcPr>
            <w:tcW w:w="23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STATEMENT OF OPERATIONS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gridSpan w:val="8"/>
          </w:tcPr>
          <w:p>
            <w:pPr>
              <w:ind w:left="70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23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center"/>
              <w:ind w:left="400"/>
              <w:spacing w:after="0"/>
              <w:rPr>
                <w:sz w:val="20"/>
                <w:szCs w:val="20"/>
                <w:color w:val="auto"/>
              </w:rPr>
            </w:pPr>
            <w:r>
              <w:rPr>
                <w:rFonts w:ascii="Arial" w:cs="Arial" w:eastAsia="Arial" w:hAnsi="Arial"/>
                <w:sz w:val="18"/>
                <w:szCs w:val="18"/>
                <w:color w:val="auto"/>
                <w:w w:val="95"/>
              </w:rPr>
              <w:t>0.2</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Commodity hedging instruments</w:t>
            </w:r>
          </w:p>
        </w:tc>
        <w:tc>
          <w:tcPr>
            <w:tcW w:w="2320" w:type="dxa"/>
            <w:vAlign w:val="bottom"/>
            <w:gridSpan w:val="4"/>
          </w:tcPr>
          <w:p>
            <w:pPr>
              <w:ind w:left="20"/>
              <w:spacing w:after="0"/>
              <w:rPr>
                <w:sz w:val="20"/>
                <w:szCs w:val="20"/>
                <w:color w:val="auto"/>
              </w:rPr>
            </w:pPr>
            <w:r>
              <w:rPr>
                <w:rFonts w:ascii="Arial" w:cs="Arial" w:eastAsia="Arial" w:hAnsi="Arial"/>
                <w:sz w:val="18"/>
                <w:szCs w:val="18"/>
                <w:color w:val="auto"/>
              </w:rPr>
              <w:t>Cost of sales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left="400"/>
              <w:spacing w:after="0"/>
              <w:rPr>
                <w:sz w:val="20"/>
                <w:szCs w:val="20"/>
                <w:color w:val="auto"/>
              </w:rPr>
            </w:pPr>
            <w:r>
              <w:rPr>
                <w:rFonts w:ascii="Arial" w:cs="Arial" w:eastAsia="Arial" w:hAnsi="Arial"/>
                <w:sz w:val="18"/>
                <w:szCs w:val="18"/>
                <w:color w:val="auto"/>
                <w:w w:val="95"/>
              </w:rPr>
              <w:t>1.7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57"/>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center"/>
              <w:ind w:left="400"/>
              <w:spacing w:after="0"/>
              <w:rPr>
                <w:sz w:val="20"/>
                <w:szCs w:val="20"/>
                <w:color w:val="auto"/>
              </w:rPr>
            </w:pPr>
            <w:r>
              <w:rPr>
                <w:rFonts w:ascii="Arial" w:cs="Arial" w:eastAsia="Arial" w:hAnsi="Arial"/>
                <w:sz w:val="18"/>
                <w:szCs w:val="18"/>
                <w:color w:val="auto"/>
                <w:w w:val="95"/>
              </w:rPr>
              <w:t>1.9</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AMOUNT OF GAIN / (LOSS)</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6"/>
          </w:tcPr>
          <w:p>
            <w:pPr>
              <w:jc w:val="right"/>
              <w:ind w:right="377"/>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DERIVATIVES NOT DESIGNATED AS HEDGING</w:t>
            </w:r>
          </w:p>
        </w:tc>
        <w:tc>
          <w:tcPr>
            <w:tcW w:w="2320" w:type="dxa"/>
            <w:vAlign w:val="bottom"/>
            <w:gridSpan w:val="4"/>
          </w:tcPr>
          <w:p>
            <w:pPr>
              <w:jc w:val="center"/>
              <w:ind w:right="60"/>
              <w:spacing w:after="0" w:line="153" w:lineRule="exact"/>
              <w:rPr>
                <w:sz w:val="20"/>
                <w:szCs w:val="20"/>
                <w:color w:val="auto"/>
              </w:rPr>
            </w:pPr>
            <w:r>
              <w:rPr>
                <w:rFonts w:ascii="Arial" w:cs="Arial" w:eastAsia="Arial" w:hAnsi="Arial"/>
                <w:sz w:val="14"/>
                <w:szCs w:val="14"/>
                <w:b w:val="1"/>
                <w:bCs w:val="1"/>
                <w:color w:val="auto"/>
              </w:rPr>
              <w:t>RECOGNIZED IN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MARCH 28,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MARCH 28,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77"/>
              <w:spacing w:after="0" w:line="153" w:lineRule="exact"/>
              <w:rPr>
                <w:sz w:val="20"/>
                <w:szCs w:val="20"/>
                <w:color w:val="auto"/>
              </w:rPr>
            </w:pPr>
            <w:r>
              <w:rPr>
                <w:rFonts w:ascii="Arial" w:cs="Arial" w:eastAsia="Arial" w:hAnsi="Arial"/>
                <w:sz w:val="14"/>
                <w:szCs w:val="14"/>
                <w:b w:val="1"/>
                <w:bCs w:val="1"/>
                <w:color w:val="auto"/>
              </w:rPr>
              <w:t>MARCH 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INSTRUMENTS</w:t>
            </w:r>
          </w:p>
        </w:tc>
        <w:tc>
          <w:tcPr>
            <w:tcW w:w="23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STATEMENT OF OPERATIONS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ind w:left="32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gridSpan w:val="8"/>
          </w:tcPr>
          <w:p>
            <w:pPr>
              <w:ind w:left="74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Currency forward contracts</w:t>
            </w:r>
          </w:p>
        </w:tc>
        <w:tc>
          <w:tcPr>
            <w:tcW w:w="23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 income / expense, net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(0.2)</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Commodity hedging instruments</w:t>
            </w:r>
          </w:p>
        </w:tc>
        <w:tc>
          <w:tcPr>
            <w:tcW w:w="2320" w:type="dxa"/>
            <w:vAlign w:val="bottom"/>
            <w:gridSpan w:val="4"/>
          </w:tcPr>
          <w:p>
            <w:pPr>
              <w:ind w:left="20"/>
              <w:spacing w:after="0"/>
              <w:rPr>
                <w:sz w:val="20"/>
                <w:szCs w:val="20"/>
                <w:color w:val="auto"/>
              </w:rPr>
            </w:pPr>
            <w:r>
              <w:rPr>
                <w:rFonts w:ascii="Arial" w:cs="Arial" w:eastAsia="Arial" w:hAnsi="Arial"/>
                <w:sz w:val="18"/>
                <w:szCs w:val="18"/>
                <w:color w:val="auto"/>
              </w:rPr>
              <w:t>Cost of sales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ind w:left="68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gridSpan w:val="2"/>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12. FAIR VALUE MEASUREMENTS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fair value of the Company’s assets and liabilities for which disclosure of fair value is required (in millions):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5"/>
          </w:tcPr>
          <w:p>
            <w:pPr>
              <w:ind w:left="520"/>
              <w:spacing w:after="0"/>
              <w:rPr>
                <w:sz w:val="20"/>
                <w:szCs w:val="20"/>
                <w:color w:val="auto"/>
              </w:rPr>
            </w:pPr>
            <w:r>
              <w:rPr>
                <w:rFonts w:ascii="Arial" w:cs="Arial" w:eastAsia="Arial" w:hAnsi="Arial"/>
                <w:sz w:val="13"/>
                <w:szCs w:val="13"/>
                <w:b w:val="1"/>
                <w:bCs w:val="1"/>
                <w:color w:val="auto"/>
              </w:rPr>
              <w:t>MARCH 28, 2020</w:t>
            </w:r>
          </w:p>
        </w:tc>
        <w:tc>
          <w:tcPr>
            <w:tcW w:w="160" w:type="dxa"/>
            <w:vAlign w:val="bottom"/>
          </w:tcPr>
          <w:p>
            <w:pPr>
              <w:spacing w:after="0"/>
              <w:rPr>
                <w:sz w:val="15"/>
                <w:szCs w:val="15"/>
                <w:color w:val="auto"/>
              </w:rPr>
            </w:pPr>
          </w:p>
        </w:tc>
        <w:tc>
          <w:tcPr>
            <w:tcW w:w="2240" w:type="dxa"/>
            <w:vAlign w:val="bottom"/>
            <w:gridSpan w:val="5"/>
          </w:tcPr>
          <w:p>
            <w:pPr>
              <w:ind w:left="500"/>
              <w:spacing w:after="0"/>
              <w:rPr>
                <w:sz w:val="20"/>
                <w:szCs w:val="20"/>
                <w:color w:val="auto"/>
              </w:rPr>
            </w:pPr>
            <w:r>
              <w:rPr>
                <w:rFonts w:ascii="Arial" w:cs="Arial" w:eastAsia="Arial" w:hAnsi="Arial"/>
                <w:sz w:val="13"/>
                <w:szCs w:val="13"/>
                <w:b w:val="1"/>
                <w:bCs w:val="1"/>
                <w:color w:val="auto"/>
              </w:rPr>
              <w:t>MARCH 30, 2019</w:t>
            </w:r>
          </w:p>
        </w:tc>
        <w:tc>
          <w:tcPr>
            <w:tcW w:w="160" w:type="dxa"/>
            <w:vAlign w:val="bottom"/>
          </w:tcPr>
          <w:p>
            <w:pPr>
              <w:spacing w:after="0"/>
              <w:rPr>
                <w:sz w:val="15"/>
                <w:szCs w:val="15"/>
                <w:color w:val="auto"/>
              </w:rPr>
            </w:pPr>
          </w:p>
        </w:tc>
        <w:tc>
          <w:tcPr>
            <w:tcW w:w="2140" w:type="dxa"/>
            <w:vAlign w:val="bottom"/>
            <w:gridSpan w:val="4"/>
          </w:tcPr>
          <w:p>
            <w:pPr>
              <w:jc w:val="right"/>
              <w:ind w:right="442"/>
              <w:spacing w:after="0"/>
              <w:rPr>
                <w:sz w:val="20"/>
                <w:szCs w:val="20"/>
                <w:color w:val="auto"/>
              </w:rPr>
            </w:pPr>
            <w:r>
              <w:rPr>
                <w:rFonts w:ascii="Arial" w:cs="Arial" w:eastAsia="Arial" w:hAnsi="Arial"/>
                <w:sz w:val="13"/>
                <w:szCs w:val="13"/>
                <w:b w:val="1"/>
                <w:bCs w:val="1"/>
                <w:color w:val="auto"/>
              </w:rPr>
              <w:t>SEPTEMBER 30, 2019</w:t>
            </w:r>
          </w:p>
        </w:tc>
      </w:tr>
      <w:tr>
        <w:trPr>
          <w:trHeight w:val="130"/>
        </w:trPr>
        <w:tc>
          <w:tcPr>
            <w:tcW w:w="2840" w:type="dxa"/>
            <w:vAlign w:val="bottom"/>
          </w:tcPr>
          <w:p>
            <w:pPr>
              <w:spacing w:after="0"/>
              <w:rPr>
                <w:sz w:val="11"/>
                <w:szCs w:val="11"/>
                <w:color w:val="auto"/>
              </w:rPr>
            </w:pPr>
          </w:p>
        </w:tc>
        <w:tc>
          <w:tcPr>
            <w:tcW w:w="130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w w:val="94"/>
              </w:rPr>
              <w:t>FAIR VALUE</w:t>
            </w: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r>
      <w:tr>
        <w:trPr>
          <w:trHeight w:val="135"/>
        </w:trPr>
        <w:tc>
          <w:tcPr>
            <w:tcW w:w="2840" w:type="dxa"/>
            <w:vAlign w:val="bottom"/>
          </w:tcPr>
          <w:p>
            <w:pPr>
              <w:spacing w:after="0"/>
              <w:rPr>
                <w:sz w:val="11"/>
                <w:szCs w:val="11"/>
                <w:color w:val="auto"/>
              </w:rPr>
            </w:pPr>
          </w:p>
        </w:tc>
        <w:tc>
          <w:tcPr>
            <w:tcW w:w="13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HEIRARCHY</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ESTIMATED</w:t>
            </w: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ESTIMATED</w:t>
            </w: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1"/>
                <w:szCs w:val="11"/>
                <w:color w:val="auto"/>
              </w:rPr>
            </w:pPr>
          </w:p>
        </w:tc>
        <w:tc>
          <w:tcPr>
            <w:tcW w:w="960" w:type="dxa"/>
            <w:vAlign w:val="bottom"/>
          </w:tcPr>
          <w:p>
            <w:pPr>
              <w:jc w:val="right"/>
              <w:ind w:right="102"/>
              <w:spacing w:after="0" w:line="135" w:lineRule="exact"/>
              <w:rPr>
                <w:sz w:val="20"/>
                <w:szCs w:val="20"/>
                <w:color w:val="auto"/>
              </w:rPr>
            </w:pPr>
            <w:r>
              <w:rPr>
                <w:rFonts w:ascii="Arial" w:cs="Arial" w:eastAsia="Arial" w:hAnsi="Arial"/>
                <w:sz w:val="13"/>
                <w:szCs w:val="13"/>
                <w:b w:val="1"/>
                <w:bCs w:val="1"/>
                <w:color w:val="auto"/>
              </w:rPr>
              <w:t>ESTIMATED</w:t>
            </w:r>
          </w:p>
        </w:tc>
      </w:tr>
      <w:tr>
        <w:trPr>
          <w:trHeight w:val="174"/>
        </w:trPr>
        <w:tc>
          <w:tcPr>
            <w:tcW w:w="284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rPr>
              <w:t>LEVEL</w:t>
            </w: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b w:val="1"/>
                <w:bCs w:val="1"/>
                <w:color w:val="auto"/>
              </w:rPr>
              <w:t>FAIR VALUE</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3"/>
                <w:szCs w:val="13"/>
                <w:b w:val="1"/>
                <w:bCs w:val="1"/>
                <w:color w:val="auto"/>
              </w:rPr>
              <w:t>FAIR VALUE</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60" w:type="dxa"/>
            <w:vAlign w:val="bottom"/>
          </w:tcPr>
          <w:p>
            <w:pPr>
              <w:jc w:val="right"/>
              <w:ind w:right="82"/>
              <w:spacing w:after="0"/>
              <w:rPr>
                <w:sz w:val="20"/>
                <w:szCs w:val="20"/>
                <w:color w:val="auto"/>
              </w:rPr>
            </w:pPr>
            <w:r>
              <w:rPr>
                <w:rFonts w:ascii="Arial" w:cs="Arial" w:eastAsia="Arial" w:hAnsi="Arial"/>
                <w:sz w:val="13"/>
                <w:szCs w:val="13"/>
                <w:b w:val="1"/>
                <w:bCs w:val="1"/>
                <w:color w:val="auto"/>
                <w:w w:val="99"/>
              </w:rPr>
              <w:t>FAIR VALUE</w:t>
            </w:r>
          </w:p>
        </w:tc>
      </w:tr>
      <w:tr>
        <w:trPr>
          <w:trHeight w:val="223"/>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Level 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63"/>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2.0</w:t>
            </w:r>
          </w:p>
        </w:tc>
      </w:tr>
      <w:tr>
        <w:trPr>
          <w:trHeight w:val="33"/>
        </w:trPr>
        <w:tc>
          <w:tcPr>
            <w:tcW w:w="2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0"/>
        </w:trPr>
        <w:tc>
          <w:tcPr>
            <w:tcW w:w="2840" w:type="dxa"/>
            <w:vAlign w:val="bottom"/>
          </w:tcPr>
          <w:p>
            <w:pPr>
              <w:ind w:left="220"/>
              <w:spacing w:after="0"/>
              <w:rPr>
                <w:sz w:val="20"/>
                <w:szCs w:val="20"/>
                <w:color w:val="auto"/>
              </w:rPr>
            </w:pPr>
            <w:r>
              <w:rPr>
                <w:rFonts w:ascii="Arial" w:cs="Arial" w:eastAsia="Arial" w:hAnsi="Arial"/>
                <w:sz w:val="16"/>
                <w:szCs w:val="16"/>
                <w:color w:val="auto"/>
                <w:w w:val="98"/>
              </w:rPr>
              <w:t>Investment securities in non-qualified</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6"/>
        </w:trPr>
        <w:tc>
          <w:tcPr>
            <w:tcW w:w="2840" w:type="dxa"/>
            <w:vAlign w:val="bottom"/>
          </w:tcPr>
          <w:p>
            <w:pPr>
              <w:ind w:left="220"/>
              <w:spacing w:after="0"/>
              <w:rPr>
                <w:sz w:val="20"/>
                <w:szCs w:val="20"/>
                <w:color w:val="auto"/>
              </w:rPr>
            </w:pPr>
            <w:r>
              <w:rPr>
                <w:rFonts w:ascii="Arial" w:cs="Arial" w:eastAsia="Arial" w:hAnsi="Arial"/>
                <w:sz w:val="16"/>
                <w:szCs w:val="16"/>
                <w:color w:val="auto"/>
              </w:rPr>
              <w:t>retirement plan assets</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Level 1</w:t>
            </w:r>
          </w:p>
        </w:tc>
        <w:tc>
          <w:tcPr>
            <w:tcW w:w="14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21.6</w:t>
            </w:r>
          </w:p>
        </w:tc>
      </w:tr>
      <w:tr>
        <w:trPr>
          <w:trHeight w:val="33"/>
        </w:trPr>
        <w:tc>
          <w:tcPr>
            <w:tcW w:w="2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2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Bonnie Option</w:t>
            </w:r>
          </w:p>
        </w:tc>
        <w:tc>
          <w:tcPr>
            <w:tcW w:w="1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Level 3</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11.3</w:t>
            </w:r>
          </w:p>
        </w:tc>
      </w:tr>
      <w:tr>
        <w:trPr>
          <w:trHeight w:val="270"/>
        </w:trPr>
        <w:tc>
          <w:tcPr>
            <w:tcW w:w="28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color w:val="auto"/>
              </w:rPr>
              <w:t>Debt instruments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3"/>
        </w:trPr>
        <w:tc>
          <w:tcPr>
            <w:tcW w:w="2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2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Credit facilities – revolving loans</w:t>
            </w:r>
          </w:p>
        </w:tc>
        <w:tc>
          <w:tcPr>
            <w:tcW w:w="1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Level 2</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691.9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691.9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666.2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666.2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147.2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147.2</w:t>
            </w:r>
          </w:p>
        </w:tc>
      </w:tr>
      <w:tr>
        <w:trPr>
          <w:trHeight w:val="224"/>
        </w:trPr>
        <w:tc>
          <w:tcPr>
            <w:tcW w:w="2840" w:type="dxa"/>
            <w:vAlign w:val="bottom"/>
          </w:tcPr>
          <w:p>
            <w:pPr>
              <w:ind w:left="220"/>
              <w:spacing w:after="0"/>
              <w:rPr>
                <w:sz w:val="20"/>
                <w:szCs w:val="20"/>
                <w:color w:val="auto"/>
              </w:rPr>
            </w:pPr>
            <w:r>
              <w:rPr>
                <w:rFonts w:ascii="Arial" w:cs="Arial" w:eastAsia="Arial" w:hAnsi="Arial"/>
                <w:sz w:val="16"/>
                <w:szCs w:val="16"/>
                <w:color w:val="auto"/>
              </w:rPr>
              <w:t>Credit facilities – term loans</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Level 2</w:t>
            </w:r>
          </w:p>
        </w:tc>
        <w:tc>
          <w:tcPr>
            <w:tcW w:w="140" w:type="dxa"/>
            <w:vAlign w:val="bottom"/>
          </w:tcPr>
          <w:p>
            <w:pPr>
              <w:spacing w:after="0"/>
              <w:rPr>
                <w:sz w:val="19"/>
                <w:szCs w:val="19"/>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740.0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740.0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770.0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770.0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color w:val="auto"/>
              </w:rPr>
              <w:t>750.0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750.0</w:t>
            </w:r>
          </w:p>
        </w:tc>
      </w:tr>
      <w:tr>
        <w:trPr>
          <w:trHeight w:val="33"/>
        </w:trPr>
        <w:tc>
          <w:tcPr>
            <w:tcW w:w="2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2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Senior Notes – 4.500%</w:t>
            </w:r>
          </w:p>
        </w:tc>
        <w:tc>
          <w:tcPr>
            <w:tcW w:w="1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Level 1</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450.0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400.5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r>
      <w:tr>
        <w:trPr>
          <w:trHeight w:val="223"/>
        </w:trPr>
        <w:tc>
          <w:tcPr>
            <w:tcW w:w="2840" w:type="dxa"/>
            <w:vAlign w:val="bottom"/>
          </w:tcPr>
          <w:p>
            <w:pPr>
              <w:ind w:left="220"/>
              <w:spacing w:after="0"/>
              <w:rPr>
                <w:sz w:val="20"/>
                <w:szCs w:val="20"/>
                <w:color w:val="auto"/>
              </w:rPr>
            </w:pPr>
            <w:r>
              <w:rPr>
                <w:rFonts w:ascii="Arial" w:cs="Arial" w:eastAsia="Arial" w:hAnsi="Arial"/>
                <w:sz w:val="16"/>
                <w:szCs w:val="16"/>
                <w:color w:val="auto"/>
              </w:rPr>
              <w:t>Senior Notes – 5.250%</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Level 1</w:t>
            </w:r>
          </w:p>
        </w:tc>
        <w:tc>
          <w:tcPr>
            <w:tcW w:w="140" w:type="dxa"/>
            <w:vAlign w:val="bottom"/>
          </w:tcPr>
          <w:p>
            <w:pPr>
              <w:spacing w:after="0"/>
              <w:rPr>
                <w:sz w:val="19"/>
                <w:szCs w:val="19"/>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239.1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245.0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263.4</w:t>
            </w:r>
          </w:p>
        </w:tc>
      </w:tr>
      <w:tr>
        <w:trPr>
          <w:trHeight w:val="33"/>
        </w:trPr>
        <w:tc>
          <w:tcPr>
            <w:tcW w:w="2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2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Senior Notes – 6.000%</w:t>
            </w:r>
          </w:p>
        </w:tc>
        <w:tc>
          <w:tcPr>
            <w:tcW w:w="1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Level 1</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416.0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400.0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412.5</w:t>
            </w:r>
          </w:p>
        </w:tc>
      </w:tr>
      <w:tr>
        <w:trPr>
          <w:trHeight w:val="224"/>
        </w:trPr>
        <w:tc>
          <w:tcPr>
            <w:tcW w:w="2840" w:type="dxa"/>
            <w:vAlign w:val="bottom"/>
          </w:tcPr>
          <w:p>
            <w:pPr>
              <w:ind w:left="220"/>
              <w:spacing w:after="0"/>
              <w:rPr>
                <w:sz w:val="20"/>
                <w:szCs w:val="20"/>
                <w:color w:val="auto"/>
              </w:rPr>
            </w:pPr>
            <w:r>
              <w:rPr>
                <w:rFonts w:ascii="Arial" w:cs="Arial" w:eastAsia="Arial" w:hAnsi="Arial"/>
                <w:sz w:val="16"/>
                <w:szCs w:val="16"/>
                <w:color w:val="auto"/>
              </w:rPr>
              <w:t>Receivables facility</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Level 2</w:t>
            </w:r>
          </w:p>
        </w:tc>
        <w:tc>
          <w:tcPr>
            <w:tcW w:w="140" w:type="dxa"/>
            <w:vAlign w:val="bottom"/>
          </w:tcPr>
          <w:p>
            <w:pPr>
              <w:spacing w:after="0"/>
              <w:rPr>
                <w:sz w:val="19"/>
                <w:szCs w:val="19"/>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76.0</w:t>
            </w:r>
          </w:p>
        </w:tc>
      </w:tr>
      <w:tr>
        <w:trPr>
          <w:trHeight w:val="33"/>
        </w:trPr>
        <w:tc>
          <w:tcPr>
            <w:tcW w:w="2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4"/>
        </w:trPr>
        <w:tc>
          <w:tcPr>
            <w:tcW w:w="2840" w:type="dxa"/>
            <w:vAlign w:val="bottom"/>
          </w:tcPr>
          <w:p>
            <w:pPr>
              <w:ind w:left="220"/>
              <w:spacing w:after="0"/>
              <w:rPr>
                <w:sz w:val="20"/>
                <w:szCs w:val="20"/>
                <w:color w:val="auto"/>
              </w:rPr>
            </w:pPr>
            <w:r>
              <w:rPr>
                <w:rFonts w:ascii="Arial" w:cs="Arial" w:eastAsia="Arial" w:hAnsi="Arial"/>
                <w:sz w:val="16"/>
                <w:szCs w:val="16"/>
                <w:color w:val="auto"/>
              </w:rPr>
              <w:t>Debt</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Level 2</w:t>
            </w:r>
          </w:p>
        </w:tc>
        <w:tc>
          <w:tcPr>
            <w:tcW w:w="140" w:type="dxa"/>
            <w:vAlign w:val="bottom"/>
          </w:tcPr>
          <w:p>
            <w:pPr>
              <w:spacing w:after="0"/>
              <w:rPr>
                <w:sz w:val="19"/>
                <w:szCs w:val="19"/>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10.3</w:t>
            </w:r>
          </w:p>
        </w:tc>
      </w:tr>
      <w:tr>
        <w:trPr>
          <w:trHeight w:val="33"/>
        </w:trPr>
        <w:tc>
          <w:tcPr>
            <w:tcW w:w="2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4"/>
        </w:trPr>
        <w:tc>
          <w:tcPr>
            <w:tcW w:w="2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Contingent consideration</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Level 3</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r>
      <w:tr>
        <w:trPr>
          <w:trHeight w:val="33"/>
        </w:trPr>
        <w:tc>
          <w:tcPr>
            <w:tcW w:w="28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LEASES AND OTHER COMMITMENTS</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Certain lease agreements contain renewal and purchase options. The lease agreements generally require that the Company pay taxes, insurance and maintenance expenses related to the leased assets. There were no material operating leases that the Company had entered into and that were yet to commence as of March 28, 2020. From time to time, the Company will sublease portions of its facilities, resulting in sublease income. Sublease income and the related cash flows are not material to the condensed consolidated financial statements for the three months ended March 28, 2020.</w:t>
      </w:r>
    </w:p>
    <w:p>
      <w:pPr>
        <w:spacing w:after="0" w:line="1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leases certain vehicles (primarily cars and light trucks) under agreements that are cancelable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March 28, 2020, the Company’s residual value guarantee would have approximated $3.4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2" w:name="page23"/>
    <w:bookmarkEnd w:id="22"/>
    <w:p>
      <w:pPr>
        <w:ind w:left="420"/>
        <w:spacing w:after="0"/>
        <w:rPr>
          <w:sz w:val="20"/>
          <w:szCs w:val="20"/>
          <w:color w:val="auto"/>
        </w:rPr>
      </w:pPr>
      <w:r>
        <w:rPr>
          <w:rFonts w:ascii="Arial" w:cs="Arial" w:eastAsia="Arial" w:hAnsi="Arial"/>
          <w:sz w:val="18"/>
          <w:szCs w:val="18"/>
          <w:color w:val="auto"/>
        </w:rPr>
        <w:t>Supplemental balance sheet information related to the Company’s leases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9"/>
              </w:rPr>
              <w:t>MARCH 28, 2020</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jc w:val="center"/>
              <w:ind w:right="274"/>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18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74"/>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66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20" w:type="dxa"/>
            <w:vAlign w:val="bottom"/>
          </w:tcPr>
          <w:p>
            <w:pPr>
              <w:jc w:val="right"/>
              <w:ind w:right="74"/>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lease liabilities</w:t>
            </w: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63"/>
        </w:trPr>
        <w:tc>
          <w:tcPr>
            <w:tcW w:w="466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8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18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lease liabilities</w:t>
            </w: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debt</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Non-current lease liabilities</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20" w:type="dxa"/>
            <w:vAlign w:val="bottom"/>
          </w:tcPr>
          <w:p>
            <w:pPr>
              <w:jc w:val="right"/>
              <w:ind w:right="74"/>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liabilities</w:t>
            </w:r>
          </w:p>
        </w:tc>
        <w:tc>
          <w:tcPr>
            <w:tcW w:w="188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Components of lease cost were as follows:</w:t>
            </w:r>
          </w:p>
        </w:tc>
        <w:tc>
          <w:tcPr>
            <w:tcW w:w="1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6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8"/>
                <w:szCs w:val="18"/>
                <w:color w:val="auto"/>
              </w:rPr>
            </w:pPr>
          </w:p>
        </w:tc>
        <w:tc>
          <w:tcPr>
            <w:tcW w:w="1920" w:type="dxa"/>
            <w:vAlign w:val="bottom"/>
          </w:tcPr>
          <w:p>
            <w:pPr>
              <w:jc w:val="center"/>
              <w:ind w:right="29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8"/>
        </w:trPr>
        <w:tc>
          <w:tcPr>
            <w:tcW w:w="4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60" w:type="dxa"/>
            <w:vAlign w:val="bottom"/>
            <w:tcBorders>
              <w:bottom w:val="single" w:sz="8" w:color="auto"/>
            </w:tcBorders>
          </w:tcPr>
          <w:p>
            <w:pPr>
              <w:jc w:val="center"/>
              <w:ind w:left="462"/>
              <w:spacing w:after="0"/>
              <w:rPr>
                <w:sz w:val="20"/>
                <w:szCs w:val="20"/>
                <w:color w:val="auto"/>
              </w:rPr>
            </w:pPr>
            <w:r>
              <w:rPr>
                <w:rFonts w:ascii="Arial" w:cs="Arial" w:eastAsia="Arial" w:hAnsi="Arial"/>
                <w:sz w:val="14"/>
                <w:szCs w:val="14"/>
                <w:b w:val="1"/>
                <w:bCs w:val="1"/>
                <w:color w:val="auto"/>
                <w:w w:val="99"/>
              </w:rPr>
              <w:t>MARCH 28, 2020</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9"/>
              </w:rPr>
              <w:t>MARCH 28, 2020</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(a)</w:t>
            </w:r>
          </w:p>
        </w:tc>
        <w:tc>
          <w:tcPr>
            <w:tcW w:w="364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8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jc w:val="right"/>
              <w:ind w:right="7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20" w:type="dxa"/>
            <w:vAlign w:val="bottom"/>
          </w:tcPr>
          <w:p>
            <w:pPr>
              <w:jc w:val="right"/>
              <w:ind w:right="7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 term lease cost</w:t>
            </w:r>
          </w:p>
        </w:tc>
        <w:tc>
          <w:tcPr>
            <w:tcW w:w="18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6"/>
        </w:trPr>
        <w:tc>
          <w:tcPr>
            <w:tcW w:w="46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8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Arial" w:cs="Arial" w:eastAsia="Arial" w:hAnsi="Arial"/>
                <w:sz w:val="18"/>
                <w:szCs w:val="18"/>
                <w:color w:val="auto"/>
              </w:rPr>
              <w:t>Amortization of right-of-use assets</w:t>
            </w:r>
          </w:p>
        </w:tc>
        <w:tc>
          <w:tcPr>
            <w:tcW w:w="18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jc w:val="right"/>
              <w:ind w:right="7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20" w:type="dxa"/>
            <w:vAlign w:val="bottom"/>
          </w:tcPr>
          <w:p>
            <w:pPr>
              <w:jc w:val="right"/>
              <w:ind w:right="7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on lease liabilities</w:t>
            </w:r>
          </w:p>
        </w:tc>
        <w:tc>
          <w:tcPr>
            <w:tcW w:w="18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64"/>
        </w:trPr>
        <w:tc>
          <w:tcPr>
            <w:tcW w:w="4660" w:type="dxa"/>
            <w:vAlign w:val="bottom"/>
          </w:tcPr>
          <w:p>
            <w:pPr>
              <w:ind w:left="20"/>
              <w:spacing w:after="0"/>
              <w:rPr>
                <w:sz w:val="20"/>
                <w:szCs w:val="20"/>
                <w:color w:val="auto"/>
              </w:rPr>
            </w:pPr>
            <w:r>
              <w:rPr>
                <w:rFonts w:ascii="Arial" w:cs="Arial" w:eastAsia="Arial" w:hAnsi="Arial"/>
                <w:sz w:val="18"/>
                <w:szCs w:val="18"/>
                <w:color w:val="auto"/>
              </w:rPr>
              <w:t>Total finance lease cost</w:t>
            </w:r>
          </w:p>
        </w:tc>
        <w:tc>
          <w:tcPr>
            <w:tcW w:w="1880" w:type="dxa"/>
            <w:vAlign w:val="bottom"/>
          </w:tcPr>
          <w:p>
            <w:pPr>
              <w:spacing w:after="0"/>
              <w:rPr>
                <w:sz w:val="22"/>
                <w:szCs w:val="22"/>
                <w:color w:val="auto"/>
              </w:rPr>
            </w:pPr>
          </w:p>
        </w:tc>
        <w:tc>
          <w:tcPr>
            <w:tcW w:w="1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652"/>
        <w:spacing w:after="0" w:line="277" w:lineRule="auto"/>
        <w:tabs>
          <w:tab w:leader="none" w:pos="657"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lease cost includes amortization of ROU assets for the three and six months ended March 28, 2020 of $11.8 million and $22.9 million,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and non-cash activity related to the Company’s leases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tcPr>
          <w:p>
            <w:pPr>
              <w:jc w:val="center"/>
              <w:ind w:right="177"/>
              <w:spacing w:after="0"/>
              <w:rPr>
                <w:sz w:val="20"/>
                <w:szCs w:val="20"/>
                <w:color w:val="auto"/>
              </w:rPr>
            </w:pPr>
            <w:r>
              <w:rPr>
                <w:rFonts w:ascii="Arial" w:cs="Arial" w:eastAsia="Arial" w:hAnsi="Arial"/>
                <w:sz w:val="14"/>
                <w:szCs w:val="14"/>
                <w:b w:val="1"/>
                <w:bCs w:val="1"/>
                <w:color w:val="auto"/>
              </w:rPr>
              <w:t>SIX MONTHS ENDED</w:t>
            </w:r>
          </w:p>
        </w:tc>
      </w:tr>
      <w:tr>
        <w:trPr>
          <w:trHeight w:val="208"/>
        </w:trPr>
        <w:tc>
          <w:tcPr>
            <w:tcW w:w="55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9"/>
              </w:rPr>
              <w:t>MARCH 28, 2020</w:t>
            </w:r>
          </w:p>
        </w:tc>
      </w:tr>
      <w:tr>
        <w:trPr>
          <w:trHeight w:val="196"/>
        </w:trPr>
        <w:tc>
          <w:tcPr>
            <w:tcW w:w="55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(In millions)</w:t>
            </w:r>
          </w:p>
        </w:tc>
      </w:tr>
      <w:tr>
        <w:trPr>
          <w:trHeight w:val="25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89"/>
              </w:rPr>
              <w:t>Cash paid for amounts included in the measurement of lease liabilities:</w:t>
            </w:r>
          </w:p>
        </w:tc>
        <w:tc>
          <w:tcPr>
            <w:tcW w:w="3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 net</w:t>
            </w:r>
          </w:p>
        </w:tc>
        <w:tc>
          <w:tcPr>
            <w:tcW w:w="3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7"/>
              <w:spacing w:after="0"/>
              <w:rPr>
                <w:sz w:val="20"/>
                <w:szCs w:val="20"/>
                <w:color w:val="auto"/>
              </w:rPr>
            </w:pPr>
            <w:r>
              <w:rPr>
                <w:rFonts w:ascii="Arial" w:cs="Arial" w:eastAsia="Arial" w:hAnsi="Arial"/>
                <w:sz w:val="18"/>
                <w:szCs w:val="18"/>
                <w:color w:val="auto"/>
              </w:rPr>
              <w:t>27.1</w:t>
            </w:r>
          </w:p>
        </w:tc>
      </w:tr>
      <w:tr>
        <w:trPr>
          <w:trHeight w:val="27"/>
        </w:trPr>
        <w:tc>
          <w:tcPr>
            <w:tcW w:w="55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3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0.7</w:t>
            </w: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3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40" w:type="dxa"/>
            <w:vAlign w:val="bottom"/>
          </w:tcPr>
          <w:p>
            <w:pPr>
              <w:jc w:val="right"/>
              <w:ind w:right="77"/>
              <w:spacing w:after="0"/>
              <w:rPr>
                <w:sz w:val="20"/>
                <w:szCs w:val="20"/>
                <w:color w:val="auto"/>
              </w:rPr>
            </w:pPr>
            <w:r>
              <w:rPr>
                <w:rFonts w:ascii="Arial" w:cs="Arial" w:eastAsia="Arial" w:hAnsi="Arial"/>
                <w:sz w:val="18"/>
                <w:szCs w:val="18"/>
                <w:color w:val="auto"/>
              </w:rPr>
              <w:t>1.4</w:t>
            </w:r>
          </w:p>
        </w:tc>
      </w:tr>
      <w:tr>
        <w:trPr>
          <w:trHeight w:val="27"/>
        </w:trPr>
        <w:tc>
          <w:tcPr>
            <w:tcW w:w="55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7"/>
        </w:trPr>
        <w:tc>
          <w:tcPr>
            <w:tcW w:w="5500" w:type="dxa"/>
            <w:vAlign w:val="bottom"/>
            <w:shd w:val="clear" w:color="auto" w:fill="CCEEFF"/>
          </w:tcPr>
          <w:p>
            <w:pPr>
              <w:spacing w:after="0"/>
              <w:rPr>
                <w:sz w:val="22"/>
                <w:szCs w:val="22"/>
                <w:color w:val="auto"/>
              </w:rPr>
            </w:pPr>
          </w:p>
        </w:tc>
        <w:tc>
          <w:tcPr>
            <w:tcW w:w="3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3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3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19.4</w:t>
            </w: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3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40" w:type="dxa"/>
            <w:vAlign w:val="bottom"/>
          </w:tcPr>
          <w:p>
            <w:pPr>
              <w:jc w:val="right"/>
              <w:ind w:right="77"/>
              <w:spacing w:after="0"/>
              <w:rPr>
                <w:sz w:val="20"/>
                <w:szCs w:val="20"/>
                <w:color w:val="auto"/>
              </w:rPr>
            </w:pPr>
            <w:r>
              <w:rPr>
                <w:rFonts w:ascii="Arial" w:cs="Arial" w:eastAsia="Arial" w:hAnsi="Arial"/>
                <w:sz w:val="18"/>
                <w:szCs w:val="18"/>
                <w:color w:val="auto"/>
              </w:rPr>
              <w:t>11.9</w:t>
            </w:r>
          </w:p>
        </w:tc>
      </w:tr>
      <w:tr>
        <w:trPr>
          <w:trHeight w:val="904"/>
        </w:trPr>
        <w:tc>
          <w:tcPr>
            <w:tcW w:w="5500" w:type="dxa"/>
            <w:vAlign w:val="bottom"/>
          </w:tcPr>
          <w:p>
            <w:pPr>
              <w:spacing w:after="0"/>
              <w:rPr>
                <w:sz w:val="24"/>
                <w:szCs w:val="24"/>
                <w:color w:val="auto"/>
              </w:rPr>
            </w:pPr>
          </w:p>
        </w:tc>
        <w:tc>
          <w:tcPr>
            <w:tcW w:w="3440" w:type="dxa"/>
            <w:vAlign w:val="bottom"/>
          </w:tcPr>
          <w:p>
            <w:pPr>
              <w:jc w:val="right"/>
              <w:ind w:right="3130"/>
              <w:spacing w:after="0"/>
              <w:rPr>
                <w:sz w:val="20"/>
                <w:szCs w:val="20"/>
                <w:color w:val="auto"/>
              </w:rPr>
            </w:pPr>
            <w:r>
              <w:rPr>
                <w:rFonts w:ascii="Arial" w:cs="Arial" w:eastAsia="Arial" w:hAnsi="Arial"/>
                <w:sz w:val="18"/>
                <w:szCs w:val="18"/>
                <w:color w:val="auto"/>
                <w:w w:val="99"/>
              </w:rPr>
              <w:t>23</w:t>
            </w: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3" w:name="page24"/>
    <w:bookmarkEnd w:id="23"/>
    <w:p>
      <w:pPr>
        <w:ind w:left="420"/>
        <w:spacing w:after="0"/>
        <w:rPr>
          <w:sz w:val="20"/>
          <w:szCs w:val="20"/>
          <w:color w:val="auto"/>
        </w:rPr>
      </w:pPr>
      <w:r>
        <w:rPr>
          <w:rFonts w:ascii="Arial" w:cs="Arial" w:eastAsia="Arial" w:hAnsi="Arial"/>
          <w:sz w:val="18"/>
          <w:szCs w:val="18"/>
          <w:color w:val="auto"/>
        </w:rPr>
        <w:t>Weighted-average remaining lease term and discount rate for the Company’s leases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236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MARCH 28, 2020</w:t>
            </w:r>
          </w:p>
        </w:tc>
      </w:tr>
      <w:tr>
        <w:trPr>
          <w:trHeight w:val="236"/>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7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8140" w:type="dxa"/>
            <w:vAlign w:val="bottom"/>
            <w:gridSpan w:val="2"/>
          </w:tcPr>
          <w:p>
            <w:pPr>
              <w:ind w:left="340"/>
              <w:spacing w:after="0"/>
              <w:rPr>
                <w:sz w:val="20"/>
                <w:szCs w:val="20"/>
                <w:color w:val="auto"/>
              </w:rPr>
            </w:pPr>
            <w:r>
              <w:rPr>
                <w:rFonts w:ascii="Arial" w:cs="Arial" w:eastAsia="Arial" w:hAnsi="Arial"/>
                <w:sz w:val="18"/>
                <w:szCs w:val="18"/>
                <w:color w:val="auto"/>
              </w:rPr>
              <w:t>Operating leases</w:t>
            </w: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Finance leases</w:t>
            </w: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57"/>
        </w:trPr>
        <w:tc>
          <w:tcPr>
            <w:tcW w:w="8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gridSpan w:val="2"/>
          </w:tcPr>
          <w:p>
            <w:pPr>
              <w:ind w:left="340"/>
              <w:spacing w:after="0"/>
              <w:rPr>
                <w:sz w:val="20"/>
                <w:szCs w:val="20"/>
                <w:color w:val="auto"/>
              </w:rPr>
            </w:pPr>
            <w:r>
              <w:rPr>
                <w:rFonts w:ascii="Arial" w:cs="Arial" w:eastAsia="Arial" w:hAnsi="Arial"/>
                <w:sz w:val="18"/>
                <w:szCs w:val="18"/>
                <w:color w:val="auto"/>
              </w:rPr>
              <w:t>Operating leases</w:t>
            </w: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7"/>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Finance leases</w:t>
            </w: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378"/>
        </w:trPr>
        <w:tc>
          <w:tcPr>
            <w:tcW w:w="9740" w:type="dxa"/>
            <w:vAlign w:val="bottom"/>
            <w:gridSpan w:val="5"/>
          </w:tcPr>
          <w:p>
            <w:pPr>
              <w:ind w:left="420"/>
              <w:spacing w:after="0"/>
              <w:rPr>
                <w:sz w:val="20"/>
                <w:szCs w:val="20"/>
                <w:color w:val="auto"/>
              </w:rPr>
            </w:pPr>
            <w:r>
              <w:rPr>
                <w:rFonts w:ascii="Arial" w:cs="Arial" w:eastAsia="Arial" w:hAnsi="Arial"/>
                <w:sz w:val="18"/>
                <w:szCs w:val="18"/>
                <w:color w:val="auto"/>
                <w:w w:val="98"/>
              </w:rPr>
              <w:t>Maturities of lease liabilities by fiscal year for the Company’s leases as of March 28, 2020 were as follows (in millions):</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4"/>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FINANCE LEASES</w:t>
            </w:r>
          </w:p>
        </w:tc>
      </w:tr>
      <w:tr>
        <w:trPr>
          <w:trHeight w:val="249"/>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 (remainder of the year)</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6.1</w:t>
            </w:r>
          </w:p>
        </w:tc>
      </w:tr>
      <w:tr>
        <w:trPr>
          <w:trHeight w:val="27"/>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6.1</w:t>
            </w:r>
          </w:p>
        </w:tc>
      </w:tr>
      <w:tr>
        <w:trPr>
          <w:trHeight w:val="27"/>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74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16.0</w:t>
            </w:r>
          </w:p>
        </w:tc>
      </w:tr>
      <w:tr>
        <w:trPr>
          <w:trHeight w:val="27"/>
        </w:trPr>
        <w:tc>
          <w:tcPr>
            <w:tcW w:w="8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43.5</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Less: Imputed interest</w:t>
            </w:r>
          </w:p>
        </w:tc>
        <w:tc>
          <w:tcPr>
            <w:tcW w:w="7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(7.6)</w:t>
            </w:r>
          </w:p>
        </w:tc>
      </w:tr>
      <w:tr>
        <w:trPr>
          <w:trHeight w:val="27"/>
        </w:trPr>
        <w:tc>
          <w:tcPr>
            <w:tcW w:w="8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35.9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future minimum annual lease payments required under the Company’s existing non-cancelable operating and capital lease agreements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prior to the adoption of ASC 842 were as follows (in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 LEASES</w:t>
            </w:r>
          </w:p>
        </w:tc>
        <w:tc>
          <w:tcPr>
            <w:tcW w:w="120" w:type="dxa"/>
            <w:vAlign w:val="bottom"/>
          </w:tcPr>
          <w:p>
            <w:pPr>
              <w:spacing w:after="0"/>
              <w:rPr>
                <w:sz w:val="16"/>
                <w:szCs w:val="16"/>
                <w:color w:val="auto"/>
              </w:rPr>
            </w:pPr>
          </w:p>
        </w:tc>
        <w:tc>
          <w:tcPr>
            <w:tcW w:w="1380" w:type="dxa"/>
            <w:vAlign w:val="bottom"/>
          </w:tcPr>
          <w:p>
            <w:pPr>
              <w:jc w:val="right"/>
              <w:ind w:right="52"/>
              <w:spacing w:after="0"/>
              <w:rPr>
                <w:sz w:val="20"/>
                <w:szCs w:val="20"/>
                <w:color w:val="auto"/>
              </w:rPr>
            </w:pPr>
            <w:r>
              <w:rPr>
                <w:rFonts w:ascii="Arial" w:cs="Arial" w:eastAsia="Arial" w:hAnsi="Arial"/>
                <w:sz w:val="14"/>
                <w:szCs w:val="14"/>
                <w:b w:val="1"/>
                <w:bCs w:val="1"/>
                <w:color w:val="auto"/>
              </w:rPr>
              <w:t>CAPITAL LEASES</w:t>
            </w:r>
          </w:p>
        </w:tc>
      </w:tr>
      <w:tr>
        <w:trPr>
          <w:trHeight w:val="249"/>
        </w:trPr>
        <w:tc>
          <w:tcPr>
            <w:tcW w:w="80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3.5</w:t>
            </w:r>
          </w:p>
        </w:tc>
      </w:tr>
      <w:tr>
        <w:trPr>
          <w:trHeight w:val="27"/>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3.6</w:t>
            </w:r>
          </w:p>
        </w:tc>
      </w:tr>
      <w:tr>
        <w:trPr>
          <w:trHeight w:val="27"/>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15.4</w:t>
            </w:r>
          </w:p>
        </w:tc>
      </w:tr>
      <w:tr>
        <w:trPr>
          <w:trHeight w:val="27"/>
        </w:trPr>
        <w:tc>
          <w:tcPr>
            <w:tcW w:w="8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32.6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16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divides its operations into three reportable segments: U.S. Consumer, Hawthorne and Other. U.S. Consumer consists of the Company’s consumer lawn and garden business located in the geographic United States. Hawthorne consists of the Company’s indoor, urban and hydroponic gardening business. Other consists of the Company’s consumer lawn and garden business in geographies other than the U.S. and the Company’s product sales to commercial nurseries, greenhouses and other professional customers. In addition, Corporate consists of general and administrative expenses and certain other income and expense items not allocated to the business segments. This identification of reportable segments is consistent with how the segments report to and are managed by the chief operating decision maker of the Company.</w:t>
      </w:r>
    </w:p>
    <w:p>
      <w:pPr>
        <w:spacing w:after="0" w:line="110"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performance of each reportable segment is evaluated based on several factors, including income (loss) from continuing operations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4" w:name="page25"/>
    <w:bookmarkEnd w:id="24"/>
    <w:p>
      <w:pPr>
        <w:ind w:left="420"/>
        <w:spacing w:after="0"/>
        <w:rPr>
          <w:sz w:val="20"/>
          <w:szCs w:val="20"/>
          <w:color w:val="auto"/>
        </w:rPr>
      </w:pPr>
      <w:r>
        <w:rPr>
          <w:rFonts w:ascii="Arial" w:cs="Arial" w:eastAsia="Arial" w:hAnsi="Arial"/>
          <w:sz w:val="18"/>
          <w:szCs w:val="18"/>
          <w:color w:val="auto"/>
        </w:rPr>
        <w:t>The following table presents financial information for the Company’s reportable segments for each of the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28,</w:t>
            </w:r>
          </w:p>
        </w:tc>
        <w:tc>
          <w:tcPr>
            <w:tcW w:w="140" w:type="dxa"/>
            <w:vAlign w:val="bottom"/>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28,</w:t>
            </w:r>
          </w:p>
        </w:tc>
        <w:tc>
          <w:tcPr>
            <w:tcW w:w="140" w:type="dxa"/>
            <w:vAlign w:val="bottom"/>
          </w:tcPr>
          <w:p>
            <w:pPr>
              <w:spacing w:after="0"/>
              <w:rPr>
                <w:sz w:val="13"/>
                <w:szCs w:val="13"/>
                <w:color w:val="auto"/>
              </w:rPr>
            </w:pPr>
          </w:p>
        </w:tc>
        <w:tc>
          <w:tcPr>
            <w:tcW w:w="980" w:type="dxa"/>
            <w:vAlign w:val="bottom"/>
          </w:tcPr>
          <w:p>
            <w:pPr>
              <w:jc w:val="right"/>
              <w:ind w:right="92"/>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r>
      <w:tr>
        <w:trPr>
          <w:trHeight w:val="196"/>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U.S. Consumer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1,102.7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993.5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1,250.1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1,130.4</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Hawthorne</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144.1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428.8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284.8</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72.8</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6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Consolidated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1,382.8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1,189.9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1,748.6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1,488.0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Profit (Loss):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U.S. Consumer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331.5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277.0</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Hawthorne</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14.7</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Segment Profit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291.5</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(62.1)</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Intangible asset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Impairment, restructuring and other</w:t>
            </w:r>
          </w:p>
        </w:tc>
        <w:tc>
          <w:tcPr>
            <w:tcW w:w="14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(7.2)</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Equity in income of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Costs related to refinancing</w:t>
            </w:r>
          </w:p>
        </w:tc>
        <w:tc>
          <w:tcPr>
            <w:tcW w:w="1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Other non-operating income, net</w:t>
            </w:r>
          </w:p>
        </w:tc>
        <w:tc>
          <w:tcPr>
            <w:tcW w:w="14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262.9</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6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Income from continuing operations before income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333.8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523.4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238.7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417.5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net sales by product category for each of the periods indicated:</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28,</w:t>
            </w:r>
          </w:p>
        </w:tc>
        <w:tc>
          <w:tcPr>
            <w:tcW w:w="140" w:type="dxa"/>
            <w:vAlign w:val="bottom"/>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28,</w:t>
            </w:r>
          </w:p>
        </w:tc>
        <w:tc>
          <w:tcPr>
            <w:tcW w:w="140" w:type="dxa"/>
            <w:vAlign w:val="bottom"/>
          </w:tcPr>
          <w:p>
            <w:pPr>
              <w:spacing w:after="0"/>
              <w:rPr>
                <w:sz w:val="13"/>
                <w:szCs w:val="13"/>
                <w:color w:val="auto"/>
              </w:rPr>
            </w:pPr>
          </w:p>
        </w:tc>
        <w:tc>
          <w:tcPr>
            <w:tcW w:w="980" w:type="dxa"/>
            <w:vAlign w:val="bottom"/>
          </w:tcPr>
          <w:p>
            <w:pPr>
              <w:jc w:val="right"/>
              <w:ind w:right="93"/>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6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r>
      <w:tr>
        <w:trPr>
          <w:trHeight w:val="196"/>
        </w:trPr>
        <w:tc>
          <w:tcPr>
            <w:tcW w:w="6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Consumer:</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6380" w:type="dxa"/>
            <w:vAlign w:val="bottom"/>
          </w:tcPr>
          <w:p>
            <w:pPr>
              <w:ind w:left="320"/>
              <w:spacing w:after="0"/>
              <w:rPr>
                <w:sz w:val="20"/>
                <w:szCs w:val="20"/>
                <w:color w:val="auto"/>
              </w:rPr>
            </w:pPr>
            <w:r>
              <w:rPr>
                <w:rFonts w:ascii="Arial" w:cs="Arial" w:eastAsia="Arial" w:hAnsi="Arial"/>
                <w:sz w:val="18"/>
                <w:szCs w:val="18"/>
                <w:color w:val="auto"/>
              </w:rPr>
              <w:t>Growing media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416.8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365.4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461.6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403.7</w:t>
            </w:r>
          </w:p>
        </w:tc>
      </w:tr>
      <w:tr>
        <w:trPr>
          <w:trHeight w:val="27"/>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Lawn care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451.2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423.0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472.7</w:t>
            </w:r>
          </w:p>
        </w:tc>
      </w:tr>
      <w:tr>
        <w:trPr>
          <w:trHeight w:val="243"/>
        </w:trPr>
        <w:tc>
          <w:tcPr>
            <w:tcW w:w="6380" w:type="dxa"/>
            <w:vAlign w:val="bottom"/>
          </w:tcPr>
          <w:p>
            <w:pPr>
              <w:ind w:left="320"/>
              <w:spacing w:after="0"/>
              <w:rPr>
                <w:sz w:val="20"/>
                <w:szCs w:val="20"/>
                <w:color w:val="auto"/>
              </w:rPr>
            </w:pPr>
            <w:r>
              <w:rPr>
                <w:rFonts w:ascii="Arial" w:cs="Arial" w:eastAsia="Arial" w:hAnsi="Arial"/>
                <w:sz w:val="18"/>
                <w:szCs w:val="18"/>
                <w:color w:val="auto"/>
              </w:rPr>
              <w:t>Controls</w:t>
            </w:r>
          </w:p>
        </w:tc>
        <w:tc>
          <w:tcPr>
            <w:tcW w:w="14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145.0</w:t>
            </w:r>
          </w:p>
        </w:tc>
      </w:tr>
      <w:tr>
        <w:trPr>
          <w:trHeight w:val="27"/>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41.9</w:t>
            </w:r>
          </w:p>
        </w:tc>
      </w:tr>
      <w:tr>
        <w:trPr>
          <w:trHeight w:val="243"/>
        </w:trPr>
        <w:tc>
          <w:tcPr>
            <w:tcW w:w="6380" w:type="dxa"/>
            <w:vAlign w:val="bottom"/>
          </w:tcPr>
          <w:p>
            <w:pPr>
              <w:ind w:left="320"/>
              <w:spacing w:after="0"/>
              <w:rPr>
                <w:sz w:val="20"/>
                <w:szCs w:val="20"/>
                <w:color w:val="auto"/>
              </w:rPr>
            </w:pPr>
            <w:r>
              <w:rPr>
                <w:rFonts w:ascii="Arial" w:cs="Arial" w:eastAsia="Arial" w:hAnsi="Arial"/>
                <w:sz w:val="18"/>
                <w:szCs w:val="18"/>
                <w:color w:val="auto"/>
              </w:rPr>
              <w:t>Other, primarily gardening and landscape</w:t>
            </w:r>
          </w:p>
        </w:tc>
        <w:tc>
          <w:tcPr>
            <w:tcW w:w="14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67.1</w:t>
            </w:r>
          </w:p>
        </w:tc>
      </w:tr>
      <w:tr>
        <w:trPr>
          <w:trHeight w:val="27"/>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Hawthorne: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320"/>
              <w:spacing w:after="0"/>
              <w:rPr>
                <w:sz w:val="20"/>
                <w:szCs w:val="20"/>
                <w:color w:val="auto"/>
              </w:rPr>
            </w:pPr>
            <w:r>
              <w:rPr>
                <w:rFonts w:ascii="Arial" w:cs="Arial" w:eastAsia="Arial" w:hAnsi="Arial"/>
                <w:sz w:val="18"/>
                <w:szCs w:val="18"/>
                <w:color w:val="auto"/>
              </w:rPr>
              <w:t>Indoor, urban and hydroponic gardening</w:t>
            </w:r>
          </w:p>
        </w:tc>
        <w:tc>
          <w:tcPr>
            <w:tcW w:w="14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428.8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284.8</w:t>
            </w:r>
          </w:p>
        </w:tc>
      </w:tr>
      <w:tr>
        <w:trPr>
          <w:trHeight w:val="27"/>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320"/>
              <w:spacing w:after="0"/>
              <w:rPr>
                <w:sz w:val="20"/>
                <w:szCs w:val="20"/>
                <w:color w:val="auto"/>
              </w:rPr>
            </w:pPr>
            <w:r>
              <w:rPr>
                <w:rFonts w:ascii="Arial" w:cs="Arial" w:eastAsia="Arial" w:hAnsi="Arial"/>
                <w:sz w:val="18"/>
                <w:szCs w:val="18"/>
                <w:color w:val="auto"/>
              </w:rPr>
              <w:t>Growing media</w:t>
            </w:r>
          </w:p>
        </w:tc>
        <w:tc>
          <w:tcPr>
            <w:tcW w:w="14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26.0</w:t>
            </w:r>
          </w:p>
        </w:tc>
      </w:tr>
      <w:tr>
        <w:trPr>
          <w:trHeight w:val="27"/>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Lawn care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23.2</w:t>
            </w:r>
          </w:p>
        </w:tc>
      </w:tr>
      <w:tr>
        <w:trPr>
          <w:trHeight w:val="243"/>
        </w:trPr>
        <w:tc>
          <w:tcPr>
            <w:tcW w:w="6380" w:type="dxa"/>
            <w:vAlign w:val="bottom"/>
          </w:tcPr>
          <w:p>
            <w:pPr>
              <w:ind w:left="320"/>
              <w:spacing w:after="0"/>
              <w:rPr>
                <w:sz w:val="20"/>
                <w:szCs w:val="20"/>
                <w:color w:val="auto"/>
              </w:rPr>
            </w:pPr>
            <w:r>
              <w:rPr>
                <w:rFonts w:ascii="Arial" w:cs="Arial" w:eastAsia="Arial" w:hAnsi="Arial"/>
                <w:sz w:val="18"/>
                <w:szCs w:val="18"/>
                <w:color w:val="auto"/>
              </w:rPr>
              <w:t>Other, primarily gardening and controls</w:t>
            </w:r>
          </w:p>
        </w:tc>
        <w:tc>
          <w:tcPr>
            <w:tcW w:w="14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23.6</w:t>
            </w:r>
          </w:p>
        </w:tc>
      </w:tr>
      <w:tr>
        <w:trPr>
          <w:trHeight w:val="27"/>
        </w:trPr>
        <w:tc>
          <w:tcPr>
            <w:tcW w:w="6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1,382.8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1,189.9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1,748.6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1,488.0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25" w:name="page26"/>
    <w:bookmarkEnd w:id="25"/>
    <w:p>
      <w:pPr>
        <w:ind w:left="420"/>
        <w:spacing w:after="0"/>
        <w:rPr>
          <w:sz w:val="20"/>
          <w:szCs w:val="20"/>
          <w:color w:val="auto"/>
        </w:rPr>
      </w:pPr>
      <w:r>
        <w:rPr>
          <w:rFonts w:ascii="Arial" w:cs="Arial" w:eastAsia="Arial" w:hAnsi="Arial"/>
          <w:sz w:val="18"/>
          <w:szCs w:val="18"/>
          <w:color w:val="auto"/>
        </w:rPr>
        <w:t>The following table presents net sales by geographic area for each of the periods indicated:</w:t>
      </w:r>
    </w:p>
    <w:p>
      <w:pPr>
        <w:spacing w:after="0" w:line="55" w:lineRule="exact"/>
        <w:rPr>
          <w:sz w:val="20"/>
          <w:szCs w:val="20"/>
          <w:color w:val="auto"/>
        </w:rPr>
      </w:pPr>
    </w:p>
    <w:tbl>
      <w:tblPr>
        <w:tblLayout w:type="fixed"/>
        <w:tblInd w:w="6420" w:type="dxa"/>
        <w:tblCellMar>
          <w:top w:w="0" w:type="dxa"/>
          <w:left w:w="0" w:type="dxa"/>
          <w:bottom w:w="0" w:type="dxa"/>
          <w:right w:w="0" w:type="dxa"/>
        </w:tblCellMar>
      </w:tblPr>
      <w:tr>
        <w:trPr>
          <w:trHeight w:val="192"/>
        </w:trPr>
        <w:tc>
          <w:tcPr>
            <w:tcW w:w="23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34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1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MARCH 28,</w:t>
            </w:r>
          </w:p>
        </w:tc>
        <w:tc>
          <w:tcPr>
            <w:tcW w:w="130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rPr>
              <w:t>MARCH 30,</w:t>
            </w:r>
          </w:p>
        </w:tc>
        <w:tc>
          <w:tcPr>
            <w:tcW w:w="1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MARCH 28,</w:t>
            </w: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MARCH 30,</w:t>
            </w:r>
          </w:p>
        </w:tc>
      </w:tr>
      <w:tr>
        <w:trPr>
          <w:trHeight w:val="186"/>
        </w:trPr>
        <w:tc>
          <w:tcPr>
            <w:tcW w:w="11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1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1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1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7620</wp:posOffset>
            </wp:positionV>
            <wp:extent cx="30518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0"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sales: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80" w:type="dxa"/>
            <w:vAlign w:val="bottom"/>
          </w:tcPr>
          <w:p>
            <w:pPr>
              <w:ind w:left="32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1,318.8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1,124.6</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1,639.2</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1,371.5</w:t>
            </w:r>
          </w:p>
        </w:tc>
      </w:tr>
      <w:tr>
        <w:trPr>
          <w:trHeight w:val="27"/>
        </w:trPr>
        <w:tc>
          <w:tcPr>
            <w:tcW w:w="6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116.5</w:t>
            </w:r>
          </w:p>
        </w:tc>
      </w:tr>
      <w:tr>
        <w:trPr>
          <w:trHeight w:val="237"/>
        </w:trPr>
        <w:tc>
          <w:tcPr>
            <w:tcW w:w="638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1,382.8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1,189.9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1,748.6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1,488.0</w:t>
            </w:r>
          </w:p>
        </w:tc>
      </w:tr>
      <w:tr>
        <w:trPr>
          <w:trHeight w:val="27"/>
        </w:trPr>
        <w:tc>
          <w:tcPr>
            <w:tcW w:w="6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
        </w:trPr>
        <w:tc>
          <w:tcPr>
            <w:tcW w:w="6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This Management’s Discussion and Analysis (“MD&amp;A”) is divided into the following sections:</w:t>
      </w:r>
    </w:p>
    <w:p>
      <w:pPr>
        <w:spacing w:after="0" w:line="57"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58"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This MD&amp;A should be read in conjunction with “Management’s Discussion and Analysis of Financial Condition and Results of Operations” included in Scotts Miracle-Gro’s Annual Report on Form 10-K for the fiscal year ended September 30, 2019 (the “2019 Annual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7"/>
          <w:szCs w:val="17"/>
          <w:color w:val="auto"/>
        </w:rPr>
        <w:t>We are a leading manufacturer and marketer of branded consumer lawn and garden products in North America. We are the exclusive agent of Monsanto for the marketing and distribution of certain of Monsanto’s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branded products within the United States and certain other specified countries. Through our Hawthorne segment, we are a leading manufacturer, marketer and distributor of nutrients, growing media, advanced indoor garden, lighting and ventilation systems and accessories for indoor, urban and hydroponic gardening.</w:t>
      </w:r>
    </w:p>
    <w:p>
      <w:pPr>
        <w:spacing w:after="0" w:line="12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Beginning in fiscal 2015, our Hawthorne segment made a series of key acquisitions, including General Hydroponics, Gavita, Botanicare, Vermicrop, Agrolux, Can-Filters and AeroGrow. On June 4, 2018, our Hawthorne segment acquired substantially all of the assets of Sunlight Supply. Prior to the acquisition, Sunlight Supply was the largest distributor of hydroponic products in the United States, and engaged in the business of developing, manufacturing, marketing and distributing horticultural, organics, lighting and hydroponics products, including lighting fixtures, nutrients, seeds and growing media, systems, trays, fans, filters, humidifiers and dehumidifiers, timers, instruments, water pumps, irrigation supplies and hand tools. In connection with our acquisition of Sunlight Supply, we announced the launch of an initiative called Project Catalyst. Project Catalyst is a company-wide restructuring effort to reduce operating costs throughout our U.S. Consumer, Hawthorne and Other segments and drive synergies from acquisitions within our Hawthorne segment.</w:t>
      </w:r>
    </w:p>
    <w:p>
      <w:pPr>
        <w:spacing w:after="0" w:line="12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operations are divided into three reportable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In addition, Corporate consists of general and administrative expenses and certain other income and expense items not allocated to the business segments. This division of reportable segments is consistent with how the segments report to and are managed by our chief operating decision maker. See “SEGMENT RESULTS” below for additional information regarding our evaluation of segment performance.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jc w:val="both"/>
        <w:ind w:firstLine="405"/>
        <w:spacing w:after="0" w:line="275"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 We follow a 13-week quarterly accounting cycle pursuant to which the first three fiscal quarters end on a Saturday and the fiscal year always ends on September 30. This fiscal calendar convention requires us to cycle forward the first three fiscal quarter ends every six years.</w:t>
      </w:r>
    </w:p>
    <w:p>
      <w:pPr>
        <w:spacing w:after="0" w:line="6"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Percent of Net Sales from Continuing</w:t>
      </w:r>
    </w:p>
    <w:p>
      <w:pPr>
        <w:spacing w:after="0" w:line="4"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13335</wp:posOffset>
            </wp:positionV>
            <wp:extent cx="30689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gridSpan w:val="2"/>
          </w:tcPr>
          <w:p>
            <w:pPr>
              <w:ind w:left="7000"/>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r>
      <w:tr>
        <w:trPr>
          <w:trHeight w:val="249"/>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Second Quarter</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37.7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37.1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Fourth Quarter</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15.8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14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August 11, 2014, Scotts Miracle-Gro announced that its Board of Directors authorized the repurchase of up to $500.0 million of the common shares of Scotts Miracle-Gro (“Common Shares”) over a five-year period (effective November 1, 2014 through September 30, 2019). On August 3, 2016, Scotts Miracle-Gro announced that its Board of Directors authorized a $500.0 million increase to the share repurchase authorization ending on September 30, 2019. On August 2, 2019, the Scotts Miracle-Gro Board of Directors authorized an extension of the current share repurchase authorization through March 28, 2020. The amended authorization allows for repurchases of Common Shares of up to an aggregate of $1.0 billion through March 28, 2020. During the three and six months ended March 28, 2020, Scotts Miracle-Gro repurchased 0.4 million Common Shares under the program for $48.2 million. There were no share repurchases under the share repurchase authorization during the three and six months ended March 30, 2019. From the effective date of the share repurchase authorization in the fourth quarter of fiscal 2014 through March 28, 2020, Scotts Miracle-Gro repurchased approximately 8.7 million Common Shares for $762.8 million. On January 31, 2020, the Scotts Miracle-Gro Board of Directors authorized a new repurchase program allowing for repurchases of up to $750.0 million of Common Shares from April 30, 2020 through March 25, 2023. On March 26, 2020, the Company announced a temporary suspension of share repurchase activity, effective as of March 30, 2020, in order to enhance the Company’s financial flexibility in response to the COVID-19 pandemic.</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July 30, 2019, the Scotts Miracle-Gro Board of Directors approved an increase in our quarterly cash dividend from $0.55 to $0.58 per Common Share, which was first paid in the fourth quarter of fiscal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Response and Impacts</w:t>
      </w:r>
    </w:p>
    <w:p>
      <w:pPr>
        <w:spacing w:after="0" w:line="13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World Health Organization recognized a novel strain of coronavirus (“COVID-19”) as a public health emergency of international concern on January 30, 2020 and as a global pandemic on March 11, 2020. Public health responses have included national pandemic preparedness and response plans, travel restrictions, quarantines, curfews, event postponements and cancellations and closures of facilities including local schools and businesses. The global pandemic and actions taken to contain COVID-19 have adversely affected the global economy and financial markets.</w:t>
      </w:r>
    </w:p>
    <w:p>
      <w:pPr>
        <w:spacing w:after="0" w:line="10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In response to the COVID-19 pandemic, we have implemented additional measures intended to both protect the health and safety of our employees and maintain our ability to provide products to our customers, including (i) requiring a significant part of our workforce to work from home, (ii) monitoring our employees for COVID-19 symptoms, (iii) making additional personal protective equipment available to our operations team, (iv) requiring all manufacturing and warehousing associates to take their temperatures before beginning a shift, (v) modifying work methods and schedules of our manufacturing and field associates to create distance or add barriers between associates, consumers and others, (vi) expanding cleaning efforts at our operation centers, (vii) modifying attendance policies so that associates may elect to stay home if they have symptoms, (viii) prioritizing production for goods that are more essential to our customers and (ix) implementing an interim premium pay allowance for associates in our field sales force as well as those still working in manufacturing or distribution centers. In addition, to help address the critical shortage of personal protective equipment in the fight against COVID-19, we have shifted production in our Temecula, California manufacturing plant to produce face shields to help protect healthcare workers and first responders in critical need areas across the country. As a result of these additional measures and initiatives, we expect to incur up to $35 million of incremental costs, mostly related to premium pay provided to our associates which we expect will continue into the month of May. While we believe that these efforts should enable us to maintain our operations during the COVID-19 pandemic, we can provide no assurance that we will be able to do so as a result of the unpredictability of the ultimate impact of the COVID-19 pandemic, including the responses of local, state, federal and foreign governmental authorities to the pandemic.</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this time, our manufacturing and distribution operations are viewed as essential services and continue to operate. Our major retail partners have been designated as essential services and remain open at this time, however, in certain places are operating under reduced hours and customer capacity limitations. There have been no significant disruptions in incoming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8"/>
          <w:szCs w:val="18"/>
          <w:color w:val="auto"/>
        </w:rPr>
        <w:t>supplies or raw materials. We believe we have sufficient liquidity to satisfy our cash needs, however, we continue to evaluate and take action, as necessary, to preserve adequate liquidity and ensure that our business can continue to operate during these uncertain times. At March 28, 2020, we had $785.7 million of borrowing availability under our fifth amended and restated credit agreement (the “Fifth A&amp;R Credit Agreement”). In order to enhance our financial flexibility, we have suspended share repurchases and delayed certain capital expenditures. In addition, given the strong demand for our products through the first half of the fiscal year and our flexibility to reduce certain discretionary spending for the remainder of the year, we continue to maintain our projected earnings range for fiscal 2020.</w:t>
      </w:r>
    </w:p>
    <w:p>
      <w:pPr>
        <w:spacing w:after="0" w:line="11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extent to which the COVID-19 pandemic will ultimately impact our business, results of operations, financial condition and cash flows depends on future developments that are highly uncertain, rapidly evolving and difficult to predict at this time. Depending on the length and severity of COVID-19, we may experience an increase or decrease in customer orders driven by volatility in retail foot traffic, consumer shopping and consumption behavior. Also, we are not able to predict the impact that the COVID-19 pandemic may have on the seasonality of our business.</w:t>
      </w:r>
    </w:p>
    <w:p>
      <w:pPr>
        <w:spacing w:after="0" w:line="144" w:lineRule="exact"/>
        <w:rPr>
          <w:sz w:val="20"/>
          <w:szCs w:val="20"/>
          <w:color w:val="auto"/>
        </w:rPr>
      </w:pPr>
    </w:p>
    <w:p>
      <w:pPr>
        <w:ind w:right="60" w:firstLine="405"/>
        <w:spacing w:after="0" w:line="414" w:lineRule="auto"/>
        <w:rPr>
          <w:sz w:val="20"/>
          <w:szCs w:val="20"/>
          <w:color w:val="auto"/>
        </w:rPr>
      </w:pPr>
      <w:r>
        <w:rPr>
          <w:rFonts w:ascii="Arial" w:cs="Arial" w:eastAsia="Arial" w:hAnsi="Arial"/>
          <w:sz w:val="18"/>
          <w:szCs w:val="18"/>
          <w:color w:val="auto"/>
        </w:rPr>
        <w:t xml:space="preserve">Refer to “Item 1A. Risk Factors” in “Part II. Other Information” for further information regarding the risks associated with the COVID-19 pandemic. </w:t>
      </w:r>
      <w:r>
        <w:rPr>
          <w:rFonts w:ascii="Arial" w:cs="Arial" w:eastAsia="Arial" w:hAnsi="Arial"/>
          <w:sz w:val="18"/>
          <w:szCs w:val="18"/>
          <w:b w:val="1"/>
          <w:bCs w:val="1"/>
          <w:color w:val="auto"/>
        </w:rPr>
        <w:t>RESULTS OF OPERATIONS</w:t>
      </w:r>
    </w:p>
    <w:p>
      <w:pPr>
        <w:spacing w:after="0" w:line="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8"/>
          <w:szCs w:val="18"/>
          <w:color w:val="auto"/>
        </w:rPr>
        <w:t>The following table sets forth the components of earnings as a percentage of net sales for the three months ended March 28, 2020 and March 30, 2019 (dollars in millions):</w:t>
      </w:r>
    </w:p>
    <w:tbl>
      <w:tblPr>
        <w:tblLayout w:type="fixed"/>
        <w:tblInd w:w="0" w:type="dxa"/>
        <w:tblCellMar>
          <w:top w:w="0" w:type="dxa"/>
          <w:left w:w="0" w:type="dxa"/>
          <w:bottom w:w="0" w:type="dxa"/>
          <w:right w:w="0" w:type="dxa"/>
        </w:tblCellMar>
      </w:tblPr>
      <w:tr>
        <w:trPr>
          <w:trHeight w:val="150"/>
        </w:trPr>
        <w:tc>
          <w:tcPr>
            <w:tcW w:w="5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60"/>
              <w:spacing w:after="0" w:line="150" w:lineRule="exact"/>
              <w:rPr>
                <w:sz w:val="20"/>
                <w:szCs w:val="20"/>
                <w:color w:val="auto"/>
              </w:rPr>
            </w:pPr>
            <w:r>
              <w:rPr>
                <w:rFonts w:ascii="Arial" w:cs="Arial" w:eastAsia="Arial" w:hAnsi="Arial"/>
                <w:sz w:val="14"/>
                <w:szCs w:val="14"/>
                <w:b w:val="1"/>
                <w:bCs w:val="1"/>
                <w:color w:val="auto"/>
              </w:rPr>
              <w:t>MARCH 28,</w:t>
            </w:r>
          </w:p>
        </w:tc>
        <w:tc>
          <w:tcPr>
            <w:tcW w:w="1100" w:type="dxa"/>
            <w:vAlign w:val="bottom"/>
          </w:tcPr>
          <w:p>
            <w:pPr>
              <w:jc w:val="right"/>
              <w:ind w:right="192"/>
              <w:spacing w:after="0" w:line="150"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60"/>
              <w:spacing w:after="0" w:line="150" w:lineRule="exact"/>
              <w:rPr>
                <w:sz w:val="20"/>
                <w:szCs w:val="20"/>
                <w:color w:val="auto"/>
              </w:rPr>
            </w:pPr>
            <w:r>
              <w:rPr>
                <w:rFonts w:ascii="Arial" w:cs="Arial" w:eastAsia="Arial" w:hAnsi="Arial"/>
                <w:sz w:val="14"/>
                <w:szCs w:val="14"/>
                <w:b w:val="1"/>
                <w:bCs w:val="1"/>
                <w:color w:val="auto"/>
              </w:rPr>
              <w:t>MARCH 30,</w:t>
            </w:r>
          </w:p>
        </w:tc>
        <w:tc>
          <w:tcPr>
            <w:tcW w:w="1100" w:type="dxa"/>
            <w:vAlign w:val="bottom"/>
          </w:tcPr>
          <w:p>
            <w:pPr>
              <w:jc w:val="right"/>
              <w:ind w:right="192"/>
              <w:spacing w:after="0" w:line="150"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r>
      <w:tr>
        <w:trPr>
          <w:trHeight w:val="192"/>
        </w:trPr>
        <w:tc>
          <w:tcPr>
            <w:tcW w:w="59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auto"/>
            </w:tcBorders>
          </w:tcPr>
          <w:p>
            <w:pPr>
              <w:spacing w:after="0"/>
              <w:rPr>
                <w:sz w:val="16"/>
                <w:szCs w:val="16"/>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1,382.8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1,189.9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829.2</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716.8</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60.2</w:t>
            </w:r>
          </w:p>
        </w:tc>
        <w:tc>
          <w:tcPr>
            <w:tcW w:w="18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59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550.2</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472.1</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80" w:type="dxa"/>
            <w:vAlign w:val="bottom"/>
            <w:tcBorders>
              <w:top w:val="single" w:sz="8" w:color="auto"/>
            </w:tcBorders>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195.6</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353.7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290.2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16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Other non-operating income, net</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21"/>
                <w:szCs w:val="2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5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333.8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523.4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16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1"/>
                <w:szCs w:val="2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5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249.8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396.9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16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252.4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396.4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59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-98425</wp:posOffset>
            </wp:positionV>
            <wp:extent cx="33947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8" w:name="page29"/>
    <w:bookmarkEnd w:id="28"/>
    <w:p>
      <w:pPr>
        <w:jc w:val="both"/>
        <w:ind w:firstLine="405"/>
        <w:spacing w:after="0" w:line="276" w:lineRule="auto"/>
        <w:rPr>
          <w:sz w:val="20"/>
          <w:szCs w:val="20"/>
          <w:color w:val="auto"/>
        </w:rPr>
      </w:pPr>
      <w:r>
        <w:rPr>
          <w:rFonts w:ascii="Arial" w:cs="Arial" w:eastAsia="Arial" w:hAnsi="Arial"/>
          <w:sz w:val="18"/>
          <w:szCs w:val="18"/>
          <w:color w:val="auto"/>
        </w:rPr>
        <w:t>The following table sets forth the components of earnings as a percentage of net sales for the six months ended March 28, 2020 and March 30, 2019 (dollars in millions):</w:t>
      </w:r>
    </w:p>
    <w:tbl>
      <w:tblPr>
        <w:tblLayout w:type="fixed"/>
        <w:tblInd w:w="0" w:type="dxa"/>
        <w:tblCellMar>
          <w:top w:w="0" w:type="dxa"/>
          <w:left w:w="0" w:type="dxa"/>
          <w:bottom w:w="0" w:type="dxa"/>
          <w:right w:w="0" w:type="dxa"/>
        </w:tblCellMar>
      </w:tblPr>
      <w:tr>
        <w:trPr>
          <w:trHeight w:val="150"/>
        </w:trPr>
        <w:tc>
          <w:tcPr>
            <w:tcW w:w="5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60"/>
              <w:spacing w:after="0" w:line="150" w:lineRule="exact"/>
              <w:rPr>
                <w:sz w:val="20"/>
                <w:szCs w:val="20"/>
                <w:color w:val="auto"/>
              </w:rPr>
            </w:pPr>
            <w:r>
              <w:rPr>
                <w:rFonts w:ascii="Arial" w:cs="Arial" w:eastAsia="Arial" w:hAnsi="Arial"/>
                <w:sz w:val="14"/>
                <w:szCs w:val="14"/>
                <w:b w:val="1"/>
                <w:bCs w:val="1"/>
                <w:color w:val="auto"/>
              </w:rPr>
              <w:t>MARCH 28,</w:t>
            </w:r>
          </w:p>
        </w:tc>
        <w:tc>
          <w:tcPr>
            <w:tcW w:w="1100" w:type="dxa"/>
            <w:vAlign w:val="bottom"/>
          </w:tcPr>
          <w:p>
            <w:pPr>
              <w:jc w:val="right"/>
              <w:ind w:right="192"/>
              <w:spacing w:after="0" w:line="150"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60"/>
              <w:spacing w:after="0" w:line="150" w:lineRule="exact"/>
              <w:rPr>
                <w:sz w:val="20"/>
                <w:szCs w:val="20"/>
                <w:color w:val="auto"/>
              </w:rPr>
            </w:pPr>
            <w:r>
              <w:rPr>
                <w:rFonts w:ascii="Arial" w:cs="Arial" w:eastAsia="Arial" w:hAnsi="Arial"/>
                <w:sz w:val="14"/>
                <w:szCs w:val="14"/>
                <w:b w:val="1"/>
                <w:bCs w:val="1"/>
                <w:color w:val="auto"/>
              </w:rPr>
              <w:t>MARCH 30,</w:t>
            </w:r>
          </w:p>
        </w:tc>
        <w:tc>
          <w:tcPr>
            <w:tcW w:w="1100" w:type="dxa"/>
            <w:vAlign w:val="bottom"/>
          </w:tcPr>
          <w:p>
            <w:pPr>
              <w:jc w:val="right"/>
              <w:ind w:right="192"/>
              <w:spacing w:after="0" w:line="150"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r>
      <w:tr>
        <w:trPr>
          <w:trHeight w:val="192"/>
        </w:trPr>
        <w:tc>
          <w:tcPr>
            <w:tcW w:w="59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auto"/>
            </w:tcBorders>
          </w:tcPr>
          <w:p>
            <w:pPr>
              <w:spacing w:after="0"/>
              <w:rPr>
                <w:sz w:val="16"/>
                <w:szCs w:val="16"/>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1,748.6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1,488.0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1,140.6</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977.8</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59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604.4</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506.7</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Borders>
              <w:top w:val="single" w:sz="8" w:color="auto"/>
            </w:tcBorders>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315.4</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296.0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1"/>
                <w:szCs w:val="2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5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291.1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205.4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16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(262.9)</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5900" w:type="dxa"/>
            <w:vAlign w:val="bottom"/>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238.7</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417.5</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80" w:type="dxa"/>
            <w:vAlign w:val="bottom"/>
            <w:tcBorders>
              <w:top w:val="single" w:sz="8" w:color="auto"/>
            </w:tcBorders>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103.2</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5900" w:type="dxa"/>
            <w:vAlign w:val="bottom"/>
          </w:tcPr>
          <w:p>
            <w:pPr>
              <w:ind w:left="34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314.3</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Borders>
              <w:top w:val="single" w:sz="8" w:color="auto"/>
            </w:tcBorders>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from discontinued operations, net of tax</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59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181.1</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316.8</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5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Net sales for the three months ended March 28, 2020 were $1,382.8 million, an increase of 16.2% from the three months ended March 30, 2019. Net sales for the six months ended March 28, 2020 were $1,748.6 million, an increase of 17.5% from the six months ended March 30, 2019. These changes in net sales were attributable to the following:</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2140" w:type="dxa"/>
            <w:vAlign w:val="bottom"/>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jc w:val="right"/>
              <w:ind w:right="156"/>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6"/>
                <w:szCs w:val="16"/>
                <w:color w:val="auto"/>
              </w:rPr>
            </w:pPr>
          </w:p>
        </w:tc>
      </w:tr>
      <w:tr>
        <w:trPr>
          <w:trHeight w:val="209"/>
        </w:trPr>
        <w:tc>
          <w:tcPr>
            <w:tcW w:w="644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MARCH 28, 2020</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MARCH 28, 2020</w:t>
            </w:r>
          </w:p>
        </w:tc>
        <w:tc>
          <w:tcPr>
            <w:tcW w:w="200" w:type="dxa"/>
            <w:vAlign w:val="bottom"/>
            <w:tcBorders>
              <w:bottom w:val="single" w:sz="8" w:color="auto"/>
            </w:tcBorders>
          </w:tcPr>
          <w:p>
            <w:pPr>
              <w:spacing w:after="0"/>
              <w:rPr>
                <w:sz w:val="18"/>
                <w:szCs w:val="18"/>
                <w:color w:val="auto"/>
              </w:rPr>
            </w:pPr>
          </w:p>
        </w:tc>
      </w:tr>
      <w:tr>
        <w:trPr>
          <w:trHeight w:val="249"/>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16.1 %</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Pricing</w:t>
            </w:r>
          </w:p>
        </w:tc>
        <w:tc>
          <w:tcPr>
            <w:tcW w:w="21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1"/>
                <w:szCs w:val="21"/>
                <w:color w:val="auto"/>
              </w:rPr>
            </w:pPr>
          </w:p>
        </w:tc>
      </w:tr>
      <w:tr>
        <w:trPr>
          <w:trHeight w:val="27"/>
        </w:trPr>
        <w:tc>
          <w:tcPr>
            <w:tcW w:w="6440" w:type="dxa"/>
            <w:vAlign w:val="bottom"/>
          </w:tcPr>
          <w:p>
            <w:pPr>
              <w:spacing w:after="0"/>
              <w:rPr>
                <w:sz w:val="2"/>
                <w:szCs w:val="2"/>
                <w:color w:val="auto"/>
              </w:rPr>
            </w:pPr>
          </w:p>
        </w:tc>
        <w:tc>
          <w:tcPr>
            <w:tcW w:w="2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gridSpan w:val="2"/>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23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37"/>
        </w:trPr>
        <w:tc>
          <w:tcPr>
            <w:tcW w:w="6440" w:type="dxa"/>
            <w:vAlign w:val="bottom"/>
          </w:tcPr>
          <w:p>
            <w:pPr>
              <w:ind w:left="20"/>
              <w:spacing w:after="0"/>
              <w:rPr>
                <w:sz w:val="20"/>
                <w:szCs w:val="20"/>
                <w:color w:val="auto"/>
              </w:rPr>
            </w:pPr>
            <w:r>
              <w:rPr>
                <w:rFonts w:ascii="Arial" w:cs="Arial" w:eastAsia="Arial" w:hAnsi="Arial"/>
                <w:sz w:val="18"/>
                <w:szCs w:val="18"/>
                <w:color w:val="auto"/>
              </w:rPr>
              <w:t>Change in net sales</w:t>
            </w: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44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64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increase in net sales for the three months ended March 28, 2020 as compared to the three months ended March 30, 2019 was primarily driven by:</w:t>
      </w:r>
    </w:p>
    <w:p>
      <w:pPr>
        <w:spacing w:after="0" w:line="140" w:lineRule="exact"/>
        <w:rPr>
          <w:sz w:val="20"/>
          <w:szCs w:val="20"/>
          <w:color w:val="auto"/>
        </w:rPr>
      </w:pPr>
    </w:p>
    <w:p>
      <w:pPr>
        <w:jc w:val="both"/>
        <w:ind w:left="980" w:hanging="324"/>
        <w:spacing w:after="0" w:line="281" w:lineRule="auto"/>
        <w:tabs>
          <w:tab w:leader="none" w:pos="976" w:val="left"/>
        </w:tabs>
        <w:numPr>
          <w:ilvl w:val="0"/>
          <w:numId w:val="8"/>
        </w:numPr>
        <w:rPr>
          <w:rFonts w:ascii="Arial" w:cs="Arial" w:eastAsia="Arial" w:hAnsi="Arial"/>
          <w:sz w:val="14"/>
          <w:szCs w:val="14"/>
          <w:color w:val="auto"/>
        </w:rPr>
      </w:pPr>
      <w:r>
        <w:rPr>
          <w:rFonts w:ascii="Arial" w:cs="Arial" w:eastAsia="Arial" w:hAnsi="Arial"/>
          <w:sz w:val="17"/>
          <w:szCs w:val="17"/>
          <w:color w:val="auto"/>
        </w:rPr>
        <w:t>increased sales volume driven by soils, fertilizer, grass seed, mulch, controls and plant food products in our U.S. Consumer segment and hydroponic gardening products in our Hawthorne segment, partially offset by a decrease of $20.2 million, due to the loss in sales from the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extension products that were sold to Monsanto during fiscal 2019, and decreased sales in our Other segment;</w:t>
      </w:r>
    </w:p>
    <w:p>
      <w:pPr>
        <w:spacing w:after="0" w:line="2" w:lineRule="exact"/>
        <w:rPr>
          <w:rFonts w:ascii="Arial" w:cs="Arial" w:eastAsia="Arial" w:hAnsi="Arial"/>
          <w:sz w:val="14"/>
          <w:szCs w:val="14"/>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pricing in our U.S. Consumer, Hawthorne and Other segments;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4"/>
          <w:szCs w:val="14"/>
          <w:color w:val="auto"/>
        </w:rPr>
      </w:pPr>
      <w:r>
        <w:rPr>
          <w:rFonts w:ascii="Arial" w:cs="Arial" w:eastAsia="Arial" w:hAnsi="Arial"/>
          <w:sz w:val="18"/>
          <w:szCs w:val="18"/>
          <w:color w:val="auto"/>
        </w:rPr>
        <w:t>increased net sales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 driven by a contractual increase in commission income;</w:t>
      </w:r>
    </w:p>
    <w:p>
      <w:pPr>
        <w:spacing w:after="0" w:line="59" w:lineRule="exact"/>
        <w:rPr>
          <w:rFonts w:ascii="Arial" w:cs="Arial" w:eastAsia="Arial" w:hAnsi="Arial"/>
          <w:sz w:val="14"/>
          <w:szCs w:val="14"/>
          <w:color w:val="auto"/>
        </w:rPr>
      </w:pPr>
    </w:p>
    <w:p>
      <w:pPr>
        <w:ind w:left="98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partially offset by the unfavorable impact of foreign exchange rates as a result of the strengthening of the U.S. dollar relative to the euro and the Canadian dollar.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9" w:name="page30"/>
    <w:bookmarkEnd w:id="29"/>
    <w:p>
      <w:pPr>
        <w:ind w:left="420"/>
        <w:spacing w:after="0"/>
        <w:rPr>
          <w:sz w:val="20"/>
          <w:szCs w:val="20"/>
          <w:color w:val="auto"/>
        </w:rPr>
      </w:pPr>
      <w:r>
        <w:rPr>
          <w:rFonts w:ascii="Arial" w:cs="Arial" w:eastAsia="Arial" w:hAnsi="Arial"/>
          <w:sz w:val="16"/>
          <w:szCs w:val="16"/>
          <w:color w:val="auto"/>
        </w:rPr>
        <w:t>The increase in net sales for the six months ended March 28, 2020 as compared to the six months ended March 30, 2019 was primarily driven by:</w:t>
      </w:r>
    </w:p>
    <w:p>
      <w:pPr>
        <w:spacing w:after="0" w:line="140" w:lineRule="exact"/>
        <w:rPr>
          <w:sz w:val="20"/>
          <w:szCs w:val="20"/>
          <w:color w:val="auto"/>
        </w:rPr>
      </w:pPr>
    </w:p>
    <w:p>
      <w:pPr>
        <w:jc w:val="both"/>
        <w:ind w:left="980" w:hanging="324"/>
        <w:spacing w:after="0" w:line="281" w:lineRule="auto"/>
        <w:tabs>
          <w:tab w:leader="none" w:pos="976" w:val="left"/>
        </w:tabs>
        <w:numPr>
          <w:ilvl w:val="0"/>
          <w:numId w:val="9"/>
        </w:numPr>
        <w:rPr>
          <w:rFonts w:ascii="Arial" w:cs="Arial" w:eastAsia="Arial" w:hAnsi="Arial"/>
          <w:sz w:val="14"/>
          <w:szCs w:val="14"/>
          <w:color w:val="auto"/>
        </w:rPr>
      </w:pPr>
      <w:r>
        <w:rPr>
          <w:rFonts w:ascii="Arial" w:cs="Arial" w:eastAsia="Arial" w:hAnsi="Arial"/>
          <w:sz w:val="17"/>
          <w:szCs w:val="17"/>
          <w:color w:val="auto"/>
        </w:rPr>
        <w:t>increased sales volume driven by soils, fertilizer, grass seed, mulch, controls and plant food products in our U.S. Consumer segment and hydroponic gardening products in our Hawthorne segment, partially offset by a decrease of $22.1 million, due to the loss in sales from the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extension products that were sold to Monsanto during fiscal 2019, and decreased sales in our Other segment;</w:t>
      </w:r>
    </w:p>
    <w:p>
      <w:pPr>
        <w:spacing w:after="0" w:line="2" w:lineRule="exact"/>
        <w:rPr>
          <w:rFonts w:ascii="Arial" w:cs="Arial" w:eastAsia="Arial" w:hAnsi="Arial"/>
          <w:sz w:val="14"/>
          <w:szCs w:val="14"/>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pricing in our U.S. Consumer, Hawthorne and Other segments;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4"/>
          <w:szCs w:val="14"/>
          <w:color w:val="auto"/>
        </w:rPr>
      </w:pPr>
      <w:r>
        <w:rPr>
          <w:rFonts w:ascii="Arial" w:cs="Arial" w:eastAsia="Arial" w:hAnsi="Arial"/>
          <w:sz w:val="18"/>
          <w:szCs w:val="18"/>
          <w:color w:val="auto"/>
        </w:rPr>
        <w:t>increased net sales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 driven by a contractual increase in commission income;</w:t>
      </w:r>
    </w:p>
    <w:p>
      <w:pPr>
        <w:spacing w:after="0" w:line="59" w:lineRule="exact"/>
        <w:rPr>
          <w:rFonts w:ascii="Arial" w:cs="Arial" w:eastAsia="Arial" w:hAnsi="Arial"/>
          <w:sz w:val="14"/>
          <w:szCs w:val="14"/>
          <w:color w:val="auto"/>
        </w:rPr>
      </w:pPr>
    </w:p>
    <w:p>
      <w:pPr>
        <w:ind w:left="9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partially offset by the unfavorable impact of foreign exchange rates as a result of the strengthening of the U.S. dollar relative to the euro and the Canadian dollar.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major components of cost of sales for the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28,</w:t>
            </w:r>
          </w:p>
        </w:tc>
        <w:tc>
          <w:tcPr>
            <w:tcW w:w="18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18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28,</w:t>
            </w:r>
          </w:p>
        </w:tc>
        <w:tc>
          <w:tcPr>
            <w:tcW w:w="180" w:type="dxa"/>
            <w:vAlign w:val="bottom"/>
          </w:tcPr>
          <w:p>
            <w:pPr>
              <w:spacing w:after="0"/>
              <w:rPr>
                <w:sz w:val="13"/>
                <w:szCs w:val="13"/>
                <w:color w:val="auto"/>
              </w:rPr>
            </w:pPr>
          </w:p>
        </w:tc>
        <w:tc>
          <w:tcPr>
            <w:tcW w:w="112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5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196"/>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5"/>
          </w:tcPr>
          <w:p>
            <w:pPr>
              <w:ind w:left="8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486.1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417.5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653.8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552.3</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Manufacturing labor and overhead</w:t>
            </w:r>
          </w:p>
        </w:tc>
        <w:tc>
          <w:tcPr>
            <w:tcW w:w="180" w:type="dxa"/>
            <w:vAlign w:val="bottom"/>
          </w:tcPr>
          <w:p>
            <w:pPr>
              <w:spacing w:after="0"/>
              <w:rPr>
                <w:sz w:val="21"/>
                <w:szCs w:val="21"/>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159.1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250.1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213.5</w:t>
            </w: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 and warehousing</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206.4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185.0</w:t>
            </w:r>
          </w:p>
        </w:tc>
      </w:tr>
      <w:tr>
        <w:trPr>
          <w:trHeight w:val="270"/>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27.0</w:t>
            </w:r>
          </w:p>
        </w:tc>
      </w:tr>
      <w:tr>
        <w:trPr>
          <w:trHeight w:val="243"/>
        </w:trPr>
        <w:tc>
          <w:tcPr>
            <w:tcW w:w="5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716.8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977.8</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Impairment, restructuring and other</w:t>
            </w:r>
          </w:p>
        </w:tc>
        <w:tc>
          <w:tcPr>
            <w:tcW w:w="180" w:type="dxa"/>
            <w:vAlign w:val="bottom"/>
          </w:tcPr>
          <w:p>
            <w:pPr>
              <w:spacing w:after="0"/>
              <w:rPr>
                <w:sz w:val="21"/>
                <w:szCs w:val="21"/>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3.5</w:t>
            </w:r>
          </w:p>
        </w:tc>
      </w:tr>
      <w:tr>
        <w:trPr>
          <w:trHeight w:val="27"/>
        </w:trPr>
        <w:tc>
          <w:tcPr>
            <w:tcW w:w="5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56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832.6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717.8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1,144.2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981.3</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6"/>
                <w:szCs w:val="16"/>
                <w:color w:val="auto"/>
              </w:rPr>
            </w:pPr>
          </w:p>
        </w:tc>
        <w:tc>
          <w:tcPr>
            <w:tcW w:w="1920" w:type="dxa"/>
            <w:vAlign w:val="bottom"/>
          </w:tcPr>
          <w:p>
            <w:pPr>
              <w:jc w:val="right"/>
              <w:ind w:right="3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8"/>
        </w:trPr>
        <w:tc>
          <w:tcPr>
            <w:tcW w:w="4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9"/>
              </w:rPr>
              <w:t>MARCH 28, 2020</w:t>
            </w: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MARCH 28, 2020</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product mix and other</w:t>
            </w:r>
          </w:p>
        </w:tc>
        <w:tc>
          <w:tcPr>
            <w:tcW w:w="2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70"/>
        </w:trPr>
        <w:tc>
          <w:tcPr>
            <w:tcW w:w="4740" w:type="dxa"/>
            <w:vAlign w:val="bottom"/>
          </w:tcPr>
          <w:p>
            <w:pPr>
              <w:ind w:left="20"/>
              <w:spacing w:after="0"/>
              <w:rPr>
                <w:sz w:val="20"/>
                <w:szCs w:val="20"/>
                <w:color w:val="auto"/>
              </w:rPr>
            </w:pPr>
            <w:r>
              <w:rPr>
                <w:rFonts w:ascii="Arial" w:cs="Arial" w:eastAsia="Arial" w:hAnsi="Arial"/>
                <w:sz w:val="18"/>
                <w:szCs w:val="18"/>
                <w:color w:val="auto"/>
              </w:rPr>
              <w:t>Costs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1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00" w:type="dxa"/>
            <w:vAlign w:val="bottom"/>
          </w:tcPr>
          <w:p>
            <w:pPr>
              <w:jc w:val="right"/>
              <w:ind w:right="7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20" w:type="dxa"/>
            <w:vAlign w:val="bottom"/>
          </w:tcPr>
          <w:p>
            <w:pPr>
              <w:jc w:val="right"/>
              <w:ind w:right="7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1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Material costs</w:t>
            </w: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00" w:type="dxa"/>
            <w:vAlign w:val="bottom"/>
          </w:tcPr>
          <w:p>
            <w:pPr>
              <w:jc w:val="right"/>
              <w:ind w:right="35"/>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Impairment, restructuring and other</w:t>
            </w: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00" w:type="dxa"/>
            <w:vAlign w:val="bottom"/>
          </w:tcPr>
          <w:p>
            <w:pPr>
              <w:jc w:val="right"/>
              <w:ind w:right="75"/>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20" w:type="dxa"/>
            <w:vAlign w:val="bottom"/>
          </w:tcPr>
          <w:p>
            <w:pPr>
              <w:jc w:val="right"/>
              <w:ind w:right="7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cost of sales</w:t>
            </w:r>
          </w:p>
        </w:tc>
        <w:tc>
          <w:tcPr>
            <w:tcW w:w="2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730"/>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47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0" w:name="page31"/>
    <w:bookmarkEnd w:id="30"/>
    <w:p>
      <w:pPr>
        <w:ind w:left="420"/>
        <w:spacing w:after="0"/>
        <w:rPr>
          <w:sz w:val="20"/>
          <w:szCs w:val="20"/>
          <w:color w:val="auto"/>
        </w:rPr>
      </w:pPr>
      <w:r>
        <w:rPr>
          <w:rFonts w:ascii="Arial" w:cs="Arial" w:eastAsia="Arial" w:hAnsi="Arial"/>
          <w:sz w:val="16"/>
          <w:szCs w:val="16"/>
          <w:color w:val="auto"/>
        </w:rPr>
        <w:t>The increase in cost of sales for the three months ended March 28, 2020 as compared to the three months ended March 30, 2019 was primarily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03"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sales volume in our U.S. Consumer and Hawthorne segments;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warehousing costs included within “volume, product mix and other” associated with our U.S. Consumer and Hawthorne segments driven by higher inventory levels;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4"/>
          <w:szCs w:val="14"/>
          <w:color w:val="auto"/>
        </w:rPr>
      </w:pPr>
      <w:r>
        <w:rPr>
          <w:rFonts w:ascii="Arial" w:cs="Arial" w:eastAsia="Arial" w:hAnsi="Arial"/>
          <w:sz w:val="18"/>
          <w:szCs w:val="18"/>
          <w:color w:val="auto"/>
        </w:rPr>
        <w:t>an increase in costs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 and</w:t>
      </w:r>
    </w:p>
    <w:p>
      <w:pPr>
        <w:spacing w:after="0" w:line="59" w:lineRule="exact"/>
        <w:rPr>
          <w:rFonts w:ascii="Arial" w:cs="Arial" w:eastAsia="Arial" w:hAnsi="Arial"/>
          <w:sz w:val="14"/>
          <w:szCs w:val="14"/>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increase in impairment, restructuring and other charges of $2.4 million as a result of costs associated with the COVID-19 pandemic;</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10"/>
        </w:numPr>
        <w:rPr>
          <w:rFonts w:ascii="Arial" w:cs="Arial" w:eastAsia="Arial" w:hAnsi="Arial"/>
          <w:sz w:val="14"/>
          <w:szCs w:val="14"/>
          <w:color w:val="auto"/>
        </w:rPr>
      </w:pPr>
      <w:r>
        <w:rPr>
          <w:rFonts w:ascii="Arial" w:cs="Arial" w:eastAsia="Arial" w:hAnsi="Arial"/>
          <w:sz w:val="18"/>
          <w:szCs w:val="18"/>
          <w:color w:val="auto"/>
        </w:rPr>
        <w:t>partially offset by lower material costs in our Hawthorne segment;</w:t>
      </w:r>
    </w:p>
    <w:p>
      <w:pPr>
        <w:spacing w:after="0" w:line="117" w:lineRule="exact"/>
        <w:rPr>
          <w:rFonts w:ascii="Arial" w:cs="Arial" w:eastAsia="Arial" w:hAnsi="Arial"/>
          <w:sz w:val="14"/>
          <w:szCs w:val="14"/>
          <w:color w:val="auto"/>
        </w:rPr>
      </w:pPr>
    </w:p>
    <w:p>
      <w:pPr>
        <w:ind w:left="980" w:hanging="324"/>
        <w:spacing w:after="0" w:line="277" w:lineRule="auto"/>
        <w:tabs>
          <w:tab w:leader="none" w:pos="976" w:val="left"/>
        </w:tabs>
        <w:numPr>
          <w:ilvl w:val="0"/>
          <w:numId w:val="10"/>
        </w:numPr>
        <w:rPr>
          <w:rFonts w:ascii="Arial" w:cs="Arial" w:eastAsia="Arial" w:hAnsi="Arial"/>
          <w:sz w:val="14"/>
          <w:szCs w:val="14"/>
          <w:color w:val="auto"/>
        </w:rPr>
      </w:pPr>
      <w:r>
        <w:rPr>
          <w:rFonts w:ascii="Arial" w:cs="Arial" w:eastAsia="Arial" w:hAnsi="Arial"/>
          <w:sz w:val="18"/>
          <w:szCs w:val="18"/>
          <w:color w:val="auto"/>
        </w:rPr>
        <w:t>lower transportation costs included within “volume, product mix and other,” partially offset by unfavorable mark-to-market adjustments of $3.8 million on our U.S. Consumer segment fuel hedges; and</w:t>
      </w:r>
    </w:p>
    <w:p>
      <w:pPr>
        <w:spacing w:after="0" w:line="62" w:lineRule="exact"/>
        <w:rPr>
          <w:rFonts w:ascii="Arial" w:cs="Arial" w:eastAsia="Arial" w:hAnsi="Arial"/>
          <w:sz w:val="14"/>
          <w:szCs w:val="14"/>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favorable impact of foreign exchange rates as a result of the strengthening of the U.S. dollar relative to the euro and Canadian dollar.</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increase in cost of sales for the six months ended March 28, 2020 as compared to the six months ended March 30, 2019 was primarily driven by:</w:t>
      </w:r>
    </w:p>
    <w:p>
      <w:pPr>
        <w:spacing w:after="0" w:line="14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sales volume in our U.S. Consumer and Hawthorne segments;</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warehousing costs and inventory adjustments to net realizable value included within “volume, product mix and other” associated with our U.S. Consumer and Hawthorne segments driven by higher inventory levels;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costs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p>
      <w:pPr>
        <w:spacing w:after="0" w:line="5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4"/>
          <w:szCs w:val="14"/>
          <w:color w:val="auto"/>
        </w:rPr>
      </w:pPr>
      <w:r>
        <w:rPr>
          <w:rFonts w:ascii="Arial" w:cs="Arial" w:eastAsia="Arial" w:hAnsi="Arial"/>
          <w:sz w:val="18"/>
          <w:szCs w:val="18"/>
          <w:color w:val="auto"/>
        </w:rPr>
        <w:t>partially offset by lower material costs in our Hawthorne segment;</w:t>
      </w:r>
    </w:p>
    <w:p>
      <w:pPr>
        <w:spacing w:after="0" w:line="117" w:lineRule="exact"/>
        <w:rPr>
          <w:rFonts w:ascii="Arial" w:cs="Arial" w:eastAsia="Arial" w:hAnsi="Arial"/>
          <w:sz w:val="14"/>
          <w:szCs w:val="14"/>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transportation costs included within “volume, product mix and other” in our U.S. Consumer and Hawthorne segments;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favorable impact of foreign exchange rates as a result of the strengthening of the U.S. dollar relative to the euro and Canadian dollar.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a percentage of net sales, our gross profit rate was 39.8% and 39.7% for the three months ended March 28, 2020 and March 30, 2019,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a percentage of net sales, our gross profit rate was 34.6% and 34.1% for the six months ended March 28, 2020 and March 30, 2019,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Factors contributing to the change in gross profit rate are outlined in the following table: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140" w:type="dxa"/>
            <w:vAlign w:val="bottom"/>
          </w:tcPr>
          <w:p>
            <w:pPr>
              <w:jc w:val="center"/>
              <w:ind w:left="108"/>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jc w:val="right"/>
              <w:ind w:right="174"/>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40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9"/>
              </w:rPr>
              <w:t>MARCH 28, 2020</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MARCH 28, 2020</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commissions and reimbursements</w:t>
            </w:r>
          </w:p>
        </w:tc>
        <w:tc>
          <w:tcPr>
            <w:tcW w:w="4180" w:type="dxa"/>
            <w:vAlign w:val="bottom"/>
            <w:gridSpan w:val="2"/>
            <w:shd w:val="clear" w:color="auto" w:fill="CCEEFF"/>
          </w:tcPr>
          <w:p>
            <w:pPr>
              <w:ind w:left="3920"/>
              <w:spacing w:after="0"/>
              <w:rPr>
                <w:sz w:val="20"/>
                <w:szCs w:val="20"/>
                <w:color w:val="auto"/>
              </w:rPr>
            </w:pPr>
            <w:r>
              <w:rPr>
                <w:rFonts w:ascii="Arial" w:cs="Arial" w:eastAsia="Arial" w:hAnsi="Arial"/>
                <w:sz w:val="18"/>
                <w:szCs w:val="18"/>
                <w:color w:val="auto"/>
                <w:w w:val="95"/>
              </w:rPr>
              <w:t>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3"/>
                <w:szCs w:val="2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Pricing</w:t>
            </w:r>
          </w:p>
        </w:tc>
        <w:tc>
          <w:tcPr>
            <w:tcW w:w="4180" w:type="dxa"/>
            <w:vAlign w:val="bottom"/>
            <w:gridSpan w:val="2"/>
          </w:tcPr>
          <w:p>
            <w:pPr>
              <w:ind w:left="3920"/>
              <w:spacing w:after="0"/>
              <w:rPr>
                <w:sz w:val="20"/>
                <w:szCs w:val="20"/>
                <w:color w:val="auto"/>
              </w:rPr>
            </w:pPr>
            <w:r>
              <w:rPr>
                <w:rFonts w:ascii="Arial" w:cs="Arial" w:eastAsia="Arial" w:hAnsi="Arial"/>
                <w:sz w:val="18"/>
                <w:szCs w:val="18"/>
                <w:color w:val="auto"/>
                <w:w w:val="95"/>
              </w:rPr>
              <w:t>0.3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Material costs</w:t>
            </w:r>
          </w:p>
        </w:tc>
        <w:tc>
          <w:tcPr>
            <w:tcW w:w="4180" w:type="dxa"/>
            <w:vAlign w:val="bottom"/>
            <w:tcBorders>
              <w:bottom w:val="single" w:sz="8" w:color="CCEEFF"/>
            </w:tcBorders>
            <w:gridSpan w:val="2"/>
            <w:shd w:val="clear" w:color="auto" w:fill="CCEEFF"/>
          </w:tcPr>
          <w:p>
            <w:pPr>
              <w:ind w:left="3920"/>
              <w:spacing w:after="0"/>
              <w:rPr>
                <w:sz w:val="20"/>
                <w:szCs w:val="20"/>
                <w:color w:val="auto"/>
              </w:rPr>
            </w:pPr>
            <w:r>
              <w:rPr>
                <w:rFonts w:ascii="Arial" w:cs="Arial" w:eastAsia="Arial" w:hAnsi="Arial"/>
                <w:sz w:val="18"/>
                <w:szCs w:val="18"/>
                <w:color w:val="auto"/>
                <w:w w:val="95"/>
              </w:rPr>
              <w:t>0.4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Volume, product mix and other</w:t>
            </w:r>
          </w:p>
        </w:tc>
        <w:tc>
          <w:tcPr>
            <w:tcW w:w="4380" w:type="dxa"/>
            <w:vAlign w:val="bottom"/>
            <w:gridSpan w:val="3"/>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3"/>
            <w:shd w:val="clear" w:color="auto" w:fill="CCEEFF"/>
          </w:tcPr>
          <w:p>
            <w:pPr>
              <w:ind w:left="3920"/>
              <w:spacing w:after="0"/>
              <w:rPr>
                <w:sz w:val="20"/>
                <w:szCs w:val="20"/>
                <w:color w:val="auto"/>
              </w:rPr>
            </w:pPr>
            <w:r>
              <w:rPr>
                <w:rFonts w:ascii="Arial" w:cs="Arial" w:eastAsia="Arial" w:hAnsi="Arial"/>
                <w:sz w:val="18"/>
                <w:szCs w:val="18"/>
                <w:color w:val="auto"/>
                <w:w w:val="95"/>
              </w:rPr>
              <w:t>0.3 %</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Impairment, restructuring and other</w:t>
            </w:r>
          </w:p>
        </w:tc>
        <w:tc>
          <w:tcPr>
            <w:tcW w:w="4380" w:type="dxa"/>
            <w:vAlign w:val="bottom"/>
            <w:gridSpan w:val="3"/>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gross profit rate</w:t>
            </w:r>
          </w:p>
        </w:tc>
        <w:tc>
          <w:tcPr>
            <w:tcW w:w="4180" w:type="dxa"/>
            <w:vAlign w:val="bottom"/>
            <w:tcBorders>
              <w:bottom w:val="single" w:sz="8" w:color="CCEEFF"/>
            </w:tcBorders>
            <w:gridSpan w:val="2"/>
            <w:shd w:val="clear" w:color="auto" w:fill="CCEEFF"/>
          </w:tcPr>
          <w:p>
            <w:pPr>
              <w:ind w:left="3920"/>
              <w:spacing w:after="0"/>
              <w:rPr>
                <w:sz w:val="20"/>
                <w:szCs w:val="20"/>
                <w:color w:val="auto"/>
              </w:rPr>
            </w:pPr>
            <w:r>
              <w:rPr>
                <w:rFonts w:ascii="Arial" w:cs="Arial" w:eastAsia="Arial" w:hAnsi="Arial"/>
                <w:sz w:val="18"/>
                <w:szCs w:val="18"/>
                <w:color w:val="auto"/>
                <w:w w:val="95"/>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31</w:t>
            </w:r>
          </w:p>
        </w:tc>
        <w:tc>
          <w:tcPr>
            <w:tcW w:w="2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44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1" w:name="page32"/>
    <w:bookmarkEnd w:id="31"/>
    <w:p>
      <w:pPr>
        <w:ind w:firstLine="405"/>
        <w:spacing w:after="0" w:line="277" w:lineRule="auto"/>
        <w:rPr>
          <w:sz w:val="20"/>
          <w:szCs w:val="20"/>
          <w:color w:val="auto"/>
        </w:rPr>
      </w:pPr>
      <w:r>
        <w:rPr>
          <w:rFonts w:ascii="Arial" w:cs="Arial" w:eastAsia="Arial" w:hAnsi="Arial"/>
          <w:sz w:val="18"/>
          <w:szCs w:val="18"/>
          <w:color w:val="auto"/>
        </w:rPr>
        <w:t>The increase in gross profit rate for the three months ended March 28, 2020 as compared to the three months ended March 30, 2019 was primarily driven by:</w:t>
      </w:r>
    </w:p>
    <w:p>
      <w:pPr>
        <w:spacing w:after="0" w:line="62"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8"/>
          <w:szCs w:val="18"/>
          <w:color w:val="auto"/>
        </w:rPr>
        <w:t>a contractual increase in commission income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p>
      <w:pPr>
        <w:spacing w:after="0" w:line="59" w:lineRule="exact"/>
        <w:rPr>
          <w:rFonts w:ascii="Arial" w:cs="Arial" w:eastAsia="Arial" w:hAnsi="Arial"/>
          <w:sz w:val="14"/>
          <w:szCs w:val="14"/>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pricing in our U.S. Consumer, Hawthorne and Other segments;</w:t>
      </w:r>
    </w:p>
    <w:p>
      <w:pPr>
        <w:spacing w:after="0" w:line="117" w:lineRule="exact"/>
        <w:rPr>
          <w:rFonts w:ascii="Arial" w:cs="Arial" w:eastAsia="Arial" w:hAnsi="Arial"/>
          <w:sz w:val="18"/>
          <w:szCs w:val="18"/>
          <w:color w:val="auto"/>
        </w:rPr>
      </w:pPr>
    </w:p>
    <w:p>
      <w:pPr>
        <w:ind w:left="980" w:hanging="324"/>
        <w:spacing w:after="0" w:line="277" w:lineRule="auto"/>
        <w:tabs>
          <w:tab w:leader="none" w:pos="976" w:val="left"/>
        </w:tabs>
        <w:numPr>
          <w:ilvl w:val="0"/>
          <w:numId w:val="12"/>
        </w:numPr>
        <w:rPr>
          <w:rFonts w:ascii="Arial" w:cs="Arial" w:eastAsia="Arial" w:hAnsi="Arial"/>
          <w:sz w:val="14"/>
          <w:szCs w:val="14"/>
          <w:color w:val="auto"/>
        </w:rPr>
      </w:pPr>
      <w:r>
        <w:rPr>
          <w:rFonts w:ascii="Arial" w:cs="Arial" w:eastAsia="Arial" w:hAnsi="Arial"/>
          <w:sz w:val="18"/>
          <w:szCs w:val="18"/>
          <w:color w:val="auto"/>
        </w:rPr>
        <w:t>lower transportation costs included within “volume, product mix and other,” partially offset by unfavorable mark-to-market adjustments of $3.8 million on our U.S. Consumer segment fuel hedges;</w:t>
      </w:r>
    </w:p>
    <w:p>
      <w:pPr>
        <w:spacing w:after="0" w:line="62" w:lineRule="exact"/>
        <w:rPr>
          <w:rFonts w:ascii="Arial" w:cs="Arial" w:eastAsia="Arial" w:hAnsi="Arial"/>
          <w:sz w:val="14"/>
          <w:szCs w:val="14"/>
          <w:color w:val="auto"/>
        </w:rPr>
      </w:pPr>
    </w:p>
    <w:p>
      <w:pPr>
        <w:ind w:left="980" w:hanging="324"/>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8"/>
          <w:szCs w:val="18"/>
          <w:color w:val="auto"/>
        </w:rPr>
        <w:t>lower material costs in our Hawthorne segment; and</w:t>
      </w:r>
    </w:p>
    <w:p>
      <w:pPr>
        <w:spacing w:after="0" w:line="117" w:lineRule="exact"/>
        <w:rPr>
          <w:rFonts w:ascii="Arial" w:cs="Arial" w:eastAsia="Arial" w:hAnsi="Arial"/>
          <w:sz w:val="14"/>
          <w:szCs w:val="14"/>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favorable leverage of fixed costs driven by higher sales volume in our U.S. Consumer and Hawthorne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partially offset by unfavorable mix driven by higher sales growth in our Hawthorne segment relative to our U.S. Consumer segment;</w:t>
      </w:r>
    </w:p>
    <w:p>
      <w:pPr>
        <w:spacing w:after="0" w:line="128" w:lineRule="exact"/>
        <w:rPr>
          <w:rFonts w:ascii="Arial" w:cs="Arial" w:eastAsia="Arial" w:hAnsi="Arial"/>
          <w:sz w:val="17"/>
          <w:szCs w:val="17"/>
          <w:color w:val="auto"/>
        </w:rPr>
      </w:pPr>
    </w:p>
    <w:p>
      <w:pPr>
        <w:ind w:left="980" w:right="20" w:hanging="324"/>
        <w:spacing w:after="0" w:line="277" w:lineRule="auto"/>
        <w:tabs>
          <w:tab w:leader="none" w:pos="976" w:val="left"/>
        </w:tabs>
        <w:numPr>
          <w:ilvl w:val="0"/>
          <w:numId w:val="12"/>
        </w:numPr>
        <w:rPr>
          <w:rFonts w:ascii="Arial" w:cs="Arial" w:eastAsia="Arial" w:hAnsi="Arial"/>
          <w:sz w:val="14"/>
          <w:szCs w:val="14"/>
          <w:color w:val="auto"/>
        </w:rPr>
      </w:pPr>
      <w:r>
        <w:rPr>
          <w:rFonts w:ascii="Arial" w:cs="Arial" w:eastAsia="Arial" w:hAnsi="Arial"/>
          <w:sz w:val="18"/>
          <w:szCs w:val="18"/>
          <w:color w:val="auto"/>
        </w:rPr>
        <w:t>higher warehousing costs included within “volume, product mix and other” associated with our U.S. Consumer and Hawthorne segments driven by higher inventory levels; and</w:t>
      </w:r>
    </w:p>
    <w:p>
      <w:pPr>
        <w:spacing w:after="0" w:line="62" w:lineRule="exact"/>
        <w:rPr>
          <w:rFonts w:ascii="Arial" w:cs="Arial" w:eastAsia="Arial" w:hAnsi="Arial"/>
          <w:sz w:val="14"/>
          <w:szCs w:val="14"/>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increase in impairment, restructuring and other charges of $2.4 million as a result of costs associated with the COVID-19 pandemic.</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increase in gross profit rate for the six months ended March 28, 2020 as compared to the six months ended March 30, 2019 was primarily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03"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4"/>
          <w:szCs w:val="14"/>
          <w:color w:val="auto"/>
        </w:rPr>
      </w:pPr>
      <w:r>
        <w:rPr>
          <w:rFonts w:ascii="Arial" w:cs="Arial" w:eastAsia="Arial" w:hAnsi="Arial"/>
          <w:sz w:val="18"/>
          <w:szCs w:val="18"/>
          <w:color w:val="auto"/>
        </w:rPr>
        <w:t>a contractual increase in commission income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p>
      <w:pPr>
        <w:spacing w:after="0" w:line="59" w:lineRule="exact"/>
        <w:rPr>
          <w:rFonts w:ascii="Arial" w:cs="Arial" w:eastAsia="Arial" w:hAnsi="Arial"/>
          <w:sz w:val="14"/>
          <w:szCs w:val="14"/>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pricing in our U.S. Consumer, Hawthorne and Other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transportation costs included within “volume, product mix and other” in our U.S. Consumer and Hawthorne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4"/>
          <w:szCs w:val="14"/>
          <w:color w:val="auto"/>
        </w:rPr>
      </w:pPr>
      <w:r>
        <w:rPr>
          <w:rFonts w:ascii="Arial" w:cs="Arial" w:eastAsia="Arial" w:hAnsi="Arial"/>
          <w:sz w:val="18"/>
          <w:szCs w:val="18"/>
          <w:color w:val="auto"/>
        </w:rPr>
        <w:t>lower material costs in our Hawthorne segment; and</w:t>
      </w:r>
    </w:p>
    <w:p>
      <w:pPr>
        <w:spacing w:after="0" w:line="117" w:lineRule="exact"/>
        <w:rPr>
          <w:rFonts w:ascii="Arial" w:cs="Arial" w:eastAsia="Arial" w:hAnsi="Arial"/>
          <w:sz w:val="14"/>
          <w:szCs w:val="14"/>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favorable leverage of fixed costs driven by higher sales volume in our U.S. Consumer and Hawthorne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partially offset by unfavorable mix in our U.S. Consumer and Hawthorne segments; and</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warehousing costs and inventory adjustments to net realizable value included within “volume, product mix and other” associated with our U.S. Consumer and Hawthorne segments driven by higher inventory levels.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 for the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28,</w:t>
            </w:r>
          </w:p>
        </w:tc>
        <w:tc>
          <w:tcPr>
            <w:tcW w:w="18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18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28,</w:t>
            </w:r>
          </w:p>
        </w:tc>
        <w:tc>
          <w:tcPr>
            <w:tcW w:w="180" w:type="dxa"/>
            <w:vAlign w:val="bottom"/>
          </w:tcPr>
          <w:p>
            <w:pPr>
              <w:spacing w:after="0"/>
              <w:rPr>
                <w:sz w:val="13"/>
                <w:szCs w:val="13"/>
                <w:color w:val="auto"/>
              </w:rPr>
            </w:pPr>
          </w:p>
        </w:tc>
        <w:tc>
          <w:tcPr>
            <w:tcW w:w="112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5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196"/>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5"/>
          </w:tcPr>
          <w:p>
            <w:pPr>
              <w:ind w:left="8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64.5</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17.0</w:t>
            </w: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18.6</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16.5</w:t>
            </w: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selling, 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179.4</w:t>
            </w:r>
          </w:p>
        </w:tc>
      </w:tr>
      <w:tr>
        <w:trPr>
          <w:trHeight w:val="237"/>
        </w:trPr>
        <w:tc>
          <w:tcPr>
            <w:tcW w:w="56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195.6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315.4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296.0</w:t>
            </w:r>
          </w:p>
        </w:tc>
      </w:tr>
      <w:tr>
        <w:trPr>
          <w:trHeight w:val="27"/>
        </w:trPr>
        <w:tc>
          <w:tcPr>
            <w:tcW w:w="5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SG&amp;A increased $15.9 million, or 8.8%, during the three months ended March 28, 2020 compared to the three months ended March 30, 2019. Advertising expense increased $1.8 million, or 3.3%, during the three months ended March 28, 2020 driven by increased media spending in our U.S. Consumer segment. Share-based compensation expense increased $1.6 million, or 15.4%, during the three months ended March 28, 2020 due to an increase in the expected payout percentage on long-term performance-based awards as a result of strong cash flow performance. Other SG&amp;A increased $12.6 million, or 12.9%, during the three months ended March 28, 2020 driven by higher short-term variable cash incentive compensation expense and higher selling expense.</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SG&amp;A increased $19.4 million, or 6.6%, during the six months ended March 28, 2020 compared to the six months ended March 30, 2019. Advertising expense increased $2.3 million, or 3.6%, during the six months ended March 28, 2020 driven by</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increased media spending in our U.S. Consumer segment. Share-based compensation expense increased $2.0 million, or 11.8%, during the six months ended March 28, 2020 due to an increase in the expected payout percentage on long-term performance-based awards as a result of strong cash flow performance. Other SG&amp;A increased $15.9 million, or 8.9%, during the six months ended March 28, 2020 driven by higher short-term variable cash incentive compensation expense and higher selling expense.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(loss) from discontinued operations, net of tax” lines in the Condensed Consolidated Statements of Operations. The following table details impairment, restructuring and other charges (recoveries) for each of the periods presented: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28,</w:t>
            </w:r>
          </w:p>
        </w:tc>
        <w:tc>
          <w:tcPr>
            <w:tcW w:w="18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18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28,</w:t>
            </w:r>
          </w:p>
        </w:tc>
        <w:tc>
          <w:tcPr>
            <w:tcW w:w="180" w:type="dxa"/>
            <w:vAlign w:val="bottom"/>
          </w:tcPr>
          <w:p>
            <w:pPr>
              <w:spacing w:after="0"/>
              <w:rPr>
                <w:sz w:val="13"/>
                <w:szCs w:val="13"/>
                <w:color w:val="auto"/>
              </w:rPr>
            </w:pPr>
          </w:p>
        </w:tc>
        <w:tc>
          <w:tcPr>
            <w:tcW w:w="112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5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196"/>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5"/>
          </w:tcPr>
          <w:p>
            <w:pPr>
              <w:ind w:left="8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680" w:type="dxa"/>
            <w:vAlign w:val="bottom"/>
          </w:tcPr>
          <w:p>
            <w:pPr>
              <w:ind w:left="220"/>
              <w:spacing w:after="0"/>
              <w:rPr>
                <w:sz w:val="20"/>
                <w:szCs w:val="20"/>
                <w:color w:val="auto"/>
              </w:rPr>
            </w:pPr>
            <w:r>
              <w:rPr>
                <w:rFonts w:ascii="Arial" w:cs="Arial" w:eastAsia="Arial" w:hAnsi="Arial"/>
                <w:sz w:val="18"/>
                <w:szCs w:val="18"/>
                <w:color w:val="auto"/>
              </w:rPr>
              <w:t>Restructuring and other charges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center"/>
              <w:ind w:left="495"/>
              <w:spacing w:after="0"/>
              <w:rPr>
                <w:sz w:val="20"/>
                <w:szCs w:val="20"/>
                <w:color w:val="auto"/>
              </w:rPr>
            </w:pPr>
            <w:r>
              <w:rPr>
                <w:rFonts w:ascii="Arial" w:cs="Arial" w:eastAsia="Arial" w:hAnsi="Arial"/>
                <w:sz w:val="18"/>
                <w:szCs w:val="18"/>
                <w:color w:val="auto"/>
                <w:w w:val="87"/>
              </w:rPr>
              <w:t>3.0</w:t>
            </w: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plant and equipment impairments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left="495"/>
              <w:spacing w:after="0"/>
              <w:rPr>
                <w:sz w:val="20"/>
                <w:szCs w:val="20"/>
                <w:color w:val="auto"/>
              </w:rPr>
            </w:pPr>
            <w:r>
              <w:rPr>
                <w:rFonts w:ascii="Arial" w:cs="Arial" w:eastAsia="Arial" w:hAnsi="Arial"/>
                <w:sz w:val="18"/>
                <w:szCs w:val="18"/>
                <w:color w:val="auto"/>
                <w:w w:val="87"/>
              </w:rPr>
              <w:t>0.5</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(recoveries), net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ind w:left="495"/>
              <w:spacing w:after="0"/>
              <w:rPr>
                <w:sz w:val="20"/>
                <w:szCs w:val="20"/>
                <w:color w:val="auto"/>
              </w:rPr>
            </w:pPr>
            <w:r>
              <w:rPr>
                <w:rFonts w:ascii="Arial" w:cs="Arial" w:eastAsia="Arial" w:hAnsi="Arial"/>
                <w:sz w:val="18"/>
                <w:szCs w:val="18"/>
                <w:color w:val="auto"/>
                <w:w w:val="87"/>
              </w:rPr>
              <w:t>3.7</w:t>
            </w:r>
          </w:p>
        </w:tc>
      </w:tr>
      <w:tr>
        <w:trPr>
          <w:trHeight w:val="237"/>
        </w:trPr>
        <w:tc>
          <w:tcPr>
            <w:tcW w:w="5680" w:type="dxa"/>
            <w:vAlign w:val="bottom"/>
          </w:tcPr>
          <w:p>
            <w:pPr>
              <w:ind w:left="20"/>
              <w:spacing w:after="0"/>
              <w:rPr>
                <w:sz w:val="20"/>
                <w:szCs w:val="20"/>
                <w:color w:val="auto"/>
              </w:rPr>
            </w:pPr>
            <w:r>
              <w:rPr>
                <w:rFonts w:ascii="Arial" w:cs="Arial" w:eastAsia="Arial" w:hAnsi="Arial"/>
                <w:sz w:val="18"/>
                <w:szCs w:val="18"/>
                <w:color w:val="auto"/>
                <w:w w:val="99"/>
              </w:rPr>
              <w:t>Impairment, restructuring and other charges from continuing operations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center"/>
              <w:ind w:left="495"/>
              <w:spacing w:after="0"/>
              <w:rPr>
                <w:sz w:val="20"/>
                <w:szCs w:val="20"/>
                <w:color w:val="auto"/>
              </w:rPr>
            </w:pPr>
            <w:r>
              <w:rPr>
                <w:rFonts w:ascii="Arial" w:cs="Arial" w:eastAsia="Arial" w:hAnsi="Arial"/>
                <w:sz w:val="18"/>
                <w:szCs w:val="18"/>
                <w:color w:val="auto"/>
                <w:w w:val="87"/>
              </w:rPr>
              <w:t>7.2</w:t>
            </w: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 (recoveries), net, from discontinued</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ind w:left="475"/>
              <w:spacing w:after="0"/>
              <w:rPr>
                <w:sz w:val="20"/>
                <w:szCs w:val="20"/>
                <w:color w:val="auto"/>
              </w:rPr>
            </w:pPr>
            <w:r>
              <w:rPr>
                <w:rFonts w:ascii="Arial" w:cs="Arial" w:eastAsia="Arial" w:hAnsi="Arial"/>
                <w:sz w:val="18"/>
                <w:szCs w:val="18"/>
                <w:color w:val="auto"/>
                <w:w w:val="97"/>
              </w:rPr>
              <w:t>(4.9)</w:t>
            </w:r>
          </w:p>
        </w:tc>
      </w:tr>
      <w:tr>
        <w:trPr>
          <w:trHeight w:val="237"/>
        </w:trPr>
        <w:tc>
          <w:tcPr>
            <w:tcW w:w="5680" w:type="dxa"/>
            <w:vAlign w:val="bottom"/>
          </w:tcPr>
          <w:p>
            <w:pPr>
              <w:ind w:left="20"/>
              <w:spacing w:after="0"/>
              <w:rPr>
                <w:sz w:val="20"/>
                <w:szCs w:val="20"/>
                <w:color w:val="auto"/>
              </w:rPr>
            </w:pPr>
            <w:r>
              <w:rPr>
                <w:rFonts w:ascii="Arial" w:cs="Arial" w:eastAsia="Arial" w:hAnsi="Arial"/>
                <w:sz w:val="18"/>
                <w:szCs w:val="18"/>
                <w:color w:val="auto"/>
              </w:rPr>
              <w:t>Total impairment, restructuring and other charges (recoveries)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center"/>
              <w:ind w:left="495"/>
              <w:spacing w:after="0"/>
              <w:rPr>
                <w:sz w:val="20"/>
                <w:szCs w:val="20"/>
                <w:color w:val="auto"/>
              </w:rPr>
            </w:pPr>
            <w:r>
              <w:rPr>
                <w:rFonts w:ascii="Arial" w:cs="Arial" w:eastAsia="Arial" w:hAnsi="Arial"/>
                <w:sz w:val="18"/>
                <w:szCs w:val="18"/>
                <w:color w:val="auto"/>
                <w:w w:val="87"/>
              </w:rPr>
              <w:t>2.3</w:t>
            </w:r>
          </w:p>
        </w:tc>
      </w:tr>
      <w:tr>
        <w:trPr>
          <w:trHeight w:val="27"/>
        </w:trPr>
        <w:tc>
          <w:tcPr>
            <w:tcW w:w="5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COVID-19</w:t>
      </w:r>
    </w:p>
    <w:p>
      <w:pPr>
        <w:spacing w:after="0" w:line="144"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In response to the COVID-19 pandemic, we have implemented additional measures intended to both protect the health and safety of our employees and maintain our ability to provide products to our customers, including (i) requiring a significant part of our workforce to work from home, (ii) monitoring our employees for COVID-19 symptoms, (iii) making additional personal protective equipment available to our operations team, (iv) requiring all manufacturing and warehousing associates to take their temperatures before beginning a shift, (v) modifying work methods and schedules of our manufacturing and field associates to create distance or add barriers between associates, consumers and others, (vi) expanding cleaning efforts at our operation centers, (vii) modifying attendance policies so that associates may elect to stay home if they have symptoms, (viii) prioritizing production for goods that are more essential to our customers and (ix) implementing an interim premium pay allowance for associates in our field sales force as well as those still working in manufacturing or distribution centers. In addition, to help address the critical shortage of personal protective equipment in the fight against COVID-19, we have shifted production in our Temecula, California manufacturing plant to produce face shields to help protect healthcare workers and first responders in critical need areas across the country. As a result of these additional measures and initiatives, we expect to incur up to $35 million of incremental costs, mostly related to premium pay provided to our associates which we expect will continue into the month of May. During the three and six months ended March 28, 2020, we incurred costs of $3.8 million associated with the COVID-19 pandemic primarily related to premium pay and incremental cleaning costs. We incurred costs of $2.6 million in our U.S. Consumer segment and $0.5 million in our Hawthorne segment in the “Cost of sales—impairment, restructuring and other” line in the Condensed Consolidated Statements of Operations during the three and six months ended March 28, 2020. We incurred costs of $0.7 million in our U.S. Consumer segment in the “Impairment, restructuring and other” line in the Condensed Consolidated Statements of Operations during the three and six months ended March 28, 2020.</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15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connection with the acquisition of Sunlight Supply during the third quarter of fiscal 2018, we announced the launch of an initiative called Project Catalyst, which is a company-wide restructuring effort to reduce operating costs throughout our U.S. Consumer, Hawthorne and Other segments and drive synergies from acquisitions within our Hawthorne segment. Costs incurred during the three and six months ended March 28, 2020 related to Project Catalyst were not material. Costs incurred to date since the inception of Project Catalyst are $25.9 million for our Hawthorne segment, $13.4 million for our U.S. Consumer segment, $1.3 million for our Other segment and $2.8 million for Corporate. Additionally, during the three and six months ended March 28, 2020, we received zero and $2.6 million, respectively, from the final settlement of escrow funds related to a previous acquisition within the Hawthorne segment that was recognized in the “Impairment, restructuring and other” line in the Condensed Consolidated Statements of Operations.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3" w:name="page34"/>
    <w:bookmarkEnd w:id="33"/>
    <w:p>
      <w:pPr>
        <w:jc w:val="both"/>
        <w:ind w:firstLine="405"/>
        <w:spacing w:after="0" w:line="271" w:lineRule="auto"/>
        <w:rPr>
          <w:sz w:val="20"/>
          <w:szCs w:val="20"/>
          <w:color w:val="auto"/>
        </w:rPr>
      </w:pPr>
      <w:r>
        <w:rPr>
          <w:rFonts w:ascii="Arial" w:cs="Arial" w:eastAsia="Arial" w:hAnsi="Arial"/>
          <w:sz w:val="17"/>
          <w:szCs w:val="17"/>
          <w:color w:val="auto"/>
        </w:rPr>
        <w:t>During the three and six months ended March 30, 2019, we incurred charges of $2.1 million and $7.6 million, respectively, related to Project Catalyst. We incurred charges of $0.1 million and $0.4 million in our U.S. Consumer segment, $0.6 million and $2.5 million in our Hawthorne segment and $0.3 million and $0.6 million in our Other segment in the “Cost of sales—impairment, restructuring and other” line in the Condensed Consolidated Statements of Operations during the three and six months ended March 30, 2019, respectively, related to employee termination benefits, facility closure costs and impairment of property, plant and equipment. We incurred charges of $0.1 million and $0.5 million in our U.S. Consumer segment, $0.4 million and $2.1 million in our Hawthorne segment, $0.5 million and $0.6 million in our Other segment and $0.1 million and $0.9 million at Corporate in the “Impairment, restructuring and other” line in the Condensed Consolidated Statements of Operations during the three and six months ended March 30, 2019, respectively, related to employee termination benefits and facility closure costs.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During the three and six months ended March 28, 2020, we recognized insurance recoveries of $1.5 million related to the previously disclosed legal matter </w:t>
      </w:r>
      <w:r>
        <w:rPr>
          <w:rFonts w:ascii="Arial" w:cs="Arial" w:eastAsia="Arial" w:hAnsi="Arial"/>
          <w:sz w:val="18"/>
          <w:szCs w:val="18"/>
          <w:i w:val="1"/>
          <w:iCs w:val="1"/>
          <w:color w:val="auto"/>
        </w:rPr>
        <w:t>In re Morning Song Bird Food Litigation</w:t>
      </w:r>
      <w:r>
        <w:rPr>
          <w:rFonts w:ascii="Arial" w:cs="Arial" w:eastAsia="Arial" w:hAnsi="Arial"/>
          <w:sz w:val="18"/>
          <w:szCs w:val="18"/>
          <w:color w:val="auto"/>
        </w:rPr>
        <w:t xml:space="preserve"> in the “Income (loss) from discontinued operations, net of tax” line in the Condensed Consolidated Statements of Operations. During the three and six months ended March 30, 2019, we recognized insurance recoveries of zero and $5.0 million related to this matter in the “Income (loss) from discontinued operations, net of tax” line in the Condensed Consolidated Statements of Operations Refer to “NOTE 2. DISCONTINUED OPERATIONS” of the Notes to Condensed Consolidated Financial Statements (Unaudited) included in this Quarterly Report on Form 10-Q for more information.</w:t>
      </w:r>
    </w:p>
    <w:p>
      <w:pPr>
        <w:spacing w:after="0" w:line="1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During the three and six months ended March 30, 2019, we recognized favorable adjustments of $0.9 million and $0.4 million, respectively, related to the previously disclosed legal matter </w:t>
      </w:r>
      <w:r>
        <w:rPr>
          <w:rFonts w:ascii="Arial" w:cs="Arial" w:eastAsia="Arial" w:hAnsi="Arial"/>
          <w:sz w:val="18"/>
          <w:szCs w:val="18"/>
          <w:i w:val="1"/>
          <w:iCs w:val="1"/>
          <w:color w:val="auto"/>
        </w:rPr>
        <w:t>In re Scotts EZ Seed Litigation</w:t>
      </w:r>
      <w:r>
        <w:rPr>
          <w:rFonts w:ascii="Arial" w:cs="Arial" w:eastAsia="Arial" w:hAnsi="Arial"/>
          <w:sz w:val="18"/>
          <w:szCs w:val="18"/>
          <w:color w:val="auto"/>
        </w:rPr>
        <w:t xml:space="preserve"> in the “Impairment, restructuring and other” line in the Condensed Consolidated Statements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Other expense is comprised of activities outside our normal business operations, such as royalty income from the licensing of certain of our brand names, foreign exchange transaction gains and losses and gains and losses from the disposition of non-inventory assets. Other expense was $0.6 million and $2.0 million for the three months ended March 28, 2020 and March 30, 2019, respectively. Other expense was $0.1 million and $1.6 million for the six months ended March 28, 2020 and March 30, 2019, respectively. The decrease for the three and six months ended March 28, 2020 was primarily due to lower foreign exchange transaction losses and a decrease in losses on long-lived assets.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Income from operations was $353.7 million for the three months ended March 28, 2020, an increase of 21.9% compared to $290.2 million for the three months ended March 30, 2019. Income from operations was $291.1 million for the six months ended March 28, 2020, an increase of 41.7% compared to $205.4 million for the six months ended March 30, 2019. For the three months ended March 28, 2020, the increase was driven by higher net sales, an increase in gross profit rate and decreased other expense, partially offset by higher SG&amp;A and higher impairment, restructuring and other charges. For the six months ended March 28, 2020, the increase was driven by higher net sales, an increase in gross profit rate, lower impairment, restructuring and other charges and decreased other expense, partially offset by higher SG&amp;A.</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Income of Unconsolidated Affiliates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Equity in income of unconsolidated affiliates was zero and $2.0 million for the three months ended March 28, 2020 and March 30, 2019, respectively, and was zero and $3.3 million for the six months ended March 28, 2020 and March 30, 2019, respectively. The decrease for the three and six months ended March 28, 2020 was attributable to the sale of our equity interest in an unconsolidated affiliate whose products support the professional U.S. industrial, turf and ornamental market (the “IT&amp;O Joint Venture”) on April 1, 2019.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Related to Refinancing</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Costs related to refinancing were zero and $15.1 million for the three and six months ended March 28, 2020, respectively. The costs incurred for the six months ended March 28, 2020 were associated with the redemption of our 6.000% Senior Notes due 2023 (the “6.000% Senior Notes”), and are comprised of $12.0 million of redemption premium and $3.1 million of unamortized bond issuance costs that were written off. Refer to “NOTE 7. DEBT” of the Notes to the Condensed Consolidated Financial Statements (Unaudited) included in this Quarterly Report on Form 10-Q for more information regarding the redemption of the 6.000% Senior Notes.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05"/>
        <w:spacing w:after="0" w:line="244" w:lineRule="auto"/>
        <w:rPr>
          <w:sz w:val="20"/>
          <w:szCs w:val="20"/>
          <w:color w:val="auto"/>
        </w:rPr>
      </w:pPr>
      <w:r>
        <w:rPr>
          <w:rFonts w:ascii="Arial" w:cs="Arial" w:eastAsia="Arial" w:hAnsi="Arial"/>
          <w:sz w:val="18"/>
          <w:szCs w:val="18"/>
          <w:color w:val="auto"/>
        </w:rPr>
        <w:t>Interest expense was $22.7 million for the three months ended March 28, 2020, a decrease of 21.5% compared to $28.9 million for the three months ended March 30, 2019. The decrease was driven by a decrease in average borrowings of $289.5 million and a decrease in our weighted average interest rate of 50 basis points. The decrease in average borrowings was primarily driven by the application of the proceeds from the sale of our approximately 30% equity interest in Outdoor Home Services Holdings LLC, a lawn service joint venture between the Company and TruGreen Holding Corporation (the “TruGreen Joint Venture”), the payoff of second lien term loan financing by the TruGreen Joint Venture, the sale of our equity interest in the IT&amp;O Joint Venture and the sale of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extension assets to reduce our indebtedness. The decrease in our weighted average interest rate was driven by lower borrowing rates on the Fifth A&amp;R Credit Agreement, the issuance of the 4.500% Senior Notes due 2029 (the “4.500% Senior Notes”) and the redemption of the 6.000% Senior Notes.</w:t>
      </w:r>
    </w:p>
    <w:p>
      <w:pPr>
        <w:spacing w:after="0" w:line="135"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Interest expense was $42.7 million for the six months ended March 28, 2020, a decrease of 21.1% compared to $54.1 million for the six months ended March 30, 2019. The decrease was driven by a decrease in average borrowings of $310.5 million and a decrease in our weighted average interest rate of 40 basis points. The decrease in average borrowings was primarily driven by the application of the proceeds from the sale of our approximately 30% equity interest in the TruGreen Joint Venture, the payoff of second lien term loan financing by the TruGreen Joint Venture, the sale of our equity interest in the IT&amp;O Joint Venture and the sale of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extension assets to reduce our indebtedness. The decrease in our weighted average interest rate was driven by lower borrowing rates on the Fifth A&amp;R Credit Agreement, the issuance of the 4.500% Senior Notes and the redemption of the 6.000% Senior Notes.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 net</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Other non-operating income, which includes the non-service-cost components of net benefit cost and interest income, was $2.8 million and $260.1 million for the three months ended March 28, 2020 and March 30, 2019, respectively, and was $5.4 million and $262.9 million for the six months ended March 28, 2020 and March 30, 2019, respectively.</w:t>
      </w:r>
    </w:p>
    <w:p>
      <w:pPr>
        <w:spacing w:after="0" w:line="11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March 19, 2019, we entered into an agreement under which we sold, to TruGreen Companies L.L.C., a subsidiary of TruGreen Holding Corporation, all of our approximately 30% equity interest in the TruGreen Joint Venture. Prior to this transaction, our net investment and advances with respect to the TruGreen Joint Venture had been reduced to a liability which resulted in an amount recorded in the “Distributions in excess of investment in unconsolidated affiliate” line in the Condensed Consolidated Balance Sheets. In connection with this transaction, we received cash proceeds of $234.2 million related to the sale of our equity interest in the TruGreen Joint Venture and $18.4 million related to the payoff of second lien term loan financing by the TruGreen Joint Venture. During the three and six months ended March 30, 2019, we also received a distribution from the TruGreen Joint Venture intended to cover certain required tax payments of $3.5 million, which was classified as an investing activity in the Condensed Consolidated Statements of Cash Flows. During the three and six months ended March 30, 2019, we recognized a pre-tax gain of $259.8 million related to this sale in the “Other non-operating income, net” line in the Condensed Consolidated Statements of Operations.</w:t>
      </w:r>
    </w:p>
    <w:p>
      <w:pPr>
        <w:spacing w:after="0" w:line="5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and six months ended March 30, 2019, we recognized a charge of $2.5 million in the “Other non-operating income, net” line in the Condensed Consolidated Statements of Operations related to the write-off of accumulated foreign currency translation loss adjustments of a foreign subsidiary that was substantially liquidated.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from Continuing Operations</w:t>
      </w:r>
    </w:p>
    <w:p>
      <w:pPr>
        <w:spacing w:after="0" w:line="15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effective tax rates related to continuing operations for the six months ended March 28, 2020 and March 30, 2019 were 25.2% and 24.7%, respectively. The effective tax rate used for interim purposes is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 that the effective tax rate estimated for interim financial reporting purposes will approximate the effective tax rate determined at fiscal year end.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Income from continuing operations was $249.8 million, or $4.43 per diluted share, for the three months ended March 28, 2020 compared to $396.9 million, or $7.10 per diluted share, for the three months ended March 30, 2019. The decrease in income from continuing operations was driven by lower other non-operating income, higher SG&amp;A, increased impairment, restructuring and other charges and lower equity in income of unconsolidated affiliates, partially offset by higher net sales, an increase in gross profit rate, decreased other expense and lower interest expense.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5" w:name="page36"/>
    <w:bookmarkEnd w:id="35"/>
    <w:p>
      <w:pPr>
        <w:jc w:val="both"/>
        <w:ind w:firstLine="405"/>
        <w:spacing w:after="0" w:line="263" w:lineRule="auto"/>
        <w:rPr>
          <w:sz w:val="20"/>
          <w:szCs w:val="20"/>
          <w:color w:val="auto"/>
        </w:rPr>
      </w:pPr>
      <w:r>
        <w:rPr>
          <w:rFonts w:ascii="Arial" w:cs="Arial" w:eastAsia="Arial" w:hAnsi="Arial"/>
          <w:sz w:val="18"/>
          <w:szCs w:val="18"/>
          <w:color w:val="auto"/>
        </w:rPr>
        <w:t>Diluted average common shares used in the diluted income per common share calculation were 56.4 million for the three months ended March 28, 2020 compared to 55.9 million for the three months ended March 30, 2019. The increase was primarily the result of the exercise and issuance of share-based compensation awards, partially offset by Common Share repurchase activity.</w:t>
      </w:r>
    </w:p>
    <w:p>
      <w:pPr>
        <w:spacing w:after="0" w:line="103"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Income from continuing operations was $178.5 million, or $3.15 per diluted share, for the six months ended March 28, 2020 compared to $314.3 million, or $5.62 per diluted share, for the six months ended March 30, 2019. The decrease in income from continuing operations was driven by lower other non-operating income, higher SG&amp;A, costs related to refinancing and lower equity in income of unconsolidated affiliates, partially offset by higher net sales, an increase in gross profit rate, lower impairment, restructuring and other charges, decreased other expense and lower interest expense.</w:t>
      </w:r>
    </w:p>
    <w:p>
      <w:pPr>
        <w:spacing w:after="0" w:line="9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Diluted average common shares used in the diluted income per common share calculation were 56.6 million for the six months ended March 28, 2020 compared to 55.9 million for the six months ended March 30, 2019. The increase was primarily the result of the exercise and issuance of share-based compensation awards, partially offset by Common Share repurchase activity.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Discontinued Operations, net of tax</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Income (loss) from discontinued operations, net of tax, was $2.6 million for the three and six months ended March 28, 2020, as compared to $(0.5) million and $2.5 million for the three and six months ended March 30, 2019, respectively.</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During the three and six months ended March 28, 2020, we recognized insurance recoveries of $1.5 million related to the previously disclosed legal matter </w:t>
      </w:r>
      <w:r>
        <w:rPr>
          <w:rFonts w:ascii="Arial" w:cs="Arial" w:eastAsia="Arial" w:hAnsi="Arial"/>
          <w:sz w:val="18"/>
          <w:szCs w:val="18"/>
          <w:i w:val="1"/>
          <w:iCs w:val="1"/>
          <w:color w:val="auto"/>
        </w:rPr>
        <w:t>In re Morning Song Bird Food Litigation</w:t>
      </w:r>
      <w:r>
        <w:rPr>
          <w:rFonts w:ascii="Arial" w:cs="Arial" w:eastAsia="Arial" w:hAnsi="Arial"/>
          <w:sz w:val="18"/>
          <w:szCs w:val="18"/>
          <w:color w:val="auto"/>
        </w:rPr>
        <w:t>. During the three and six months ended March 30, 2019, we recognized insurance recoveries of zero and $5.0 million, respectively, related to this matter. Refer to “NOTE 2. DISCONTINUED OPERATIONS” of the Notes to Condensed Consolidated Financial Statements (Unaudited) included in this Quarterly Report on Form 10-Q for more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divide our operations into three reportable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In addition, Corporate consists of general and administrative expenses and certain other income and expense items not allocated to the business segments. This identification of reportable segments is consistent with how the segments report to and are managed by our chief operating decision maker.</w:t>
      </w:r>
    </w:p>
    <w:p>
      <w:pPr>
        <w:spacing w:after="0" w:line="9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performance of each reportable segment is evaluated based on several factors, including income (loss) from continuing operations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net sales by segment: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1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34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28,</w:t>
            </w:r>
          </w:p>
        </w:tc>
        <w:tc>
          <w:tcPr>
            <w:tcW w:w="18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18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28,</w:t>
            </w:r>
          </w:p>
        </w:tc>
        <w:tc>
          <w:tcPr>
            <w:tcW w:w="180" w:type="dxa"/>
            <w:vAlign w:val="bottom"/>
          </w:tcPr>
          <w:p>
            <w:pPr>
              <w:spacing w:after="0"/>
              <w:rPr>
                <w:sz w:val="13"/>
                <w:szCs w:val="13"/>
                <w:color w:val="auto"/>
              </w:rPr>
            </w:pPr>
          </w:p>
        </w:tc>
        <w:tc>
          <w:tcPr>
            <w:tcW w:w="112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34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r>
      <w:tr>
        <w:trPr>
          <w:trHeight w:val="196"/>
        </w:trPr>
        <w:tc>
          <w:tcPr>
            <w:tcW w:w="34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5"/>
          </w:tcPr>
          <w:p>
            <w:pPr>
              <w:ind w:left="8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2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1,102.7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993.5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1,250.1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1,130.4</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Hawthorne</w:t>
            </w:r>
          </w:p>
        </w:tc>
        <w:tc>
          <w:tcPr>
            <w:tcW w:w="2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58"/>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58"/>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428.8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284.8</w:t>
            </w:r>
          </w:p>
        </w:tc>
      </w:tr>
      <w:tr>
        <w:trPr>
          <w:trHeight w:val="27"/>
        </w:trPr>
        <w:tc>
          <w:tcPr>
            <w:tcW w:w="34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72.8</w:t>
            </w:r>
          </w:p>
        </w:tc>
      </w:tr>
      <w:tr>
        <w:trPr>
          <w:trHeight w:val="264"/>
        </w:trPr>
        <w:tc>
          <w:tcPr>
            <w:tcW w:w="3460" w:type="dxa"/>
            <w:vAlign w:val="bottom"/>
          </w:tcPr>
          <w:p>
            <w:pPr>
              <w:ind w:left="460"/>
              <w:spacing w:after="0"/>
              <w:rPr>
                <w:sz w:val="20"/>
                <w:szCs w:val="20"/>
                <w:color w:val="auto"/>
              </w:rPr>
            </w:pPr>
            <w:r>
              <w:rPr>
                <w:rFonts w:ascii="Arial" w:cs="Arial" w:eastAsia="Arial" w:hAnsi="Arial"/>
                <w:sz w:val="18"/>
                <w:szCs w:val="18"/>
                <w:color w:val="auto"/>
              </w:rPr>
              <w:t>Consolidated</w:t>
            </w:r>
          </w:p>
        </w:tc>
        <w:tc>
          <w:tcPr>
            <w:tcW w:w="2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rPr>
              <w:t>1,382.8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rPr>
              <w:t>1,189.9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rPr>
              <w:t>1,748.6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1,488.0</w:t>
            </w:r>
          </w:p>
        </w:tc>
      </w:tr>
      <w:tr>
        <w:trPr>
          <w:trHeight w:val="20"/>
        </w:trPr>
        <w:tc>
          <w:tcPr>
            <w:tcW w:w="3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71"/>
        </w:trPr>
        <w:tc>
          <w:tcPr>
            <w:tcW w:w="3460" w:type="dxa"/>
            <w:vAlign w:val="bottom"/>
          </w:tcPr>
          <w:p>
            <w:pPr>
              <w:spacing w:after="0"/>
              <w:rPr>
                <w:sz w:val="24"/>
                <w:szCs w:val="24"/>
                <w:color w:val="auto"/>
              </w:rPr>
            </w:pPr>
          </w:p>
        </w:tc>
        <w:tc>
          <w:tcPr>
            <w:tcW w:w="2400" w:type="dxa"/>
            <w:vAlign w:val="bottom"/>
            <w:gridSpan w:val="2"/>
          </w:tcPr>
          <w:p>
            <w:pPr>
              <w:jc w:val="right"/>
              <w:ind w:right="50"/>
              <w:spacing w:after="0"/>
              <w:rPr>
                <w:sz w:val="20"/>
                <w:szCs w:val="20"/>
                <w:color w:val="auto"/>
              </w:rPr>
            </w:pPr>
            <w:r>
              <w:rPr>
                <w:rFonts w:ascii="Arial" w:cs="Arial" w:eastAsia="Arial" w:hAnsi="Arial"/>
                <w:sz w:val="18"/>
                <w:szCs w:val="18"/>
                <w:color w:val="auto"/>
              </w:rPr>
              <w:t>36</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6" w:name="page37"/>
    <w:bookmarkEnd w:id="36"/>
    <w:p>
      <w:pPr>
        <w:jc w:val="both"/>
        <w:ind w:firstLine="405"/>
        <w:spacing w:after="0" w:line="276" w:lineRule="auto"/>
        <w:rPr>
          <w:sz w:val="20"/>
          <w:szCs w:val="20"/>
          <w:color w:val="auto"/>
        </w:rPr>
      </w:pPr>
      <w:r>
        <w:rPr>
          <w:rFonts w:ascii="Arial" w:cs="Arial" w:eastAsia="Arial" w:hAnsi="Arial"/>
          <w:sz w:val="18"/>
          <w:szCs w:val="18"/>
          <w:color w:val="auto"/>
        </w:rPr>
        <w:t>The following table sets forth Segment Profit (Loss) as well as a reconciliation to income from continuing operations before income taxes, the most directly comparable GAAP measure: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28,</w:t>
            </w:r>
          </w:p>
        </w:tc>
        <w:tc>
          <w:tcPr>
            <w:tcW w:w="18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18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28,</w:t>
            </w:r>
          </w:p>
        </w:tc>
        <w:tc>
          <w:tcPr>
            <w:tcW w:w="180" w:type="dxa"/>
            <w:vAlign w:val="bottom"/>
          </w:tcPr>
          <w:p>
            <w:pPr>
              <w:spacing w:after="0"/>
              <w:rPr>
                <w:sz w:val="13"/>
                <w:szCs w:val="13"/>
                <w:color w:val="auto"/>
              </w:rPr>
            </w:pPr>
          </w:p>
        </w:tc>
        <w:tc>
          <w:tcPr>
            <w:tcW w:w="11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5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196"/>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5"/>
          </w:tcPr>
          <w:p>
            <w:pPr>
              <w:ind w:left="8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372.9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331.5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277.0</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Hawthorne</w:t>
            </w:r>
          </w:p>
        </w:tc>
        <w:tc>
          <w:tcPr>
            <w:tcW w:w="18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14.7</w:t>
            </w: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r>
      <w:tr>
        <w:trPr>
          <w:trHeight w:val="237"/>
        </w:trPr>
        <w:tc>
          <w:tcPr>
            <w:tcW w:w="5680" w:type="dxa"/>
            <w:vAlign w:val="bottom"/>
          </w:tcPr>
          <w:p>
            <w:pPr>
              <w:ind w:left="340"/>
              <w:spacing w:after="0"/>
              <w:rPr>
                <w:sz w:val="20"/>
                <w:szCs w:val="20"/>
                <w:color w:val="auto"/>
              </w:rPr>
            </w:pPr>
            <w:r>
              <w:rPr>
                <w:rFonts w:ascii="Arial" w:cs="Arial" w:eastAsia="Arial" w:hAnsi="Arial"/>
                <w:sz w:val="18"/>
                <w:szCs w:val="18"/>
                <w:color w:val="auto"/>
              </w:rPr>
              <w:t>Total Segment Profit (Non-GAAP)</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402.4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334.1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371.3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291.5</w:t>
            </w: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(62.1)</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18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(16.8)</w:t>
            </w: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18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3.3</w:t>
            </w: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(54.1)</w:t>
            </w: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260.1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262.9</w:t>
            </w:r>
          </w:p>
        </w:tc>
      </w:tr>
      <w:tr>
        <w:trPr>
          <w:trHeight w:val="237"/>
        </w:trPr>
        <w:tc>
          <w:tcPr>
            <w:tcW w:w="5680" w:type="dxa"/>
            <w:vAlign w:val="bottom"/>
          </w:tcPr>
          <w:p>
            <w:pPr>
              <w:ind w:left="340"/>
              <w:spacing w:after="0"/>
              <w:rPr>
                <w:sz w:val="20"/>
                <w:szCs w:val="20"/>
                <w:color w:val="auto"/>
              </w:rPr>
            </w:pPr>
            <w:r>
              <w:rPr>
                <w:rFonts w:ascii="Arial" w:cs="Arial" w:eastAsia="Arial" w:hAnsi="Arial"/>
                <w:sz w:val="18"/>
                <w:szCs w:val="18"/>
                <w:color w:val="auto"/>
              </w:rPr>
              <w:t>Income from continuing operations before income taxes (GAAP)</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333.8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523.4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238.7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417.5</w:t>
            </w:r>
          </w:p>
        </w:tc>
      </w:tr>
      <w:tr>
        <w:trPr>
          <w:trHeight w:val="27"/>
        </w:trPr>
        <w:tc>
          <w:tcPr>
            <w:tcW w:w="5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Consumer</w:t>
      </w:r>
    </w:p>
    <w:p>
      <w:pPr>
        <w:spacing w:after="0" w:line="15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7"/>
          <w:szCs w:val="17"/>
          <w:color w:val="auto"/>
        </w:rPr>
        <w:t>U.S. Consumer segment net sales were $1,102.7 million in the second quarter of fiscal 2020, an increase of 11.0% from second quarter of fiscal 2019 net sales of $993.5 million, and were $1,250.1 million for the first six months of fiscal 2020, an increase of 10.6% from the first six months of fiscal 2019 net sales of $1,130.4 million. For the second quarter of fiscal 2020, the increase was driven by the favorable impacts of volume and pricing of 10.3% and 0.7%, respectively. For the six months ended March 28, 2020, the increase was driven by the favorable impacts of volume and pricing of 9.5% and 1.1%, respectively. The increase in sales volume for the three and six months ended March 28, 2020 was driven by soils, fertilizer, grass seed, mulch, controls and plant food products as well as an increase in net sales associated with the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marketing agreement, partially offset by the loss in sales from the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extension products that were sold to Monsanto during fiscal 2019.</w:t>
      </w:r>
    </w:p>
    <w:p>
      <w:pPr>
        <w:spacing w:after="0" w:line="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U.S. Consumer Segment Profit was $372.9 million in the second quarter of fiscal 2020, an increase of 16.5% from the second quarter of fiscal 2019 Segment Profit of $320.0 million; and was $331.5 million for the first six months of fiscal 2020, an increase of 19.7% from the first six months of fiscal 2019 Segment Profit of $277.0 million. For the three and six months ended March 28, 2020, the increase was due to higher net sales and gross profit rate, partially offset by higher SG&amp;A.</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Hawthorne</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Hawthorne segment net sales were $230.0 million in the second quarter of fiscal 2020, an increase of 59.6% from second quarter of fiscal 2019 net sales of $144.1 million; and were $428.8 million for the first six months of fiscal 2020, an increase of 50.6% from the first six months of fiscal 2019 net sales of $284.8 million. For the second quarter of fiscal 2020, the increase was driven by the favorable impacts of volume and pricing of 56.6% and 3.5%, respectively, partially offset by the unfavorable impact of foreign exchange rates of 0.4%. For the six months ended March 28, 2020, the increase was driven by the favorable impacts of volume and pricing of 47.6% and 3.3%, respectively, partially offset by the unfavorable impact of foreign exchange rates of 0.4%.</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Hawthorne Segment Profit was $25.5 million in the second quarter of fiscal 2020, an increase of 147.6% from the second quarter of fiscal 2019 Segment Profit of $10.3 million; and was $39.4 million for the first six months of fiscal 2020, an increase of 168.0% from the first six months of fiscal 2019 Segment Profit of $14.7 million. For the three and six months ended March 28, 2020, the increase was driven by higher net sales and gross profit rate, partially offset by higher SG&amp;A.</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5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Other segment net sales were $50.1 million in the second quarter of fiscal 2020, a decrease of 4.2% from second quarter of fiscal 2019 net sales of $52.3 million; and were $69.7 million in the first six months of fiscal 2020, a decrease of 4.3% from the first six months of fiscal 2019 net sales of $72.8 million. For the second quarter of fiscal 2020, the decrease was driven by the unfavorable impacts of foreign exchange rates and volume of 2.8% and 2.1%, respectively, partially offset by the favorable impact of pricing of 0.6%. For the six months ended March 28, 2020, the decrease was driven by the unfavorable impacts of volume and foreign exchange rates of 3.0% and 1.8%, respectively, partially offset by the favorable impact of pricing of 0.6%.</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The decrease in sales volume for the three and six months ended March 28, 2020 was driven by the closure of our business in Mexico and lower sales to professional customers.</w:t>
      </w:r>
    </w:p>
    <w:p>
      <w:pPr>
        <w:spacing w:after="0" w:line="89" w:lineRule="exact"/>
        <w:rPr>
          <w:sz w:val="20"/>
          <w:szCs w:val="20"/>
          <w:color w:val="auto"/>
        </w:rPr>
      </w:pPr>
    </w:p>
    <w:p>
      <w:pPr>
        <w:jc w:val="both"/>
        <w:ind w:right="20" w:firstLine="405"/>
        <w:spacing w:after="0" w:line="311" w:lineRule="auto"/>
        <w:rPr>
          <w:sz w:val="20"/>
          <w:szCs w:val="20"/>
          <w:color w:val="auto"/>
        </w:rPr>
      </w:pPr>
      <w:r>
        <w:rPr>
          <w:rFonts w:ascii="Arial" w:cs="Arial" w:eastAsia="Arial" w:hAnsi="Arial"/>
          <w:sz w:val="16"/>
          <w:szCs w:val="16"/>
          <w:color w:val="auto"/>
        </w:rPr>
        <w:t>Other Segment Profit was $4.0 million in the second quarter of fiscal 2020, an increase of 5.3% from second quarter of fiscal 2019 Segment Profit of $3.8 million. Other Segment Profit was $0.4 million for the first six months of fiscal 2020, as compared to the first six months of fiscal 2019 Segment Loss of $0.2 million. For the three and six months ended March 28, 2020, the increase was driven by a higher gross profit rate and lower SG&amp;A.</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Corporate expenses were $36.9 million in the second quarter of fiscal 2020, an increase of 7.6% from second quarter of fiscal 2019 expenses of $34.3 million; and were $63.0 million for the first six months of fiscal 2020, an increase of 1.4% from the first six months of fiscal 2019 expenses of $62.1 million. For the three and six months ended March 28, 2020, the increase was driven by higher short-term variable cash incentive compensation expense, partially offset by lower travel expenses.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cash activities: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center"/>
              <w:ind w:right="137"/>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280"/>
              <w:spacing w:after="0" w:line="153" w:lineRule="exact"/>
              <w:rPr>
                <w:sz w:val="20"/>
                <w:szCs w:val="20"/>
                <w:color w:val="auto"/>
              </w:rPr>
            </w:pPr>
            <w:r>
              <w:rPr>
                <w:rFonts w:ascii="Arial" w:cs="Arial" w:eastAsia="Arial" w:hAnsi="Arial"/>
                <w:sz w:val="14"/>
                <w:szCs w:val="14"/>
                <w:b w:val="1"/>
                <w:bCs w:val="1"/>
                <w:color w:val="auto"/>
              </w:rPr>
              <w:t>MARCH 28,</w:t>
            </w:r>
          </w:p>
        </w:tc>
        <w:tc>
          <w:tcPr>
            <w:tcW w:w="440" w:type="dxa"/>
            <w:vAlign w:val="bottom"/>
          </w:tcPr>
          <w:p>
            <w:pPr>
              <w:spacing w:after="0"/>
              <w:rPr>
                <w:sz w:val="13"/>
                <w:szCs w:val="13"/>
                <w:color w:val="auto"/>
              </w:rPr>
            </w:pPr>
          </w:p>
        </w:tc>
        <w:tc>
          <w:tcPr>
            <w:tcW w:w="1160" w:type="dxa"/>
            <w:vAlign w:val="bottom"/>
          </w:tcPr>
          <w:p>
            <w:pPr>
              <w:jc w:val="center"/>
              <w:ind w:right="257"/>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8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r>
      <w:tr>
        <w:trPr>
          <w:trHeight w:val="196"/>
        </w:trPr>
        <w:tc>
          <w:tcPr>
            <w:tcW w:w="8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2"/>
          </w:tcPr>
          <w:p>
            <w:pPr>
              <w:jc w:val="center"/>
              <w:ind w:left="840"/>
              <w:spacing w:after="0"/>
              <w:rPr>
                <w:sz w:val="20"/>
                <w:szCs w:val="20"/>
                <w:color w:val="auto"/>
              </w:rPr>
            </w:pPr>
            <w:r>
              <w:rPr>
                <w:rFonts w:ascii="Arial" w:cs="Arial" w:eastAsia="Arial" w:hAnsi="Arial"/>
                <w:sz w:val="14"/>
                <w:szCs w:val="14"/>
                <w:b w:val="1"/>
                <w:bCs w:val="1"/>
                <w:color w:val="auto"/>
                <w:w w:val="96"/>
              </w:rPr>
              <w:t>(In millions)</w:t>
            </w:r>
          </w:p>
        </w:tc>
        <w:tc>
          <w:tcPr>
            <w:tcW w:w="1160" w:type="dxa"/>
            <w:vAlign w:val="bottom"/>
          </w:tcPr>
          <w:p>
            <w:pPr>
              <w:spacing w:after="0"/>
              <w:rPr>
                <w:sz w:val="17"/>
                <w:szCs w:val="17"/>
                <w:color w:val="auto"/>
              </w:rPr>
            </w:pPr>
          </w:p>
        </w:tc>
      </w:tr>
      <w:tr>
        <w:trPr>
          <w:trHeight w:val="25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(607.1)</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center"/>
              <w:ind w:left="337"/>
              <w:spacing w:after="0"/>
              <w:rPr>
                <w:sz w:val="20"/>
                <w:szCs w:val="20"/>
                <w:color w:val="auto"/>
              </w:rPr>
            </w:pPr>
            <w:r>
              <w:rPr>
                <w:rFonts w:ascii="Arial" w:cs="Arial" w:eastAsia="Arial" w:hAnsi="Arial"/>
                <w:sz w:val="18"/>
                <w:szCs w:val="18"/>
                <w:color w:val="auto"/>
                <w:w w:val="94"/>
              </w:rPr>
              <w:t>(546.1)</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Pr>
          <w:p>
            <w:pPr>
              <w:spacing w:after="0"/>
              <w:rPr>
                <w:sz w:val="21"/>
                <w:szCs w:val="21"/>
                <w:color w:val="auto"/>
              </w:rPr>
            </w:pPr>
          </w:p>
        </w:tc>
        <w:tc>
          <w:tcPr>
            <w:tcW w:w="1280" w:type="dxa"/>
            <w:vAlign w:val="bottom"/>
          </w:tcPr>
          <w:p>
            <w:pPr>
              <w:jc w:val="right"/>
              <w:ind w:right="80"/>
              <w:spacing w:after="0"/>
              <w:rPr>
                <w:sz w:val="20"/>
                <w:szCs w:val="20"/>
                <w:color w:val="auto"/>
              </w:rPr>
            </w:pPr>
            <w:r>
              <w:rPr>
                <w:rFonts w:ascii="Arial" w:cs="Arial" w:eastAsia="Arial" w:hAnsi="Arial"/>
                <w:sz w:val="18"/>
                <w:szCs w:val="18"/>
                <w:color w:val="auto"/>
              </w:rPr>
              <w:t>82.1</w:t>
            </w:r>
          </w:p>
        </w:tc>
        <w:tc>
          <w:tcPr>
            <w:tcW w:w="440" w:type="dxa"/>
            <w:vAlign w:val="bottom"/>
          </w:tcPr>
          <w:p>
            <w:pPr>
              <w:spacing w:after="0"/>
              <w:rPr>
                <w:sz w:val="21"/>
                <w:szCs w:val="21"/>
                <w:color w:val="auto"/>
              </w:rPr>
            </w:pPr>
          </w:p>
        </w:tc>
        <w:tc>
          <w:tcPr>
            <w:tcW w:w="1160" w:type="dxa"/>
            <w:vAlign w:val="bottom"/>
          </w:tcPr>
          <w:p>
            <w:pPr>
              <w:jc w:val="center"/>
              <w:ind w:left="357"/>
              <w:spacing w:after="0"/>
              <w:rPr>
                <w:sz w:val="20"/>
                <w:szCs w:val="20"/>
                <w:color w:val="auto"/>
              </w:rPr>
            </w:pPr>
            <w:r>
              <w:rPr>
                <w:rFonts w:ascii="Arial" w:cs="Arial" w:eastAsia="Arial" w:hAnsi="Arial"/>
                <w:sz w:val="18"/>
                <w:szCs w:val="18"/>
                <w:color w:val="auto"/>
                <w:w w:val="88"/>
              </w:rPr>
              <w:t>229.7</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537.3</w:t>
            </w: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center"/>
              <w:ind w:left="357"/>
              <w:spacing w:after="0"/>
              <w:rPr>
                <w:sz w:val="20"/>
                <w:szCs w:val="20"/>
                <w:color w:val="auto"/>
              </w:rPr>
            </w:pPr>
            <w:r>
              <w:rPr>
                <w:rFonts w:ascii="Arial" w:cs="Arial" w:eastAsia="Arial" w:hAnsi="Arial"/>
                <w:sz w:val="18"/>
                <w:szCs w:val="18"/>
                <w:color w:val="auto"/>
                <w:w w:val="88"/>
              </w:rPr>
              <w:t>320.6</w:t>
            </w:r>
          </w:p>
        </w:tc>
      </w:tr>
      <w:tr>
        <w:trPr>
          <w:trHeight w:val="27"/>
        </w:trPr>
        <w:tc>
          <w:tcPr>
            <w:tcW w:w="8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5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Cash used in operating activities totaled $607.1 million for the six months ended March 28, 2020, an increase of $61.0 million as compared to cash used in operating activities of $546.1 million for the six months ended March 30, 2019. This increase was driven by the timing of inventory production, higher short-term variable cash incentive compensation payouts and higher SG&amp;A, partially offset by increased net sales, lower interest payments and payments made in connection with litigation settlements during the six months ended March 30, 2019.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58" w:lineRule="exact"/>
        <w:rPr>
          <w:sz w:val="20"/>
          <w:szCs w:val="20"/>
          <w:color w:val="auto"/>
        </w:rPr>
      </w:pPr>
    </w:p>
    <w:p>
      <w:pPr>
        <w:jc w:val="both"/>
        <w:ind w:firstLine="405"/>
        <w:spacing w:after="0" w:line="280" w:lineRule="auto"/>
        <w:rPr>
          <w:sz w:val="20"/>
          <w:szCs w:val="20"/>
          <w:color w:val="auto"/>
        </w:rPr>
      </w:pPr>
      <w:r>
        <w:rPr>
          <w:rFonts w:ascii="Arial" w:cs="Arial" w:eastAsia="Arial" w:hAnsi="Arial"/>
          <w:sz w:val="16"/>
          <w:szCs w:val="16"/>
          <w:color w:val="auto"/>
        </w:rPr>
        <w:t>Cash provided by investing activities totaled $82.1 million for the six months ended March 28, 2020 as compared to cash provided by investing activities of $229.7 million for the six months ended March 30, 2019. Cash used for investments in property, plant and equipment during the first six months of fiscal 2020 and 2019 was $29.4 million and $20.9 million, respectively. During the six months ended March 28, 2020, we received proceeds of $115.5 million from the sale of the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extension assets. During the six months ended March 28, 2020, we made a $2.5 million loan investment and paid cash of $1.7 million associated with currency forward contracts. During the six months ended March 30, 2019, we sold our investment in the TruGreen Joint Venture for cash proceeds of $234.2 million related to the sale of the equity interest and $18.4 million related to the payoff of second lien term loan financing. During the six months ended March 30, 2019, we paid a post-closing net working capital adjustment obligation of $6.6 million related to the fiscal 2018 acquisition of Sunlight Supply and we received cash of $1.0 million associated with currency forward contracts.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Cash provided by financing activities totaled $537.3 million for the six months ended March 28, 2020 as compared to cash provided by financing activities of $320.6 million for the six months ended March 30, 2019. This change was the result of the issuance of $450.0 million aggregate principal amount of 4.500% Senior Notes and an increase in net borrowings under our Fifth A&amp;R Credit Facilities (as defined below) of $236.5 million driven by the timing of inventory production, partially offset by the redemption of all $400.0 million aggregate principal amount of 6.000% Senior Notes, payment of financing and issuance fees of $18.7 million and an increase in repurchases of our Common Shares of $47.4 million.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cash and cash equivalents were held in cash depository accounts with major financial institutions around the world or invested in high-quality, short-term liquid investments having original maturities of three months or less. The cash and cash equivalents balances of $30.8 million, $37.5 million and $18.8 million as of March 28, 2020, March 30, 2019 and September 30, 2019, respectively, included $19.9 million, $25.6 million and $7.2 million, respectively, held by controlled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8" w:name="page39"/>
    <w:bookmarkEnd w:id="3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foreign corporations. As of March 28, 2020, we maintain our assertion of indefinite reinvestment of the earnings of all material foreign subsidiaries with the exception of the cumulative earnings of Scotts Luxembourg Sarl, which are generally taxed on a current basis under “Subpart F” of the Code which prevents deferral of recognition of U.S. taxable income through the use of foreign entities.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primary sources of liquidity are cash generated by operations and borrowings under our credit facilities, which are guaranteed by substantially all of Scotts Miracle-Gro’s domestic subsidiaries. We maintain the Fifth A&amp;R Credit Agreement that provides senior secured loan facilities in the aggregate principal amount of $2.3 billion, comprised of a revolving credit facility of $1.5 billion and a term loan in the original principal amount of $800.0 million (the “Fifth A&amp;R Credit Facilities”). The Fifth A&amp;R Credit Agreement is available for issuance of letters of credit up to $75.0 million and will terminate on July 5, 2023.</w:t>
      </w:r>
    </w:p>
    <w:p>
      <w:pPr>
        <w:spacing w:after="0" w:line="10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March 28, 2020, we had letters of credit outstanding in the aggregate principal amount of $22.4 million, and $785.7 million of borrowing availability under the Fifth A&amp;R Credit Agreement. The weighted average interest rates on average borrowings under the Fifth A&amp;R Credit Agreement were 3.7% and 4.6% for the six months ended March 28, 2020 and March 30, 2019, respectively.</w:t>
      </w:r>
    </w:p>
    <w:p>
      <w:pPr>
        <w:spacing w:after="0" w:line="11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Fifth A&amp;R Credit Agreement contains, among other obligations, an affirmative covenant regarding our leverage ratio on the last day of each quarter calculated as average total indebtedness, divided by our earnings before interest, taxes, depreciation and amortization (“EBITDA”), as adjusted pursuant to the terms of the Fifth A&amp;R Credit Agreement (“Adjusted EBITDA”). The maximum leverage ratio is 4.75 for the second quarter of fiscal 2020 through the fourth quarter of fiscal 2020 and 4.50 for the first quarter of fiscal 2021 and thereafter. Our leverage ratio was 3.13 at March 28, 2020. The Fifth A&amp;R Credit Agreement also contains an affirmative covenant regarding our interest coverage ratio determined as of the end of each of our fiscal quarters. The interest coverage ratio is calculated as Adjusted EBITDA divided by interest expense, as described in the Fifth A&amp;R Credit Agreement, and excludes costs related to refinancings. The minimum interest coverage ratio was 3.00 for the twelve months ended March 28, 2020. Our interest coverage ratio was 7.29 for the twelve months ended March 28, 2020. As of March 28, 2020, we were in compliance with these financial covenants.</w:t>
      </w:r>
    </w:p>
    <w:p>
      <w:pPr>
        <w:spacing w:after="0" w:line="9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Fifth A&amp;R Credit Agreement allows us to make unlimited restricted payments (as defined in the Fifth A&amp;R Credit Agreement), including dividend payments and Common Share repurchases, as long as the leverage ratio resulting from the making of such restricted payments is 4.00 or less. Otherwise we may make further restricted payments in an aggregate amount for each fiscal year not to exceed $225.0 million for fiscal 2020 and thereafter. We continue to monitor our compliance with the leverage ratio, interest coverage ratio and other covenants contained in the Fifth A&amp;R Credit Agreement and, based upon our current operating assumptions, we expect to remain in compliance with the permissible leverage ratio and interest coverage ratio throughout fiscal 2020. However, an unanticipated shortfall in earnings, an increase in net indebtedness or other factors could materially affect our ability to remain in compliance with the financial or other covenants of the Fifth A&amp;R Credit Agreement, potentially causing us to have to seek an amendment or waiver from our lending group which could result in repricing of the Fifth A&amp;R Credit Agreement. While we believe we have good relationships with our lending group, we can provide no assurance that such a request would result in a modified or replacement credit agreement on reasonable terms, if at all.</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15, 2016, we issued $250.0 million aggregate principal amount of 5.250% Senior Notes due 2026 (the “5.250% Senior Notes”). The 5.250% Senior Notes represent general unsecured senior obligations and rank equal in right of payment with our existing and future unsecured senior debt. The 5.250% Senior Notes have interest payment dates of June 15 and December 15 of each year. Substantially all of our directly and indirectly owned domestic subsidiaries serve as guarantors of the 5.250% Senior Notes.</w:t>
      </w:r>
    </w:p>
    <w:p>
      <w:pPr>
        <w:spacing w:after="0" w:line="11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October 22, 2019, we issued $450.0 million aggregate principal amount of 4.500% Senior Notes. The net proceeds of the offering were used to redeem all of our outstanding 6.000% Senior Notes and for general corporate purposes. The 4.500% Senior Notes represent general unsecured senior obligations and rank equal in right of payment with our existing and future unsecured senior debt. The 4.500% Senior Notes have interest payment dates of April 15 and October 15 of each year, commencing April 15, 2020. All of our domestic subsidiaries that serve as guarantors of the 5.250% Senior Notes also serve as guarantors of the 4.500% Senior Notes.</w:t>
      </w:r>
    </w:p>
    <w:p>
      <w:pPr>
        <w:spacing w:after="0" w:line="10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October 23, 2019, we redeemed all of our outstanding 6.000% Senior Notes for a redemption price of $412.5 million, comprised of $0.5 million of accrued and unpaid interest, $12.0 million of redemption premium, and $400.0 million for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outstanding principal amount. The $12.0 million redemption premium was recognized in the “Costs related to refinancing” line on the Condensed Consolidated Statements of Operations during the first quarter of fiscal 2020. Additionally, we had $3.1 million in unamortized bond issuance costs associated with the 6.000% Senior Notes, which were written-off during the first quarter of fiscal 2020 and were recognized in the “Costs related to refinancing” line in the Condensed Consolidated Statements of Operations.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5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also maintain a Master Repurchase Agreement (including the annexes thereto, the “Repurchase Agreement”) and a Master Framework Agreement (the “Framework Agreement” and, together with the Repurchase Agreement, the “Receivables Facility”), as amended, that allows us to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million and the commitment amount during the seasonal commitment period beginning on February 28, 2020 and ending on June 19, 2020 is $160.0 million. The Receivables Facility expires on August 21, 2020.</w:t>
      </w:r>
    </w:p>
    <w:p>
      <w:pPr>
        <w:spacing w:after="0" w:line="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account for the sale of receivables under the Receivables Facility as short-term debt and continue to carry the receivables on our Consolidated Balance Sheet, primarily as a result of our requirement to repurchase receivables sold. As of March 28, 2020 and March 30, 2019, there were $160.0 million and $300.0 million, respectively, in borrowings on receivables pledged as collateral under the Receivables Facility, and the carrying value of the receivables pledged as collateral was $177.8 million and $333.3 million, respectively.</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5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enter into interest rate swap agreements with major financial institutions as a means to hedge our variable interest rate risk on our Fifth A&amp;R Credit Agreement. The swap agreements had a maximum total U.S. dollar equivalent notional amount of $1,450.0 million, $1,300.0 million and $850.0 million at March 28, 2020, March 30, 2019 and September 30, 2019, respectively. On May 5, 2020, we executed two interest rate swap agreements, one with a fixed notional amount of $200.0 million beginning June 2023 through an expiration date in June 2026 that has a fixed rate of 0.85175%, and the other beginning January 2022 through an expiration date in June 2024 that has a fixed rate of 0.577% and has varying notional amounts that adjust in accordance with a specified seasonal schedule with a maximum notional amount at any point in time of $200.0 million. Interest payments made between the effective date and expiration date are hedged by the swap agreements, except as noted below. The notional amount, effective date, expiration date and rate of each of these swap agreements outstanding at March 28, 2020 are shown in the table below:</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980" w:type="dxa"/>
            <w:vAlign w:val="bottom"/>
          </w:tcPr>
          <w:p>
            <w:pPr>
              <w:jc w:val="right"/>
              <w:ind w:right="574"/>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4"/>
                <w:szCs w:val="14"/>
                <w:color w:val="auto"/>
              </w:rPr>
            </w:pPr>
          </w:p>
        </w:tc>
        <w:tc>
          <w:tcPr>
            <w:tcW w:w="2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Effective</w:t>
            </w:r>
          </w:p>
        </w:tc>
        <w:tc>
          <w:tcPr>
            <w:tcW w:w="2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Expiration</w:t>
            </w:r>
          </w:p>
        </w:tc>
        <w:tc>
          <w:tcPr>
            <w:tcW w:w="2560" w:type="dxa"/>
            <w:vAlign w:val="bottom"/>
          </w:tcPr>
          <w:p>
            <w:pPr>
              <w:jc w:val="right"/>
              <w:ind w:right="934"/>
              <w:spacing w:after="0"/>
              <w:rPr>
                <w:sz w:val="20"/>
                <w:szCs w:val="20"/>
                <w:color w:val="auto"/>
              </w:rPr>
            </w:pPr>
            <w:r>
              <w:rPr>
                <w:rFonts w:ascii="Arial" w:cs="Arial" w:eastAsia="Arial" w:hAnsi="Arial"/>
                <w:sz w:val="14"/>
                <w:szCs w:val="14"/>
                <w:b w:val="1"/>
                <w:bCs w:val="1"/>
                <w:color w:val="auto"/>
              </w:rPr>
              <w:t>Fixed</w:t>
            </w:r>
          </w:p>
        </w:tc>
        <w:tc>
          <w:tcPr>
            <w:tcW w:w="220" w:type="dxa"/>
            <w:vAlign w:val="bottom"/>
          </w:tcPr>
          <w:p>
            <w:pPr>
              <w:spacing w:after="0"/>
              <w:rPr>
                <w:sz w:val="14"/>
                <w:szCs w:val="14"/>
                <w:color w:val="auto"/>
              </w:rPr>
            </w:pPr>
          </w:p>
        </w:tc>
      </w:tr>
      <w:tr>
        <w:trPr>
          <w:trHeight w:val="192"/>
        </w:trPr>
        <w:tc>
          <w:tcPr>
            <w:tcW w:w="380" w:type="dxa"/>
            <w:vAlign w:val="bottom"/>
          </w:tcPr>
          <w:p>
            <w:pPr>
              <w:spacing w:after="0"/>
              <w:rPr>
                <w:sz w:val="16"/>
                <w:szCs w:val="16"/>
                <w:color w:val="auto"/>
              </w:rPr>
            </w:pPr>
          </w:p>
        </w:tc>
        <w:tc>
          <w:tcPr>
            <w:tcW w:w="1980" w:type="dxa"/>
            <w:vAlign w:val="bottom"/>
          </w:tcPr>
          <w:p>
            <w:pPr>
              <w:jc w:val="right"/>
              <w:ind w:right="734"/>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2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Date (a)</w:t>
            </w:r>
          </w:p>
        </w:tc>
        <w:tc>
          <w:tcPr>
            <w:tcW w:w="2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Date</w:t>
            </w:r>
          </w:p>
        </w:tc>
        <w:tc>
          <w:tcPr>
            <w:tcW w:w="2560" w:type="dxa"/>
            <w:vAlign w:val="bottom"/>
          </w:tcPr>
          <w:p>
            <w:pPr>
              <w:jc w:val="right"/>
              <w:ind w:right="954"/>
              <w:spacing w:after="0"/>
              <w:rPr>
                <w:sz w:val="20"/>
                <w:szCs w:val="20"/>
                <w:color w:val="auto"/>
              </w:rPr>
            </w:pPr>
            <w:r>
              <w:rPr>
                <w:rFonts w:ascii="Arial" w:cs="Arial" w:eastAsia="Arial" w:hAnsi="Arial"/>
                <w:sz w:val="14"/>
                <w:szCs w:val="14"/>
                <w:b w:val="1"/>
                <w:bCs w:val="1"/>
                <w:color w:val="auto"/>
              </w:rPr>
              <w:t>Rate</w:t>
            </w:r>
          </w:p>
        </w:tc>
        <w:tc>
          <w:tcPr>
            <w:tcW w:w="220" w:type="dxa"/>
            <w:vAlign w:val="bottom"/>
          </w:tcPr>
          <w:p>
            <w:pPr>
              <w:spacing w:after="0"/>
              <w:rPr>
                <w:sz w:val="16"/>
                <w:szCs w:val="16"/>
                <w:color w:val="auto"/>
              </w:rPr>
            </w:pPr>
          </w:p>
        </w:tc>
      </w:tr>
      <w:tr>
        <w:trPr>
          <w:trHeight w:val="270"/>
        </w:trPr>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250</w:t>
            </w:r>
          </w:p>
        </w:tc>
        <w:tc>
          <w:tcPr>
            <w:tcW w:w="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w:t>
            </w: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1/8/2018</w:t>
            </w:r>
          </w:p>
        </w:tc>
        <w:tc>
          <w:tcPr>
            <w:tcW w:w="360" w:type="dxa"/>
            <w:vAlign w:val="bottom"/>
            <w:tcBorders>
              <w:top w:val="single" w:sz="8" w:color="CCEEFF"/>
            </w:tcBorders>
            <w:shd w:val="clear" w:color="auto" w:fill="CCEEFF"/>
          </w:tcPr>
          <w:p>
            <w:pPr>
              <w:spacing w:after="0"/>
              <w:rPr>
                <w:sz w:val="23"/>
                <w:szCs w:val="23"/>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6/8/2020</w:t>
            </w:r>
          </w:p>
        </w:tc>
        <w:tc>
          <w:tcPr>
            <w:tcW w:w="360" w:type="dxa"/>
            <w:vAlign w:val="bottom"/>
            <w:tcBorders>
              <w:top w:val="single" w:sz="8" w:color="CCEEFF"/>
            </w:tcBorders>
            <w:shd w:val="clear" w:color="auto" w:fill="CCEEFF"/>
          </w:tcPr>
          <w:p>
            <w:pPr>
              <w:spacing w:after="0"/>
              <w:rPr>
                <w:sz w:val="23"/>
                <w:szCs w:val="23"/>
                <w:color w:val="auto"/>
              </w:rPr>
            </w:pP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80" w:type="dxa"/>
            <w:vAlign w:val="bottom"/>
          </w:tcPr>
          <w:p>
            <w:pPr>
              <w:spacing w:after="0"/>
              <w:rPr>
                <w:sz w:val="21"/>
                <w:szCs w:val="21"/>
                <w:color w:val="auto"/>
              </w:rPr>
            </w:pPr>
          </w:p>
        </w:tc>
        <w:tc>
          <w:tcPr>
            <w:tcW w:w="1980" w:type="dxa"/>
            <w:vAlign w:val="bottom"/>
          </w:tcPr>
          <w:p>
            <w:pPr>
              <w:jc w:val="right"/>
              <w:ind w:right="74"/>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6/20/2018</w:t>
            </w:r>
          </w:p>
        </w:tc>
        <w:tc>
          <w:tcPr>
            <w:tcW w:w="36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10/20/2020</w:t>
            </w:r>
          </w:p>
        </w:tc>
        <w:tc>
          <w:tcPr>
            <w:tcW w:w="36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38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20"/>
                <w:szCs w:val="20"/>
                <w:color w:val="auto"/>
              </w:rPr>
            </w:pPr>
            <w:r>
              <w:rPr>
                <w:rFonts w:ascii="Arial" w:cs="Arial" w:eastAsia="Arial" w:hAnsi="Arial"/>
                <w:sz w:val="13"/>
                <w:szCs w:val="13"/>
                <w:color w:val="auto"/>
              </w:rPr>
              <w:t>(b)</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60" w:type="dxa"/>
            <w:vAlign w:val="bottom"/>
            <w:shd w:val="clear" w:color="auto" w:fill="CCEEFF"/>
          </w:tcPr>
          <w:p>
            <w:pPr>
              <w:spacing w:after="0"/>
              <w:rPr>
                <w:sz w:val="23"/>
                <w:szCs w:val="23"/>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6/7/2021</w:t>
            </w:r>
          </w:p>
        </w:tc>
        <w:tc>
          <w:tcPr>
            <w:tcW w:w="360" w:type="dxa"/>
            <w:vAlign w:val="bottom"/>
            <w:shd w:val="clear" w:color="auto" w:fill="CCEEFF"/>
          </w:tcPr>
          <w:p>
            <w:pPr>
              <w:spacing w:after="0"/>
              <w:rPr>
                <w:sz w:val="23"/>
                <w:szCs w:val="23"/>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80" w:type="dxa"/>
            <w:vAlign w:val="bottom"/>
          </w:tcPr>
          <w:p>
            <w:pPr>
              <w:spacing w:after="0"/>
              <w:rPr>
                <w:sz w:val="21"/>
                <w:szCs w:val="21"/>
                <w:color w:val="auto"/>
              </w:rPr>
            </w:pPr>
          </w:p>
        </w:tc>
        <w:tc>
          <w:tcPr>
            <w:tcW w:w="1980" w:type="dxa"/>
            <w:vAlign w:val="bottom"/>
          </w:tcPr>
          <w:p>
            <w:pPr>
              <w:jc w:val="right"/>
              <w:ind w:right="74"/>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11/7/2018</w:t>
            </w:r>
          </w:p>
        </w:tc>
        <w:tc>
          <w:tcPr>
            <w:tcW w:w="36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7/7/2021</w:t>
            </w:r>
          </w:p>
        </w:tc>
        <w:tc>
          <w:tcPr>
            <w:tcW w:w="36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200</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6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6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80" w:type="dxa"/>
            <w:vAlign w:val="bottom"/>
          </w:tcPr>
          <w:p>
            <w:pPr>
              <w:spacing w:after="0"/>
              <w:rPr>
                <w:sz w:val="21"/>
                <w:szCs w:val="21"/>
                <w:color w:val="auto"/>
              </w:rPr>
            </w:pPr>
          </w:p>
        </w:tc>
        <w:tc>
          <w:tcPr>
            <w:tcW w:w="1980" w:type="dxa"/>
            <w:vAlign w:val="bottom"/>
          </w:tcPr>
          <w:p>
            <w:pPr>
              <w:jc w:val="right"/>
              <w:ind w:right="74"/>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12/21/2020</w:t>
            </w:r>
          </w:p>
        </w:tc>
        <w:tc>
          <w:tcPr>
            <w:tcW w:w="36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6/20/2023</w:t>
            </w:r>
          </w:p>
        </w:tc>
        <w:tc>
          <w:tcPr>
            <w:tcW w:w="36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38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300</w:t>
            </w:r>
          </w:p>
        </w:tc>
        <w:tc>
          <w:tcPr>
            <w:tcW w:w="340" w:type="dxa"/>
            <w:vAlign w:val="bottom"/>
            <w:shd w:val="clear" w:color="auto" w:fill="CCEEFF"/>
          </w:tcPr>
          <w:p>
            <w:pPr>
              <w:spacing w:after="0"/>
              <w:rPr>
                <w:sz w:val="20"/>
                <w:szCs w:val="20"/>
                <w:color w:val="auto"/>
              </w:rPr>
            </w:pPr>
            <w:r>
              <w:rPr>
                <w:rFonts w:ascii="Arial" w:cs="Arial" w:eastAsia="Arial" w:hAnsi="Arial"/>
                <w:sz w:val="13"/>
                <w:szCs w:val="13"/>
                <w:color w:val="auto"/>
              </w:rPr>
              <w:t>(b)</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1/7/2021</w:t>
            </w:r>
          </w:p>
        </w:tc>
        <w:tc>
          <w:tcPr>
            <w:tcW w:w="360" w:type="dxa"/>
            <w:vAlign w:val="bottom"/>
            <w:shd w:val="clear" w:color="auto" w:fill="CCEEFF"/>
          </w:tcPr>
          <w:p>
            <w:pPr>
              <w:spacing w:after="0"/>
              <w:rPr>
                <w:sz w:val="23"/>
                <w:szCs w:val="23"/>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shd w:val="clear" w:color="auto" w:fill="CCEEFF"/>
          </w:tcPr>
          <w:p>
            <w:pPr>
              <w:spacing w:after="0"/>
              <w:rPr>
                <w:sz w:val="23"/>
                <w:szCs w:val="23"/>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80" w:type="dxa"/>
            <w:vAlign w:val="bottom"/>
          </w:tcPr>
          <w:p>
            <w:pPr>
              <w:spacing w:after="0"/>
              <w:rPr>
                <w:sz w:val="21"/>
                <w:szCs w:val="21"/>
                <w:color w:val="auto"/>
              </w:rPr>
            </w:pPr>
          </w:p>
        </w:tc>
        <w:tc>
          <w:tcPr>
            <w:tcW w:w="1980" w:type="dxa"/>
            <w:vAlign w:val="bottom"/>
          </w:tcPr>
          <w:p>
            <w:pPr>
              <w:jc w:val="right"/>
              <w:ind w:right="74"/>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10/7/2021</w:t>
            </w:r>
          </w:p>
        </w:tc>
        <w:tc>
          <w:tcPr>
            <w:tcW w:w="36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12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first hedged by the applicable swap agreement.</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15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Additionally, the extent to which the COVID-19 pandemic will ultimately impact our business, results of operations, financial condition and cash flows depends on future developments that are highly uncertain, rapidly evolving and difficult to predict at this time. Actual results of operations will depend on numerous factors, many of which are beyond our control as further discussed in the 2019 Annual Report, under “ITEM 1A. RISK FACTORS — Our indebtedness could limit our flexibility and adversely affect our financial condition.”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ind w:left="180"/>
        <w:spacing w:after="0"/>
        <w:rPr>
          <w:sz w:val="20"/>
          <w:szCs w:val="20"/>
          <w:color w:val="auto"/>
        </w:rPr>
      </w:pPr>
      <w:r>
        <w:rPr>
          <w:rFonts w:ascii="Arial" w:cs="Arial" w:eastAsia="Arial" w:hAnsi="Arial"/>
          <w:sz w:val="18"/>
          <w:szCs w:val="18"/>
          <w:b w:val="1"/>
          <w:bCs w:val="1"/>
          <w:i w:val="1"/>
          <w:iCs w:val="1"/>
          <w:u w:val="single" w:color="auto"/>
          <w:color w:val="auto"/>
        </w:rPr>
        <w:t>Financial Disclosures About Guarantors and Issuers of Guaranteed Securities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5.250% Senior Notes and 4.500% Senior Notes were issued by Scotts Miracle-Gro on December 15, 2016 and October 22, 2019, respectively. The 5.250% Senior Notes and 4.500%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w:t>
      </w:r>
    </w:p>
    <w:p>
      <w:pPr>
        <w:spacing w:after="0" w:line="11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guarantees are “full and unconditional,” as those terms are used in Regulation S-X, Rule 3-10(b)(3), except that a Guarantor’s guarantee will be released in certain circumstances set forth in the indentures governing the 5.250% Senior Notes and 4.500% Senior Notes, such as (1) upon any sale or other disposition of all or substantially all of the assets of the Guarantor (including by way of merger or consolidation) to any person other than Scotts Miracle-Gro or any “restricted subsidiary” under the applicable indenture; (2) if the Guarantor merges with and into Scotts Miracle-Gro, with Scotts Miracle-Gro surviving such merger; (3) if the Guarantor is designated an “unrestricted subsidiary” in accordance with the applicable indenture or otherwise ceases to be a “restricted subsidiary” (including by way of liquidation or dissolution) in a transaction permitted by such indenture; (4) upon legal or covenant defeasance; (5) at the election of Scotts Miracle-Gro following the Guarantor’s release as a guarantor under the Fifth A&amp;R Credit Agreement, except a release by or as a result of the repayment of the Fifth A&amp;R Credit Agreement; or (6) if the Guarantor ceases to be a “restricted subsidiary” and the Guarantor is not otherwise required to provide a guarantee of the 5.250% Senior Notes and the 4.500% Senior Notes pursuant to the applicable indenture.</w:t>
      </w:r>
    </w:p>
    <w:p>
      <w:pPr>
        <w:spacing w:after="0" w:line="9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foreign subsidiaries and certain of our domestic subsidiaries are not guarantors (collectively, the “Non-Guarantors”) on the 5.250% Senior Notes and 4.500% Senior Notes. Payments on the 5.250% Senior Notes and 4.500%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5.250% Senior Notes and 4.500% Senior Notes are effectively subordinated to all the liabilities of the Non-Guarantors.</w:t>
      </w:r>
    </w:p>
    <w:p>
      <w:pPr>
        <w:spacing w:after="0" w:line="9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5.250% Senior Notes and 4.500% Senior Notes.</w:t>
      </w:r>
    </w:p>
    <w:p>
      <w:pPr>
        <w:spacing w:after="0" w:line="116"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5.250% Senior Notes and 4.500% Senior Notes.</w:t>
      </w:r>
    </w:p>
    <w:p>
      <w:pPr>
        <w:spacing w:after="0" w:line="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measure of insolvency varies depending upon the law of the jurisdiction that is being applied. Regardless of the measure being applied, a court could determine that a Guarantor was insolvent on the date the guarantee was issued, so that payments to the holders of the 5.250% Senior Notes and 4.500% Senior Notes would constitute a preference, fraudulent transfer or conveyances on other grounds. If a guarantee is voided as a fraudulent conveyance or is found to be unenforceable for any other reason, the holders of the 5.250% Senior Notes and 4.500% Senior Notes will not have a claim against the Guarantor.</w:t>
      </w:r>
    </w:p>
    <w:p>
      <w:pPr>
        <w:spacing w:after="0" w:line="10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spacing w:after="0" w:line="12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nonguarantor subsidiaries.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258"/>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8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196"/>
        </w:trPr>
        <w:tc>
          <w:tcPr>
            <w:tcW w:w="8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3"/>
          </w:tcPr>
          <w:p>
            <w:pPr>
              <w:jc w:val="right"/>
              <w:ind w:right="1056"/>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1,828.6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895.6</w:t>
            </w:r>
          </w:p>
        </w:tc>
      </w:tr>
      <w:tr>
        <w:trPr>
          <w:trHeight w:val="270"/>
        </w:trPr>
        <w:tc>
          <w:tcPr>
            <w:tcW w:w="8200" w:type="dxa"/>
            <w:vAlign w:val="bottom"/>
          </w:tcPr>
          <w:p>
            <w:pPr>
              <w:ind w:left="20"/>
              <w:spacing w:after="0"/>
              <w:rPr>
                <w:sz w:val="20"/>
                <w:szCs w:val="20"/>
                <w:color w:val="auto"/>
              </w:rPr>
            </w:pPr>
            <w:r>
              <w:rPr>
                <w:rFonts w:ascii="Arial" w:cs="Arial" w:eastAsia="Arial" w:hAnsi="Arial"/>
                <w:sz w:val="18"/>
                <w:szCs w:val="18"/>
                <w:color w:val="auto"/>
              </w:rPr>
              <w:t xml:space="preserve">Noncurrent assets </w:t>
            </w:r>
            <w:r>
              <w:rPr>
                <w:rFonts w:ascii="Arial" w:cs="Arial" w:eastAsia="Arial" w:hAnsi="Arial"/>
                <w:sz w:val="23"/>
                <w:szCs w:val="23"/>
                <w:color w:val="auto"/>
                <w:vertAlign w:val="superscript"/>
              </w:rPr>
              <w:t>(a)</w:t>
            </w:r>
          </w:p>
        </w:tc>
        <w:tc>
          <w:tcPr>
            <w:tcW w:w="220" w:type="dxa"/>
            <w:vAlign w:val="bottom"/>
          </w:tcPr>
          <w:p>
            <w:pPr>
              <w:spacing w:after="0"/>
              <w:rPr>
                <w:sz w:val="23"/>
                <w:szCs w:val="23"/>
                <w:color w:val="auto"/>
              </w:rPr>
            </w:pP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1,788.4</w:t>
            </w:r>
          </w:p>
        </w:tc>
        <w:tc>
          <w:tcPr>
            <w:tcW w:w="260" w:type="dxa"/>
            <w:vAlign w:val="bottom"/>
          </w:tcPr>
          <w:p>
            <w:pPr>
              <w:spacing w:after="0"/>
              <w:rPr>
                <w:sz w:val="23"/>
                <w:szCs w:val="23"/>
                <w:color w:val="auto"/>
              </w:rPr>
            </w:pP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1,682.1</w:t>
            </w: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917.4</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569.3</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21"/>
                <w:szCs w:val="21"/>
                <w:color w:val="auto"/>
              </w:rPr>
            </w:pP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2,258.7</w:t>
            </w:r>
          </w:p>
        </w:tc>
        <w:tc>
          <w:tcPr>
            <w:tcW w:w="260" w:type="dxa"/>
            <w:vAlign w:val="bottom"/>
          </w:tcPr>
          <w:p>
            <w:pPr>
              <w:spacing w:after="0"/>
              <w:rPr>
                <w:sz w:val="21"/>
                <w:szCs w:val="21"/>
                <w:color w:val="auto"/>
              </w:rPr>
            </w:pP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1,560.2</w:t>
            </w:r>
          </w:p>
        </w:tc>
      </w:tr>
    </w:tbl>
    <w:p>
      <w:pPr>
        <w:spacing w:after="0" w:line="256"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amounts due from nonguarantor subsidiaries of $23.2 million and $5.3 million, respectively.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SIX MONTHS</w:t>
            </w:r>
          </w:p>
        </w:tc>
        <w:tc>
          <w:tcPr>
            <w:tcW w:w="140" w:type="dxa"/>
            <w:vAlign w:val="bottom"/>
          </w:tcPr>
          <w:p>
            <w:pPr>
              <w:spacing w:after="0"/>
              <w:rPr>
                <w:sz w:val="14"/>
                <w:szCs w:val="14"/>
                <w:color w:val="auto"/>
              </w:rPr>
            </w:pPr>
          </w:p>
        </w:tc>
        <w:tc>
          <w:tcPr>
            <w:tcW w:w="1320" w:type="dxa"/>
            <w:vAlign w:val="bottom"/>
          </w:tcPr>
          <w:p>
            <w:pPr>
              <w:jc w:val="center"/>
              <w:ind w:right="58"/>
              <w:spacing w:after="0"/>
              <w:rPr>
                <w:sz w:val="20"/>
                <w:szCs w:val="20"/>
                <w:color w:val="auto"/>
              </w:rPr>
            </w:pPr>
            <w:r>
              <w:rPr>
                <w:rFonts w:ascii="Arial" w:cs="Arial" w:eastAsia="Arial" w:hAnsi="Arial"/>
                <w:sz w:val="14"/>
                <w:szCs w:val="14"/>
                <w:b w:val="1"/>
                <w:bCs w:val="1"/>
                <w:color w:val="auto"/>
              </w:rPr>
              <w:t>YEAR</w:t>
            </w:r>
          </w:p>
        </w:tc>
      </w:tr>
      <w:tr>
        <w:trPr>
          <w:trHeight w:val="192"/>
        </w:trPr>
        <w:tc>
          <w:tcPr>
            <w:tcW w:w="8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ENDED</w:t>
            </w:r>
          </w:p>
        </w:tc>
      </w:tr>
      <w:tr>
        <w:trPr>
          <w:trHeight w:val="152"/>
        </w:trPr>
        <w:tc>
          <w:tcPr>
            <w:tcW w:w="8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MARCH 28,</w:t>
            </w:r>
          </w:p>
        </w:tc>
        <w:tc>
          <w:tcPr>
            <w:tcW w:w="140" w:type="dxa"/>
            <w:vAlign w:val="bottom"/>
          </w:tcPr>
          <w:p>
            <w:pPr>
              <w:spacing w:after="0"/>
              <w:rPr>
                <w:sz w:val="13"/>
                <w:szCs w:val="13"/>
                <w:color w:val="auto"/>
              </w:rPr>
            </w:pPr>
          </w:p>
        </w:tc>
        <w:tc>
          <w:tcPr>
            <w:tcW w:w="132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99"/>
              </w:rPr>
              <w:t>SEPTEMBER 30,</w:t>
            </w:r>
          </w:p>
        </w:tc>
      </w:tr>
      <w:tr>
        <w:trPr>
          <w:trHeight w:val="192"/>
        </w:trPr>
        <w:tc>
          <w:tcPr>
            <w:tcW w:w="8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2019</w:t>
            </w:r>
          </w:p>
        </w:tc>
      </w:tr>
      <w:tr>
        <w:trPr>
          <w:trHeight w:val="196"/>
        </w:trPr>
        <w:tc>
          <w:tcPr>
            <w:tcW w:w="8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gridSpan w:val="4"/>
          </w:tcPr>
          <w:p>
            <w:pPr>
              <w:jc w:val="right"/>
              <w:ind w:right="1058"/>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1,605.5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2,806.3</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260" w:type="dxa"/>
            <w:vAlign w:val="bottom"/>
          </w:tcPr>
          <w:p>
            <w:pPr>
              <w:jc w:val="right"/>
              <w:ind w:right="79"/>
              <w:spacing w:after="0"/>
              <w:rPr>
                <w:sz w:val="20"/>
                <w:szCs w:val="20"/>
                <w:color w:val="auto"/>
              </w:rPr>
            </w:pPr>
            <w:r>
              <w:rPr>
                <w:rFonts w:ascii="Arial" w:cs="Arial" w:eastAsia="Arial" w:hAnsi="Arial"/>
                <w:sz w:val="18"/>
                <w:szCs w:val="18"/>
                <w:color w:val="auto"/>
              </w:rPr>
              <w:t>571.2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78"/>
              <w:spacing w:after="0"/>
              <w:rPr>
                <w:sz w:val="20"/>
                <w:szCs w:val="20"/>
                <w:color w:val="auto"/>
              </w:rPr>
            </w:pPr>
            <w:r>
              <w:rPr>
                <w:rFonts w:ascii="Arial" w:cs="Arial" w:eastAsia="Arial" w:hAnsi="Arial"/>
                <w:sz w:val="18"/>
                <w:szCs w:val="18"/>
                <w:color w:val="auto"/>
              </w:rPr>
              <w:t>948.1</w:t>
            </w:r>
          </w:p>
        </w:tc>
      </w:tr>
      <w:tr>
        <w:trPr>
          <w:trHeight w:val="27"/>
        </w:trPr>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23"/>
                <w:szCs w:val="23"/>
                <w:color w:val="auto"/>
                <w:vertAlign w:val="superscript"/>
              </w:rPr>
              <w:t>(a)</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167.4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417.7</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1"/>
                <w:szCs w:val="21"/>
                <w:color w:val="auto"/>
              </w:rPr>
            </w:pPr>
          </w:p>
        </w:tc>
        <w:tc>
          <w:tcPr>
            <w:tcW w:w="1260" w:type="dxa"/>
            <w:vAlign w:val="bottom"/>
          </w:tcPr>
          <w:p>
            <w:pPr>
              <w:jc w:val="right"/>
              <w:ind w:right="79"/>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78"/>
              <w:spacing w:after="0"/>
              <w:rPr>
                <w:sz w:val="20"/>
                <w:szCs w:val="20"/>
                <w:color w:val="auto"/>
              </w:rPr>
            </w:pPr>
            <w:r>
              <w:rPr>
                <w:rFonts w:ascii="Arial" w:cs="Arial" w:eastAsia="Arial" w:hAnsi="Arial"/>
                <w:sz w:val="18"/>
                <w:szCs w:val="18"/>
                <w:color w:val="auto"/>
              </w:rPr>
              <w:t>441.4</w:t>
            </w:r>
          </w:p>
        </w:tc>
      </w:tr>
      <w:tr>
        <w:trPr>
          <w:trHeight w:val="27"/>
        </w:trPr>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controlling interest</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168.9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441.4</w:t>
            </w:r>
          </w:p>
        </w:tc>
      </w:tr>
      <w:tr>
        <w:trPr>
          <w:trHeight w:val="27"/>
        </w:trPr>
        <w:tc>
          <w:tcPr>
            <w:tcW w:w="8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intercompany expense from nonguarantor subsidiaries of $6.4 million and $9.2 million,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5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Other than the issuance of our 4.500% Senior Notes and the redemption of all outstanding 6.000% Senior Notes during the first quarter of fiscal 2020, there have been no material changes outside of the ordinary course of business in our outstanding contractual obligations since the end of fiscal 2019 and through March 28,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6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2019 Annual Report, under “ITEM 1. BUSINESS — Regulatory Considerations” and “ITEM 3. LEGAL PROCEEDINGS.”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The 2019 Annual Report includes additional information about us, our operations, our financial condition, our critical accounting policies and accounting estimates, and should be read in conjunction with this Quarterly Report on Form 10-Q.</w:t>
      </w:r>
    </w:p>
    <w:p>
      <w:pPr>
        <w:sectPr>
          <w:pgSz w:w="11900" w:h="16838" w:orient="portrait"/>
          <w:cols w:equalWidth="0" w:num="1">
            <w:col w:w="11240"/>
          </w:cols>
          <w:pgMar w:left="320" w:top="1076"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Market risks have not changed materially from those disclosed in the 2019 Annual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as of March 28,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March 28, 2020 that have materially affected, or are reasonably likely to materially affect, the Registrant’s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Reference is made to the legal proceedings that have been previously disclosed in our Annual Report on Form 10-K for the fiscal year ended September 30, 2019. There have been no material changes to the pending legal proceedings set forth therein.</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involved in other lawsuits and claims which arise in the normal course of our business including the initiation and defense of proceedings to protect intellectual property rights, advertising claims and employment disputes. In our opinion, these claims individually and in the aggregate are not expected to have a material adverse effect on our financial condition, results of operations or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Reference is made to the Risk Factors set forth in Part I, Item 1A of our Annual Report on Form 10-K for the year ended September 30, 2019 filed on November 27, 2019. Except as set forth below, the Company’s risk factors, as of March 28, 2020, have not changed materially from those described in “ITEM 1A. RISK FACTORS” in the 2019 Annual Report.</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333333"/>
        </w:rPr>
        <w:t xml:space="preserve">The effects of the ongoing coronavirus (COVID-19) pandemic </w:t>
      </w:r>
      <w:r>
        <w:rPr>
          <w:rFonts w:ascii="Arial" w:cs="Arial" w:eastAsia="Arial" w:hAnsi="Arial"/>
          <w:sz w:val="18"/>
          <w:szCs w:val="18"/>
          <w:b w:val="1"/>
          <w:bCs w:val="1"/>
          <w:i w:val="1"/>
          <w:iCs w:val="1"/>
          <w:color w:val="000000"/>
        </w:rPr>
        <w:t>and any possible recurrence of other similar types of pandemics, or any other</w:t>
      </w:r>
      <w:r>
        <w:rPr>
          <w:rFonts w:ascii="Arial" w:cs="Arial" w:eastAsia="Arial" w:hAnsi="Arial"/>
          <w:sz w:val="18"/>
          <w:szCs w:val="18"/>
          <w:b w:val="1"/>
          <w:bCs w:val="1"/>
          <w:i w:val="1"/>
          <w:iCs w:val="1"/>
          <w:color w:val="333333"/>
        </w:rPr>
        <w:t xml:space="preserve"> </w:t>
      </w:r>
      <w:r>
        <w:rPr>
          <w:rFonts w:ascii="Arial" w:cs="Arial" w:eastAsia="Arial" w:hAnsi="Arial"/>
          <w:sz w:val="18"/>
          <w:szCs w:val="18"/>
          <w:b w:val="1"/>
          <w:bCs w:val="1"/>
          <w:i w:val="1"/>
          <w:iCs w:val="1"/>
          <w:color w:val="000000"/>
        </w:rPr>
        <w:t xml:space="preserve">widespread public health emergencies, </w:t>
      </w:r>
      <w:r>
        <w:rPr>
          <w:rFonts w:ascii="Arial" w:cs="Arial" w:eastAsia="Arial" w:hAnsi="Arial"/>
          <w:sz w:val="18"/>
          <w:szCs w:val="18"/>
          <w:b w:val="1"/>
          <w:bCs w:val="1"/>
          <w:i w:val="1"/>
          <w:iCs w:val="1"/>
          <w:color w:val="333333"/>
        </w:rPr>
        <w:t>could</w:t>
      </w:r>
      <w:r>
        <w:rPr>
          <w:rFonts w:ascii="Arial" w:cs="Arial" w:eastAsia="Arial" w:hAnsi="Arial"/>
          <w:sz w:val="18"/>
          <w:szCs w:val="18"/>
          <w:b w:val="1"/>
          <w:bCs w:val="1"/>
          <w:i w:val="1"/>
          <w:iCs w:val="1"/>
          <w:color w:val="000000"/>
        </w:rPr>
        <w:t xml:space="preserve"> have a material adverse effect on our business, results of operations, financial condition and/or cash flows</w:t>
      </w:r>
      <w:r>
        <w:rPr>
          <w:rFonts w:ascii="Arial" w:cs="Arial" w:eastAsia="Arial" w:hAnsi="Arial"/>
          <w:sz w:val="18"/>
          <w:szCs w:val="18"/>
          <w:b w:val="1"/>
          <w:bCs w:val="1"/>
          <w:i w:val="1"/>
          <w:iCs w:val="1"/>
          <w:color w:val="333333"/>
        </w:rPr>
        <w:t>.</w:t>
      </w:r>
    </w:p>
    <w:p>
      <w:pPr>
        <w:spacing w:after="0" w:line="11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World Health Organization recognized a novel strain of coronavirus (“COVID-19”) as a public health emergency of international concern on January 30, 2020 and as a global pandemic on March 11, 2020. Public health responses have included national pandemic preparedness and response plans, travel restrictions, quarantines, curfews, event postponements and cancellations and closures of facilities including local schools and businesses. The global pandemic and actions taken to contain COVID-19 have adversely affected the global economy and financial markets.</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response to the COVID-19 pandemic, we have implemented additional measures intended to both protect the health and safety of our employees and maintain our ability to provide products to our customers, including (i) requiring a significant part of our workforce to work from home, (ii) monitoring our employees for COVID-19 symptoms, (iii) making additional personal protective equipment available to our operations team, (iv) requiring all manufacturing and warehousing associates to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3" w:name="page44"/>
    <w:bookmarkEnd w:id="43"/>
    <w:p>
      <w:pPr>
        <w:jc w:val="both"/>
        <w:spacing w:after="0" w:line="254" w:lineRule="auto"/>
        <w:rPr>
          <w:sz w:val="20"/>
          <w:szCs w:val="20"/>
          <w:color w:val="auto"/>
        </w:rPr>
      </w:pPr>
      <w:r>
        <w:rPr>
          <w:rFonts w:ascii="Arial" w:cs="Arial" w:eastAsia="Arial" w:hAnsi="Arial"/>
          <w:sz w:val="18"/>
          <w:szCs w:val="18"/>
          <w:color w:val="auto"/>
        </w:rPr>
        <w:t>take their temperatures before beginning a shift, (v) modifying work methods and schedules of our manufacturing and field associates to create distance or add barriers between associates, consumers and others, (vi) expanding cleaning efforts at our operation centers, (vii) modifying attendance policies so that associates may elect to stay home if they have symptoms, (viii) prioritizing production for goods that are more essential to our customers and (ix) implementing an interim premium pay allowance for associates in our field sales force as well as those still working in manufacturing or distribution centers. While we believe that these efforts should enable us to maintain our operations during the COVID-19 pandemic, we can provide no assurance that we will be able to do so as a result of the unpredictability of the ultimate impact of the COVID-19 pandemic, including the responses of local, state, federal and foreign governmental authorities to the pandemic.</w:t>
      </w:r>
    </w:p>
    <w:p>
      <w:pPr>
        <w:spacing w:after="0" w:line="11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extent to which the COVID-19 pandemic will ultimately impact our business, results of operations, financial condition and cash flows depends on future developments that are highly uncertain, rapidly evolving and difficult to predict at this time, including:</w:t>
      </w:r>
    </w:p>
    <w:p>
      <w:pPr>
        <w:spacing w:after="0" w:line="116"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18"/>
          <w:szCs w:val="18"/>
          <w:color w:val="auto"/>
        </w:rPr>
        <w:t>the duration, spread and intensity of the pandemic;</w:t>
      </w:r>
    </w:p>
    <w:p>
      <w:pPr>
        <w:spacing w:after="0" w:line="148" w:lineRule="exact"/>
        <w:rPr>
          <w:rFonts w:ascii="Arial" w:cs="Arial" w:eastAsia="Arial" w:hAnsi="Arial"/>
          <w:sz w:val="20"/>
          <w:szCs w:val="20"/>
          <w:color w:val="auto"/>
        </w:rPr>
      </w:pPr>
    </w:p>
    <w:p>
      <w:pPr>
        <w:jc w:val="both"/>
        <w:ind w:left="660" w:hanging="328"/>
        <w:spacing w:after="0" w:line="293" w:lineRule="auto"/>
        <w:tabs>
          <w:tab w:leader="none" w:pos="648" w:val="left"/>
        </w:tabs>
        <w:numPr>
          <w:ilvl w:val="0"/>
          <w:numId w:val="17"/>
        </w:numPr>
        <w:rPr>
          <w:rFonts w:ascii="Arial" w:cs="Arial" w:eastAsia="Arial" w:hAnsi="Arial"/>
          <w:sz w:val="18"/>
          <w:szCs w:val="18"/>
          <w:color w:val="auto"/>
        </w:rPr>
      </w:pPr>
      <w:r>
        <w:rPr>
          <w:rFonts w:ascii="Arial" w:cs="Arial" w:eastAsia="Arial" w:hAnsi="Arial"/>
          <w:sz w:val="16"/>
          <w:szCs w:val="16"/>
          <w:color w:val="auto"/>
        </w:rPr>
        <w:t>the ability of our suppliers, contract manufacturers, contractors and third-party logistics providers to meet their obligations to us (including supplying us with essential raw materials, components and finished products, or shipping finished goods to customers) on a timely basis and at previously anticipated costs without significant disruption, and our ability to identify alternative sources of materials and services, if necessary;</w:t>
      </w:r>
    </w:p>
    <w:p>
      <w:pPr>
        <w:spacing w:after="0" w:line="94" w:lineRule="exact"/>
        <w:rPr>
          <w:rFonts w:ascii="Arial" w:cs="Arial" w:eastAsia="Arial" w:hAnsi="Arial"/>
          <w:sz w:val="18"/>
          <w:szCs w:val="18"/>
          <w:color w:val="auto"/>
        </w:rPr>
      </w:pPr>
    </w:p>
    <w:p>
      <w:pPr>
        <w:jc w:val="both"/>
        <w:ind w:left="660" w:hanging="328"/>
        <w:spacing w:after="0" w:line="250"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our ability to continue to meet our customers’ needs in the event of the suspension or interruption of essential elements of our manufacturing and supply arrangements and activities such as the continued availability of raw materials, transportation, labor and production capacity and at previously anticipated costs;</w:t>
      </w:r>
    </w:p>
    <w:p>
      <w:pPr>
        <w:spacing w:after="0" w:line="139" w:lineRule="exact"/>
        <w:rPr>
          <w:rFonts w:ascii="Arial" w:cs="Arial" w:eastAsia="Arial" w:hAnsi="Arial"/>
          <w:sz w:val="20"/>
          <w:szCs w:val="20"/>
          <w:color w:val="auto"/>
        </w:rPr>
      </w:pPr>
    </w:p>
    <w:p>
      <w:pPr>
        <w:ind w:left="660" w:hanging="328"/>
        <w:spacing w:after="0" w:line="279" w:lineRule="auto"/>
        <w:tabs>
          <w:tab w:leader="none" w:pos="648" w:val="left"/>
        </w:tabs>
        <w:numPr>
          <w:ilvl w:val="0"/>
          <w:numId w:val="17"/>
        </w:numPr>
        <w:rPr>
          <w:rFonts w:ascii="Arial" w:cs="Arial" w:eastAsia="Arial" w:hAnsi="Arial"/>
          <w:sz w:val="19"/>
          <w:szCs w:val="19"/>
          <w:color w:val="auto"/>
        </w:rPr>
      </w:pPr>
      <w:r>
        <w:rPr>
          <w:rFonts w:ascii="Arial" w:cs="Arial" w:eastAsia="Arial" w:hAnsi="Arial"/>
          <w:sz w:val="17"/>
          <w:szCs w:val="17"/>
          <w:color w:val="auto"/>
        </w:rPr>
        <w:t>the effect of the COVID-19 pandemic on our customers (including retailers and distributors), including their ability to remain open, continue to sell our products, pay for the products purchased from us on a timely basis or at all and collect payment from their customers;</w:t>
      </w:r>
    </w:p>
    <w:p>
      <w:pPr>
        <w:spacing w:after="0" w:line="112" w:lineRule="exact"/>
        <w:rPr>
          <w:rFonts w:ascii="Arial" w:cs="Arial" w:eastAsia="Arial" w:hAnsi="Arial"/>
          <w:sz w:val="19"/>
          <w:szCs w:val="19"/>
          <w:color w:val="auto"/>
        </w:rPr>
      </w:pPr>
    </w:p>
    <w:p>
      <w:pPr>
        <w:jc w:val="both"/>
        <w:ind w:left="660" w:hanging="328"/>
        <w:spacing w:after="0" w:line="312" w:lineRule="auto"/>
        <w:tabs>
          <w:tab w:leader="none" w:pos="648" w:val="left"/>
        </w:tabs>
        <w:numPr>
          <w:ilvl w:val="0"/>
          <w:numId w:val="17"/>
        </w:numPr>
        <w:rPr>
          <w:rFonts w:ascii="Arial" w:cs="Arial" w:eastAsia="Arial" w:hAnsi="Arial"/>
          <w:sz w:val="18"/>
          <w:szCs w:val="18"/>
          <w:color w:val="auto"/>
        </w:rPr>
      </w:pPr>
      <w:r>
        <w:rPr>
          <w:rFonts w:ascii="Arial" w:cs="Arial" w:eastAsia="Arial" w:hAnsi="Arial"/>
          <w:sz w:val="16"/>
          <w:szCs w:val="16"/>
          <w:color w:val="auto"/>
        </w:rPr>
        <w:t>the impact of the COVID-19 pandemic on the financial and credit markets and economic activity generally, including our ability to maintain compliance with financial covenants, access lending, capital markets, and other sources of liquidity when needed on reasonable terms or at all; and</w:t>
      </w:r>
    </w:p>
    <w:p>
      <w:pPr>
        <w:spacing w:after="0" w:line="72" w:lineRule="exact"/>
        <w:rPr>
          <w:rFonts w:ascii="Arial" w:cs="Arial" w:eastAsia="Arial" w:hAnsi="Arial"/>
          <w:sz w:val="18"/>
          <w:szCs w:val="18"/>
          <w:color w:val="auto"/>
        </w:rPr>
      </w:pPr>
    </w:p>
    <w:p>
      <w:pPr>
        <w:jc w:val="both"/>
        <w:ind w:left="660" w:hanging="328"/>
        <w:spacing w:after="0" w:line="250"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the demand for our products, which may be impacted by, among other things, the temporary inability of consumers to purchase our products due to illness, quarantine, travel restrictions or financial hardship, shifts in short or long term consumer behavior including moving from one or more of our more discretionary and profitable products to less profitable products, or stockpiling and similar pantry-loading activity that could negatively impact future demand.</w:t>
      </w:r>
    </w:p>
    <w:p>
      <w:pPr>
        <w:spacing w:after="0" w:line="12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Negative developments with respect to any of these items could have a material adverse effect on our business, results of operations, financial condition and/or cash flows.</w:t>
      </w:r>
    </w:p>
    <w:p>
      <w:pPr>
        <w:spacing w:after="0" w:line="10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addition to the risks described above, the COVID-19 pandemic may also have the effect of heightening other risks set forth in Part I, Item 1A of our Annual Report on Form 10-K for the year ended September 30, 2019, including, but not limited to, risks related to the availability of raw materials, sourcing and manufacturing outside of the U.S., tariffs and international trade wars, economic conditions, competition, product development and investment, e-commerce, supply chain, indebtedness, information technology and the payment of dividends.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Common Shares. These forward-looking statements generally can be identified through the use of words such as “guidance,” “outlook,” “projected,”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4" w:name="page45"/>
    <w:bookmarkEnd w:id="44"/>
    <w:p>
      <w:pPr>
        <w:jc w:val="both"/>
        <w:ind w:right="20"/>
        <w:spacing w:after="0" w:line="277" w:lineRule="auto"/>
        <w:rPr>
          <w:sz w:val="20"/>
          <w:szCs w:val="20"/>
          <w:color w:val="auto"/>
        </w:rPr>
      </w:pPr>
      <w:r>
        <w:rPr>
          <w:rFonts w:ascii="Arial" w:cs="Arial" w:eastAsia="Arial" w:hAnsi="Arial"/>
          <w:sz w:val="18"/>
          <w:szCs w:val="18"/>
          <w:color w:val="auto"/>
        </w:rPr>
        <w:t>“believe,” “target,” “predict,” “estimate,” “forecast,” “strategy,” “may,” “goal,” “expect,” “anticipate,” “intend,” “plan,” “foresee,” “likely,” “will,” “should” and other similar words and variations.</w:t>
      </w:r>
    </w:p>
    <w:p>
      <w:pPr>
        <w:spacing w:after="0" w:line="8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Forward-looking statements contained in this Quarterly Report on Form 10-Q are predictions only and actual results could differ materially from management’s expectations due to a variety of factors, including those described above and in “ITEM 1A. RISK FACTORS” in the 2019 Annual Report. All forward-looking statements attributable to us or persons working on our behalf are expressly qualified in their entirety by such risk factors.</w:t>
      </w:r>
    </w:p>
    <w:p>
      <w:pPr>
        <w:spacing w:after="0" w:line="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Fifth A&amp;R Credit Agreement allows the Company to make unlimited restricted payments (as defined in the Fifth A&amp;R Credit Agreement), including dividend payments and Common Share repurchases, as long as the leverage ratio resulting from the making of such restricted payments is 4.00 or less. Otherwise the Company may make further restricted payments in an aggregate amount for each fiscal year not to exceed $225.0 million for fiscal 2020 and thereafter. The Company’s leverage ratio was 3.13 at March 28, 2020.</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Issuer Purchases of Equity Securities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March 28,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Average Price</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3"/>
              </w:rPr>
              <w:t>Value of Common Shares</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Common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 per</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Common Share(2)</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36"/>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29, 2019 through January 25, 2020</w:t>
            </w:r>
          </w:p>
        </w:tc>
        <w:tc>
          <w:tcPr>
            <w:tcW w:w="15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204,529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107.83</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204,519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6"/>
                <w:szCs w:val="16"/>
                <w:color w:val="auto"/>
              </w:rPr>
              <w:t>263,378,089</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color w:val="auto"/>
              </w:rPr>
              <w:t>January 26, 2020 through February 22, 2020</w:t>
            </w:r>
          </w:p>
        </w:tc>
        <w:tc>
          <w:tcPr>
            <w:tcW w:w="1520" w:type="dxa"/>
            <w:vAlign w:val="bottom"/>
          </w:tcPr>
          <w:p>
            <w:pPr>
              <w:jc w:val="right"/>
              <w:ind w:right="83"/>
              <w:spacing w:after="0"/>
              <w:rPr>
                <w:sz w:val="20"/>
                <w:szCs w:val="20"/>
                <w:color w:val="auto"/>
              </w:rPr>
            </w:pPr>
            <w:r>
              <w:rPr>
                <w:rFonts w:ascii="Arial" w:cs="Arial" w:eastAsia="Arial" w:hAnsi="Arial"/>
                <w:sz w:val="16"/>
                <w:szCs w:val="16"/>
                <w:color w:val="auto"/>
              </w:rPr>
              <w:t>39,943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3"/>
              <w:spacing w:after="0"/>
              <w:rPr>
                <w:sz w:val="20"/>
                <w:szCs w:val="20"/>
                <w:color w:val="auto"/>
              </w:rPr>
            </w:pPr>
            <w:r>
              <w:rPr>
                <w:rFonts w:ascii="Arial" w:cs="Arial" w:eastAsia="Arial" w:hAnsi="Arial"/>
                <w:sz w:val="16"/>
                <w:szCs w:val="16"/>
                <w:color w:val="auto"/>
              </w:rPr>
              <w:t>111.99</w:t>
            </w:r>
          </w:p>
        </w:tc>
        <w:tc>
          <w:tcPr>
            <w:tcW w:w="100" w:type="dxa"/>
            <w:vAlign w:val="bottom"/>
          </w:tcPr>
          <w:p>
            <w:pPr>
              <w:spacing w:after="0"/>
              <w:rPr>
                <w:sz w:val="19"/>
                <w:szCs w:val="19"/>
                <w:color w:val="auto"/>
              </w:rPr>
            </w:pPr>
          </w:p>
        </w:tc>
        <w:tc>
          <w:tcPr>
            <w:tcW w:w="1720" w:type="dxa"/>
            <w:vAlign w:val="bottom"/>
          </w:tcPr>
          <w:p>
            <w:pPr>
              <w:jc w:val="right"/>
              <w:ind w:right="64"/>
              <w:spacing w:after="0"/>
              <w:rPr>
                <w:sz w:val="20"/>
                <w:szCs w:val="20"/>
                <w:color w:val="auto"/>
              </w:rPr>
            </w:pPr>
            <w:r>
              <w:rPr>
                <w:rFonts w:ascii="Arial" w:cs="Arial" w:eastAsia="Arial" w:hAnsi="Arial"/>
                <w:sz w:val="16"/>
                <w:szCs w:val="16"/>
                <w:color w:val="auto"/>
              </w:rPr>
              <w:t>38,972</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65"/>
              <w:spacing w:after="0"/>
              <w:rPr>
                <w:sz w:val="20"/>
                <w:szCs w:val="20"/>
                <w:color w:val="auto"/>
              </w:rPr>
            </w:pPr>
            <w:r>
              <w:rPr>
                <w:rFonts w:ascii="Arial" w:cs="Arial" w:eastAsia="Arial" w:hAnsi="Arial"/>
                <w:sz w:val="16"/>
                <w:szCs w:val="16"/>
                <w:color w:val="auto"/>
              </w:rPr>
              <w:t>259,010,437</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February 23, 2020 through March 28, 2020</w:t>
            </w:r>
          </w:p>
        </w:tc>
        <w:tc>
          <w:tcPr>
            <w:tcW w:w="15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209,754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106.15</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205,292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6"/>
                <w:szCs w:val="16"/>
                <w:color w:val="auto"/>
              </w:rPr>
              <w:t>237,224,026</w:t>
            </w:r>
          </w:p>
        </w:tc>
        <w:tc>
          <w:tcPr>
            <w:tcW w:w="0" w:type="dxa"/>
            <w:vAlign w:val="bottom"/>
          </w:tcPr>
          <w:p>
            <w:pPr>
              <w:spacing w:after="0"/>
              <w:rPr>
                <w:sz w:val="1"/>
                <w:szCs w:val="1"/>
                <w:color w:val="auto"/>
              </w:rPr>
            </w:pPr>
          </w:p>
        </w:tc>
      </w:tr>
      <w:tr>
        <w:trPr>
          <w:trHeight w:val="247"/>
        </w:trPr>
        <w:tc>
          <w:tcPr>
            <w:tcW w:w="4040" w:type="dxa"/>
            <w:vAlign w:val="bottom"/>
          </w:tcPr>
          <w:p>
            <w:pPr>
              <w:ind w:left="20"/>
              <w:spacing w:after="0"/>
              <w:rPr>
                <w:sz w:val="20"/>
                <w:szCs w:val="20"/>
                <w:color w:val="auto"/>
              </w:rPr>
            </w:pPr>
            <w:r>
              <w:rPr>
                <w:rFonts w:ascii="Arial" w:cs="Arial" w:eastAsia="Arial" w:hAnsi="Arial"/>
                <w:sz w:val="16"/>
                <w:szCs w:val="16"/>
                <w:color w:val="auto"/>
              </w:rPr>
              <w:t>Total</w:t>
            </w:r>
          </w:p>
        </w:tc>
        <w:tc>
          <w:tcPr>
            <w:tcW w:w="15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454,226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3"/>
              <w:spacing w:after="0"/>
              <w:rPr>
                <w:sz w:val="20"/>
                <w:szCs w:val="20"/>
                <w:color w:val="auto"/>
              </w:rPr>
            </w:pPr>
            <w:r>
              <w:rPr>
                <w:rFonts w:ascii="Arial" w:cs="Arial" w:eastAsia="Arial" w:hAnsi="Arial"/>
                <w:sz w:val="16"/>
                <w:szCs w:val="16"/>
                <w:color w:val="auto"/>
              </w:rPr>
              <w:t>107.42</w:t>
            </w:r>
          </w:p>
        </w:tc>
        <w:tc>
          <w:tcPr>
            <w:tcW w:w="100" w:type="dxa"/>
            <w:vAlign w:val="bottom"/>
          </w:tcPr>
          <w:p>
            <w:pPr>
              <w:spacing w:after="0"/>
              <w:rPr>
                <w:sz w:val="21"/>
                <w:szCs w:val="21"/>
                <w:color w:val="auto"/>
              </w:rPr>
            </w:pPr>
          </w:p>
        </w:tc>
        <w:tc>
          <w:tcPr>
            <w:tcW w:w="17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6"/>
                <w:szCs w:val="16"/>
                <w:color w:val="auto"/>
              </w:rPr>
              <w:t>448,783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left="660" w:hanging="328"/>
        <w:spacing w:after="0" w:line="286" w:lineRule="auto"/>
        <w:tabs>
          <w:tab w:leader="none" w:pos="654"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of the Common Shares purchased during the second fiscal quarter of 2020 were purchased in open market transactions. The total number of Common Shares purchased during this quarter includes 5,442 Common Shares purchased by the trustee of the rabbi trust established by the Company as permitted pursuant to the terms of The Scotts Company LLC Executive Retirement Plan (the “ERP”).</w:t>
      </w:r>
    </w:p>
    <w:p>
      <w:pPr>
        <w:spacing w:after="0" w:line="192" w:lineRule="exact"/>
        <w:rPr>
          <w:rFonts w:ascii="Arial" w:cs="Arial" w:eastAsia="Arial" w:hAnsi="Arial"/>
          <w:sz w:val="17"/>
          <w:szCs w:val="17"/>
          <w:color w:val="auto"/>
        </w:rPr>
      </w:pPr>
    </w:p>
    <w:p>
      <w:pPr>
        <w:ind w:left="640" w:hanging="30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jc w:val="both"/>
        <w:ind w:left="660" w:hanging="328"/>
        <w:spacing w:after="0" w:line="290" w:lineRule="auto"/>
        <w:tabs>
          <w:tab w:leader="none" w:pos="654" w:val="left"/>
        </w:tabs>
        <w:numPr>
          <w:ilvl w:val="0"/>
          <w:numId w:val="18"/>
        </w:numPr>
        <w:rPr>
          <w:rFonts w:ascii="Arial" w:cs="Arial" w:eastAsia="Arial" w:hAnsi="Arial"/>
          <w:sz w:val="16"/>
          <w:szCs w:val="16"/>
          <w:color w:val="333333"/>
        </w:rPr>
      </w:pPr>
      <w:r>
        <w:rPr>
          <w:rFonts w:ascii="Arial" w:cs="Arial" w:eastAsia="Arial" w:hAnsi="Arial"/>
          <w:sz w:val="16"/>
          <w:szCs w:val="16"/>
          <w:color w:val="auto"/>
        </w:rPr>
        <w:t>On August 11, 2014, Scotts Miracle-Gro announced that its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On August 2, 2019, the Scotts Miracle-Gro Board of Directors authorized an extension of the current share repurchase authorization through March 28, 2020. The amended authorization allowed for repurchases of Common Shares of up to an aggregate amount of $1.0 billion through March 28, 2020. The dollar amounts indicated reflect the remaining amounts that were available for repurchase under the authorized repurchase program, which expired on March 28, 2020. On January 31, 2020, the Scotts Miracle-Gro Board of Directors authorized a new repurchase program allowing for repurchases of up to $750.0 million of Common Shares from April 30, 2020 through March 25, 2023.</w:t>
      </w:r>
    </w:p>
    <w:p>
      <w:pPr>
        <w:spacing w:after="0" w:line="9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March 26, 2020, the Company announced a temporary suspension of share repurchase activity, effective as of March 30, 2020, in order to enhance the Company’s financial flexibility in response to the COVID-19 pandemic.</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Index to Exhibits at page 47 for a list of the exhibits included herewith.</w:t>
      </w:r>
    </w:p>
    <w:p>
      <w:pPr>
        <w:spacing w:after="0" w:line="200" w:lineRule="exact"/>
        <w:rPr>
          <w:sz w:val="20"/>
          <w:szCs w:val="20"/>
          <w:color w:val="auto"/>
        </w:rPr>
      </w:pPr>
    </w:p>
    <w:p>
      <w:pPr>
        <w:spacing w:after="0" w:line="3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66" w:right="1440"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MARCH 28, 2020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80" w:type="dxa"/>
            <w:vAlign w:val="bottom"/>
            <w:gridSpan w:val="5"/>
          </w:tcPr>
          <w:p>
            <w:pPr>
              <w:ind w:left="3600"/>
              <w:spacing w:after="0"/>
              <w:rPr>
                <w:sz w:val="20"/>
                <w:szCs w:val="20"/>
                <w:color w:val="auto"/>
              </w:rPr>
            </w:pPr>
            <w:r>
              <w:rPr>
                <w:rFonts w:ascii="Arial" w:cs="Arial" w:eastAsia="Arial" w:hAnsi="Arial"/>
                <w:sz w:val="18"/>
                <w:szCs w:val="18"/>
                <w:color w:val="auto"/>
              </w:rPr>
              <w:t>INDEX TO EXHIBITS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60" w:type="dxa"/>
            <w:vAlign w:val="bottom"/>
            <w:gridSpan w:val="6"/>
          </w:tcPr>
          <w:p>
            <w:pPr>
              <w:ind w:left="420"/>
              <w:spacing w:after="0"/>
              <w:rPr>
                <w:sz w:val="20"/>
                <w:szCs w:val="20"/>
                <w:color w:val="auto"/>
              </w:rPr>
            </w:pPr>
            <w:r>
              <w:rPr>
                <w:rFonts w:ascii="Arial" w:cs="Arial" w:eastAsia="Arial" w:hAnsi="Arial"/>
                <w:sz w:val="18"/>
                <w:szCs w:val="18"/>
                <w:color w:val="auto"/>
              </w:rPr>
              <w:t>Incorporated by Reference</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160" w:type="dxa"/>
            <w:vAlign w:val="bottom"/>
            <w:gridSpan w:val="2"/>
            <w:vMerge w:val="restart"/>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2"/>
              </w:rPr>
              <w:t>Filed</w:t>
            </w:r>
          </w:p>
        </w:tc>
        <w:tc>
          <w:tcPr>
            <w:tcW w:w="0" w:type="dxa"/>
            <w:vAlign w:val="bottom"/>
          </w:tcPr>
          <w:p>
            <w:pPr>
              <w:spacing w:after="0"/>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20"/>
                <w:szCs w:val="20"/>
                <w:color w:val="auto"/>
              </w:rPr>
            </w:pPr>
          </w:p>
        </w:tc>
        <w:tc>
          <w:tcPr>
            <w:tcW w:w="6180" w:type="dxa"/>
            <w:vAlign w:val="bottom"/>
            <w:gridSpan w:val="5"/>
          </w:tcPr>
          <w:p>
            <w:pPr>
              <w:ind w:left="2620"/>
              <w:spacing w:after="0"/>
              <w:rPr>
                <w:sz w:val="20"/>
                <w:szCs w:val="20"/>
                <w:color w:val="auto"/>
              </w:rPr>
            </w:pPr>
            <w:r>
              <w:rPr>
                <w:rFonts w:ascii="Arial" w:cs="Arial" w:eastAsia="Arial" w:hAnsi="Arial"/>
                <w:sz w:val="18"/>
                <w:szCs w:val="18"/>
                <w:color w:val="auto"/>
              </w:rPr>
              <w:t>Description</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Form</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Exhibit</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Filing Date</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Herewith</w:t>
            </w:r>
          </w:p>
        </w:tc>
        <w:tc>
          <w:tcPr>
            <w:tcW w:w="0" w:type="dxa"/>
            <w:vAlign w:val="bottom"/>
          </w:tcPr>
          <w:p>
            <w:pPr>
              <w:spacing w:after="0"/>
              <w:rPr>
                <w:sz w:val="1"/>
                <w:szCs w:val="1"/>
                <w:color w:val="auto"/>
              </w:rPr>
            </w:pPr>
          </w:p>
        </w:tc>
      </w:tr>
      <w:tr>
        <w:trPr>
          <w:trHeight w:val="27"/>
        </w:trPr>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line="196"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First Supplemental Indenture, dated March 24, 2020, by and among The Scotts</w:t>
              </w:r>
            </w:hyperlink>
          </w:p>
        </w:tc>
        <w:tc>
          <w:tcPr>
            <w:tcW w:w="48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80" w:type="dxa"/>
            <w:vAlign w:val="bottom"/>
            <w:gridSpan w:val="5"/>
          </w:tcPr>
          <w:p>
            <w:pPr>
              <w:spacing w:after="0" w:line="182" w:lineRule="exact"/>
              <w:rPr>
                <w:rFonts w:ascii="Arial" w:cs="Arial" w:eastAsia="Arial" w:hAnsi="Arial"/>
                <w:sz w:val="18"/>
                <w:szCs w:val="18"/>
                <w:color w:val="0000FF"/>
                <w:w w:val="93"/>
              </w:rPr>
            </w:pPr>
            <w:hyperlink w:anchor="page49">
              <w:r>
                <w:rPr>
                  <w:rFonts w:ascii="Arial" w:cs="Arial" w:eastAsia="Arial" w:hAnsi="Arial"/>
                  <w:sz w:val="18"/>
                  <w:szCs w:val="18"/>
                  <w:color w:val="0000FF"/>
                  <w:w w:val="93"/>
                </w:rPr>
                <w:t>Miracle-Gro Company, the Guarantors (as defined therein) and U.S. Bank National</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Association, as trustee, with respect to the 4.500% Senior Notes</w:t>
              </w:r>
            </w:hyperlink>
          </w:p>
        </w:tc>
        <w:tc>
          <w:tcPr>
            <w:tcW w:w="1380" w:type="dxa"/>
            <w:vAlign w:val="bottom"/>
            <w:tcBorders>
              <w:top w:val="single" w:sz="8" w:color="0000FF"/>
            </w:tcBorders>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900" w:h="16838" w:orient="portrait"/>
          <w:cols w:equalWidth="0" w:num="1">
            <w:col w:w="11220"/>
          </w:cols>
          <w:pgMar w:left="320" w:top="611" w:right="359" w:bottom="1440" w:gutter="0" w:footer="0" w:header="0"/>
        </w:sectPr>
      </w:pP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31.2</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8"/>
          </w:tcPr>
          <w:p>
            <w:pPr>
              <w:spacing w:after="0"/>
              <w:rPr>
                <w:rFonts w:ascii="Arial" w:cs="Arial" w:eastAsia="Arial" w:hAnsi="Arial"/>
                <w:sz w:val="18"/>
                <w:szCs w:val="18"/>
                <w:color w:val="0000FF"/>
                <w:w w:val="93"/>
              </w:rPr>
            </w:pPr>
            <w:hyperlink w:anchor="page56">
              <w:r>
                <w:rPr>
                  <w:rFonts w:ascii="Arial" w:cs="Arial" w:eastAsia="Arial" w:hAnsi="Arial"/>
                  <w:sz w:val="18"/>
                  <w:szCs w:val="18"/>
                  <w:color w:val="0000FF"/>
                  <w:w w:val="93"/>
                </w:rPr>
                <w:t>Second Supplemental Indenture, dated March 24, 2020, by and among The Scotts</w:t>
              </w:r>
            </w:hyperlink>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60" w:type="dxa"/>
            <w:vAlign w:val="bottom"/>
          </w:tcPr>
          <w:p>
            <w:pPr>
              <w:ind w:left="17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3"/>
        </w:trPr>
        <w:tc>
          <w:tcPr>
            <w:tcW w:w="59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Miracle-Gro Company, the Guarantors (as defined therein) and U.S. Bank National</w:t>
              </w:r>
            </w:hyperlink>
          </w:p>
        </w:tc>
        <w:tc>
          <w:tcPr>
            <w:tcW w:w="10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0" w:type="dxa"/>
            <w:vAlign w:val="bottom"/>
            <w:gridSpan w:val="6"/>
          </w:tcPr>
          <w:p>
            <w:pPr>
              <w:spacing w:after="0" w:line="182" w:lineRule="exact"/>
              <w:rPr>
                <w:rFonts w:ascii="Arial" w:cs="Arial" w:eastAsia="Arial" w:hAnsi="Arial"/>
                <w:sz w:val="18"/>
                <w:szCs w:val="18"/>
                <w:color w:val="0000FF"/>
              </w:rPr>
            </w:pPr>
            <w:hyperlink w:anchor="page56">
              <w:r>
                <w:rPr>
                  <w:rFonts w:ascii="Arial" w:cs="Arial" w:eastAsia="Arial" w:hAnsi="Arial"/>
                  <w:sz w:val="18"/>
                  <w:szCs w:val="18"/>
                  <w:color w:val="0000FF"/>
                </w:rPr>
                <w:t xml:space="preserve">Association, as trustee, </w:t>
              </w:r>
              <w:r>
                <w:rPr>
                  <w:rFonts w:ascii="Arial" w:cs="Arial" w:eastAsia="Arial" w:hAnsi="Arial"/>
                  <w:sz w:val="18"/>
                  <w:szCs w:val="18"/>
                  <w:u w:val="single" w:color="auto"/>
                  <w:color w:val="0000FF"/>
                </w:rPr>
                <w:t>with respect to the 5.250% Senior Notes</w:t>
              </w:r>
            </w:hyperlink>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20" w:type="dxa"/>
            <w:vAlign w:val="bottom"/>
            <w:tcBorders>
              <w:bottom w:val="single" w:sz="8" w:color="0000FF"/>
            </w:tcBorders>
            <w:gridSpan w:val="7"/>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Consulting Agreement, dated January 15, 2020, between The Scotts Company LLC</w:t>
              </w:r>
            </w:hyperlink>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60" w:type="dxa"/>
            <w:vAlign w:val="bottom"/>
          </w:tcPr>
          <w:p>
            <w:pPr>
              <w:ind w:left="260"/>
              <w:spacing w:after="0"/>
              <w:rPr>
                <w:sz w:val="20"/>
                <w:szCs w:val="20"/>
                <w:color w:val="auto"/>
              </w:rPr>
            </w:pPr>
            <w:r>
              <w:rPr>
                <w:rFonts w:ascii="Arial" w:cs="Arial" w:eastAsia="Arial" w:hAnsi="Arial"/>
                <w:sz w:val="18"/>
                <w:szCs w:val="18"/>
                <w:color w:val="auto"/>
              </w:rPr>
              <w:t>February 5,</w:t>
            </w:r>
          </w:p>
        </w:tc>
        <w:tc>
          <w:tcPr>
            <w:tcW w:w="0" w:type="dxa"/>
            <w:vAlign w:val="bottom"/>
          </w:tcPr>
          <w:p>
            <w:pPr>
              <w:spacing w:after="0"/>
              <w:rPr>
                <w:sz w:val="1"/>
                <w:szCs w:val="1"/>
                <w:color w:val="auto"/>
              </w:rPr>
            </w:pPr>
          </w:p>
        </w:tc>
      </w:tr>
      <w:tr>
        <w:trPr>
          <w:trHeight w:val="156"/>
        </w:trPr>
        <w:tc>
          <w:tcPr>
            <w:tcW w:w="1740" w:type="dxa"/>
            <w:vAlign w:val="bottom"/>
            <w:tcBorders>
              <w:bottom w:val="single" w:sz="8" w:color="0000FF"/>
            </w:tcBorders>
            <w:gridSpan w:val="3"/>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and Hanft Projects LLC</w:t>
              </w:r>
            </w:hyperlink>
          </w:p>
        </w:tc>
        <w:tc>
          <w:tcPr>
            <w:tcW w:w="402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ind w:left="160"/>
              <w:spacing w:after="0"/>
              <w:rPr>
                <w:sz w:val="20"/>
                <w:szCs w:val="20"/>
                <w:color w:val="auto"/>
              </w:rPr>
            </w:pPr>
            <w:r>
              <w:rPr>
                <w:rFonts w:ascii="Arial" w:cs="Arial" w:eastAsia="Arial" w:hAnsi="Arial"/>
                <w:sz w:val="18"/>
                <w:szCs w:val="18"/>
                <w:color w:val="auto"/>
              </w:rPr>
              <w:t>10-Q</w:t>
            </w: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color w:val="auto"/>
              </w:rPr>
              <w:t>10</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75"/>
        </w:trPr>
        <w:tc>
          <w:tcPr>
            <w:tcW w:w="6180" w:type="dxa"/>
            <w:vAlign w:val="bottom"/>
            <w:gridSpan w:val="8"/>
            <w:vMerge w:val="restart"/>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Subsidiaries of The Scotts Miracle-Gro Company</w:t>
              </w:r>
            </w:hyperlink>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6180" w:type="dxa"/>
            <w:vAlign w:val="bottom"/>
            <w:gridSpan w:val="8"/>
            <w:vMerge w:val="continue"/>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60" w:type="dxa"/>
            <w:vAlign w:val="bottom"/>
          </w:tcPr>
          <w:p>
            <w:pPr>
              <w:ind w:left="17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70"/>
        </w:trPr>
        <w:tc>
          <w:tcPr>
            <w:tcW w:w="6180" w:type="dxa"/>
            <w:vAlign w:val="bottom"/>
            <w:gridSpan w:val="8"/>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Guarantor Subsidiaries</w:t>
              </w:r>
            </w:hyperlink>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60" w:type="dxa"/>
            <w:vAlign w:val="bottom"/>
          </w:tcPr>
          <w:p>
            <w:pPr>
              <w:ind w:left="17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70"/>
        </w:trPr>
        <w:tc>
          <w:tcPr>
            <w:tcW w:w="6180" w:type="dxa"/>
            <w:vAlign w:val="bottom"/>
            <w:gridSpan w:val="8"/>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Rule 13a-14(a)/15d-14(a) Certifications (Principal Executive Officer)</w:t>
              </w:r>
            </w:hyperlink>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60" w:type="dxa"/>
            <w:vAlign w:val="bottom"/>
          </w:tcPr>
          <w:p>
            <w:pPr>
              <w:ind w:left="17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70"/>
        </w:trPr>
        <w:tc>
          <w:tcPr>
            <w:tcW w:w="6180" w:type="dxa"/>
            <w:vAlign w:val="bottom"/>
            <w:gridSpan w:val="8"/>
          </w:tcPr>
          <w:p>
            <w:pPr>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Rule 13a-14(a)/15d-14(a) Certifications (Principal Financial Officer)</w:t>
              </w:r>
            </w:hyperlink>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60" w:type="dxa"/>
            <w:vAlign w:val="bottom"/>
          </w:tcPr>
          <w:p>
            <w:pPr>
              <w:ind w:left="17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16"/>
        </w:trPr>
        <w:tc>
          <w:tcPr>
            <w:tcW w:w="6180" w:type="dxa"/>
            <w:vAlign w:val="bottom"/>
            <w:gridSpan w:val="8"/>
          </w:tcPr>
          <w:p>
            <w:pPr>
              <w:spacing w:after="0" w:line="196" w:lineRule="exact"/>
              <w:rPr>
                <w:rFonts w:ascii="Arial" w:cs="Arial" w:eastAsia="Arial" w:hAnsi="Arial"/>
                <w:sz w:val="18"/>
                <w:szCs w:val="18"/>
                <w:color w:val="0000FF"/>
                <w:w w:val="99"/>
              </w:rPr>
            </w:pPr>
            <w:hyperlink w:anchor="page68">
              <w:r>
                <w:rPr>
                  <w:rFonts w:ascii="Arial" w:cs="Arial" w:eastAsia="Arial" w:hAnsi="Arial"/>
                  <w:sz w:val="18"/>
                  <w:szCs w:val="18"/>
                  <w:color w:val="0000FF"/>
                  <w:w w:val="99"/>
                </w:rPr>
                <w:t>Section 1350 Certifications (Principal Executive Officer and Principal Financial</w:t>
              </w:r>
            </w:hyperlink>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60" w:type="dxa"/>
            <w:vAlign w:val="bottom"/>
          </w:tcPr>
          <w:p>
            <w:pPr>
              <w:ind w:left="1740"/>
              <w:spacing w:after="0" w:line="196" w:lineRule="exact"/>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56"/>
        </w:trPr>
        <w:tc>
          <w:tcPr>
            <w:tcW w:w="576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68">
              <w:r>
                <w:rPr>
                  <w:rFonts w:ascii="Arial" w:cs="Arial" w:eastAsia="Arial" w:hAnsi="Arial"/>
                  <w:sz w:val="18"/>
                  <w:szCs w:val="18"/>
                  <w:color w:val="0000FF"/>
                </w:rPr>
                <w:t>Officer)</w:t>
              </w:r>
            </w:hyperlink>
          </w:p>
        </w:tc>
        <w:tc>
          <w:tcPr>
            <w:tcW w:w="42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ectPr>
          <w:pgSz w:w="11900" w:h="16838" w:orient="portrait"/>
          <w:cols w:equalWidth="0" w:num="2">
            <w:col w:w="460" w:space="720"/>
            <w:col w:w="10040"/>
          </w:cols>
          <w:pgMar w:left="320" w:top="611" w:right="35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7780" w:type="dxa"/>
            <w:vAlign w:val="bottom"/>
          </w:tcPr>
          <w:p>
            <w:pPr>
              <w:ind w:left="240"/>
              <w:spacing w:after="0"/>
              <w:rPr>
                <w:sz w:val="20"/>
                <w:szCs w:val="20"/>
                <w:color w:val="auto"/>
              </w:rPr>
            </w:pPr>
            <w:r>
              <w:rPr>
                <w:rFonts w:ascii="Arial" w:cs="Arial" w:eastAsia="Arial" w:hAnsi="Arial"/>
                <w:sz w:val="18"/>
                <w:szCs w:val="18"/>
                <w:color w:val="auto"/>
              </w:rPr>
              <w:t>XBRL Taxonomy Extension Schema</w:t>
            </w:r>
          </w:p>
        </w:tc>
        <w:tc>
          <w:tcPr>
            <w:tcW w:w="2060" w:type="dxa"/>
            <w:vAlign w:val="bottom"/>
          </w:tcPr>
          <w:p>
            <w:pPr>
              <w:ind w:left="1940"/>
              <w:spacing w:after="0"/>
              <w:rPr>
                <w:sz w:val="20"/>
                <w:szCs w:val="20"/>
                <w:color w:val="auto"/>
              </w:rPr>
            </w:pPr>
            <w:r>
              <w:rPr>
                <w:rFonts w:ascii="Arial" w:cs="Arial" w:eastAsia="Arial" w:hAnsi="Arial"/>
                <w:sz w:val="18"/>
                <w:szCs w:val="18"/>
                <w:color w:val="auto"/>
                <w:w w:val="82"/>
              </w:rPr>
              <w:t>X</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778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w:t>
            </w:r>
          </w:p>
        </w:tc>
        <w:tc>
          <w:tcPr>
            <w:tcW w:w="2060" w:type="dxa"/>
            <w:vAlign w:val="bottom"/>
          </w:tcPr>
          <w:p>
            <w:pPr>
              <w:ind w:left="1940"/>
              <w:spacing w:after="0"/>
              <w:rPr>
                <w:sz w:val="20"/>
                <w:szCs w:val="20"/>
                <w:color w:val="auto"/>
              </w:rPr>
            </w:pPr>
            <w:r>
              <w:rPr>
                <w:rFonts w:ascii="Arial" w:cs="Arial" w:eastAsia="Arial" w:hAnsi="Arial"/>
                <w:sz w:val="18"/>
                <w:szCs w:val="18"/>
                <w:color w:val="auto"/>
                <w:w w:val="82"/>
              </w:rPr>
              <w:t>X</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778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w:t>
            </w:r>
          </w:p>
        </w:tc>
        <w:tc>
          <w:tcPr>
            <w:tcW w:w="2060" w:type="dxa"/>
            <w:vAlign w:val="bottom"/>
          </w:tcPr>
          <w:p>
            <w:pPr>
              <w:ind w:left="1940"/>
              <w:spacing w:after="0"/>
              <w:rPr>
                <w:sz w:val="20"/>
                <w:szCs w:val="20"/>
                <w:color w:val="auto"/>
              </w:rPr>
            </w:pPr>
            <w:r>
              <w:rPr>
                <w:rFonts w:ascii="Arial" w:cs="Arial" w:eastAsia="Arial" w:hAnsi="Arial"/>
                <w:sz w:val="18"/>
                <w:szCs w:val="18"/>
                <w:color w:val="auto"/>
                <w:w w:val="82"/>
              </w:rPr>
              <w:t>X</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7780" w:type="dxa"/>
            <w:vAlign w:val="bottom"/>
          </w:tcPr>
          <w:p>
            <w:pPr>
              <w:ind w:left="240"/>
              <w:spacing w:after="0"/>
              <w:rPr>
                <w:sz w:val="20"/>
                <w:szCs w:val="20"/>
                <w:color w:val="auto"/>
              </w:rPr>
            </w:pPr>
            <w:r>
              <w:rPr>
                <w:rFonts w:ascii="Arial" w:cs="Arial" w:eastAsia="Arial" w:hAnsi="Arial"/>
                <w:sz w:val="18"/>
                <w:szCs w:val="18"/>
                <w:color w:val="auto"/>
              </w:rPr>
              <w:t>XBRL Taxonomy Extension Label Linkbase</w:t>
            </w:r>
          </w:p>
        </w:tc>
        <w:tc>
          <w:tcPr>
            <w:tcW w:w="2060" w:type="dxa"/>
            <w:vAlign w:val="bottom"/>
          </w:tcPr>
          <w:p>
            <w:pPr>
              <w:ind w:left="1940"/>
              <w:spacing w:after="0"/>
              <w:rPr>
                <w:sz w:val="20"/>
                <w:szCs w:val="20"/>
                <w:color w:val="auto"/>
              </w:rPr>
            </w:pPr>
            <w:r>
              <w:rPr>
                <w:rFonts w:ascii="Arial" w:cs="Arial" w:eastAsia="Arial" w:hAnsi="Arial"/>
                <w:sz w:val="18"/>
                <w:szCs w:val="18"/>
                <w:color w:val="auto"/>
                <w:w w:val="82"/>
              </w:rPr>
              <w:t>X</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778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w:t>
            </w:r>
          </w:p>
        </w:tc>
        <w:tc>
          <w:tcPr>
            <w:tcW w:w="2060" w:type="dxa"/>
            <w:vAlign w:val="bottom"/>
          </w:tcPr>
          <w:p>
            <w:pPr>
              <w:ind w:left="1940"/>
              <w:spacing w:after="0"/>
              <w:rPr>
                <w:sz w:val="20"/>
                <w:szCs w:val="20"/>
                <w:color w:val="auto"/>
              </w:rPr>
            </w:pPr>
            <w:r>
              <w:rPr>
                <w:rFonts w:ascii="Arial" w:cs="Arial" w:eastAsia="Arial" w:hAnsi="Arial"/>
                <w:sz w:val="18"/>
                <w:szCs w:val="18"/>
                <w:color w:val="auto"/>
                <w:w w:val="82"/>
              </w:rPr>
              <w:t>X</w:t>
            </w: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7780" w:type="dxa"/>
            <w:vAlign w:val="bottom"/>
          </w:tcPr>
          <w:p>
            <w:pPr>
              <w:ind w:left="240"/>
              <w:spacing w:after="0"/>
              <w:rPr>
                <w:sz w:val="20"/>
                <w:szCs w:val="20"/>
                <w:color w:val="auto"/>
              </w:rPr>
            </w:pPr>
            <w:r>
              <w:rPr>
                <w:rFonts w:ascii="Arial" w:cs="Arial" w:eastAsia="Arial" w:hAnsi="Arial"/>
                <w:sz w:val="18"/>
                <w:szCs w:val="18"/>
                <w:color w:val="auto"/>
              </w:rPr>
              <w:t>Cover Page Interactive Data File (formatted as Inline XBRL and contained in</w:t>
            </w:r>
          </w:p>
        </w:tc>
        <w:tc>
          <w:tcPr>
            <w:tcW w:w="2060" w:type="dxa"/>
            <w:vAlign w:val="bottom"/>
          </w:tcPr>
          <w:p>
            <w:pPr>
              <w:ind w:left="1940"/>
              <w:spacing w:after="0"/>
              <w:rPr>
                <w:sz w:val="20"/>
                <w:szCs w:val="20"/>
                <w:color w:val="auto"/>
              </w:rPr>
            </w:pPr>
            <w:r>
              <w:rPr>
                <w:rFonts w:ascii="Arial" w:cs="Arial" w:eastAsia="Arial" w:hAnsi="Arial"/>
                <w:sz w:val="18"/>
                <w:szCs w:val="18"/>
                <w:color w:val="auto"/>
                <w:w w:val="82"/>
              </w:rPr>
              <w:t>X</w:t>
            </w:r>
          </w:p>
        </w:tc>
      </w:tr>
      <w:tr>
        <w:trPr>
          <w:trHeight w:val="230"/>
        </w:trPr>
        <w:tc>
          <w:tcPr>
            <w:tcW w:w="92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Exhibit 101)</w:t>
            </w:r>
          </w:p>
        </w:tc>
        <w:tc>
          <w:tcPr>
            <w:tcW w:w="20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type w:val="continuous"/>
        </w:sectPr>
      </w:pPr>
    </w:p>
    <w:bookmarkStart w:id="47" w:name="page48"/>
    <w:bookmarkEnd w:id="47"/>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THE SCOTTS MIRACLE-GRO COMPANY</w:t>
      </w:r>
    </w:p>
    <w:p>
      <w:pPr>
        <w:spacing w:after="0" w:line="333"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632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043"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692785</wp:posOffset>
            </wp:positionV>
            <wp:extent cx="69862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513080</wp:posOffset>
            </wp:positionV>
            <wp:extent cx="69862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THE SCOTTS MIRACLE-GRO COMPANY, as Issuer</w:t>
      </w:r>
    </w:p>
    <w:p>
      <w:pPr>
        <w:spacing w:after="0" w:line="231"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THE GUARANTORS PARTY HERETO, as Guarantors</w:t>
      </w:r>
    </w:p>
    <w:p>
      <w:pPr>
        <w:spacing w:after="0" w:line="25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U.S. BANK NATIONAL ASSOCIATION, as Trustee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_________________</w:t>
      </w:r>
    </w:p>
    <w:p>
      <w:pPr>
        <w:spacing w:after="0" w:line="11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4.500% Senior Notes due 2029</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FIRST SUPPLEMENTAL INDENTURE DATED AS OF</w:t>
      </w:r>
    </w:p>
    <w:p>
      <w:pPr>
        <w:spacing w:after="0" w:line="25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March 24, 2020</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TO THE INDENTURE DATED AS OF</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October 22, 2019</w:t>
      </w:r>
    </w:p>
    <w:p>
      <w:pPr>
        <w:spacing w:after="0" w:line="22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1216025</wp:posOffset>
            </wp:positionV>
            <wp:extent cx="69862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1035685</wp:posOffset>
            </wp:positionV>
            <wp:extent cx="69862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0120"/>
          </w:cols>
          <w:pgMar w:left="1440" w:top="861"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22"/>
          <w:szCs w:val="22"/>
          <w:b w:val="1"/>
          <w:bCs w:val="1"/>
          <w:color w:val="auto"/>
        </w:rPr>
        <w:t>FIRST SUPPLEMENTAL INDENTURE</w:t>
      </w:r>
    </w:p>
    <w:p>
      <w:pPr>
        <w:spacing w:after="0" w:line="2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This FIRST SUPPLEMENTAL INDENTURE, dated as of March 24, 2020 (this “</w:t>
      </w:r>
      <w:r>
        <w:rPr>
          <w:rFonts w:ascii="Arial" w:cs="Arial" w:eastAsia="Arial" w:hAnsi="Arial"/>
          <w:sz w:val="22"/>
          <w:szCs w:val="22"/>
          <w:b w:val="1"/>
          <w:bCs w:val="1"/>
          <w:i w:val="1"/>
          <w:iCs w:val="1"/>
          <w:color w:val="auto"/>
        </w:rPr>
        <w:t>First Supplemental Indenture</w:t>
      </w:r>
      <w:r>
        <w:rPr>
          <w:rFonts w:ascii="Arial" w:cs="Arial" w:eastAsia="Arial" w:hAnsi="Arial"/>
          <w:sz w:val="22"/>
          <w:szCs w:val="22"/>
          <w:color w:val="auto"/>
        </w:rPr>
        <w:t>”), is by and among The Scotts Miracle-Gro Company, an Ohio corporation (such corporation and any successor,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the existing Guarantors (as defined in the Indenture referred to herein) (the “</w:t>
      </w:r>
      <w:r>
        <w:rPr>
          <w:rFonts w:ascii="Arial" w:cs="Arial" w:eastAsia="Arial" w:hAnsi="Arial"/>
          <w:sz w:val="22"/>
          <w:szCs w:val="22"/>
          <w:b w:val="1"/>
          <w:bCs w:val="1"/>
          <w:i w:val="1"/>
          <w:iCs w:val="1"/>
          <w:color w:val="auto"/>
        </w:rPr>
        <w:t>Existing Guarantors</w:t>
      </w:r>
      <w:r>
        <w:rPr>
          <w:rFonts w:ascii="Arial" w:cs="Arial" w:eastAsia="Arial" w:hAnsi="Arial"/>
          <w:sz w:val="22"/>
          <w:szCs w:val="22"/>
          <w:color w:val="auto"/>
        </w:rPr>
        <w:t>”), 1868 Ventures LLC, an Ohio limited liability company (“</w:t>
      </w:r>
      <w:r>
        <w:rPr>
          <w:rFonts w:ascii="Arial" w:cs="Arial" w:eastAsia="Arial" w:hAnsi="Arial"/>
          <w:sz w:val="22"/>
          <w:szCs w:val="22"/>
          <w:b w:val="1"/>
          <w:bCs w:val="1"/>
          <w:i w:val="1"/>
          <w:iCs w:val="1"/>
          <w:color w:val="auto"/>
        </w:rPr>
        <w:t>New Guarantor</w:t>
      </w:r>
      <w:r>
        <w:rPr>
          <w:rFonts w:ascii="Arial" w:cs="Arial" w:eastAsia="Arial" w:hAnsi="Arial"/>
          <w:sz w:val="22"/>
          <w:szCs w:val="22"/>
          <w:color w:val="auto"/>
        </w:rPr>
        <w:t>”), and U.S. Bank National Association, a national banking association, as trustee under the Indenture referred to herein (such corporation and any successor, the “</w:t>
      </w:r>
      <w:r>
        <w:rPr>
          <w:rFonts w:ascii="Arial" w:cs="Arial" w:eastAsia="Arial" w:hAnsi="Arial"/>
          <w:sz w:val="22"/>
          <w:szCs w:val="22"/>
          <w:b w:val="1"/>
          <w:bCs w:val="1"/>
          <w:i w:val="1"/>
          <w:iCs w:val="1"/>
          <w:color w:val="auto"/>
        </w:rPr>
        <w:t>Trustee</w:t>
      </w:r>
      <w:r>
        <w:rPr>
          <w:rFonts w:ascii="Arial" w:cs="Arial" w:eastAsia="Arial" w:hAnsi="Arial"/>
          <w:sz w:val="22"/>
          <w:szCs w:val="22"/>
          <w:color w:val="auto"/>
        </w:rPr>
        <w:t>”). The New Guarantor and the Existing Guarantors are sometimes referred to collectively herein as the “</w:t>
      </w:r>
      <w:r>
        <w:rPr>
          <w:rFonts w:ascii="Arial" w:cs="Arial" w:eastAsia="Arial" w:hAnsi="Arial"/>
          <w:sz w:val="22"/>
          <w:szCs w:val="22"/>
          <w:b w:val="1"/>
          <w:bCs w:val="1"/>
          <w:i w:val="1"/>
          <w:iCs w:val="1"/>
          <w:color w:val="auto"/>
        </w:rPr>
        <w:t>Guarantors</w:t>
      </w:r>
      <w:r>
        <w:rPr>
          <w:rFonts w:ascii="Arial" w:cs="Arial" w:eastAsia="Arial" w:hAnsi="Arial"/>
          <w:sz w:val="22"/>
          <w:szCs w:val="22"/>
          <w:color w:val="auto"/>
        </w:rPr>
        <w:t>,” or individually as a “</w:t>
      </w:r>
      <w:r>
        <w:rPr>
          <w:rFonts w:ascii="Arial" w:cs="Arial" w:eastAsia="Arial" w:hAnsi="Arial"/>
          <w:sz w:val="22"/>
          <w:szCs w:val="22"/>
          <w:b w:val="1"/>
          <w:bCs w:val="1"/>
          <w:i w:val="1"/>
          <w:iCs w:val="1"/>
          <w:color w:val="auto"/>
        </w:rPr>
        <w:t>Guarantor</w:t>
      </w:r>
      <w:r>
        <w:rPr>
          <w:rFonts w:ascii="Arial" w:cs="Arial" w:eastAsia="Arial" w:hAnsi="Arial"/>
          <w:sz w:val="22"/>
          <w:szCs w:val="22"/>
          <w:color w:val="auto"/>
        </w:rPr>
        <w:t>.” Capitalized terms not otherwise defined in this First Supplemental Indenture will have the meanings given to them in the Indenture (as defined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2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Company, the Existing Guarantors and the Trustee are parties to an indenture, dated as of October 22, 2019 (the “</w:t>
      </w:r>
      <w:r>
        <w:rPr>
          <w:rFonts w:ascii="Arial" w:cs="Arial" w:eastAsia="Arial" w:hAnsi="Arial"/>
          <w:sz w:val="22"/>
          <w:szCs w:val="22"/>
          <w:b w:val="1"/>
          <w:bCs w:val="1"/>
          <w:i w:val="1"/>
          <w:iCs w:val="1"/>
          <w:color w:val="auto"/>
        </w:rPr>
        <w:t>Indenture</w:t>
      </w:r>
      <w:r>
        <w:rPr>
          <w:rFonts w:ascii="Arial" w:cs="Arial" w:eastAsia="Arial" w:hAnsi="Arial"/>
          <w:sz w:val="22"/>
          <w:szCs w:val="22"/>
          <w:color w:val="auto"/>
        </w:rPr>
        <w:t>”), relating to the Company’s 4.500% Senior Notes due 2023 (the “</w:t>
      </w:r>
      <w:r>
        <w:rPr>
          <w:rFonts w:ascii="Arial" w:cs="Arial" w:eastAsia="Arial" w:hAnsi="Arial"/>
          <w:sz w:val="22"/>
          <w:szCs w:val="22"/>
          <w:b w:val="1"/>
          <w:bCs w:val="1"/>
          <w:i w:val="1"/>
          <w:iCs w:val="1"/>
          <w:color w:val="auto"/>
        </w:rPr>
        <w:t>Securities</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pursuant to Section 9.01(5) of the Indenture, without the consent of any Holders, the Company, when authorized by a Board Resolution, and the Trustee, at any time and from time to time, may enter into one or more supplemental indentures, in form satisfactory to the Trustee, to add any Person as a Guarantor; and</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all conditions precedent provided for in the Indenture relating to this First Supplemental Indenture have been complied with.</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New Guarantor, the Existing Guarantors, the Company and the Trustee mutually covenant and agree for the equal and ratable benefit of the Holders of the Securities as follows:</w:t>
      </w:r>
    </w:p>
    <w:p>
      <w:pPr>
        <w:spacing w:after="0" w:line="185"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used herein without definition shall have the meanings assigned to them in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Indenture.</w:t>
      </w:r>
    </w:p>
    <w:p>
      <w:pPr>
        <w:spacing w:after="0" w:line="201" w:lineRule="exact"/>
        <w:rPr>
          <w:rFonts w:ascii="Arial" w:cs="Arial" w:eastAsia="Arial" w:hAnsi="Arial"/>
          <w:sz w:val="19"/>
          <w:szCs w:val="19"/>
          <w:color w:val="auto"/>
        </w:rPr>
      </w:pPr>
    </w:p>
    <w:p>
      <w:pPr>
        <w:jc w:val="both"/>
        <w:ind w:firstLine="656"/>
        <w:spacing w:after="0" w:line="294" w:lineRule="auto"/>
        <w:tabs>
          <w:tab w:leader="none" w:pos="1296"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Joinder of New Guarantor</w:t>
      </w:r>
      <w:r>
        <w:rPr>
          <w:rFonts w:ascii="Arial" w:cs="Arial" w:eastAsia="Arial" w:hAnsi="Arial"/>
          <w:sz w:val="19"/>
          <w:szCs w:val="19"/>
          <w:color w:val="auto"/>
        </w:rPr>
        <w:t>. The New Guarantor hereby joins in the Indenture as a “Guarantor” thereunder. The New Guarantor hereby assumes the duties and obligations of Guarantors under the Indenture. The New Guarantor agrees to keep and perform all of the covenants, obligations and conditions of Guarantors under the Indenture, on the terms and subject to the conditions set forth in Article X of the Indenture, and to be bound by all other applicable provisions of the Indenture. Upon request from time to time by the Trustee, the New Guarantor shall execute and deliver to the Trustee a notation relating to the New Guarantor’s Guarantee, substantially in the form attached as Exhibit E to the Indenture.</w:t>
      </w:r>
    </w:p>
    <w:p>
      <w:pPr>
        <w:sectPr>
          <w:pgSz w:w="11900" w:h="16838" w:orient="portrait"/>
          <w:cols w:equalWidth="0" w:num="1">
            <w:col w:w="11240"/>
          </w:cols>
          <w:pgMar w:left="320" w:top="1422" w:right="339" w:bottom="1440" w:gutter="0" w:footer="0" w:header="0"/>
        </w:sectPr>
      </w:pPr>
    </w:p>
    <w:bookmarkStart w:id="50" w:name="page51"/>
    <w:bookmarkEnd w:id="50"/>
    <w:p>
      <w:pPr>
        <w:ind w:right="20" w:firstLine="656"/>
        <w:spacing w:after="0" w:line="263" w:lineRule="auto"/>
        <w:tabs>
          <w:tab w:leader="none" w:pos="1296"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Effect of First Supplemental Indenture</w:t>
      </w:r>
      <w:r>
        <w:rPr>
          <w:rFonts w:ascii="Arial" w:cs="Arial" w:eastAsia="Arial" w:hAnsi="Arial"/>
          <w:sz w:val="22"/>
          <w:szCs w:val="22"/>
          <w:color w:val="auto"/>
        </w:rPr>
        <w:t>. Except as amended by this First Supplemental Indenture, the terms and provisions of the Indenture shall remain in full force and effect.</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296"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INTERNAL LAW OF THE STATE OF NEW YORK SHALL GOVERN AND BE USED TO CONSTRUE THIS FIRST SUPPLEMENTAL INDENTURE WITHOUT GIVING EFFECT TO APPLICABLE PRINCIPLES OF CONFLICTS OF LAW TO THE EXTENT THAT THE APPLICATION OF THE LAWS OF ANOTHER JURISDICTION WOULD BE REQUIRED THEREBY.</w:t>
      </w:r>
    </w:p>
    <w:p>
      <w:pPr>
        <w:spacing w:after="0" w:line="187"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First Supplemental Indenture. Each signed copy shall be an original, but all of them together represent the same agreement. This First Supplemental Indenture may be executed in multiple counterparts which, when taken together, shall constitute one instrument.</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01" w:lineRule="exact"/>
        <w:rPr>
          <w:rFonts w:ascii="Arial" w:cs="Arial" w:eastAsia="Arial" w:hAnsi="Arial"/>
          <w:sz w:val="19"/>
          <w:szCs w:val="19"/>
          <w:color w:val="auto"/>
        </w:rPr>
      </w:pPr>
    </w:p>
    <w:p>
      <w:pPr>
        <w:jc w:val="both"/>
        <w:ind w:firstLine="656"/>
        <w:spacing w:after="0" w:line="312" w:lineRule="auto"/>
        <w:tabs>
          <w:tab w:leader="none" w:pos="1296"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Trustee</w:t>
      </w:r>
      <w:r>
        <w:rPr>
          <w:rFonts w:ascii="Arial" w:cs="Arial" w:eastAsia="Arial" w:hAnsi="Arial"/>
          <w:sz w:val="19"/>
          <w:szCs w:val="19"/>
          <w:color w:val="auto"/>
        </w:rPr>
        <w:t>. Except as otherwise expressly provided herein, no duties, responsibilities or liabilities are assumed, or shall be construed to be assumed, by the Trustee by reason of this First Supplemental Indenture. This First Supplemental Indenture is executed and accepted by the Trustee subject to all the terms and conditions set forth in the Indenture.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51" w:name="page52"/>
    <w:bookmarkEnd w:id="51"/>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First Supplemental Indenture to be duly executed and delivered all as of the day and year first above written.</w:t>
      </w:r>
    </w:p>
    <w:p>
      <w:pPr>
        <w:spacing w:after="0" w:line="200" w:lineRule="exact"/>
        <w:rPr>
          <w:sz w:val="20"/>
          <w:szCs w:val="20"/>
          <w:color w:val="auto"/>
        </w:rPr>
      </w:pPr>
    </w:p>
    <w:p>
      <w:pPr>
        <w:spacing w:after="0" w:line="252" w:lineRule="exact"/>
        <w:rPr>
          <w:sz w:val="20"/>
          <w:szCs w:val="20"/>
          <w:color w:val="auto"/>
        </w:rPr>
      </w:pPr>
    </w:p>
    <w:p>
      <w:pPr>
        <w:ind w:left="7340"/>
        <w:spacing w:after="0"/>
        <w:rPr>
          <w:sz w:val="20"/>
          <w:szCs w:val="20"/>
          <w:color w:val="auto"/>
        </w:rPr>
      </w:pPr>
      <w:r>
        <w:rPr>
          <w:rFonts w:ascii="Arial" w:cs="Arial" w:eastAsia="Arial" w:hAnsi="Arial"/>
          <w:sz w:val="22"/>
          <w:szCs w:val="22"/>
          <w:b w:val="1"/>
          <w:bCs w:val="1"/>
          <w:color w:val="auto"/>
        </w:rPr>
        <w:t>COMPANY:</w:t>
      </w:r>
    </w:p>
    <w:p>
      <w:pPr>
        <w:spacing w:after="0" w:line="320"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THE SCOTTS MIRACLE-GRO</w:t>
      </w:r>
    </w:p>
    <w:p>
      <w:pPr>
        <w:spacing w:after="0" w:line="8"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By: /s/ KELLY S.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15875</wp:posOffset>
            </wp:positionV>
            <wp:extent cx="24860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4"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Name: Kelly S. Berry</w:t>
      </w:r>
    </w:p>
    <w:p>
      <w:pPr>
        <w:spacing w:after="0" w:line="12"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Title: Vice President and Corporate</w:t>
      </w:r>
    </w:p>
    <w:p>
      <w:pPr>
        <w:ind w:left="8000"/>
        <w:spacing w:after="0"/>
        <w:rPr>
          <w:sz w:val="20"/>
          <w:szCs w:val="20"/>
          <w:color w:val="auto"/>
        </w:rPr>
      </w:pP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340"/>
        <w:spacing w:after="0"/>
        <w:rPr>
          <w:sz w:val="20"/>
          <w:szCs w:val="20"/>
          <w:color w:val="auto"/>
        </w:rPr>
      </w:pPr>
      <w:r>
        <w:rPr>
          <w:rFonts w:ascii="Arial" w:cs="Arial" w:eastAsia="Arial" w:hAnsi="Arial"/>
          <w:sz w:val="22"/>
          <w:szCs w:val="22"/>
          <w:b w:val="1"/>
          <w:bCs w:val="1"/>
          <w:color w:val="auto"/>
        </w:rPr>
        <w:t>NEW GUARANTOR:</w:t>
      </w:r>
    </w:p>
    <w:p>
      <w:pPr>
        <w:spacing w:after="0" w:line="334"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1868 VENTURES LLC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By: /s/ KELLY S.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15875</wp:posOffset>
            </wp:positionV>
            <wp:extent cx="24860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4"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Name: Kelly S. Berry</w:t>
      </w:r>
    </w:p>
    <w:p>
      <w:pPr>
        <w:spacing w:after="0" w:line="31"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340"/>
        <w:spacing w:after="0"/>
        <w:rPr>
          <w:sz w:val="20"/>
          <w:szCs w:val="20"/>
          <w:color w:val="auto"/>
        </w:rPr>
      </w:pPr>
      <w:r>
        <w:rPr>
          <w:rFonts w:ascii="Arial" w:cs="Arial" w:eastAsia="Arial" w:hAnsi="Arial"/>
          <w:sz w:val="22"/>
          <w:szCs w:val="22"/>
          <w:b w:val="1"/>
          <w:bCs w:val="1"/>
          <w:color w:val="auto"/>
        </w:rPr>
        <w:t>EXISTING GUARANTORS:</w:t>
      </w:r>
    </w:p>
    <w:p>
      <w:pPr>
        <w:spacing w:after="0" w:line="320"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HYPONEX CORPORATION</w:t>
      </w:r>
    </w:p>
    <w:p>
      <w:pPr>
        <w:ind w:left="7340"/>
        <w:spacing w:after="0" w:line="238" w:lineRule="auto"/>
        <w:rPr>
          <w:sz w:val="20"/>
          <w:szCs w:val="20"/>
          <w:color w:val="auto"/>
        </w:rPr>
      </w:pPr>
      <w:r>
        <w:rPr>
          <w:rFonts w:ascii="Arial" w:cs="Arial" w:eastAsia="Arial" w:hAnsi="Arial"/>
          <w:sz w:val="22"/>
          <w:szCs w:val="22"/>
          <w:color w:val="auto"/>
        </w:rPr>
        <w:t>MIRACLE-GRO LAWN PRODUCTS,</w:t>
      </w:r>
    </w:p>
    <w:p>
      <w:pPr>
        <w:ind w:left="7340"/>
        <w:spacing w:after="0" w:line="230" w:lineRule="auto"/>
        <w:rPr>
          <w:sz w:val="20"/>
          <w:szCs w:val="20"/>
          <w:color w:val="auto"/>
        </w:rPr>
      </w:pPr>
      <w:r>
        <w:rPr>
          <w:rFonts w:ascii="Arial" w:cs="Arial" w:eastAsia="Arial" w:hAnsi="Arial"/>
          <w:sz w:val="22"/>
          <w:szCs w:val="22"/>
          <w:color w:val="auto"/>
        </w:rPr>
        <w:t>INC.</w:t>
      </w:r>
    </w:p>
    <w:p>
      <w:pPr>
        <w:ind w:left="7340"/>
        <w:spacing w:after="0" w:line="231" w:lineRule="auto"/>
        <w:rPr>
          <w:sz w:val="20"/>
          <w:szCs w:val="20"/>
          <w:color w:val="auto"/>
        </w:rPr>
      </w:pPr>
      <w:r>
        <w:rPr>
          <w:rFonts w:ascii="Arial" w:cs="Arial" w:eastAsia="Arial" w:hAnsi="Arial"/>
          <w:sz w:val="22"/>
          <w:szCs w:val="22"/>
          <w:color w:val="auto"/>
        </w:rPr>
        <w:t>ROD MCLELLAN COMPANY</w:t>
      </w:r>
    </w:p>
    <w:p>
      <w:pPr>
        <w:ind w:left="7340"/>
        <w:spacing w:after="0" w:line="230" w:lineRule="auto"/>
        <w:rPr>
          <w:sz w:val="20"/>
          <w:szCs w:val="20"/>
          <w:color w:val="auto"/>
        </w:rPr>
      </w:pPr>
      <w:r>
        <w:rPr>
          <w:rFonts w:ascii="Arial" w:cs="Arial" w:eastAsia="Arial" w:hAnsi="Arial"/>
          <w:sz w:val="22"/>
          <w:szCs w:val="22"/>
          <w:color w:val="auto"/>
        </w:rPr>
        <w:t>SANFORD SCIENTIFIC, INC.</w:t>
      </w:r>
    </w:p>
    <w:p>
      <w:pPr>
        <w:spacing w:after="0" w:line="1" w:lineRule="exact"/>
        <w:rPr>
          <w:sz w:val="20"/>
          <w:szCs w:val="20"/>
          <w:color w:val="auto"/>
        </w:rPr>
      </w:pPr>
    </w:p>
    <w:p>
      <w:pPr>
        <w:ind w:left="7340"/>
        <w:spacing w:after="0"/>
        <w:rPr>
          <w:sz w:val="20"/>
          <w:szCs w:val="20"/>
          <w:color w:val="auto"/>
        </w:rPr>
      </w:pPr>
      <w:r>
        <w:rPr>
          <w:rFonts w:ascii="Arial" w:cs="Arial" w:eastAsia="Arial" w:hAnsi="Arial"/>
          <w:sz w:val="21"/>
          <w:szCs w:val="21"/>
          <w:color w:val="auto"/>
        </w:rPr>
        <w:t>SCOTTS MANUFACTURING COMPANY</w:t>
      </w:r>
    </w:p>
    <w:p>
      <w:pPr>
        <w:ind w:left="7340"/>
        <w:spacing w:after="0" w:line="231" w:lineRule="auto"/>
        <w:rPr>
          <w:sz w:val="20"/>
          <w:szCs w:val="20"/>
          <w:color w:val="auto"/>
        </w:rPr>
      </w:pPr>
      <w:r>
        <w:rPr>
          <w:rFonts w:ascii="Arial" w:cs="Arial" w:eastAsia="Arial" w:hAnsi="Arial"/>
          <w:sz w:val="22"/>
          <w:szCs w:val="22"/>
          <w:color w:val="auto"/>
        </w:rPr>
        <w:t>SCOTTS PRODUCTS CO.</w:t>
      </w:r>
    </w:p>
    <w:p>
      <w:pPr>
        <w:spacing w:after="0" w:line="1" w:lineRule="exact"/>
        <w:rPr>
          <w:sz w:val="20"/>
          <w:szCs w:val="20"/>
          <w:color w:val="auto"/>
        </w:rPr>
      </w:pPr>
    </w:p>
    <w:p>
      <w:pPr>
        <w:ind w:left="7340"/>
        <w:spacing w:after="0"/>
        <w:rPr>
          <w:sz w:val="20"/>
          <w:szCs w:val="20"/>
          <w:color w:val="auto"/>
        </w:rPr>
      </w:pPr>
      <w:r>
        <w:rPr>
          <w:rFonts w:ascii="Arial" w:cs="Arial" w:eastAsia="Arial" w:hAnsi="Arial"/>
          <w:sz w:val="21"/>
          <w:szCs w:val="21"/>
          <w:color w:val="auto"/>
        </w:rPr>
        <w:t>SCOTTS PROFESSIONAL PRODUCTS</w:t>
      </w:r>
    </w:p>
    <w:p>
      <w:pPr>
        <w:ind w:left="7340"/>
        <w:spacing w:after="0" w:line="231" w:lineRule="auto"/>
        <w:rPr>
          <w:sz w:val="20"/>
          <w:szCs w:val="20"/>
          <w:color w:val="auto"/>
        </w:rPr>
      </w:pPr>
      <w:r>
        <w:rPr>
          <w:rFonts w:ascii="Arial" w:cs="Arial" w:eastAsia="Arial" w:hAnsi="Arial"/>
          <w:sz w:val="22"/>
          <w:szCs w:val="22"/>
          <w:color w:val="auto"/>
        </w:rPr>
        <w:t>CO.</w:t>
      </w:r>
    </w:p>
    <w:p>
      <w:pPr>
        <w:ind w:left="7340"/>
        <w:spacing w:after="0" w:line="231" w:lineRule="auto"/>
        <w:rPr>
          <w:sz w:val="20"/>
          <w:szCs w:val="20"/>
          <w:color w:val="auto"/>
        </w:rPr>
      </w:pPr>
      <w:r>
        <w:rPr>
          <w:rFonts w:ascii="Arial" w:cs="Arial" w:eastAsia="Arial" w:hAnsi="Arial"/>
          <w:sz w:val="22"/>
          <w:szCs w:val="22"/>
          <w:color w:val="auto"/>
        </w:rPr>
        <w:t>SCOTTS TEMECULA OPERATIONS,</w:t>
      </w:r>
    </w:p>
    <w:p>
      <w:pPr>
        <w:ind w:left="7340"/>
        <w:spacing w:after="0" w:line="231" w:lineRule="auto"/>
        <w:rPr>
          <w:sz w:val="20"/>
          <w:szCs w:val="20"/>
          <w:color w:val="auto"/>
        </w:rPr>
      </w:pPr>
      <w:r>
        <w:rPr>
          <w:rFonts w:ascii="Arial" w:cs="Arial" w:eastAsia="Arial" w:hAnsi="Arial"/>
          <w:sz w:val="22"/>
          <w:szCs w:val="22"/>
          <w:color w:val="auto"/>
        </w:rPr>
        <w:t>LLC</w:t>
      </w:r>
    </w:p>
    <w:p>
      <w:pPr>
        <w:ind w:left="7340"/>
        <w:spacing w:after="0" w:line="230" w:lineRule="auto"/>
        <w:rPr>
          <w:sz w:val="20"/>
          <w:szCs w:val="20"/>
          <w:color w:val="auto"/>
        </w:rPr>
      </w:pPr>
      <w:r>
        <w:rPr>
          <w:rFonts w:ascii="Arial" w:cs="Arial" w:eastAsia="Arial" w:hAnsi="Arial"/>
          <w:sz w:val="22"/>
          <w:szCs w:val="22"/>
          <w:color w:val="auto"/>
        </w:rPr>
        <w:t>SMG GROWING MEDIA, INC.</w:t>
      </w:r>
    </w:p>
    <w:p>
      <w:pPr>
        <w:ind w:left="7340"/>
        <w:spacing w:after="0" w:line="231" w:lineRule="auto"/>
        <w:rPr>
          <w:sz w:val="20"/>
          <w:szCs w:val="20"/>
          <w:color w:val="auto"/>
        </w:rPr>
      </w:pPr>
      <w:r>
        <w:rPr>
          <w:rFonts w:ascii="Arial" w:cs="Arial" w:eastAsia="Arial" w:hAnsi="Arial"/>
          <w:sz w:val="22"/>
          <w:szCs w:val="22"/>
          <w:color w:val="auto"/>
        </w:rPr>
        <w:t>SMGM LLC</w:t>
      </w:r>
    </w:p>
    <w:p>
      <w:pPr>
        <w:ind w:left="7340"/>
        <w:spacing w:after="0"/>
        <w:rPr>
          <w:sz w:val="20"/>
          <w:szCs w:val="20"/>
          <w:color w:val="auto"/>
        </w:rPr>
      </w:pPr>
      <w:r>
        <w:rPr>
          <w:rFonts w:ascii="Arial" w:cs="Arial" w:eastAsia="Arial" w:hAnsi="Arial"/>
          <w:sz w:val="22"/>
          <w:szCs w:val="22"/>
          <w:color w:val="auto"/>
        </w:rPr>
        <w:t>THE SCOTTS COMPANY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By: /s/ AIMEE M. DELUCA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15875</wp:posOffset>
            </wp:positionV>
            <wp:extent cx="24860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4"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Name: Aimee M. DeLuca</w:t>
      </w:r>
    </w:p>
    <w:p>
      <w:pPr>
        <w:spacing w:after="0" w:line="12"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Title: Vice President, Tax and Assistant</w:t>
      </w:r>
    </w:p>
    <w:p>
      <w:pPr>
        <w:ind w:left="800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240"/>
          </w:cols>
          <w:pgMar w:left="320" w:top="1428" w:right="339" w:bottom="143" w:gutter="0" w:footer="0" w:header="0"/>
        </w:sectPr>
      </w:pPr>
    </w:p>
    <w:bookmarkStart w:id="52" w:name="page53"/>
    <w:bookmarkEnd w:id="52"/>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w:t>
      </w:r>
    </w:p>
    <w:p>
      <w:pPr>
        <w:sectPr>
          <w:pgSz w:w="11900" w:h="16838" w:orient="portrait"/>
          <w:cols w:equalWidth="0" w:num="1">
            <w:col w:w="9019"/>
          </w:cols>
          <w:pgMar w:left="1440" w:top="1440" w:right="1440" w:bottom="1440" w:gutter="0" w:footer="0" w:header="0"/>
        </w:sectPr>
      </w:pPr>
    </w:p>
    <w:bookmarkStart w:id="53" w:name="page54"/>
    <w:bookmarkEnd w:id="53"/>
    <w:p>
      <w:pPr>
        <w:spacing w:after="0" w:line="272"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HAWTHORNE HYDROPONICS LLC</w:t>
      </w:r>
    </w:p>
    <w:p>
      <w:pPr>
        <w:ind w:left="6220"/>
        <w:spacing w:after="0" w:line="238" w:lineRule="auto"/>
        <w:rPr>
          <w:sz w:val="20"/>
          <w:szCs w:val="20"/>
          <w:color w:val="auto"/>
        </w:rPr>
      </w:pPr>
      <w:r>
        <w:rPr>
          <w:rFonts w:ascii="Arial" w:cs="Arial" w:eastAsia="Arial" w:hAnsi="Arial"/>
          <w:sz w:val="22"/>
          <w:szCs w:val="22"/>
          <w:color w:val="auto"/>
        </w:rPr>
        <w:t>THE HAWTHORNE GARDENING</w:t>
      </w:r>
    </w:p>
    <w:p>
      <w:pPr>
        <w:ind w:left="6220"/>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By: /s/ ALBERT J.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15875</wp:posOffset>
            </wp:positionV>
            <wp:extent cx="24860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4"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Name: Albert J. Messina</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HGCI,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By: /s/ ALBERT J.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15875</wp:posOffset>
            </wp:positionV>
            <wp:extent cx="24860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4"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Name: Albert J. Messina</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OMS INVESTMENTS, INC.</w:t>
      </w:r>
    </w:p>
    <w:p>
      <w:pPr>
        <w:ind w:left="6220"/>
        <w:spacing w:after="0" w:line="238" w:lineRule="auto"/>
        <w:rPr>
          <w:sz w:val="20"/>
          <w:szCs w:val="20"/>
          <w:color w:val="auto"/>
        </w:rPr>
      </w:pPr>
      <w:r>
        <w:rPr>
          <w:rFonts w:ascii="Arial" w:cs="Arial" w:eastAsia="Arial" w:hAnsi="Arial"/>
          <w:sz w:val="22"/>
          <w:szCs w:val="22"/>
          <w:color w:val="auto"/>
        </w:rPr>
        <w:t>SWISS FARMS PRODUCTS, INC.</w:t>
      </w:r>
    </w:p>
    <w:p>
      <w:pPr>
        <w:ind w:left="6220"/>
        <w:spacing w:after="0"/>
        <w:rPr>
          <w:sz w:val="20"/>
          <w:szCs w:val="20"/>
          <w:color w:val="auto"/>
        </w:rPr>
      </w:pPr>
      <w:r>
        <w:rPr>
          <w:rFonts w:ascii="Arial" w:cs="Arial" w:eastAsia="Arial" w:hAnsi="Arial"/>
          <w:sz w:val="21"/>
          <w:szCs w:val="21"/>
          <w:color w:val="auto"/>
        </w:rPr>
        <w:t>SCOTTS-SIERRA INVESTMENTS LLC</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By: /s/ AIMEE M. DELUCA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15875</wp:posOffset>
            </wp:positionV>
            <wp:extent cx="24860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4"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Name: Aimee M. DeLuca</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9"/>
          <w:szCs w:val="19"/>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GENSOURCE,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By: /s/ KELLY S.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15875</wp:posOffset>
            </wp:positionV>
            <wp:extent cx="24860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4"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Name: Kelly S. Berry</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Title: Treasurer</w:t>
      </w:r>
    </w:p>
    <w:p>
      <w:pPr>
        <w:sectPr>
          <w:pgSz w:w="11900" w:h="16838" w:orient="portrait"/>
          <w:cols w:equalWidth="0" w:num="1">
            <w:col w:w="10040"/>
          </w:cols>
          <w:pgMar w:left="1440" w:top="1440" w:right="419" w:bottom="2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S-2</w:t>
      </w:r>
    </w:p>
    <w:p>
      <w:pPr>
        <w:sectPr>
          <w:pgSz w:w="11900" w:h="16838" w:orient="portrait"/>
          <w:cols w:equalWidth="0" w:num="1">
            <w:col w:w="10040"/>
          </w:cols>
          <w:pgMar w:left="1440" w:top="1440" w:right="419" w:bottom="277" w:gutter="0" w:footer="0" w:header="0"/>
          <w:type w:val="continuous"/>
        </w:sectPr>
      </w:pPr>
    </w:p>
    <w:bookmarkStart w:id="54" w:name="page55"/>
    <w:bookmarkEnd w:id="54"/>
    <w:p>
      <w:pPr>
        <w:spacing w:after="0" w:line="23" w:lineRule="exact"/>
        <w:rPr>
          <w:sz w:val="20"/>
          <w:szCs w:val="20"/>
          <w:color w:val="auto"/>
        </w:rPr>
      </w:pPr>
    </w:p>
    <w:p>
      <w:pPr>
        <w:ind w:left="6220"/>
        <w:spacing w:after="0"/>
        <w:rPr>
          <w:sz w:val="20"/>
          <w:szCs w:val="20"/>
          <w:color w:val="auto"/>
        </w:rPr>
      </w:pPr>
      <w:r>
        <w:rPr>
          <w:rFonts w:ascii="Arial" w:cs="Arial" w:eastAsia="Arial" w:hAnsi="Arial"/>
          <w:sz w:val="22"/>
          <w:szCs w:val="22"/>
          <w:b w:val="1"/>
          <w:bCs w:val="1"/>
          <w:color w:val="auto"/>
        </w:rPr>
        <w:t>TRUSTEE:</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U.S.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By: /s/ KATHERINE ESBER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15875</wp:posOffset>
            </wp:positionV>
            <wp:extent cx="24860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4"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Name: Katherine Esber</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S-3</w:t>
      </w:r>
    </w:p>
    <w:p>
      <w:pPr>
        <w:sectPr>
          <w:pgSz w:w="11900" w:h="16838" w:orient="portrait"/>
          <w:cols w:equalWidth="0" w:num="1">
            <w:col w:w="9880"/>
          </w:cols>
          <w:pgMar w:left="1440" w:top="1440" w:right="57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847090</wp:posOffset>
            </wp:positionV>
            <wp:extent cx="69862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667385</wp:posOffset>
            </wp:positionV>
            <wp:extent cx="69862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THE SCOTTS MIRACLE-GRO COMPANY, as Issuer</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THE GUARANTORS PARTY HERETO, as Guarantors</w:t>
      </w:r>
    </w:p>
    <w:p>
      <w:pPr>
        <w:spacing w:after="0" w:line="23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U.S. BANK NATIONAL ASSOCIATION, as Trustee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_________________</w:t>
      </w:r>
    </w:p>
    <w:p>
      <w:pPr>
        <w:spacing w:after="0" w:line="11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5.250% Senior Notes due 2026</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SECOND SUPPLEMENTAL INDENTURE DATED AS OF</w:t>
      </w:r>
    </w:p>
    <w:p>
      <w:pPr>
        <w:spacing w:after="0" w:line="25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March 24, 2020</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TO THE INDENTURE DATED AS OF</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December 15, 2016</w:t>
      </w:r>
    </w:p>
    <w:p>
      <w:pPr>
        <w:spacing w:after="0" w:line="22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1216025</wp:posOffset>
            </wp:positionV>
            <wp:extent cx="69862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1035685</wp:posOffset>
            </wp:positionV>
            <wp:extent cx="69862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0120"/>
          </w:cols>
          <w:pgMar w:left="1440" w:top="618"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22"/>
          <w:szCs w:val="22"/>
          <w:b w:val="1"/>
          <w:bCs w:val="1"/>
          <w:color w:val="auto"/>
        </w:rPr>
        <w:t>SECOND SUPPLEMENTAL INDENTURE</w:t>
      </w:r>
    </w:p>
    <w:p>
      <w:pPr>
        <w:spacing w:after="0" w:line="2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This SECOND SUPPLEMENTAL INDENTURE, dated as of March 24, 2020 (this “</w:t>
      </w:r>
      <w:r>
        <w:rPr>
          <w:rFonts w:ascii="Arial" w:cs="Arial" w:eastAsia="Arial" w:hAnsi="Arial"/>
          <w:sz w:val="22"/>
          <w:szCs w:val="22"/>
          <w:b w:val="1"/>
          <w:bCs w:val="1"/>
          <w:i w:val="1"/>
          <w:iCs w:val="1"/>
          <w:color w:val="auto"/>
        </w:rPr>
        <w:t>Second Supplemental Indenture</w:t>
      </w:r>
      <w:r>
        <w:rPr>
          <w:rFonts w:ascii="Arial" w:cs="Arial" w:eastAsia="Arial" w:hAnsi="Arial"/>
          <w:sz w:val="22"/>
          <w:szCs w:val="22"/>
          <w:color w:val="auto"/>
        </w:rPr>
        <w:t>”), is by and among The Scotts Miracle-Gro Company, an Ohio corporation (such corporation and any successor,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the existing Guarantors (as defined in the Indenture referred to herein) (the “</w:t>
      </w:r>
      <w:r>
        <w:rPr>
          <w:rFonts w:ascii="Arial" w:cs="Arial" w:eastAsia="Arial" w:hAnsi="Arial"/>
          <w:sz w:val="22"/>
          <w:szCs w:val="22"/>
          <w:b w:val="1"/>
          <w:bCs w:val="1"/>
          <w:i w:val="1"/>
          <w:iCs w:val="1"/>
          <w:color w:val="auto"/>
        </w:rPr>
        <w:t>Existing Guarantors</w:t>
      </w:r>
      <w:r>
        <w:rPr>
          <w:rFonts w:ascii="Arial" w:cs="Arial" w:eastAsia="Arial" w:hAnsi="Arial"/>
          <w:sz w:val="22"/>
          <w:szCs w:val="22"/>
          <w:color w:val="auto"/>
        </w:rPr>
        <w:t>”), 1868 Ventures LLC, an Ohio limited liability company (“</w:t>
      </w:r>
      <w:r>
        <w:rPr>
          <w:rFonts w:ascii="Arial" w:cs="Arial" w:eastAsia="Arial" w:hAnsi="Arial"/>
          <w:sz w:val="22"/>
          <w:szCs w:val="22"/>
          <w:b w:val="1"/>
          <w:bCs w:val="1"/>
          <w:i w:val="1"/>
          <w:iCs w:val="1"/>
          <w:color w:val="auto"/>
        </w:rPr>
        <w:t>New Guarantor</w:t>
      </w:r>
      <w:r>
        <w:rPr>
          <w:rFonts w:ascii="Arial" w:cs="Arial" w:eastAsia="Arial" w:hAnsi="Arial"/>
          <w:sz w:val="22"/>
          <w:szCs w:val="22"/>
          <w:color w:val="auto"/>
        </w:rPr>
        <w:t>”), and U.S. Bank National Association, a national banking association, as trustee under the Indenture referred to herein (such corporation and any successor, the “</w:t>
      </w:r>
      <w:r>
        <w:rPr>
          <w:rFonts w:ascii="Arial" w:cs="Arial" w:eastAsia="Arial" w:hAnsi="Arial"/>
          <w:sz w:val="22"/>
          <w:szCs w:val="22"/>
          <w:b w:val="1"/>
          <w:bCs w:val="1"/>
          <w:i w:val="1"/>
          <w:iCs w:val="1"/>
          <w:color w:val="auto"/>
        </w:rPr>
        <w:t>Trustee</w:t>
      </w:r>
      <w:r>
        <w:rPr>
          <w:rFonts w:ascii="Arial" w:cs="Arial" w:eastAsia="Arial" w:hAnsi="Arial"/>
          <w:sz w:val="22"/>
          <w:szCs w:val="22"/>
          <w:color w:val="auto"/>
        </w:rPr>
        <w:t>”). The New Guarantor and the Existing Guarantors are sometimes referred to collectively herein as the “</w:t>
      </w:r>
      <w:r>
        <w:rPr>
          <w:rFonts w:ascii="Arial" w:cs="Arial" w:eastAsia="Arial" w:hAnsi="Arial"/>
          <w:sz w:val="22"/>
          <w:szCs w:val="22"/>
          <w:b w:val="1"/>
          <w:bCs w:val="1"/>
          <w:i w:val="1"/>
          <w:iCs w:val="1"/>
          <w:color w:val="auto"/>
        </w:rPr>
        <w:t>Guarantors</w:t>
      </w:r>
      <w:r>
        <w:rPr>
          <w:rFonts w:ascii="Arial" w:cs="Arial" w:eastAsia="Arial" w:hAnsi="Arial"/>
          <w:sz w:val="22"/>
          <w:szCs w:val="22"/>
          <w:color w:val="auto"/>
        </w:rPr>
        <w:t>,” or individually as a “</w:t>
      </w:r>
      <w:r>
        <w:rPr>
          <w:rFonts w:ascii="Arial" w:cs="Arial" w:eastAsia="Arial" w:hAnsi="Arial"/>
          <w:sz w:val="22"/>
          <w:szCs w:val="22"/>
          <w:b w:val="1"/>
          <w:bCs w:val="1"/>
          <w:i w:val="1"/>
          <w:iCs w:val="1"/>
          <w:color w:val="auto"/>
        </w:rPr>
        <w:t>Guarantor</w:t>
      </w:r>
      <w:r>
        <w:rPr>
          <w:rFonts w:ascii="Arial" w:cs="Arial" w:eastAsia="Arial" w:hAnsi="Arial"/>
          <w:sz w:val="22"/>
          <w:szCs w:val="22"/>
          <w:color w:val="auto"/>
        </w:rPr>
        <w:t>.” Capitalized terms not otherwise defined in this Second Supplemental Indenture will have the meanings given to them in the Indenture (as defined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the Existing Guarantors and the Trustee are parties to an indenture, dated as of December 15, 2016, as supplemented by that First Supplemental Indenture, dated as of July 17, 2018(the “</w:t>
      </w:r>
      <w:r>
        <w:rPr>
          <w:rFonts w:ascii="Arial" w:cs="Arial" w:eastAsia="Arial" w:hAnsi="Arial"/>
          <w:sz w:val="22"/>
          <w:szCs w:val="22"/>
          <w:b w:val="1"/>
          <w:bCs w:val="1"/>
          <w:i w:val="1"/>
          <w:iCs w:val="1"/>
          <w:color w:val="auto"/>
        </w:rPr>
        <w:t>Indenture</w:t>
      </w:r>
      <w:r>
        <w:rPr>
          <w:rFonts w:ascii="Arial" w:cs="Arial" w:eastAsia="Arial" w:hAnsi="Arial"/>
          <w:sz w:val="22"/>
          <w:szCs w:val="22"/>
          <w:color w:val="auto"/>
        </w:rPr>
        <w:t>”), relating to the Company’s 5.250% Senior Notes due 2026 (the “</w:t>
      </w:r>
      <w:r>
        <w:rPr>
          <w:rFonts w:ascii="Arial" w:cs="Arial" w:eastAsia="Arial" w:hAnsi="Arial"/>
          <w:sz w:val="22"/>
          <w:szCs w:val="22"/>
          <w:b w:val="1"/>
          <w:bCs w:val="1"/>
          <w:i w:val="1"/>
          <w:iCs w:val="1"/>
          <w:color w:val="auto"/>
        </w:rPr>
        <w:t>Securities</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pursuant to Section 9.01(5) of the Indenture, without the consent of any Holders, the Company, when authorized by a Board Resolution, and the Trustee, at any time and from time to time, may enter into one or more supplemental indentures, in form satisfactory to the Trustee, to add any Person as a Guarantor; and</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all conditions precedent provided for in the Indenture relating to this Second Supplemental Indenture have been complied with.</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New Guarantor, the Existing Guarantors, the Company and the Trustee mutually covenant and agree for the equal and ratable benefit of the Holders of the Securities as follows:</w:t>
      </w:r>
    </w:p>
    <w:p>
      <w:pPr>
        <w:spacing w:after="0" w:line="185"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used herein without definition shall have the meanings assigned to them in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Indenture.</w:t>
      </w:r>
    </w:p>
    <w:p>
      <w:pPr>
        <w:spacing w:after="0" w:line="201" w:lineRule="exact"/>
        <w:rPr>
          <w:rFonts w:ascii="Arial" w:cs="Arial" w:eastAsia="Arial" w:hAnsi="Arial"/>
          <w:sz w:val="19"/>
          <w:szCs w:val="19"/>
          <w:color w:val="auto"/>
        </w:rPr>
      </w:pPr>
    </w:p>
    <w:p>
      <w:pPr>
        <w:jc w:val="both"/>
        <w:ind w:firstLine="656"/>
        <w:spacing w:after="0" w:line="294" w:lineRule="auto"/>
        <w:tabs>
          <w:tab w:leader="none" w:pos="1296"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Joinder of New Guarantor</w:t>
      </w:r>
      <w:r>
        <w:rPr>
          <w:rFonts w:ascii="Arial" w:cs="Arial" w:eastAsia="Arial" w:hAnsi="Arial"/>
          <w:sz w:val="19"/>
          <w:szCs w:val="19"/>
          <w:color w:val="auto"/>
        </w:rPr>
        <w:t>. The New Guarantor hereby joins in the Indenture as a “Guarantor” thereunder. The New Guarantor hereby assumes the duties and obligations of Guarantors under the Indenture. The New Guarantor agrees to keep and perform all of the covenants, obligations and conditions of Guarantors under the Indenture, on the terms and subject to the conditions set forth in Article X of the Indenture, and to be bound by all other applicable provisions of the Indenture. Upon request from time to time by the Trustee, the New Guarantor shall execute and deliver to the Trustee a notation relating to the New Guarantor’s Guarantee, substantially in the form attached as Exhibit E to the Indenture.</w:t>
      </w:r>
    </w:p>
    <w:p>
      <w:pPr>
        <w:sectPr>
          <w:pgSz w:w="11900" w:h="16838" w:orient="portrait"/>
          <w:cols w:equalWidth="0" w:num="1">
            <w:col w:w="11240"/>
          </w:cols>
          <w:pgMar w:left="320" w:top="1422" w:right="339" w:bottom="1440" w:gutter="0" w:footer="0" w:header="0"/>
        </w:sectPr>
      </w:pPr>
    </w:p>
    <w:bookmarkStart w:id="57" w:name="page58"/>
    <w:bookmarkEnd w:id="57"/>
    <w:p>
      <w:pPr>
        <w:ind w:firstLine="656"/>
        <w:spacing w:after="0" w:line="263" w:lineRule="auto"/>
        <w:tabs>
          <w:tab w:leader="none" w:pos="1296"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Effect of Second Supplemental Indenture</w:t>
      </w:r>
      <w:r>
        <w:rPr>
          <w:rFonts w:ascii="Arial" w:cs="Arial" w:eastAsia="Arial" w:hAnsi="Arial"/>
          <w:sz w:val="22"/>
          <w:szCs w:val="22"/>
          <w:color w:val="auto"/>
        </w:rPr>
        <w:t>. Except as amended by this Second Supplemental Indenture, the terms and provisions of the Indenture shall remain in full force and effect.</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296"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INTERNAL LAW OF THE STATE OF NEW YORK SHALL GOVERN AND BE USED TO CONSTRUE THIS SECOND SUPPLEMENTAL INDENTURE WITHOUT GIVING EFFECT TO APPLICABLE PRINCIPLES OF CONFLICTS OF LAW TO THE EXTENT THAT THE APPLICATION OF THE LAWS OF ANOTHER JURISDICTION WOULD BE REQUIRED THEREBY.</w:t>
      </w:r>
    </w:p>
    <w:p>
      <w:pPr>
        <w:spacing w:after="0" w:line="187" w:lineRule="exact"/>
        <w:rPr>
          <w:rFonts w:ascii="Arial" w:cs="Arial" w:eastAsia="Arial" w:hAnsi="Arial"/>
          <w:sz w:val="22"/>
          <w:szCs w:val="22"/>
          <w:color w:val="auto"/>
        </w:rPr>
      </w:pPr>
    </w:p>
    <w:p>
      <w:pPr>
        <w:jc w:val="both"/>
        <w:ind w:firstLine="656"/>
        <w:spacing w:after="0" w:line="271" w:lineRule="auto"/>
        <w:tabs>
          <w:tab w:leader="none" w:pos="1296"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The parties may sign any number of copies of this Second Supplemental Indenture. Each signed copy shall be an original, but all of them together represent the same agreement. This Second Supplemental Indenture may be executed in multiple counterparts which, when taken together, shall constitute one instrument.</w:t>
      </w:r>
    </w:p>
    <w:p>
      <w:pPr>
        <w:spacing w:after="0" w:line="167" w:lineRule="exact"/>
        <w:rPr>
          <w:rFonts w:ascii="Arial" w:cs="Arial" w:eastAsia="Arial" w:hAnsi="Arial"/>
          <w:sz w:val="21"/>
          <w:szCs w:val="21"/>
          <w:color w:val="auto"/>
        </w:rPr>
      </w:pPr>
    </w:p>
    <w:p>
      <w:pPr>
        <w:ind w:left="1300" w:hanging="644"/>
        <w:spacing w:after="0"/>
        <w:tabs>
          <w:tab w:leader="none" w:pos="1300"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01" w:lineRule="exact"/>
        <w:rPr>
          <w:rFonts w:ascii="Arial" w:cs="Arial" w:eastAsia="Arial" w:hAnsi="Arial"/>
          <w:sz w:val="19"/>
          <w:szCs w:val="19"/>
          <w:color w:val="auto"/>
        </w:rPr>
      </w:pPr>
    </w:p>
    <w:p>
      <w:pPr>
        <w:jc w:val="both"/>
        <w:ind w:firstLine="656"/>
        <w:spacing w:after="0" w:line="312" w:lineRule="auto"/>
        <w:tabs>
          <w:tab w:leader="none" w:pos="1296"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Trustee</w:t>
      </w:r>
      <w:r>
        <w:rPr>
          <w:rFonts w:ascii="Arial" w:cs="Arial" w:eastAsia="Arial" w:hAnsi="Arial"/>
          <w:sz w:val="19"/>
          <w:szCs w:val="19"/>
          <w:color w:val="auto"/>
        </w:rPr>
        <w:t>. Except as otherwise expressly provided herein, no duties, responsibilities or liabilities are assumed, or shall be construed to be assumed, by the Trustee by reason of this Second Supplemental Indenture. This Second Supplemental Indenture is executed and accepted by the Trustee subject to all the terms and conditions set forth in the Indenture.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58" w:name="page59"/>
    <w:bookmarkEnd w:id="58"/>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Second Supplemental Indenture to be duly executed and delivered all as of the day and year first above written.</w:t>
      </w:r>
    </w:p>
    <w:p>
      <w:pPr>
        <w:spacing w:after="0" w:line="200" w:lineRule="exact"/>
        <w:rPr>
          <w:sz w:val="20"/>
          <w:szCs w:val="20"/>
          <w:color w:val="auto"/>
        </w:rPr>
      </w:pPr>
    </w:p>
    <w:p>
      <w:pPr>
        <w:spacing w:after="0" w:line="252" w:lineRule="exact"/>
        <w:rPr>
          <w:sz w:val="20"/>
          <w:szCs w:val="20"/>
          <w:color w:val="auto"/>
        </w:rPr>
      </w:pPr>
    </w:p>
    <w:p>
      <w:pPr>
        <w:ind w:left="7340"/>
        <w:spacing w:after="0"/>
        <w:rPr>
          <w:sz w:val="20"/>
          <w:szCs w:val="20"/>
          <w:color w:val="auto"/>
        </w:rPr>
      </w:pPr>
      <w:r>
        <w:rPr>
          <w:rFonts w:ascii="Arial" w:cs="Arial" w:eastAsia="Arial" w:hAnsi="Arial"/>
          <w:sz w:val="22"/>
          <w:szCs w:val="22"/>
          <w:b w:val="1"/>
          <w:bCs w:val="1"/>
          <w:color w:val="auto"/>
        </w:rPr>
        <w:t>COMPANY:</w:t>
      </w:r>
    </w:p>
    <w:p>
      <w:pPr>
        <w:spacing w:after="0" w:line="320"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THE SCOTTS MIRACLE-GRO</w:t>
      </w:r>
    </w:p>
    <w:p>
      <w:pPr>
        <w:spacing w:after="0" w:line="8"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By: /s/ KELLY S.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15875</wp:posOffset>
            </wp:positionV>
            <wp:extent cx="24860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4"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Name: Kelly S. Berry</w:t>
      </w:r>
    </w:p>
    <w:p>
      <w:pPr>
        <w:spacing w:after="0" w:line="12"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Title: Vice President and Corporate</w:t>
      </w:r>
    </w:p>
    <w:p>
      <w:pPr>
        <w:ind w:left="8000"/>
        <w:spacing w:after="0"/>
        <w:rPr>
          <w:sz w:val="20"/>
          <w:szCs w:val="20"/>
          <w:color w:val="auto"/>
        </w:rPr>
      </w:pP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340"/>
        <w:spacing w:after="0"/>
        <w:rPr>
          <w:sz w:val="20"/>
          <w:szCs w:val="20"/>
          <w:color w:val="auto"/>
        </w:rPr>
      </w:pPr>
      <w:r>
        <w:rPr>
          <w:rFonts w:ascii="Arial" w:cs="Arial" w:eastAsia="Arial" w:hAnsi="Arial"/>
          <w:sz w:val="22"/>
          <w:szCs w:val="22"/>
          <w:b w:val="1"/>
          <w:bCs w:val="1"/>
          <w:color w:val="auto"/>
        </w:rPr>
        <w:t>NEW GUARANTOR:</w:t>
      </w:r>
    </w:p>
    <w:p>
      <w:pPr>
        <w:spacing w:after="0" w:line="334"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1868 VENTURES LLC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By: /s/ KELLY S.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15875</wp:posOffset>
            </wp:positionV>
            <wp:extent cx="24860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4"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Name: Kelly S. Berry</w:t>
      </w:r>
    </w:p>
    <w:p>
      <w:pPr>
        <w:spacing w:after="0" w:line="31"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340"/>
        <w:spacing w:after="0"/>
        <w:rPr>
          <w:sz w:val="20"/>
          <w:szCs w:val="20"/>
          <w:color w:val="auto"/>
        </w:rPr>
      </w:pPr>
      <w:r>
        <w:rPr>
          <w:rFonts w:ascii="Arial" w:cs="Arial" w:eastAsia="Arial" w:hAnsi="Arial"/>
          <w:sz w:val="22"/>
          <w:szCs w:val="22"/>
          <w:b w:val="1"/>
          <w:bCs w:val="1"/>
          <w:color w:val="auto"/>
        </w:rPr>
        <w:t>EXISTING GUARANTORS:</w:t>
      </w:r>
    </w:p>
    <w:p>
      <w:pPr>
        <w:spacing w:after="0" w:line="320"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HYPONEX CORPORATION</w:t>
      </w:r>
    </w:p>
    <w:p>
      <w:pPr>
        <w:ind w:left="7340"/>
        <w:spacing w:after="0" w:line="238" w:lineRule="auto"/>
        <w:rPr>
          <w:sz w:val="20"/>
          <w:szCs w:val="20"/>
          <w:color w:val="auto"/>
        </w:rPr>
      </w:pPr>
      <w:r>
        <w:rPr>
          <w:rFonts w:ascii="Arial" w:cs="Arial" w:eastAsia="Arial" w:hAnsi="Arial"/>
          <w:sz w:val="22"/>
          <w:szCs w:val="22"/>
          <w:color w:val="auto"/>
        </w:rPr>
        <w:t>MIRACLE-GRO LAWN PRODUCTS,</w:t>
      </w:r>
    </w:p>
    <w:p>
      <w:pPr>
        <w:ind w:left="7340"/>
        <w:spacing w:after="0" w:line="230" w:lineRule="auto"/>
        <w:rPr>
          <w:sz w:val="20"/>
          <w:szCs w:val="20"/>
          <w:color w:val="auto"/>
        </w:rPr>
      </w:pPr>
      <w:r>
        <w:rPr>
          <w:rFonts w:ascii="Arial" w:cs="Arial" w:eastAsia="Arial" w:hAnsi="Arial"/>
          <w:sz w:val="22"/>
          <w:szCs w:val="22"/>
          <w:color w:val="auto"/>
        </w:rPr>
        <w:t>INC.</w:t>
      </w:r>
    </w:p>
    <w:p>
      <w:pPr>
        <w:ind w:left="7340"/>
        <w:spacing w:after="0" w:line="231" w:lineRule="auto"/>
        <w:rPr>
          <w:sz w:val="20"/>
          <w:szCs w:val="20"/>
          <w:color w:val="auto"/>
        </w:rPr>
      </w:pPr>
      <w:r>
        <w:rPr>
          <w:rFonts w:ascii="Arial" w:cs="Arial" w:eastAsia="Arial" w:hAnsi="Arial"/>
          <w:sz w:val="22"/>
          <w:szCs w:val="22"/>
          <w:color w:val="auto"/>
        </w:rPr>
        <w:t>ROD MCLELLAN COMPANY</w:t>
      </w:r>
    </w:p>
    <w:p>
      <w:pPr>
        <w:ind w:left="7340"/>
        <w:spacing w:after="0" w:line="230" w:lineRule="auto"/>
        <w:rPr>
          <w:sz w:val="20"/>
          <w:szCs w:val="20"/>
          <w:color w:val="auto"/>
        </w:rPr>
      </w:pPr>
      <w:r>
        <w:rPr>
          <w:rFonts w:ascii="Arial" w:cs="Arial" w:eastAsia="Arial" w:hAnsi="Arial"/>
          <w:sz w:val="22"/>
          <w:szCs w:val="22"/>
          <w:color w:val="auto"/>
        </w:rPr>
        <w:t>SANFORD SCIENTIFIC, INC.</w:t>
      </w:r>
    </w:p>
    <w:p>
      <w:pPr>
        <w:spacing w:after="0" w:line="1" w:lineRule="exact"/>
        <w:rPr>
          <w:sz w:val="20"/>
          <w:szCs w:val="20"/>
          <w:color w:val="auto"/>
        </w:rPr>
      </w:pPr>
    </w:p>
    <w:p>
      <w:pPr>
        <w:ind w:left="7340"/>
        <w:spacing w:after="0"/>
        <w:rPr>
          <w:sz w:val="20"/>
          <w:szCs w:val="20"/>
          <w:color w:val="auto"/>
        </w:rPr>
      </w:pPr>
      <w:r>
        <w:rPr>
          <w:rFonts w:ascii="Arial" w:cs="Arial" w:eastAsia="Arial" w:hAnsi="Arial"/>
          <w:sz w:val="21"/>
          <w:szCs w:val="21"/>
          <w:color w:val="auto"/>
        </w:rPr>
        <w:t>SCOTTS MANUFACTURING COMPANY</w:t>
      </w:r>
    </w:p>
    <w:p>
      <w:pPr>
        <w:ind w:left="7340"/>
        <w:spacing w:after="0" w:line="231" w:lineRule="auto"/>
        <w:rPr>
          <w:sz w:val="20"/>
          <w:szCs w:val="20"/>
          <w:color w:val="auto"/>
        </w:rPr>
      </w:pPr>
      <w:r>
        <w:rPr>
          <w:rFonts w:ascii="Arial" w:cs="Arial" w:eastAsia="Arial" w:hAnsi="Arial"/>
          <w:sz w:val="22"/>
          <w:szCs w:val="22"/>
          <w:color w:val="auto"/>
        </w:rPr>
        <w:t>SCOTTS PRODUCTS CO.</w:t>
      </w:r>
    </w:p>
    <w:p>
      <w:pPr>
        <w:spacing w:after="0" w:line="1" w:lineRule="exact"/>
        <w:rPr>
          <w:sz w:val="20"/>
          <w:szCs w:val="20"/>
          <w:color w:val="auto"/>
        </w:rPr>
      </w:pPr>
    </w:p>
    <w:p>
      <w:pPr>
        <w:ind w:left="7340"/>
        <w:spacing w:after="0"/>
        <w:rPr>
          <w:sz w:val="20"/>
          <w:szCs w:val="20"/>
          <w:color w:val="auto"/>
        </w:rPr>
      </w:pPr>
      <w:r>
        <w:rPr>
          <w:rFonts w:ascii="Arial" w:cs="Arial" w:eastAsia="Arial" w:hAnsi="Arial"/>
          <w:sz w:val="21"/>
          <w:szCs w:val="21"/>
          <w:color w:val="auto"/>
        </w:rPr>
        <w:t>SCOTTS PROFESSIONAL PRODUCTS</w:t>
      </w:r>
    </w:p>
    <w:p>
      <w:pPr>
        <w:ind w:left="7340"/>
        <w:spacing w:after="0" w:line="231" w:lineRule="auto"/>
        <w:rPr>
          <w:sz w:val="20"/>
          <w:szCs w:val="20"/>
          <w:color w:val="auto"/>
        </w:rPr>
      </w:pPr>
      <w:r>
        <w:rPr>
          <w:rFonts w:ascii="Arial" w:cs="Arial" w:eastAsia="Arial" w:hAnsi="Arial"/>
          <w:sz w:val="22"/>
          <w:szCs w:val="22"/>
          <w:color w:val="auto"/>
        </w:rPr>
        <w:t>CO.</w:t>
      </w:r>
    </w:p>
    <w:p>
      <w:pPr>
        <w:ind w:left="7340"/>
        <w:spacing w:after="0" w:line="231" w:lineRule="auto"/>
        <w:rPr>
          <w:sz w:val="20"/>
          <w:szCs w:val="20"/>
          <w:color w:val="auto"/>
        </w:rPr>
      </w:pPr>
      <w:r>
        <w:rPr>
          <w:rFonts w:ascii="Arial" w:cs="Arial" w:eastAsia="Arial" w:hAnsi="Arial"/>
          <w:sz w:val="22"/>
          <w:szCs w:val="22"/>
          <w:color w:val="auto"/>
        </w:rPr>
        <w:t>SCOTTS TEMECULA OPERATIONS,</w:t>
      </w:r>
    </w:p>
    <w:p>
      <w:pPr>
        <w:ind w:left="7340"/>
        <w:spacing w:after="0" w:line="231" w:lineRule="auto"/>
        <w:rPr>
          <w:sz w:val="20"/>
          <w:szCs w:val="20"/>
          <w:color w:val="auto"/>
        </w:rPr>
      </w:pPr>
      <w:r>
        <w:rPr>
          <w:rFonts w:ascii="Arial" w:cs="Arial" w:eastAsia="Arial" w:hAnsi="Arial"/>
          <w:sz w:val="22"/>
          <w:szCs w:val="22"/>
          <w:color w:val="auto"/>
        </w:rPr>
        <w:t>LLC</w:t>
      </w:r>
    </w:p>
    <w:p>
      <w:pPr>
        <w:ind w:left="7340"/>
        <w:spacing w:after="0" w:line="230" w:lineRule="auto"/>
        <w:rPr>
          <w:sz w:val="20"/>
          <w:szCs w:val="20"/>
          <w:color w:val="auto"/>
        </w:rPr>
      </w:pPr>
      <w:r>
        <w:rPr>
          <w:rFonts w:ascii="Arial" w:cs="Arial" w:eastAsia="Arial" w:hAnsi="Arial"/>
          <w:sz w:val="22"/>
          <w:szCs w:val="22"/>
          <w:color w:val="auto"/>
        </w:rPr>
        <w:t>SMG GROWING MEDIA, INC.</w:t>
      </w:r>
    </w:p>
    <w:p>
      <w:pPr>
        <w:ind w:left="7340"/>
        <w:spacing w:after="0" w:line="231" w:lineRule="auto"/>
        <w:rPr>
          <w:sz w:val="20"/>
          <w:szCs w:val="20"/>
          <w:color w:val="auto"/>
        </w:rPr>
      </w:pPr>
      <w:r>
        <w:rPr>
          <w:rFonts w:ascii="Arial" w:cs="Arial" w:eastAsia="Arial" w:hAnsi="Arial"/>
          <w:sz w:val="22"/>
          <w:szCs w:val="22"/>
          <w:color w:val="auto"/>
        </w:rPr>
        <w:t>SMGM LLC</w:t>
      </w:r>
    </w:p>
    <w:p>
      <w:pPr>
        <w:ind w:left="7340"/>
        <w:spacing w:after="0"/>
        <w:rPr>
          <w:sz w:val="20"/>
          <w:szCs w:val="20"/>
          <w:color w:val="auto"/>
        </w:rPr>
      </w:pPr>
      <w:r>
        <w:rPr>
          <w:rFonts w:ascii="Arial" w:cs="Arial" w:eastAsia="Arial" w:hAnsi="Arial"/>
          <w:sz w:val="22"/>
          <w:szCs w:val="22"/>
          <w:color w:val="auto"/>
        </w:rPr>
        <w:t>THE SCOTTS COMPANY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By: /s/ AIMEE M. DELUCA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15875</wp:posOffset>
            </wp:positionV>
            <wp:extent cx="24860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4"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Name: Aimee M. DeLuca</w:t>
      </w:r>
    </w:p>
    <w:p>
      <w:pPr>
        <w:spacing w:after="0" w:line="12"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Title: Vice President, Tax and Assistant</w:t>
      </w:r>
    </w:p>
    <w:p>
      <w:pPr>
        <w:ind w:left="800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240"/>
          </w:cols>
          <w:pgMar w:left="320" w:top="1428" w:right="339" w:bottom="143" w:gutter="0" w:footer="0" w:header="0"/>
        </w:sectPr>
      </w:pPr>
    </w:p>
    <w:bookmarkStart w:id="59" w:name="page60"/>
    <w:bookmarkEnd w:id="59"/>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w:t>
      </w:r>
    </w:p>
    <w:p>
      <w:pPr>
        <w:sectPr>
          <w:pgSz w:w="11900" w:h="16838" w:orient="portrait"/>
          <w:cols w:equalWidth="0" w:num="1">
            <w:col w:w="9019"/>
          </w:cols>
          <w:pgMar w:left="1440" w:top="1440" w:right="1440" w:bottom="1440" w:gutter="0" w:footer="0" w:header="0"/>
        </w:sectPr>
      </w:pPr>
    </w:p>
    <w:bookmarkStart w:id="60" w:name="page61"/>
    <w:bookmarkEnd w:id="60"/>
    <w:p>
      <w:pPr>
        <w:spacing w:after="0" w:line="272"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HAWTHORNE HYDROPONICS LLC</w:t>
      </w:r>
    </w:p>
    <w:p>
      <w:pPr>
        <w:ind w:left="6220"/>
        <w:spacing w:after="0" w:line="238" w:lineRule="auto"/>
        <w:rPr>
          <w:sz w:val="20"/>
          <w:szCs w:val="20"/>
          <w:color w:val="auto"/>
        </w:rPr>
      </w:pPr>
      <w:r>
        <w:rPr>
          <w:rFonts w:ascii="Arial" w:cs="Arial" w:eastAsia="Arial" w:hAnsi="Arial"/>
          <w:sz w:val="22"/>
          <w:szCs w:val="22"/>
          <w:color w:val="auto"/>
        </w:rPr>
        <w:t>THE HAWTHORNE GARDENING</w:t>
      </w:r>
    </w:p>
    <w:p>
      <w:pPr>
        <w:ind w:left="6220"/>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By: /s/ ALBERT J.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15875</wp:posOffset>
            </wp:positionV>
            <wp:extent cx="24860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4"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Name: Albert J. Messina</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HGCI,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By: /s/ ALBERT J.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15875</wp:posOffset>
            </wp:positionV>
            <wp:extent cx="24860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4"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Name: Albert J. Messina</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OMS INVESTMENTS, INC.</w:t>
      </w:r>
    </w:p>
    <w:p>
      <w:pPr>
        <w:ind w:left="6220"/>
        <w:spacing w:after="0" w:line="238" w:lineRule="auto"/>
        <w:rPr>
          <w:sz w:val="20"/>
          <w:szCs w:val="20"/>
          <w:color w:val="auto"/>
        </w:rPr>
      </w:pPr>
      <w:r>
        <w:rPr>
          <w:rFonts w:ascii="Arial" w:cs="Arial" w:eastAsia="Arial" w:hAnsi="Arial"/>
          <w:sz w:val="22"/>
          <w:szCs w:val="22"/>
          <w:color w:val="auto"/>
        </w:rPr>
        <w:t>SWISS FARMS PRODUCTS, INC.</w:t>
      </w:r>
    </w:p>
    <w:p>
      <w:pPr>
        <w:ind w:left="6220"/>
        <w:spacing w:after="0"/>
        <w:rPr>
          <w:sz w:val="20"/>
          <w:szCs w:val="20"/>
          <w:color w:val="auto"/>
        </w:rPr>
      </w:pPr>
      <w:r>
        <w:rPr>
          <w:rFonts w:ascii="Arial" w:cs="Arial" w:eastAsia="Arial" w:hAnsi="Arial"/>
          <w:sz w:val="21"/>
          <w:szCs w:val="21"/>
          <w:color w:val="auto"/>
        </w:rPr>
        <w:t>SCOTTS-SIERRA INVESTMENTS LLC</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By: /s/ AIMEE M. DELUCA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15875</wp:posOffset>
            </wp:positionV>
            <wp:extent cx="24860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4"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Name: Aimee M. DeLuca</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9"/>
          <w:szCs w:val="19"/>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GENSOURCE,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By: /s/ KELLY S.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15875</wp:posOffset>
            </wp:positionV>
            <wp:extent cx="24860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4"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Name: Kelly S. Berry</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Title: Treasurer</w:t>
      </w:r>
    </w:p>
    <w:p>
      <w:pPr>
        <w:sectPr>
          <w:pgSz w:w="11900" w:h="16838" w:orient="portrait"/>
          <w:cols w:equalWidth="0" w:num="1">
            <w:col w:w="10040"/>
          </w:cols>
          <w:pgMar w:left="1440" w:top="1440" w:right="419" w:bottom="2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S-2</w:t>
      </w:r>
    </w:p>
    <w:p>
      <w:pPr>
        <w:sectPr>
          <w:pgSz w:w="11900" w:h="16838" w:orient="portrait"/>
          <w:cols w:equalWidth="0" w:num="1">
            <w:col w:w="10040"/>
          </w:cols>
          <w:pgMar w:left="1440" w:top="1440" w:right="419" w:bottom="277" w:gutter="0" w:footer="0" w:header="0"/>
          <w:type w:val="continuous"/>
        </w:sectPr>
      </w:pPr>
    </w:p>
    <w:bookmarkStart w:id="61" w:name="page62"/>
    <w:bookmarkEnd w:id="61"/>
    <w:p>
      <w:pPr>
        <w:spacing w:after="0" w:line="23" w:lineRule="exact"/>
        <w:rPr>
          <w:sz w:val="20"/>
          <w:szCs w:val="20"/>
          <w:color w:val="auto"/>
        </w:rPr>
      </w:pPr>
    </w:p>
    <w:p>
      <w:pPr>
        <w:ind w:left="6220"/>
        <w:spacing w:after="0"/>
        <w:rPr>
          <w:sz w:val="20"/>
          <w:szCs w:val="20"/>
          <w:color w:val="auto"/>
        </w:rPr>
      </w:pPr>
      <w:r>
        <w:rPr>
          <w:rFonts w:ascii="Arial" w:cs="Arial" w:eastAsia="Arial" w:hAnsi="Arial"/>
          <w:sz w:val="22"/>
          <w:szCs w:val="22"/>
          <w:b w:val="1"/>
          <w:bCs w:val="1"/>
          <w:color w:val="auto"/>
        </w:rPr>
        <w:t>TRUSTEE:</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U.S.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By: /s/ KATHERINE ESBER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15875</wp:posOffset>
            </wp:positionV>
            <wp:extent cx="24860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4"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Name: Katherine Esber</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S-3</w:t>
      </w:r>
    </w:p>
    <w:p>
      <w:pPr>
        <w:sectPr>
          <w:pgSz w:w="11900" w:h="16838" w:orient="portrait"/>
          <w:cols w:equalWidth="0" w:num="1">
            <w:col w:w="9880"/>
          </w:cols>
          <w:pgMar w:left="1440" w:top="1440" w:right="57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21</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93" w:lineRule="exact"/>
        <w:rPr>
          <w:sz w:val="20"/>
          <w:szCs w:val="20"/>
          <w:color w:val="auto"/>
        </w:rPr>
      </w:pPr>
    </w:p>
    <w:p>
      <w:pPr>
        <w:ind w:right="200"/>
        <w:spacing w:after="0" w:line="324" w:lineRule="auto"/>
        <w:rPr>
          <w:sz w:val="20"/>
          <w:szCs w:val="20"/>
          <w:color w:val="auto"/>
        </w:rPr>
      </w:pPr>
      <w:r>
        <w:rPr>
          <w:rFonts w:ascii="Arial" w:cs="Arial" w:eastAsia="Arial" w:hAnsi="Arial"/>
          <w:sz w:val="18"/>
          <w:szCs w:val="18"/>
          <w:color w:val="auto"/>
        </w:rPr>
        <w:t>Directly owned subsidiaries, as of March 28, 2020, are located at the left margin, each subsidiary tier thereunder is indented. Subsidiaries are listed under the names of their respective parent entities. Unless otherwise noted, the subsidiaries are wholly-owned.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7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2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37"/>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1868 Ventures LLC</w:t>
            </w:r>
          </w:p>
        </w:tc>
        <w:tc>
          <w:tcPr>
            <w:tcW w:w="24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24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24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97"/>
        </w:trPr>
        <w:tc>
          <w:tcPr>
            <w:tcW w:w="8760" w:type="dxa"/>
            <w:vAlign w:val="bottom"/>
            <w:gridSpan w:val="2"/>
          </w:tcPr>
          <w:p>
            <w:pPr>
              <w:ind w:left="160"/>
              <w:spacing w:after="0"/>
              <w:rPr>
                <w:sz w:val="20"/>
                <w:szCs w:val="20"/>
                <w:color w:val="auto"/>
              </w:rPr>
            </w:pPr>
            <w:r>
              <w:rPr>
                <w:rFonts w:ascii="Arial" w:cs="Arial" w:eastAsia="Arial" w:hAnsi="Arial"/>
                <w:sz w:val="18"/>
                <w:szCs w:val="18"/>
                <w:color w:val="auto"/>
              </w:rPr>
              <w:t>Scotts Temecula Operations, LLC</w:t>
            </w:r>
          </w:p>
        </w:tc>
        <w:tc>
          <w:tcPr>
            <w:tcW w:w="24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84"/>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246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Scotts Global Services, Inc.</w:t>
            </w:r>
          </w:p>
        </w:tc>
        <w:tc>
          <w:tcPr>
            <w:tcW w:w="24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Scotts Luxembourg SARL</w:t>
            </w:r>
          </w:p>
        </w:tc>
        <w:tc>
          <w:tcPr>
            <w:tcW w:w="246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24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97"/>
        </w:trPr>
        <w:tc>
          <w:tcPr>
            <w:tcW w:w="8760" w:type="dxa"/>
            <w:vAlign w:val="bottom"/>
            <w:gridSpan w:val="2"/>
          </w:tcPr>
          <w:p>
            <w:pPr>
              <w:ind w:left="160"/>
              <w:spacing w:after="0"/>
              <w:rPr>
                <w:sz w:val="20"/>
                <w:szCs w:val="20"/>
                <w:color w:val="auto"/>
              </w:rPr>
            </w:pPr>
            <w:r>
              <w:rPr>
                <w:rFonts w:ascii="Arial" w:cs="Arial" w:eastAsia="Arial" w:hAnsi="Arial"/>
                <w:sz w:val="18"/>
                <w:szCs w:val="18"/>
                <w:color w:val="auto"/>
              </w:rPr>
              <w:t>Miracle-Gro Lawn Products, Inc.</w:t>
            </w:r>
          </w:p>
        </w:tc>
        <w:tc>
          <w:tcPr>
            <w:tcW w:w="246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83"/>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24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50"/>
        </w:trPr>
        <w:tc>
          <w:tcPr>
            <w:tcW w:w="876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3"/>
                <w:szCs w:val="23"/>
                <w:color w:val="auto"/>
                <w:vertAlign w:val="superscript"/>
              </w:rPr>
              <w:t>1</w:t>
            </w:r>
          </w:p>
        </w:tc>
        <w:tc>
          <w:tcPr>
            <w:tcW w:w="246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24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50"/>
        </w:trPr>
        <w:tc>
          <w:tcPr>
            <w:tcW w:w="876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3"/>
                <w:szCs w:val="23"/>
                <w:color w:val="auto"/>
                <w:vertAlign w:val="superscript"/>
              </w:rPr>
              <w:t>1</w:t>
            </w:r>
          </w:p>
        </w:tc>
        <w:tc>
          <w:tcPr>
            <w:tcW w:w="246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24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50"/>
        </w:trPr>
        <w:tc>
          <w:tcPr>
            <w:tcW w:w="876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3"/>
                <w:szCs w:val="23"/>
                <w:color w:val="auto"/>
                <w:vertAlign w:val="superscript"/>
              </w:rPr>
              <w:t>2</w:t>
            </w:r>
          </w:p>
        </w:tc>
        <w:tc>
          <w:tcPr>
            <w:tcW w:w="246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57"/>
        </w:trPr>
        <w:tc>
          <w:tcPr>
            <w:tcW w:w="8760" w:type="dxa"/>
            <w:vAlign w:val="bottom"/>
            <w:gridSpan w:val="2"/>
          </w:tcPr>
          <w:p>
            <w:pPr>
              <w:ind w:left="160"/>
              <w:spacing w:after="0"/>
              <w:rPr>
                <w:sz w:val="20"/>
                <w:szCs w:val="20"/>
                <w:color w:val="auto"/>
              </w:rPr>
            </w:pPr>
            <w:r>
              <w:rPr>
                <w:rFonts w:ascii="Arial" w:cs="Arial" w:eastAsia="Arial" w:hAnsi="Arial"/>
                <w:sz w:val="18"/>
                <w:szCs w:val="18"/>
                <w:color w:val="auto"/>
              </w:rPr>
              <w:t>Hyponex Corporation</w:t>
            </w:r>
          </w:p>
        </w:tc>
        <w:tc>
          <w:tcPr>
            <w:tcW w:w="24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10"/>
        </w:trPr>
        <w:tc>
          <w:tcPr>
            <w:tcW w:w="8760" w:type="dxa"/>
            <w:vAlign w:val="bottom"/>
            <w:gridSpan w:val="2"/>
          </w:tcPr>
          <w:p>
            <w:pPr>
              <w:ind w:left="160"/>
              <w:spacing w:after="0"/>
              <w:rPr>
                <w:sz w:val="20"/>
                <w:szCs w:val="20"/>
                <w:color w:val="auto"/>
              </w:rPr>
            </w:pPr>
            <w:r>
              <w:rPr>
                <w:rFonts w:ascii="Arial" w:cs="Arial" w:eastAsia="Arial" w:hAnsi="Arial"/>
                <w:sz w:val="18"/>
                <w:szCs w:val="18"/>
                <w:color w:val="auto"/>
              </w:rPr>
              <w:t>Rod McLellan Company</w:t>
            </w:r>
          </w:p>
        </w:tc>
        <w:tc>
          <w:tcPr>
            <w:tcW w:w="246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310"/>
        </w:trPr>
        <w:tc>
          <w:tcPr>
            <w:tcW w:w="876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4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11"/>
        </w:trPr>
        <w:tc>
          <w:tcPr>
            <w:tcW w:w="876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4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10"/>
        </w:trPr>
        <w:tc>
          <w:tcPr>
            <w:tcW w:w="8760" w:type="dxa"/>
            <w:vAlign w:val="bottom"/>
            <w:gridSpan w:val="2"/>
          </w:tcPr>
          <w:p>
            <w:pPr>
              <w:ind w:left="300"/>
              <w:spacing w:after="0"/>
              <w:rPr>
                <w:sz w:val="20"/>
                <w:szCs w:val="20"/>
                <w:color w:val="auto"/>
              </w:rPr>
            </w:pPr>
            <w:r>
              <w:rPr>
                <w:rFonts w:ascii="Arial" w:cs="Arial" w:eastAsia="Arial" w:hAnsi="Arial"/>
                <w:sz w:val="18"/>
                <w:szCs w:val="18"/>
                <w:color w:val="auto"/>
              </w:rPr>
              <w:t>Hawthorne Gardening B.V.</w:t>
            </w:r>
          </w:p>
        </w:tc>
        <w:tc>
          <w:tcPr>
            <w:tcW w:w="24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310"/>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Gavita International B.V.</w:t>
            </w:r>
          </w:p>
        </w:tc>
        <w:tc>
          <w:tcPr>
            <w:tcW w:w="24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310"/>
        </w:trPr>
        <w:tc>
          <w:tcPr>
            <w:tcW w:w="8760" w:type="dxa"/>
            <w:vAlign w:val="bottom"/>
            <w:gridSpan w:val="2"/>
          </w:tcPr>
          <w:p>
            <w:pPr>
              <w:ind w:left="560"/>
              <w:spacing w:after="0"/>
              <w:rPr>
                <w:sz w:val="20"/>
                <w:szCs w:val="20"/>
                <w:color w:val="auto"/>
              </w:rPr>
            </w:pPr>
            <w:r>
              <w:rPr>
                <w:rFonts w:ascii="Arial" w:cs="Arial" w:eastAsia="Arial" w:hAnsi="Arial"/>
                <w:sz w:val="18"/>
                <w:szCs w:val="18"/>
                <w:color w:val="auto"/>
              </w:rPr>
              <w:t>Hawthorne Lighting B.V.</w:t>
            </w:r>
          </w:p>
        </w:tc>
        <w:tc>
          <w:tcPr>
            <w:tcW w:w="24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310"/>
        </w:trPr>
        <w:tc>
          <w:tcPr>
            <w:tcW w:w="8760" w:type="dxa"/>
            <w:vAlign w:val="bottom"/>
            <w:gridSpan w:val="2"/>
          </w:tcPr>
          <w:p>
            <w:pPr>
              <w:ind w:left="700"/>
              <w:spacing w:after="0"/>
              <w:rPr>
                <w:sz w:val="20"/>
                <w:szCs w:val="20"/>
                <w:color w:val="auto"/>
              </w:rPr>
            </w:pPr>
            <w:r>
              <w:rPr>
                <w:rFonts w:ascii="Arial" w:cs="Arial" w:eastAsia="Arial" w:hAnsi="Arial"/>
                <w:sz w:val="18"/>
                <w:szCs w:val="18"/>
                <w:color w:val="auto"/>
              </w:rPr>
              <w:t>Agrolux Nederland B.V.</w:t>
            </w:r>
          </w:p>
        </w:tc>
        <w:tc>
          <w:tcPr>
            <w:tcW w:w="24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310"/>
        </w:trPr>
        <w:tc>
          <w:tcPr>
            <w:tcW w:w="8760" w:type="dxa"/>
            <w:vAlign w:val="bottom"/>
            <w:gridSpan w:val="2"/>
          </w:tcPr>
          <w:p>
            <w:pPr>
              <w:ind w:left="700"/>
              <w:spacing w:after="0"/>
              <w:rPr>
                <w:sz w:val="20"/>
                <w:szCs w:val="20"/>
                <w:color w:val="auto"/>
              </w:rPr>
            </w:pPr>
            <w:r>
              <w:rPr>
                <w:rFonts w:ascii="Arial" w:cs="Arial" w:eastAsia="Arial" w:hAnsi="Arial"/>
                <w:sz w:val="18"/>
                <w:szCs w:val="18"/>
                <w:color w:val="auto"/>
              </w:rPr>
              <w:t>Hawthorne Canada Limited</w:t>
            </w:r>
          </w:p>
        </w:tc>
        <w:tc>
          <w:tcPr>
            <w:tcW w:w="24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310"/>
        </w:trPr>
        <w:tc>
          <w:tcPr>
            <w:tcW w:w="8760" w:type="dxa"/>
            <w:vAlign w:val="bottom"/>
            <w:gridSpan w:val="2"/>
          </w:tcPr>
          <w:p>
            <w:pPr>
              <w:ind w:left="160"/>
              <w:spacing w:after="0"/>
              <w:rPr>
                <w:sz w:val="20"/>
                <w:szCs w:val="20"/>
                <w:color w:val="auto"/>
              </w:rPr>
            </w:pPr>
            <w:r>
              <w:rPr>
                <w:rFonts w:ascii="Arial" w:cs="Arial" w:eastAsia="Arial" w:hAnsi="Arial"/>
                <w:sz w:val="18"/>
                <w:szCs w:val="18"/>
                <w:color w:val="auto"/>
              </w:rPr>
              <w:t>HGCI, Inc.</w:t>
            </w:r>
          </w:p>
        </w:tc>
        <w:tc>
          <w:tcPr>
            <w:tcW w:w="2460" w:type="dxa"/>
            <w:vAlign w:val="bottom"/>
          </w:tcPr>
          <w:p>
            <w:pPr>
              <w:ind w:left="20"/>
              <w:spacing w:after="0"/>
              <w:rPr>
                <w:sz w:val="20"/>
                <w:szCs w:val="20"/>
                <w:color w:val="auto"/>
              </w:rPr>
            </w:pPr>
            <w:r>
              <w:rPr>
                <w:rFonts w:ascii="Arial" w:cs="Arial" w:eastAsia="Arial" w:hAnsi="Arial"/>
                <w:sz w:val="18"/>
                <w:szCs w:val="18"/>
                <w:color w:val="auto"/>
              </w:rPr>
              <w:t>Nevada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w:t>
      </w:r>
    </w:p>
    <w:p>
      <w:pPr>
        <w:ind w:left="120" w:hanging="94"/>
        <w:spacing w:after="0" w:line="218" w:lineRule="auto"/>
        <w:tabs>
          <w:tab w:leader="none" w:pos="1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Scotts Professional Products Co. owns 50% and Scotts Products Co. owns 50%.</w:t>
      </w:r>
    </w:p>
    <w:p>
      <w:pPr>
        <w:ind w:left="20"/>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SMG Growing Media, Inc.’s ownership is 80.5%.</w:t>
      </w:r>
    </w:p>
    <w:p>
      <w:pPr>
        <w:sectPr>
          <w:pgSz w:w="11900" w:h="16838" w:orient="portrait"/>
          <w:cols w:equalWidth="0" w:num="1">
            <w:col w:w="11240"/>
          </w:cols>
          <w:pgMar w:left="320" w:top="364" w:right="339" w:bottom="1440" w:gutter="0" w:footer="0" w:header="0"/>
        </w:sectPr>
      </w:pPr>
    </w:p>
    <w:bookmarkStart w:id="63" w:name="page64"/>
    <w:bookmarkEnd w:id="63"/>
    <w:p>
      <w:pPr>
        <w:ind w:left="20"/>
        <w:spacing w:after="0"/>
        <w:rPr>
          <w:sz w:val="20"/>
          <w:szCs w:val="20"/>
          <w:color w:val="auto"/>
        </w:rPr>
      </w:pPr>
      <w:r>
        <w:rPr>
          <w:rFonts w:ascii="Arial" w:cs="Arial" w:eastAsia="Arial" w:hAnsi="Arial"/>
          <w:sz w:val="18"/>
          <w:szCs w:val="18"/>
          <w:color w:val="auto"/>
        </w:rPr>
        <w:t>SMGM LLC</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Scotts-Sierra Investments LLC</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Scotts Gardening Co., Ltd.</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Scotts Canada Ltd.</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23"/>
          <w:szCs w:val="23"/>
          <w:color w:val="auto"/>
          <w:vertAlign w:val="superscript"/>
        </w:rPr>
        <w:t>3</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23"/>
          <w:szCs w:val="23"/>
          <w:color w:val="auto"/>
          <w:vertAlign w:val="superscript"/>
        </w:rPr>
        <w:t>4</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SMG Germany GmbH</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Scotts Holdings Limited</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Levington Group Limited</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SMG Gardening (UK) Limited</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Scotts Company (Manufacturing) Limited</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Humax Horticulture Limited</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 M Scott International Investments Limited</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Swiss Farms Products,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Scotts Company LLC</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23"/>
          <w:szCs w:val="23"/>
          <w:color w:val="auto"/>
          <w:vertAlign w:val="superscript"/>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ind w:left="100" w:hanging="94"/>
        <w:spacing w:after="0" w:line="218" w:lineRule="auto"/>
        <w:tabs>
          <w:tab w:leader="none" w:pos="10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Scotts Canada Ltd.'s ownership is 50.0%.</w:t>
      </w:r>
    </w:p>
    <w:p>
      <w:pPr>
        <w:ind w:left="100" w:hanging="94"/>
        <w:spacing w:after="0" w:line="183" w:lineRule="auto"/>
        <w:tabs>
          <w:tab w:leader="none" w:pos="100" w:val="left"/>
        </w:tabs>
        <w:numPr>
          <w:ilvl w:val="0"/>
          <w:numId w:val="25"/>
        </w:numPr>
        <w:rPr>
          <w:rFonts w:ascii="Arial" w:cs="Arial" w:eastAsia="Arial" w:hAnsi="Arial"/>
          <w:sz w:val="20"/>
          <w:szCs w:val="20"/>
          <w:color w:val="auto"/>
          <w:vertAlign w:val="superscript"/>
        </w:rPr>
      </w:pPr>
      <w:r>
        <w:rPr>
          <w:rFonts w:ascii="Arial" w:cs="Arial" w:eastAsia="Arial" w:hAnsi="Arial"/>
          <w:sz w:val="16"/>
          <w:szCs w:val="16"/>
          <w:color w:val="auto"/>
        </w:rPr>
        <w:t>The Scotts Company LLC owns 0.5% and Scotts-Sierra Investments LLC owns the remaining 99.5%.</w:t>
      </w:r>
    </w:p>
    <w:p>
      <w:pPr>
        <w:spacing w:after="0"/>
        <w:rPr>
          <w:rFonts w:ascii="Arial" w:cs="Arial" w:eastAsia="Arial" w:hAnsi="Arial"/>
          <w:sz w:val="20"/>
          <w:szCs w:val="20"/>
          <w:color w:val="auto"/>
          <w:vertAlign w:val="superscript"/>
        </w:rPr>
      </w:pPr>
      <w:r>
        <w:rPr>
          <w:rFonts w:ascii="Arial" w:cs="Arial" w:eastAsia="Arial" w:hAnsi="Arial"/>
          <w:sz w:val="23"/>
          <w:szCs w:val="23"/>
          <w:color w:val="auto"/>
          <w:vertAlign w:val="superscript"/>
        </w:rPr>
        <w:t>5</w:t>
      </w:r>
      <w:r>
        <w:rPr>
          <w:rFonts w:ascii="Arial" w:cs="Arial" w:eastAsia="Arial" w:hAnsi="Arial"/>
          <w:sz w:val="18"/>
          <w:szCs w:val="18"/>
          <w:color w:val="auto"/>
        </w:rPr>
        <w:t xml:space="preserve"> The Scotts Miracle-Gro Foundation is a 501(c)(3)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ectPr>
          <w:pgSz w:w="11900" w:h="16838" w:orient="portrait"/>
          <w:cols w:equalWidth="0" w:num="2">
            <w:col w:w="8040" w:space="720"/>
            <w:col w:w="1359"/>
          </w:cols>
          <w:pgMar w:left="340" w:top="949" w:right="1440"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333333"/>
        </w:rPr>
        <w:t>LIST OF GUARANTOR SUBSIDIARIES</w:t>
      </w:r>
    </w:p>
    <w:p>
      <w:pPr>
        <w:spacing w:after="0" w:line="200" w:lineRule="exact"/>
        <w:rPr>
          <w:sz w:val="20"/>
          <w:szCs w:val="20"/>
          <w:color w:val="auto"/>
        </w:rPr>
      </w:pPr>
    </w:p>
    <w:p>
      <w:pPr>
        <w:spacing w:after="0" w:line="228"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333333"/>
        </w:rPr>
        <w:t>The following subsidiaries of The Scotts Miracle-Gro Company (the "Company") were, as of March 28, 2020, guarantors of the Company's 5.250% Senior Notes due 2026 and 4.500% Senior Notes due 2029:</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GUARANTOR SUBSIDIARY</w:t>
            </w:r>
          </w:p>
        </w:tc>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JURISDICTION OF FORMATION</w:t>
            </w:r>
          </w:p>
        </w:tc>
      </w:tr>
      <w:tr>
        <w:trPr>
          <w:trHeight w:val="27"/>
        </w:trPr>
        <w:tc>
          <w:tcPr>
            <w:tcW w:w="55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237"/>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1868 Ventures LLC</w:t>
            </w:r>
          </w:p>
        </w:tc>
        <w:tc>
          <w:tcPr>
            <w:tcW w:w="402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402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Hawthorne Hydroponics LLC</w:t>
            </w:r>
          </w:p>
        </w:tc>
        <w:tc>
          <w:tcPr>
            <w:tcW w:w="40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HGCI, Inc.</w:t>
            </w:r>
          </w:p>
        </w:tc>
        <w:tc>
          <w:tcPr>
            <w:tcW w:w="402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Hyponex Corporation</w:t>
            </w:r>
          </w:p>
        </w:tc>
        <w:tc>
          <w:tcPr>
            <w:tcW w:w="40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Miracle-Gro Lawn Products, Inc.</w:t>
            </w:r>
          </w:p>
        </w:tc>
        <w:tc>
          <w:tcPr>
            <w:tcW w:w="402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40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Rod McLellan Company</w:t>
            </w:r>
          </w:p>
        </w:tc>
        <w:tc>
          <w:tcPr>
            <w:tcW w:w="402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402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40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402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402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Scotts-Sierra Investments LLC</w:t>
            </w:r>
          </w:p>
        </w:tc>
        <w:tc>
          <w:tcPr>
            <w:tcW w:w="40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Scotts Temecula Operations, LLC</w:t>
            </w:r>
          </w:p>
        </w:tc>
        <w:tc>
          <w:tcPr>
            <w:tcW w:w="40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402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SMGM LLC</w:t>
            </w:r>
          </w:p>
        </w:tc>
        <w:tc>
          <w:tcPr>
            <w:tcW w:w="402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Swiss Farms Products, Inc.</w:t>
            </w:r>
          </w:p>
        </w:tc>
        <w:tc>
          <w:tcPr>
            <w:tcW w:w="40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The Hawthorne Gardening Company</w:t>
            </w:r>
          </w:p>
        </w:tc>
        <w:tc>
          <w:tcPr>
            <w:tcW w:w="40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The Scotts Company LLC</w:t>
            </w:r>
          </w:p>
        </w:tc>
        <w:tc>
          <w:tcPr>
            <w:tcW w:w="4020" w:type="dxa"/>
            <w:vAlign w:val="bottom"/>
          </w:tcPr>
          <w:p>
            <w:pPr>
              <w:ind w:left="20"/>
              <w:spacing w:after="0"/>
              <w:rPr>
                <w:sz w:val="20"/>
                <w:szCs w:val="20"/>
                <w:color w:val="auto"/>
              </w:rPr>
            </w:pPr>
            <w:r>
              <w:rPr>
                <w:rFonts w:ascii="Arial" w:cs="Arial" w:eastAsia="Arial" w:hAnsi="Arial"/>
                <w:sz w:val="18"/>
                <w:szCs w:val="18"/>
                <w:color w:val="auto"/>
              </w:rPr>
              <w:t>Ohio</w:t>
            </w:r>
          </w:p>
        </w:tc>
      </w:tr>
    </w:tbl>
    <w:p>
      <w:pPr>
        <w:sectPr>
          <w:pgSz w:w="11900" w:h="16838" w:orient="portrait"/>
          <w:cols w:equalWidth="0" w:num="1">
            <w:col w:w="11240"/>
          </w:cols>
          <w:pgMar w:left="320" w:top="1435"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5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fiscal quarter ended March 28, 2020;</w:t>
      </w:r>
    </w:p>
    <w:p>
      <w:pPr>
        <w:spacing w:after="0" w:line="263"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484"/>
        <w:spacing w:after="0" w:line="263" w:lineRule="auto"/>
        <w:tabs>
          <w:tab w:leader="none" w:pos="113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3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37"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3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60" w:hanging="328"/>
        <w:spacing w:after="0" w:line="308" w:lineRule="auto"/>
        <w:tabs>
          <w:tab w:leader="none" w:pos="51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620" w:hanging="484"/>
        <w:spacing w:after="0" w:line="342" w:lineRule="auto"/>
        <w:tabs>
          <w:tab w:leader="none" w:pos="1137"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484"/>
        <w:spacing w:after="0" w:line="277" w:lineRule="auto"/>
        <w:tabs>
          <w:tab w:leader="none" w:pos="113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5360" w:val="left"/>
          <w:tab w:leader="none" w:pos="598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31750</wp:posOffset>
            </wp:positionV>
            <wp:extent cx="34290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240"/>
          </w:cols>
          <w:pgMar w:left="320" w:top="89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15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fiscal quarter ended March 28, 2020;</w:t>
      </w:r>
    </w:p>
    <w:p>
      <w:pPr>
        <w:spacing w:after="0" w:line="263"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484"/>
        <w:spacing w:after="0" w:line="263" w:lineRule="auto"/>
        <w:tabs>
          <w:tab w:leader="none" w:pos="113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3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37"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3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60" w:hanging="328"/>
        <w:spacing w:after="0" w:line="308" w:lineRule="auto"/>
        <w:tabs>
          <w:tab w:leader="none" w:pos="51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620" w:hanging="484"/>
        <w:spacing w:after="0" w:line="342" w:lineRule="auto"/>
        <w:tabs>
          <w:tab w:leader="none" w:pos="1137"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484"/>
        <w:spacing w:after="0" w:line="277" w:lineRule="auto"/>
        <w:tabs>
          <w:tab w:leader="none" w:pos="113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5320" w:val="left"/>
          <w:tab w:leader="none" w:pos="598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31750</wp:posOffset>
            </wp:positionV>
            <wp:extent cx="34544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240"/>
          </w:cols>
          <w:pgMar w:left="320" w:top="89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fiscal quarter ended March 28, 2020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200" w:hanging="192"/>
        <w:spacing w:after="0"/>
        <w:tabs>
          <w:tab w:leader="none" w:pos="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660" w:right="420" w:hanging="652"/>
        <w:spacing w:after="0" w:line="277" w:lineRule="auto"/>
        <w:tabs>
          <w:tab w:leader="none" w:pos="2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/s/ JAMES HAGEDORN</w:t>
            </w:r>
          </w:p>
        </w:tc>
        <w:tc>
          <w:tcPr>
            <w:tcW w:w="544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4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Printed Name: James Hagedorn</w:t>
            </w:r>
          </w:p>
        </w:tc>
        <w:tc>
          <w:tcPr>
            <w:tcW w:w="544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Title: Chief Executive Officer and Chairman of the Board</w:t>
            </w:r>
          </w:p>
        </w:tc>
        <w:tc>
          <w:tcPr>
            <w:tcW w:w="544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473"/>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May 6, 2020</w:t>
            </w:r>
          </w:p>
        </w:tc>
        <w:tc>
          <w:tcPr>
            <w:tcW w:w="5440" w:type="dxa"/>
            <w:vAlign w:val="bottom"/>
          </w:tcPr>
          <w:p>
            <w:pPr>
              <w:ind w:left="360"/>
              <w:spacing w:after="0"/>
              <w:rPr>
                <w:sz w:val="20"/>
                <w:szCs w:val="20"/>
                <w:color w:val="auto"/>
              </w:rPr>
            </w:pPr>
            <w:r>
              <w:rPr>
                <w:rFonts w:ascii="Arial" w:cs="Arial" w:eastAsia="Arial" w:hAnsi="Arial"/>
                <w:sz w:val="18"/>
                <w:szCs w:val="18"/>
                <w:color w:val="auto"/>
              </w:rPr>
              <w:t>May 6, 2020</w:t>
            </w:r>
          </w:p>
        </w:tc>
      </w:tr>
    </w:tbl>
    <w:p>
      <w:pPr>
        <w:spacing w:after="0" w:line="337" w:lineRule="exact"/>
        <w:rPr>
          <w:sz w:val="20"/>
          <w:szCs w:val="20"/>
          <w:color w:val="auto"/>
        </w:rPr>
      </w:pPr>
    </w:p>
    <w:p>
      <w:pPr>
        <w:ind w:left="700" w:right="100" w:hanging="674"/>
        <w:spacing w:after="0" w:line="273" w:lineRule="auto"/>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lowerRoman"/>
      <w:start w:val="5"/>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3"/>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3"/>
    </w:lvl>
  </w:abstractNum>
  <w:abstractNum w:abstractNumId="22">
    <w:nsid w:val="B03E0C6"/>
    <w:multiLevelType w:val="hybridMultilevel"/>
    <w:lvl w:ilvl="0">
      <w:lvlJc w:val="left"/>
      <w:lvlText w:val="1"/>
      <w:numFmt w:val="bullet"/>
      <w:start w:val="1"/>
    </w:lvl>
  </w:abstractNum>
  <w:abstractNum w:abstractNumId="23">
    <w:nsid w:val="189A769B"/>
    <w:multiLevelType w:val="hybridMultilevel"/>
    <w:lvl w:ilvl="0">
      <w:lvlJc w:val="left"/>
      <w:lvlText w:val="3"/>
      <w:numFmt w:val="bullet"/>
      <w:start w:val="1"/>
    </w:lvl>
  </w:abstractNum>
  <w:abstractNum w:abstractNumId="24">
    <w:nsid w:val="54E49EB4"/>
    <w:multiLevelType w:val="hybridMultilevel"/>
    <w:lvl w:ilvl="0">
      <w:lvlJc w:val="left"/>
      <w:lvlText w:val="4"/>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63" Type="http://schemas.openxmlformats.org/officeDocument/2006/relationships/hyperlink" Target="http://www.sec.gov/Archives/edgar/data/825542/000154638020000006/exhibit10smg12282019q1f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2020-05-06T15:33:57Z</dcterms:created>
  <dcterms:modified xsi:type="dcterms:W3CDTF">2020-05-06T15:33:57Z</dcterms:modified>
</cp:coreProperties>
</file>