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9" w:lineRule="exact"/>
        <w:rPr>
          <w:sz w:val="24"/>
          <w:szCs w:val="24"/>
          <w:color w:val="auto"/>
        </w:rPr>
      </w:pPr>
    </w:p>
    <w:p>
      <w:pPr>
        <w:ind w:left="2145"/>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77" w:lineRule="exact"/>
        <w:rPr>
          <w:sz w:val="24"/>
          <w:szCs w:val="24"/>
          <w:color w:val="auto"/>
        </w:rPr>
      </w:pPr>
    </w:p>
    <w:p>
      <w:pPr>
        <w:ind w:left="2605"/>
        <w:spacing w:after="0"/>
        <w:tabs>
          <w:tab w:leader="none" w:pos="4264"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55"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FORM 8-K/A</w:t>
      </w:r>
    </w:p>
    <w:p>
      <w:pPr>
        <w:spacing w:after="0" w:line="177" w:lineRule="exact"/>
        <w:rPr>
          <w:sz w:val="24"/>
          <w:szCs w:val="24"/>
          <w:color w:val="auto"/>
        </w:rPr>
      </w:pPr>
    </w:p>
    <w:p>
      <w:pPr>
        <w:ind w:left="3065"/>
        <w:spacing w:after="0"/>
        <w:rPr>
          <w:sz w:val="20"/>
          <w:szCs w:val="20"/>
          <w:color w:val="auto"/>
        </w:rPr>
      </w:pPr>
      <w:r>
        <w:rPr>
          <w:rFonts w:ascii="Courier New" w:cs="Courier New" w:eastAsia="Courier New" w:hAnsi="Courier New"/>
          <w:sz w:val="16"/>
          <w:szCs w:val="16"/>
          <w:color w:val="auto"/>
        </w:rPr>
        <w:t>CURRENT REPORT</w:t>
      </w:r>
    </w:p>
    <w:p>
      <w:pPr>
        <w:spacing w:after="0" w:line="355" w:lineRule="exact"/>
        <w:rPr>
          <w:sz w:val="24"/>
          <w:szCs w:val="24"/>
          <w:color w:val="auto"/>
        </w:rPr>
      </w:pPr>
    </w:p>
    <w:p>
      <w:pPr>
        <w:ind w:left="2145"/>
        <w:spacing w:after="0"/>
        <w:rPr>
          <w:sz w:val="20"/>
          <w:szCs w:val="20"/>
          <w:color w:val="auto"/>
        </w:rPr>
      </w:pPr>
      <w:r>
        <w:rPr>
          <w:rFonts w:ascii="Courier New" w:cs="Courier New" w:eastAsia="Courier New" w:hAnsi="Courier New"/>
          <w:sz w:val="16"/>
          <w:szCs w:val="16"/>
          <w:color w:val="auto"/>
        </w:rPr>
        <w:t>Pursuant to Section 13 or 15(d) of</w:t>
      </w:r>
    </w:p>
    <w:p>
      <w:pPr>
        <w:spacing w:after="0" w:line="26" w:lineRule="exact"/>
        <w:rPr>
          <w:sz w:val="24"/>
          <w:szCs w:val="24"/>
          <w:color w:val="auto"/>
        </w:rPr>
      </w:pPr>
    </w:p>
    <w:p>
      <w:pPr>
        <w:ind w:left="2045"/>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49" w:lineRule="exact"/>
        <w:rPr>
          <w:sz w:val="24"/>
          <w:szCs w:val="24"/>
          <w:color w:val="auto"/>
        </w:rPr>
      </w:pPr>
    </w:p>
    <w:p>
      <w:pPr>
        <w:ind w:left="565"/>
        <w:spacing w:after="0"/>
        <w:tabs>
          <w:tab w:leader="none" w:pos="5184" w:val="left"/>
        </w:tabs>
        <w:rPr>
          <w:sz w:val="20"/>
          <w:szCs w:val="20"/>
          <w:color w:val="auto"/>
        </w:rPr>
      </w:pPr>
      <w:r>
        <w:rPr>
          <w:rFonts w:ascii="Courier New" w:cs="Courier New" w:eastAsia="Courier New" w:hAnsi="Courier New"/>
          <w:sz w:val="16"/>
          <w:szCs w:val="16"/>
          <w:color w:val="auto"/>
        </w:rPr>
        <w:t>Date of Report (Date of earliest event reported)</w:t>
      </w:r>
      <w:r>
        <w:rPr>
          <w:sz w:val="20"/>
          <w:szCs w:val="20"/>
          <w:color w:val="auto"/>
        </w:rPr>
        <w:tab/>
      </w:r>
      <w:r>
        <w:rPr>
          <w:rFonts w:ascii="Courier New" w:cs="Courier New" w:eastAsia="Courier New" w:hAnsi="Courier New"/>
          <w:sz w:val="14"/>
          <w:szCs w:val="14"/>
          <w:color w:val="auto"/>
        </w:rPr>
        <w:t>December 16, 1993</w:t>
      </w:r>
    </w:p>
    <w:p>
      <w:pPr>
        <w:spacing w:after="0" w:line="355"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THE SCOTTS COMPANY</w:t>
      </w:r>
    </w:p>
    <w:p>
      <w:pPr>
        <w:spacing w:after="0" w:line="26"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4"/>
          </w:cols>
          <w:pgMar w:left="235" w:top="1440" w:right="1440" w:bottom="0" w:gutter="0" w:footer="0" w:header="0"/>
        </w:sectPr>
      </w:pPr>
    </w:p>
    <w:p>
      <w:pPr>
        <w:spacing w:after="0" w:line="327" w:lineRule="exact"/>
        <w:rPr>
          <w:sz w:val="24"/>
          <w:szCs w:val="24"/>
          <w:color w:val="auto"/>
        </w:rPr>
      </w:pPr>
    </w:p>
    <w:p>
      <w:pPr>
        <w:ind w:left="365"/>
        <w:spacing w:after="0"/>
        <w:rPr>
          <w:sz w:val="20"/>
          <w:szCs w:val="20"/>
          <w:color w:val="auto"/>
        </w:rPr>
      </w:pPr>
      <w:r>
        <w:rPr>
          <w:rFonts w:ascii="Courier New" w:cs="Courier New" w:eastAsia="Courier New" w:hAnsi="Courier New"/>
          <w:sz w:val="16"/>
          <w:szCs w:val="16"/>
          <w:color w:val="auto"/>
        </w:rPr>
        <w:t>Delaware</w:t>
      </w:r>
    </w:p>
    <w:p>
      <w:pPr>
        <w:spacing w:after="0" w:line="23"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(State or other</w:t>
      </w:r>
    </w:p>
    <w:p>
      <w:pPr>
        <w:ind w:left="85"/>
        <w:spacing w:after="0"/>
        <w:rPr>
          <w:sz w:val="20"/>
          <w:szCs w:val="20"/>
          <w:color w:val="auto"/>
        </w:rPr>
      </w:pPr>
      <w:r>
        <w:rPr>
          <w:rFonts w:ascii="Courier New" w:cs="Courier New" w:eastAsia="Courier New" w:hAnsi="Courier New"/>
          <w:sz w:val="14"/>
          <w:szCs w:val="14"/>
          <w:color w:val="auto"/>
        </w:rPr>
        <w:t>jurisdiction of</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0-19768</w:t>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w:t>
      </w:r>
    </w:p>
    <w:p>
      <w:pPr>
        <w:spacing w:after="0" w:line="20"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31-1199481</w:t>
      </w:r>
    </w:p>
    <w:p>
      <w:pPr>
        <w:spacing w:after="0" w:line="23"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rPr>
          <w:sz w:val="20"/>
          <w:szCs w:val="20"/>
          <w:color w:val="auto"/>
        </w:rPr>
      </w:pPr>
      <w:r>
        <w:rPr>
          <w:rFonts w:ascii="Courier New" w:cs="Courier New" w:eastAsia="Courier New" w:hAnsi="Courier New"/>
          <w:sz w:val="14"/>
          <w:szCs w:val="14"/>
          <w:color w:val="auto"/>
        </w:rPr>
        <w:t>Identification No.)</w:t>
      </w:r>
    </w:p>
    <w:p>
      <w:pPr>
        <w:spacing w:after="0" w:line="74" w:lineRule="exact"/>
        <w:rPr>
          <w:sz w:val="24"/>
          <w:szCs w:val="24"/>
          <w:color w:val="auto"/>
        </w:rPr>
      </w:pPr>
    </w:p>
    <w:p>
      <w:pPr>
        <w:sectPr>
          <w:pgSz w:w="11900" w:h="16838" w:orient="portrait"/>
          <w:cols w:equalWidth="0" w:num="3">
            <w:col w:w="2165" w:space="720"/>
            <w:col w:w="1980" w:space="720"/>
            <w:col w:w="4639"/>
          </w:cols>
          <w:pgMar w:left="235" w:top="1440" w:right="1440" w:bottom="0" w:gutter="0" w:footer="0" w:header="0"/>
          <w:type w:val="continuous"/>
        </w:sectPr>
      </w:pPr>
    </w:p>
    <w:p>
      <w:pPr>
        <w:ind w:left="85"/>
        <w:spacing w:after="0"/>
        <w:rPr>
          <w:sz w:val="20"/>
          <w:szCs w:val="20"/>
          <w:color w:val="auto"/>
        </w:rPr>
      </w:pPr>
      <w:r>
        <w:rPr>
          <w:rFonts w:ascii="Courier New" w:cs="Courier New" w:eastAsia="Courier New" w:hAnsi="Courier New"/>
          <w:sz w:val="14"/>
          <w:szCs w:val="14"/>
          <w:color w:val="auto"/>
        </w:rPr>
        <w:t>incorporation)</w:t>
      </w:r>
    </w:p>
    <w:p>
      <w:pPr>
        <w:sectPr>
          <w:pgSz w:w="11900" w:h="16838" w:orient="portrait"/>
          <w:cols w:equalWidth="0" w:num="1">
            <w:col w:w="10224"/>
          </w:cols>
          <w:pgMar w:left="235" w:top="1440" w:right="1440" w:bottom="0" w:gutter="0" w:footer="0" w:header="0"/>
          <w:type w:val="continuous"/>
        </w:sectPr>
      </w:pPr>
    </w:p>
    <w:p>
      <w:pPr>
        <w:spacing w:after="0" w:line="296" w:lineRule="exact"/>
        <w:rPr>
          <w:sz w:val="24"/>
          <w:szCs w:val="24"/>
          <w:color w:val="auto"/>
        </w:rPr>
      </w:pPr>
    </w:p>
    <w:p>
      <w:pPr>
        <w:ind w:left="565" w:right="940"/>
        <w:spacing w:after="0" w:line="425" w:lineRule="auto"/>
        <w:rPr>
          <w:sz w:val="20"/>
          <w:szCs w:val="20"/>
          <w:color w:val="auto"/>
        </w:rPr>
      </w:pPr>
      <w:r>
        <w:rPr>
          <w:rFonts w:ascii="Courier New" w:cs="Courier New" w:eastAsia="Courier New" w:hAnsi="Courier New"/>
          <w:sz w:val="14"/>
          <w:szCs w:val="14"/>
          <w:color w:val="auto"/>
        </w:rPr>
        <w:t>14111 Scottslawn Road, Marysville, Ohio (Address of principal executive offices)</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43041</w:t>
      </w:r>
    </w:p>
    <w:p>
      <w:pPr>
        <w:spacing w:after="0" w:line="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50" w:lineRule="exact"/>
        <w:rPr>
          <w:sz w:val="24"/>
          <w:szCs w:val="24"/>
          <w:color w:val="auto"/>
        </w:rPr>
      </w:pPr>
    </w:p>
    <w:p>
      <w:pPr>
        <w:sectPr>
          <w:pgSz w:w="11900" w:h="16838" w:orient="portrait"/>
          <w:cols w:equalWidth="0" w:num="2">
            <w:col w:w="5225" w:space="720"/>
            <w:col w:w="4279"/>
          </w:cols>
          <w:pgMar w:left="235" w:top="1440" w:right="1440" w:bottom="0" w:gutter="0" w:footer="0" w:header="0"/>
          <w:type w:val="continuous"/>
        </w:sectPr>
      </w:pPr>
    </w:p>
    <w:p>
      <w:pPr>
        <w:ind w:left="645"/>
        <w:spacing w:after="0"/>
        <w:rPr>
          <w:sz w:val="20"/>
          <w:szCs w:val="20"/>
          <w:color w:val="auto"/>
        </w:rPr>
      </w:pPr>
      <w:r>
        <w:rPr>
          <w:rFonts w:ascii="Courier New" w:cs="Courier New" w:eastAsia="Courier New" w:hAnsi="Courier New"/>
          <w:sz w:val="14"/>
          <w:szCs w:val="14"/>
          <w:color w:val="auto"/>
        </w:rPr>
        <w:t>Registrant's telephone number, including area code (513) 644-0011</w:t>
      </w:r>
    </w:p>
    <w:p>
      <w:pPr>
        <w:spacing w:after="0" w:line="378"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Not Applicable</w:t>
      </w:r>
    </w:p>
    <w:p>
      <w:pPr>
        <w:spacing w:after="0" w:line="26"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2785"/>
        <w:spacing w:after="0"/>
        <w:rPr>
          <w:sz w:val="20"/>
          <w:szCs w:val="20"/>
          <w:color w:val="auto"/>
        </w:rPr>
      </w:pPr>
      <w:r>
        <w:rPr>
          <w:rFonts w:ascii="Courier New" w:cs="Courier New" w:eastAsia="Courier New" w:hAnsi="Courier New"/>
          <w:sz w:val="16"/>
          <w:szCs w:val="16"/>
          <w:color w:val="auto"/>
        </w:rPr>
        <w:t>Page 1 of 38 Pages.</w:t>
      </w:r>
    </w:p>
    <w:p>
      <w:pPr>
        <w:spacing w:after="0" w:line="355" w:lineRule="exact"/>
        <w:rPr>
          <w:sz w:val="24"/>
          <w:szCs w:val="24"/>
          <w:color w:val="auto"/>
        </w:rPr>
      </w:pPr>
    </w:p>
    <w:p>
      <w:pPr>
        <w:ind w:left="1945"/>
        <w:spacing w:after="0"/>
        <w:rPr>
          <w:sz w:val="20"/>
          <w:szCs w:val="20"/>
          <w:color w:val="auto"/>
        </w:rPr>
      </w:pPr>
      <w:r>
        <w:rPr>
          <w:rFonts w:ascii="Courier New" w:cs="Courier New" w:eastAsia="Courier New" w:hAnsi="Courier New"/>
          <w:sz w:val="16"/>
          <w:szCs w:val="16"/>
          <w:color w:val="auto"/>
        </w:rPr>
        <w:t>Index to Exhibits located at Page 3-5.</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5" w:right="3439"/>
        <w:spacing w:after="0" w:line="246" w:lineRule="auto"/>
        <w:rPr>
          <w:sz w:val="20"/>
          <w:szCs w:val="20"/>
          <w:color w:val="auto"/>
        </w:rPr>
      </w:pPr>
      <w:r>
        <w:rPr>
          <w:rFonts w:ascii="Courier New" w:cs="Courier New" w:eastAsia="Courier New" w:hAnsi="Courier New"/>
          <w:sz w:val="16"/>
          <w:szCs w:val="16"/>
          <w:color w:val="auto"/>
        </w:rPr>
        <w:t>This Current Report on Form 8-K/A of The Scotts Company (the "Registrant") furnishes the financial statements and the pro forma financial information that were omitted from the Current Report on Form 8-K of the Registrant filed with the Securities and Exchange Commission (the "Commission") on December 30, 1993 (the "Registrant's December 1993 Form 8-K") in accordance with Items 7(a)(4) and 7(b)(2) of Form 8-K which allow the Registrant a 60-day extension of the time for the filing of such financial statements and pro forma financial information. The financial statements and pro forma financial information relate to the acquisition by the Registrant of Grace-Sierra Horticultural Products Company ("Grace-Sierra") as described in Item 2 of the Registrant's December 1993 Form 8-K.</w:t>
      </w:r>
    </w:p>
    <w:p>
      <w:pPr>
        <w:spacing w:after="0" w:line="96" w:lineRule="exact"/>
        <w:rPr>
          <w:sz w:val="24"/>
          <w:szCs w:val="24"/>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7" w:lineRule="exact"/>
        <w:rPr>
          <w:sz w:val="24"/>
          <w:szCs w:val="24"/>
          <w:color w:val="auto"/>
        </w:rPr>
      </w:pPr>
    </w:p>
    <w:p>
      <w:pPr>
        <w:ind w:left="465" w:hanging="465"/>
        <w:spacing w:after="0"/>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the business acquired:</w:t>
      </w:r>
    </w:p>
    <w:p>
      <w:pPr>
        <w:spacing w:after="0" w:line="177" w:lineRule="exact"/>
        <w:rPr>
          <w:sz w:val="24"/>
          <w:szCs w:val="24"/>
          <w:color w:val="auto"/>
        </w:rPr>
      </w:pPr>
    </w:p>
    <w:p>
      <w:pPr>
        <w:ind w:left="465" w:right="4359"/>
        <w:spacing w:after="0" w:line="342" w:lineRule="auto"/>
        <w:rPr>
          <w:sz w:val="20"/>
          <w:szCs w:val="20"/>
          <w:color w:val="auto"/>
        </w:rPr>
      </w:pPr>
      <w:r>
        <w:rPr>
          <w:rFonts w:ascii="Courier New" w:cs="Courier New" w:eastAsia="Courier New" w:hAnsi="Courier New"/>
          <w:sz w:val="16"/>
          <w:szCs w:val="16"/>
          <w:color w:val="auto"/>
        </w:rPr>
        <w:t>Audited Financial Statements of Grace-Sierra Horticultural Products Company:</w:t>
      </w:r>
    </w:p>
    <w:p>
      <w:pPr>
        <w:spacing w:after="0" w:line="20" w:lineRule="exact"/>
        <w:rPr>
          <w:sz w:val="24"/>
          <w:szCs w:val="24"/>
          <w:color w:val="auto"/>
        </w:rPr>
      </w:pPr>
    </w:p>
    <w:p>
      <w:pPr>
        <w:ind w:left="845"/>
        <w:spacing w:after="0"/>
        <w:rPr>
          <w:sz w:val="20"/>
          <w:szCs w:val="20"/>
          <w:color w:val="auto"/>
        </w:rPr>
      </w:pPr>
      <w:r>
        <w:rPr>
          <w:rFonts w:ascii="Courier New" w:cs="Courier New" w:eastAsia="Courier New" w:hAnsi="Courier New"/>
          <w:sz w:val="16"/>
          <w:szCs w:val="16"/>
          <w:color w:val="auto"/>
        </w:rPr>
        <w:t>Reports of Independent Accountants</w:t>
      </w:r>
    </w:p>
    <w:p>
      <w:pPr>
        <w:spacing w:after="0" w:line="177" w:lineRule="exact"/>
        <w:rPr>
          <w:sz w:val="24"/>
          <w:szCs w:val="24"/>
          <w:color w:val="auto"/>
        </w:rPr>
      </w:pPr>
    </w:p>
    <w:p>
      <w:pPr>
        <w:ind w:left="845"/>
        <w:spacing w:after="0"/>
        <w:rPr>
          <w:sz w:val="20"/>
          <w:szCs w:val="20"/>
          <w:color w:val="auto"/>
        </w:rPr>
      </w:pPr>
      <w:r>
        <w:rPr>
          <w:rFonts w:ascii="Courier New" w:cs="Courier New" w:eastAsia="Courier New" w:hAnsi="Courier New"/>
          <w:sz w:val="16"/>
          <w:szCs w:val="16"/>
          <w:color w:val="auto"/>
        </w:rPr>
        <w:t>Consolidated Balance Sheets at December 16, 1993 and</w:t>
      </w:r>
    </w:p>
    <w:p>
      <w:pPr>
        <w:spacing w:after="0" w:line="26" w:lineRule="exact"/>
        <w:rPr>
          <w:sz w:val="24"/>
          <w:szCs w:val="24"/>
          <w:color w:val="auto"/>
        </w:rPr>
      </w:pPr>
    </w:p>
    <w:p>
      <w:pPr>
        <w:ind w:left="845"/>
        <w:spacing w:after="0"/>
        <w:rPr>
          <w:sz w:val="20"/>
          <w:szCs w:val="20"/>
          <w:color w:val="auto"/>
        </w:rPr>
      </w:pPr>
      <w:r>
        <w:rPr>
          <w:rFonts w:ascii="Courier New" w:cs="Courier New" w:eastAsia="Courier New" w:hAnsi="Courier New"/>
          <w:sz w:val="16"/>
          <w:szCs w:val="16"/>
          <w:color w:val="auto"/>
        </w:rPr>
        <w:t>December 31, 1992</w:t>
      </w:r>
    </w:p>
    <w:p>
      <w:pPr>
        <w:sectPr>
          <w:pgSz w:w="11900" w:h="16838" w:orient="portrait"/>
          <w:cols w:equalWidth="0" w:num="1">
            <w:col w:w="10224"/>
          </w:cols>
          <w:pgMar w:left="235" w:top="1440" w:right="1440" w:bottom="0" w:gutter="0" w:footer="0" w:header="0"/>
          <w:type w:val="continuous"/>
        </w:sectPr>
      </w:pPr>
    </w:p>
    <w:bookmarkStart w:id="1" w:name="page2"/>
    <w:bookmarkEnd w:id="1"/>
    <w:p>
      <w:pPr>
        <w:spacing w:after="0" w:line="16"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Consolidated Statements of Operations for the period</w:t>
      </w:r>
    </w:p>
    <w:p>
      <w:pPr>
        <w:spacing w:after="0" w:line="23"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from January 1 to December 16, 1993 and the year ended</w:t>
      </w:r>
    </w:p>
    <w:p>
      <w:pPr>
        <w:ind w:left="845"/>
        <w:spacing w:after="0"/>
        <w:rPr>
          <w:sz w:val="20"/>
          <w:szCs w:val="20"/>
          <w:color w:val="auto"/>
        </w:rPr>
      </w:pPr>
      <w:r>
        <w:rPr>
          <w:rFonts w:ascii="Courier New" w:cs="Courier New" w:eastAsia="Courier New" w:hAnsi="Courier New"/>
          <w:sz w:val="16"/>
          <w:szCs w:val="16"/>
          <w:color w:val="auto"/>
        </w:rPr>
        <w:t>December 31, 1992</w:t>
      </w:r>
    </w:p>
    <w:p>
      <w:pPr>
        <w:spacing w:after="0" w:line="149" w:lineRule="exact"/>
        <w:rPr>
          <w:sz w:val="20"/>
          <w:szCs w:val="20"/>
          <w:color w:val="auto"/>
        </w:rPr>
      </w:pPr>
    </w:p>
    <w:p>
      <w:pPr>
        <w:ind w:left="845" w:right="3619"/>
        <w:spacing w:after="0" w:line="289" w:lineRule="auto"/>
        <w:rPr>
          <w:sz w:val="20"/>
          <w:szCs w:val="20"/>
          <w:color w:val="auto"/>
        </w:rPr>
      </w:pPr>
      <w:r>
        <w:rPr>
          <w:rFonts w:ascii="Courier New" w:cs="Courier New" w:eastAsia="Courier New" w:hAnsi="Courier New"/>
          <w:sz w:val="16"/>
          <w:szCs w:val="16"/>
          <w:color w:val="auto"/>
        </w:rPr>
        <w:t>Consolidated Statements of Changes in Common Shareholders' Deficit for the period from January 1 to December 16, 1993 and the year ended December 31, 1992</w:t>
      </w:r>
    </w:p>
    <w:p>
      <w:pPr>
        <w:spacing w:after="0" w:line="61" w:lineRule="exact"/>
        <w:rPr>
          <w:sz w:val="20"/>
          <w:szCs w:val="20"/>
          <w:color w:val="auto"/>
        </w:rPr>
      </w:pPr>
    </w:p>
    <w:p>
      <w:pPr>
        <w:ind w:left="845" w:right="4079"/>
        <w:spacing w:after="0" w:line="289" w:lineRule="auto"/>
        <w:rPr>
          <w:sz w:val="20"/>
          <w:szCs w:val="20"/>
          <w:color w:val="auto"/>
        </w:rPr>
      </w:pPr>
      <w:r>
        <w:rPr>
          <w:rFonts w:ascii="Courier New" w:cs="Courier New" w:eastAsia="Courier New" w:hAnsi="Courier New"/>
          <w:sz w:val="16"/>
          <w:szCs w:val="16"/>
          <w:color w:val="auto"/>
        </w:rPr>
        <w:t>Consolidated Statements of Cash Flows for the period from January 1 to December 16, 1993 and the year ended December 31, 1992</w:t>
      </w:r>
    </w:p>
    <w:p>
      <w:pPr>
        <w:spacing w:after="0" w:line="61"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ind w:left="465" w:hanging="465"/>
        <w:spacing w:after="0"/>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Consolidated Financial Information (Unaudited)</w:t>
      </w:r>
    </w:p>
    <w:p>
      <w:pPr>
        <w:spacing w:after="0" w:line="176" w:lineRule="exact"/>
        <w:rPr>
          <w:rFonts w:ascii="Courier New" w:cs="Courier New" w:eastAsia="Courier New" w:hAnsi="Courier New"/>
          <w:sz w:val="16"/>
          <w:szCs w:val="16"/>
          <w:color w:val="auto"/>
        </w:rPr>
      </w:pPr>
    </w:p>
    <w:p>
      <w:pPr>
        <w:ind w:left="465" w:right="4079"/>
        <w:spacing w:after="0" w:line="3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Consolidated Statement of Income for the year ended September 30, 1993 (Unaudited)</w:t>
      </w:r>
    </w:p>
    <w:p>
      <w:pPr>
        <w:spacing w:after="0" w:line="20" w:lineRule="exact"/>
        <w:rPr>
          <w:rFonts w:ascii="Courier New" w:cs="Courier New" w:eastAsia="Courier New" w:hAnsi="Courier New"/>
          <w:sz w:val="16"/>
          <w:szCs w:val="16"/>
          <w:color w:val="auto"/>
        </w:rPr>
      </w:pPr>
    </w:p>
    <w:p>
      <w:pPr>
        <w:ind w:left="465" w:right="3799"/>
        <w:spacing w:after="0" w:line="3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to Pro Forma Consolidated Statement of Income for the year ended September 30, 1993 (Unaudited)</w:t>
      </w:r>
    </w:p>
    <w:p>
      <w:pPr>
        <w:spacing w:after="0" w:line="20" w:lineRule="exact"/>
        <w:rPr>
          <w:rFonts w:ascii="Courier New" w:cs="Courier New" w:eastAsia="Courier New" w:hAnsi="Courier New"/>
          <w:sz w:val="16"/>
          <w:szCs w:val="16"/>
          <w:color w:val="auto"/>
        </w:rPr>
      </w:pPr>
    </w:p>
    <w:p>
      <w:pPr>
        <w:ind w:left="465" w:right="3899"/>
        <w:spacing w:after="0" w:line="3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Consolidated Statement of Income for the three months ended January 1, 1994 (Unaudited)</w:t>
      </w:r>
    </w:p>
    <w:p>
      <w:pPr>
        <w:spacing w:after="0" w:line="20" w:lineRule="exact"/>
        <w:rPr>
          <w:rFonts w:ascii="Courier New" w:cs="Courier New" w:eastAsia="Courier New" w:hAnsi="Courier New"/>
          <w:sz w:val="16"/>
          <w:szCs w:val="16"/>
          <w:color w:val="auto"/>
        </w:rPr>
      </w:pPr>
    </w:p>
    <w:p>
      <w:pPr>
        <w:ind w:left="465" w:right="3719"/>
        <w:spacing w:after="0" w:line="3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to Pro Forma Consolidated Statement of Income for the three months ended January 1, 1994 (Unaudited)</w:t>
      </w:r>
    </w:p>
    <w:p>
      <w:pPr>
        <w:spacing w:after="0" w:line="20"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Pro Forma Consolidated Balance Sheet at January 1, 1994 (Unaudited)</w:t>
      </w:r>
    </w:p>
    <w:p>
      <w:pPr>
        <w:spacing w:after="0" w:line="199"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Notes to Pro Forma Consolidated Balance Sheet (Unaudited)</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34" w:lineRule="exact"/>
        <w:rPr>
          <w:sz w:val="20"/>
          <w:szCs w:val="20"/>
          <w:color w:val="auto"/>
        </w:rPr>
      </w:pPr>
    </w:p>
    <w:p>
      <w:pPr>
        <w:ind w:left="5"/>
        <w:spacing w:after="0"/>
        <w:tabs>
          <w:tab w:leader="none" w:pos="1004" w:val="left"/>
        </w:tabs>
        <w:rPr>
          <w:sz w:val="20"/>
          <w:szCs w:val="20"/>
          <w:color w:val="auto"/>
        </w:rPr>
      </w:pPr>
      <w:r>
        <w:rPr>
          <w:rFonts w:ascii="Courier New" w:cs="Courier New" w:eastAsia="Courier New" w:hAnsi="Courier New"/>
          <w:sz w:val="16"/>
          <w:szCs w:val="16"/>
          <w:color w:val="auto"/>
        </w:rPr>
        <w:t>Item 7(c)</w:t>
      </w:r>
      <w:r>
        <w:rPr>
          <w:sz w:val="20"/>
          <w:szCs w:val="20"/>
          <w:color w:val="auto"/>
        </w:rPr>
        <w:tab/>
      </w:r>
      <w:r>
        <w:rPr>
          <w:rFonts w:ascii="Courier New" w:cs="Courier New" w:eastAsia="Courier New" w:hAnsi="Courier New"/>
          <w:sz w:val="14"/>
          <w:szCs w:val="14"/>
          <w:color w:val="auto"/>
        </w:rPr>
        <w:t>Exhibits:</w:t>
      </w:r>
    </w:p>
    <w:p>
      <w:pPr>
        <w:spacing w:after="0" w:line="177" w:lineRule="exact"/>
        <w:rPr>
          <w:sz w:val="20"/>
          <w:szCs w:val="20"/>
          <w:color w:val="auto"/>
        </w:rPr>
      </w:pPr>
    </w:p>
    <w:p>
      <w:pPr>
        <w:ind w:left="5" w:right="4079"/>
        <w:spacing w:after="0" w:line="342" w:lineRule="auto"/>
        <w:rPr>
          <w:sz w:val="20"/>
          <w:szCs w:val="20"/>
          <w:color w:val="auto"/>
        </w:rPr>
      </w:pPr>
      <w:r>
        <w:rPr>
          <w:rFonts w:ascii="Courier New" w:cs="Courier New" w:eastAsia="Courier New" w:hAnsi="Courier New"/>
          <w:sz w:val="16"/>
          <w:szCs w:val="16"/>
          <w:color w:val="auto"/>
        </w:rPr>
        <w:t>The following documents were filed as exhibits to the Registrant's December 1993 Form 8-K:</w:t>
      </w:r>
    </w:p>
    <w:p>
      <w:pPr>
        <w:spacing w:after="0" w:line="20" w:lineRule="exact"/>
        <w:rPr>
          <w:sz w:val="20"/>
          <w:szCs w:val="20"/>
          <w:color w:val="auto"/>
        </w:rPr>
      </w:pPr>
    </w:p>
    <w:tbl>
      <w:tblPr>
        <w:tblLayout w:type="fixed"/>
        <w:tblInd w:w="1025" w:type="dxa"/>
        <w:tblCellMar>
          <w:top w:w="0" w:type="dxa"/>
          <w:left w:w="0" w:type="dxa"/>
          <w:bottom w:w="0" w:type="dxa"/>
          <w:right w:w="0" w:type="dxa"/>
        </w:tblCellMar>
      </w:tblPr>
      <w:tr>
        <w:trPr>
          <w:trHeight w:val="261"/>
        </w:trPr>
        <w:tc>
          <w:tcPr>
            <w:tcW w:w="158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3340" w:type="dxa"/>
            <w:vAlign w:val="bottom"/>
          </w:tcPr>
          <w:p>
            <w:pPr>
              <w:ind w:left="1120"/>
              <w:spacing w:after="0"/>
              <w:rPr>
                <w:sz w:val="20"/>
                <w:szCs w:val="20"/>
                <w:color w:val="auto"/>
              </w:rPr>
            </w:pPr>
            <w:r>
              <w:rPr>
                <w:rFonts w:ascii="Courier New" w:cs="Courier New" w:eastAsia="Courier New" w:hAnsi="Courier New"/>
                <w:sz w:val="16"/>
                <w:szCs w:val="16"/>
                <w:color w:val="auto"/>
              </w:rPr>
              <w:t>Description</w:t>
            </w:r>
          </w:p>
        </w:tc>
      </w:tr>
      <w:tr>
        <w:trPr>
          <w:trHeight w:val="276"/>
        </w:trPr>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2(a)</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Plan of Merger of ZXY Corp.</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into Grace-Sierra</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Horticultural Products</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Company, dated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October 24, 1993</w:t>
            </w:r>
          </w:p>
        </w:tc>
      </w:tr>
      <w:tr>
        <w:trPr>
          <w:trHeight w:val="276"/>
        </w:trPr>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2(b)</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First Amendment to Plan of</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Merger of ZXY Corp. into</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Grace-Sierra Horticultural</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Products Company, dated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November 22, 1993</w:t>
            </w:r>
          </w:p>
        </w:tc>
      </w:tr>
      <w:tr>
        <w:trPr>
          <w:trHeight w:val="276"/>
        </w:trPr>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2(c)</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Second Amendment to Plan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of Merger of ZXY Corp.</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into Grace-Sierra</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Horticultural Products</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Company, dated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December 15, 1993</w:t>
            </w:r>
          </w:p>
        </w:tc>
      </w:tr>
      <w:tr>
        <w:trPr>
          <w:trHeight w:val="276"/>
        </w:trPr>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2(d)</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Letter Agreement, dated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October 24, 1993, between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The Scotts Company (the</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"Registrant") and W. R.</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Grace &amp; Co. - Conn.</w:t>
            </w:r>
          </w:p>
        </w:tc>
      </w:tr>
      <w:tr>
        <w:trPr>
          <w:trHeight w:val="276"/>
        </w:trPr>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2(e)</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w w:val="95"/>
              </w:rPr>
              <w:t>Amendment to Letter Agreement,</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dated November 22, 1993,</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between the Registrant and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W. R. Grace &amp; Co. - Conn.</w:t>
            </w:r>
          </w:p>
        </w:tc>
      </w:tr>
      <w:tr>
        <w:trPr>
          <w:trHeight w:val="276"/>
        </w:trPr>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2(f)</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Second Amendment to</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Letter Agreement, dated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December 15, 1993, between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the Registrant and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W. R. Grace &amp; Co. - Conn.</w:t>
            </w:r>
          </w:p>
        </w:tc>
      </w:tr>
      <w:tr>
        <w:trPr>
          <w:trHeight w:val="276"/>
        </w:trPr>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2(g)</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Agreement of Merger of</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ZXY Corp. and Grace-Sierra</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Horticultural Products</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Company, dated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December 16, 1993</w:t>
            </w:r>
          </w:p>
        </w:tc>
      </w:tr>
      <w:tr>
        <w:trPr>
          <w:trHeight w:val="276"/>
        </w:trPr>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4(a)</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Third Amendment to Credit</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Agreement, dated December 16,</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1993, among the Registrant,</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The O. M. Scott &amp; Sons</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Company ("Scott"), the banks</w:t>
            </w:r>
          </w:p>
        </w:tc>
      </w:tr>
    </w:tbl>
    <w:p>
      <w:pPr>
        <w:sectPr>
          <w:pgSz w:w="11900" w:h="16854" w:orient="portrait"/>
          <w:cols w:equalWidth="0" w:num="1">
            <w:col w:w="10224"/>
          </w:cols>
          <w:pgMar w:left="235" w:top="114" w:right="1440" w:bottom="0" w:gutter="0" w:footer="0" w:header="0"/>
        </w:sectPr>
      </w:pPr>
    </w:p>
    <w:bookmarkStart w:id="2" w:name="page3"/>
    <w:bookmarkEnd w:id="2"/>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listed therein and Chemical</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Bank, as agent (the "Third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Agreement")</w:t>
            </w:r>
          </w:p>
        </w:tc>
      </w:tr>
      <w:tr>
        <w:trPr>
          <w:trHeight w:val="537"/>
        </w:trPr>
        <w:tc>
          <w:tcPr>
            <w:tcW w:w="1580" w:type="dxa"/>
            <w:vAlign w:val="bottom"/>
          </w:tcPr>
          <w:p>
            <w:pPr>
              <w:spacing w:after="0"/>
              <w:rPr>
                <w:sz w:val="24"/>
                <w:szCs w:val="24"/>
                <w:color w:val="auto"/>
              </w:rPr>
            </w:pPr>
          </w:p>
        </w:tc>
        <w:tc>
          <w:tcPr>
            <w:tcW w:w="3340" w:type="dxa"/>
            <w:vAlign w:val="bottom"/>
          </w:tcPr>
          <w:p>
            <w:pPr>
              <w:ind w:left="740"/>
              <w:spacing w:after="0"/>
              <w:rPr>
                <w:sz w:val="20"/>
                <w:szCs w:val="20"/>
                <w:color w:val="auto"/>
              </w:rPr>
            </w:pPr>
            <w:r>
              <w:rPr>
                <w:rFonts w:ascii="Courier New" w:cs="Courier New" w:eastAsia="Courier New" w:hAnsi="Courier New"/>
                <w:sz w:val="16"/>
                <w:szCs w:val="16"/>
                <w:color w:val="auto"/>
              </w:rPr>
              <w:t>3</w:t>
            </w:r>
          </w:p>
        </w:tc>
      </w:tr>
      <w:tr>
        <w:trPr>
          <w:trHeight w:val="71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6"/>
              </w:rPr>
              <w:t>Exhibit No.</w:t>
            </w:r>
          </w:p>
        </w:tc>
        <w:tc>
          <w:tcPr>
            <w:tcW w:w="3340" w:type="dxa"/>
            <w:vAlign w:val="bottom"/>
          </w:tcPr>
          <w:p>
            <w:pPr>
              <w:ind w:left="1120"/>
              <w:spacing w:after="0"/>
              <w:rPr>
                <w:sz w:val="20"/>
                <w:szCs w:val="20"/>
                <w:color w:val="auto"/>
              </w:rPr>
            </w:pPr>
            <w:r>
              <w:rPr>
                <w:rFonts w:ascii="Courier New" w:cs="Courier New" w:eastAsia="Courier New" w:hAnsi="Courier New"/>
                <w:sz w:val="16"/>
                <w:szCs w:val="16"/>
                <w:color w:val="auto"/>
              </w:rPr>
              <w:t>Description</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99(a)</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w w:val="95"/>
              </w:rPr>
              <w:t>Separate Term Loan Notes dated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February 23, 1993, executed by</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the Registrant and Scott,</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jointly and severally, in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favor of the banks identified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therein, in connection with</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the Third Amendment</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99(b)</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Separate Revolving Credit</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Notes, dated February 23,</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1993, in favor of the banks</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identified therein and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executed by the Registrant and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Scott, in connection with the</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Third Amendment</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99(c)</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Swing Line Note, dated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December 16, 1993, and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executed by Scott in favor of</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Chemical Bank, as agent, in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connection with the Third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Amendment</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99(d)</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Scotts-Sierra Horticultural</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Products Company ("SSHPC")</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Security Agreement, dated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December 16, 1993, executed by</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SSHPC and Chemical Bank, as</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agent, in connection with the</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Third Amendment</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99(e)</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w w:val="99"/>
              </w:rPr>
              <w:t>Scotts-Sierra Crop Protection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Company ("SSCPC") Security</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Agreement, dated December 16,</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1993, executed by SSCPC and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Chemical Bank, as agent, in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connection with the Third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Amendment</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99(f)</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SSHPC Patent and Trademark</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Assignment, dated December 16,</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1993, executed by SSHPC and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Chemical Bank, as agent, in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connection with the Third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Agreement</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99(g)</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SSCPC Patent and Trademark</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Assignment, dated December 16,</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1993, executed by SSCPC and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Chemical Bank, as agent, in</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connection with the Third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Amendment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80" w:type="dxa"/>
            <w:vAlign w:val="bottom"/>
          </w:tcPr>
          <w:p>
            <w:pPr>
              <w:spacing w:after="0"/>
              <w:rPr>
                <w:sz w:val="22"/>
                <w:szCs w:val="22"/>
                <w:color w:val="auto"/>
              </w:rPr>
            </w:pPr>
          </w:p>
        </w:tc>
        <w:tc>
          <w:tcPr>
            <w:tcW w:w="3340" w:type="dxa"/>
            <w:vAlign w:val="bottom"/>
          </w:tcPr>
          <w:p>
            <w:pPr>
              <w:ind w:left="740"/>
              <w:spacing w:after="0"/>
              <w:rPr>
                <w:sz w:val="20"/>
                <w:szCs w:val="20"/>
                <w:color w:val="auto"/>
              </w:rPr>
            </w:pPr>
            <w:r>
              <w:rPr>
                <w:rFonts w:ascii="Courier New" w:cs="Courier New" w:eastAsia="Courier New" w:hAnsi="Courier New"/>
                <w:sz w:val="16"/>
                <w:szCs w:val="16"/>
                <w:color w:val="auto"/>
              </w:rPr>
              <w:t>4</w:t>
            </w:r>
          </w:p>
        </w:tc>
      </w:tr>
      <w:tr>
        <w:trPr>
          <w:trHeight w:val="71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6"/>
              </w:rPr>
              <w:t>Exhibit No.</w:t>
            </w:r>
          </w:p>
        </w:tc>
        <w:tc>
          <w:tcPr>
            <w:tcW w:w="3340" w:type="dxa"/>
            <w:vAlign w:val="bottom"/>
          </w:tcPr>
          <w:p>
            <w:pPr>
              <w:ind w:left="1120"/>
              <w:spacing w:after="0"/>
              <w:rPr>
                <w:sz w:val="20"/>
                <w:szCs w:val="20"/>
                <w:color w:val="auto"/>
              </w:rPr>
            </w:pPr>
            <w:r>
              <w:rPr>
                <w:rFonts w:ascii="Courier New" w:cs="Courier New" w:eastAsia="Courier New" w:hAnsi="Courier New"/>
                <w:sz w:val="16"/>
                <w:szCs w:val="16"/>
                <w:color w:val="auto"/>
              </w:rPr>
              <w:t>Description</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99(h)</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Subsidiary Pledge Agreement,</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dated December 16, 1993,</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executed by SSHPC and Chemical</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Bank, as agent, in connection</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with the Third Amendment</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99(i)</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w w:val="99"/>
              </w:rPr>
              <w:t>Netherlands Pledge Agreement,</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dated December 16, 1993,</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executed by SSHPC and Chemical</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Bank, as agent, in connection</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with the Third Amendment</w:t>
            </w:r>
          </w:p>
        </w:tc>
      </w:tr>
      <w:tr>
        <w:trPr>
          <w:trHeight w:val="276"/>
        </w:trPr>
        <w:tc>
          <w:tcPr>
            <w:tcW w:w="158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99(j)</w:t>
            </w: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Second Amended and Restated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Subsidiaries Guarantee, dated</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December 16, 1993, executed by</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related entities of the</w:t>
            </w:r>
          </w:p>
        </w:tc>
      </w:tr>
      <w:tr>
        <w:trPr>
          <w:trHeight w:val="179"/>
        </w:trPr>
        <w:tc>
          <w:tcPr>
            <w:tcW w:w="1580" w:type="dxa"/>
            <w:vAlign w:val="bottom"/>
          </w:tcPr>
          <w:p>
            <w:pPr>
              <w:spacing w:after="0"/>
              <w:rPr>
                <w:sz w:val="15"/>
                <w:szCs w:val="15"/>
                <w:color w:val="auto"/>
              </w:rPr>
            </w:pPr>
          </w:p>
        </w:tc>
        <w:tc>
          <w:tcPr>
            <w:tcW w:w="33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Registrant and Scott as listed</w:t>
            </w:r>
          </w:p>
        </w:tc>
      </w:tr>
      <w:tr>
        <w:trPr>
          <w:trHeight w:val="261"/>
        </w:trPr>
        <w:tc>
          <w:tcPr>
            <w:tcW w:w="1580" w:type="dxa"/>
            <w:vAlign w:val="bottom"/>
          </w:tcPr>
          <w:p>
            <w:pPr>
              <w:spacing w:after="0"/>
              <w:rPr>
                <w:sz w:val="22"/>
                <w:szCs w:val="22"/>
                <w:color w:val="auto"/>
              </w:rPr>
            </w:pPr>
          </w:p>
        </w:tc>
        <w:tc>
          <w:tcPr>
            <w:tcW w:w="3340" w:type="dxa"/>
            <w:vAlign w:val="bottom"/>
          </w:tcPr>
          <w:p>
            <w:pPr>
              <w:ind w:left="560"/>
              <w:spacing w:after="0"/>
              <w:rPr>
                <w:sz w:val="20"/>
                <w:szCs w:val="20"/>
                <w:color w:val="auto"/>
              </w:rPr>
            </w:pPr>
            <w:r>
              <w:rPr>
                <w:rFonts w:ascii="Courier New" w:cs="Courier New" w:eastAsia="Courier New" w:hAnsi="Courier New"/>
                <w:sz w:val="16"/>
                <w:szCs w:val="16"/>
                <w:color w:val="auto"/>
              </w:rPr>
              <w:t>therein, SSHPC and SSCPC, in</w:t>
            </w:r>
          </w:p>
        </w:tc>
      </w:tr>
    </w:tbl>
    <w:p>
      <w:pPr>
        <w:sectPr>
          <w:pgSz w:w="11900" w:h="16854" w:orient="portrait"/>
          <w:cols w:equalWidth="0" w:num="1">
            <w:col w:w="9199"/>
          </w:cols>
          <w:pgMar w:left="1260" w:top="111" w:right="1440" w:bottom="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6"/>
          <w:szCs w:val="16"/>
          <w:color w:val="auto"/>
        </w:rPr>
        <w:t>connection with the Third</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Amendment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documents are being filed as additional exhibits to this</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 Report on Form 8-K/A:</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2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23(a)</w:t>
            </w:r>
          </w:p>
        </w:tc>
        <w:tc>
          <w:tcPr>
            <w:tcW w:w="1400" w:type="dxa"/>
            <w:vAlign w:val="bottom"/>
          </w:tcPr>
          <w:p>
            <w:pPr>
              <w:ind w:left="7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Price Waterhouse</w:t>
            </w:r>
          </w:p>
        </w:tc>
      </w:tr>
      <w:tr>
        <w:trPr>
          <w:trHeight w:val="358"/>
        </w:trPr>
        <w:tc>
          <w:tcPr>
            <w:tcW w:w="1160" w:type="dxa"/>
            <w:vAlign w:val="bottom"/>
          </w:tcPr>
          <w:p>
            <w:pPr>
              <w:spacing w:after="0"/>
              <w:rPr>
                <w:sz w:val="20"/>
                <w:szCs w:val="20"/>
                <w:color w:val="auto"/>
              </w:rPr>
            </w:pPr>
            <w:r>
              <w:rPr>
                <w:rFonts w:ascii="Courier New" w:cs="Courier New" w:eastAsia="Courier New" w:hAnsi="Courier New"/>
                <w:sz w:val="16"/>
                <w:szCs w:val="16"/>
                <w:color w:val="auto"/>
              </w:rPr>
              <w:t>23(b)</w:t>
            </w:r>
          </w:p>
        </w:tc>
        <w:tc>
          <w:tcPr>
            <w:tcW w:w="1400" w:type="dxa"/>
            <w:vAlign w:val="bottom"/>
          </w:tcPr>
          <w:p>
            <w:pPr>
              <w:ind w:left="70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w w:val="95"/>
              </w:rPr>
              <w:t>Coopers &amp; Lybrand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899"/>
        <w:spacing w:after="0" w:line="28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tabs>
          <w:tab w:leader="none" w:pos="720" w:val="left"/>
          <w:tab w:leader="none" w:pos="304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February 28, 1994</w:t>
      </w:r>
      <w:r>
        <w:rPr>
          <w:sz w:val="20"/>
          <w:szCs w:val="20"/>
          <w:color w:val="auto"/>
        </w:rPr>
        <w:tab/>
      </w:r>
      <w:r>
        <w:rPr>
          <w:rFonts w:ascii="Courier New" w:cs="Courier New" w:eastAsia="Courier New" w:hAnsi="Courier New"/>
          <w:sz w:val="14"/>
          <w:szCs w:val="14"/>
          <w:color w:val="auto"/>
        </w:rPr>
        <w:t>THE SCOTTS COMPANY</w:t>
      </w:r>
    </w:p>
    <w:p>
      <w:pPr>
        <w:spacing w:after="0" w:line="35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Paul D. Yeager</w:t>
      </w:r>
    </w:p>
    <w:p>
      <w:pPr>
        <w:spacing w:after="0" w:line="2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Paul D. Yeager, Executive Vice</w:t>
      </w:r>
    </w:p>
    <w:p>
      <w:pPr>
        <w:ind w:left="3440"/>
        <w:spacing w:after="0" w:line="236" w:lineRule="auto"/>
        <w:rPr>
          <w:sz w:val="20"/>
          <w:szCs w:val="20"/>
          <w:color w:val="auto"/>
        </w:rPr>
      </w:pPr>
      <w:r>
        <w:rPr>
          <w:rFonts w:ascii="Courier New" w:cs="Courier New" w:eastAsia="Courier New" w:hAnsi="Courier New"/>
          <w:sz w:val="16"/>
          <w:szCs w:val="16"/>
          <w:color w:val="auto"/>
        </w:rPr>
        <w:t>President and Chief Financial</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10219"/>
          </w:cols>
          <w:pgMar w:left="240" w:top="114" w:right="1440" w:bottom="1440" w:gutter="0" w:footer="0" w:header="0"/>
        </w:sectPr>
      </w:pPr>
    </w:p>
    <w:bookmarkStart w:id="4" w:name="page5"/>
    <w:bookmarkEnd w:id="4"/>
    <w:p>
      <w:pPr>
        <w:spacing w:after="0" w:line="200" w:lineRule="exact"/>
        <w:rPr>
          <w:sz w:val="20"/>
          <w:szCs w:val="20"/>
          <w:color w:val="auto"/>
        </w:rPr>
      </w:pPr>
    </w:p>
    <w:p>
      <w:pPr>
        <w:spacing w:after="0" w:line="32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INDEX TO FINANCIAL STATEMENTS</w:t>
      </w:r>
    </w:p>
    <w:p>
      <w:pPr>
        <w:spacing w:after="0" w:line="200" w:lineRule="exact"/>
        <w:rPr>
          <w:sz w:val="20"/>
          <w:szCs w:val="20"/>
          <w:color w:val="auto"/>
        </w:rPr>
      </w:pPr>
    </w:p>
    <w:p>
      <w:pPr>
        <w:spacing w:after="0" w:line="33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Page(s)</w:t>
      </w:r>
    </w:p>
    <w:p>
      <w:pPr>
        <w:spacing w:after="0" w:line="17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4"/>
          <w:szCs w:val="14"/>
          <w:color w:val="auto"/>
        </w:rPr>
        <w:t>Financial statements of the business acquired</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Audited Financial Statements of Grace-Sierra</w:t>
      </w:r>
    </w:p>
    <w:p>
      <w:pPr>
        <w:spacing w:after="0" w:line="26"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Horticultural Products Company</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2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Reports of Independent Accountants</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F-1 - F-2</w:t>
            </w:r>
          </w:p>
        </w:tc>
        <w:tc>
          <w:tcPr>
            <w:tcW w:w="0" w:type="dxa"/>
            <w:vAlign w:val="bottom"/>
          </w:tcPr>
          <w:p>
            <w:pPr>
              <w:spacing w:after="0"/>
              <w:rPr>
                <w:sz w:val="1"/>
                <w:szCs w:val="1"/>
                <w:color w:val="auto"/>
              </w:rPr>
            </w:pPr>
          </w:p>
        </w:tc>
      </w:tr>
      <w:tr>
        <w:trPr>
          <w:trHeight w:val="276"/>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Consolidated Balance Sheets at December 16, 1993</w:t>
            </w:r>
          </w:p>
        </w:tc>
        <w:tc>
          <w:tcPr>
            <w:tcW w:w="118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F-3</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and December 31, 1992</w:t>
            </w: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Consolidated Statements of Operations for the</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68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 from January 1 to December 16, 1993 and</w:t>
            </w:r>
          </w:p>
        </w:tc>
        <w:tc>
          <w:tcPr>
            <w:tcW w:w="118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F-4</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the year ended December 31, 1992</w:t>
            </w: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Consolidated Statements of Common Shareholders'</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680" w:type="dxa"/>
            <w:vAlign w:val="bottom"/>
          </w:tcPr>
          <w:p>
            <w:pPr>
              <w:spacing w:after="0" w:line="179" w:lineRule="exact"/>
              <w:rPr>
                <w:sz w:val="20"/>
                <w:szCs w:val="20"/>
                <w:color w:val="auto"/>
              </w:rPr>
            </w:pPr>
            <w:r>
              <w:rPr>
                <w:rFonts w:ascii="Courier New" w:cs="Courier New" w:eastAsia="Courier New" w:hAnsi="Courier New"/>
                <w:sz w:val="16"/>
                <w:szCs w:val="16"/>
                <w:color w:val="auto"/>
              </w:rPr>
              <w:t>Deficit for the period from January 1 to</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80" w:type="dxa"/>
            <w:vAlign w:val="bottom"/>
          </w:tcPr>
          <w:p>
            <w:pPr>
              <w:spacing w:after="0" w:line="179" w:lineRule="exact"/>
              <w:rPr>
                <w:sz w:val="20"/>
                <w:szCs w:val="20"/>
                <w:color w:val="auto"/>
              </w:rPr>
            </w:pPr>
            <w:r>
              <w:rPr>
                <w:rFonts w:ascii="Courier New" w:cs="Courier New" w:eastAsia="Courier New" w:hAnsi="Courier New"/>
                <w:sz w:val="16"/>
                <w:szCs w:val="16"/>
                <w:color w:val="auto"/>
              </w:rPr>
              <w:t>December 16, 1993 and the year ended</w:t>
            </w:r>
          </w:p>
        </w:tc>
        <w:tc>
          <w:tcPr>
            <w:tcW w:w="118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F-5</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December 31, 1992</w:t>
            </w: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for the</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68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 from January to December 16, 1993 and</w:t>
            </w:r>
          </w:p>
        </w:tc>
        <w:tc>
          <w:tcPr>
            <w:tcW w:w="118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F-6</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Courier New" w:cs="Courier New" w:eastAsia="Courier New" w:hAnsi="Courier New"/>
                <w:sz w:val="16"/>
                <w:szCs w:val="16"/>
                <w:color w:val="auto"/>
              </w:rPr>
              <w:t>the year ended December 31, 1992</w:t>
            </w: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680" w:type="dxa"/>
            <w:vAlign w:val="bottom"/>
          </w:tcPr>
          <w:p>
            <w:pPr>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w w:val="95"/>
              </w:rPr>
              <w:t>F-7 - F-17</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Item 7(b)</w:t>
      </w:r>
      <w:r>
        <w:rPr>
          <w:sz w:val="20"/>
          <w:szCs w:val="20"/>
          <w:color w:val="auto"/>
        </w:rPr>
        <w:tab/>
      </w:r>
      <w:r>
        <w:rPr>
          <w:rFonts w:ascii="Courier New" w:cs="Courier New" w:eastAsia="Courier New" w:hAnsi="Courier New"/>
          <w:sz w:val="14"/>
          <w:szCs w:val="14"/>
          <w:color w:val="auto"/>
        </w:rPr>
        <w:t>Pro Forma Financial Information</w:t>
      </w:r>
    </w:p>
    <w:p>
      <w:pPr>
        <w:sectPr>
          <w:pgSz w:w="11900" w:h="16899" w:orient="portrait"/>
          <w:cols w:equalWidth="0" w:num="1">
            <w:col w:w="10219"/>
          </w:cols>
          <w:pgMar w:left="240" w:top="1440" w:right="1440" w:bottom="0" w:gutter="0" w:footer="0" w:header="0"/>
        </w:sectPr>
      </w:pPr>
    </w:p>
    <w:p>
      <w:pPr>
        <w:spacing w:after="0" w:line="177" w:lineRule="exact"/>
        <w:rPr>
          <w:sz w:val="20"/>
          <w:szCs w:val="20"/>
          <w:color w:val="auto"/>
        </w:rPr>
      </w:pPr>
    </w:p>
    <w:p>
      <w:pPr>
        <w:ind w:left="1020" w:right="1100"/>
        <w:spacing w:after="0" w:line="342" w:lineRule="auto"/>
        <w:rPr>
          <w:sz w:val="20"/>
          <w:szCs w:val="20"/>
          <w:color w:val="auto"/>
        </w:rPr>
      </w:pPr>
      <w:r>
        <w:rPr>
          <w:rFonts w:ascii="Courier New" w:cs="Courier New" w:eastAsia="Courier New" w:hAnsi="Courier New"/>
          <w:sz w:val="16"/>
          <w:szCs w:val="16"/>
          <w:color w:val="auto"/>
        </w:rPr>
        <w:t>Pro Forma Consolidated Financial Information (Unaudited)</w:t>
      </w:r>
    </w:p>
    <w:p>
      <w:pPr>
        <w:spacing w:after="0" w:line="20" w:lineRule="exact"/>
        <w:rPr>
          <w:sz w:val="20"/>
          <w:szCs w:val="20"/>
          <w:color w:val="auto"/>
        </w:rPr>
      </w:pPr>
    </w:p>
    <w:p>
      <w:pPr>
        <w:ind w:left="1020" w:right="1300"/>
        <w:spacing w:after="0" w:line="289" w:lineRule="auto"/>
        <w:rPr>
          <w:sz w:val="20"/>
          <w:szCs w:val="20"/>
          <w:color w:val="auto"/>
        </w:rPr>
      </w:pPr>
      <w:r>
        <w:rPr>
          <w:rFonts w:ascii="Courier New" w:cs="Courier New" w:eastAsia="Courier New" w:hAnsi="Courier New"/>
          <w:sz w:val="16"/>
          <w:szCs w:val="16"/>
          <w:color w:val="auto"/>
        </w:rPr>
        <w:t>Pro Forma Consolidated Statement of Income for the year ended September 30, 1993 (Unaudited)</w:t>
      </w:r>
    </w:p>
    <w:p>
      <w:pPr>
        <w:spacing w:after="0" w:line="61" w:lineRule="exact"/>
        <w:rPr>
          <w:sz w:val="20"/>
          <w:szCs w:val="20"/>
          <w:color w:val="auto"/>
        </w:rPr>
      </w:pPr>
    </w:p>
    <w:p>
      <w:pPr>
        <w:jc w:val="both"/>
        <w:ind w:left="1020" w:right="1100"/>
        <w:spacing w:after="0" w:line="289" w:lineRule="auto"/>
        <w:rPr>
          <w:sz w:val="20"/>
          <w:szCs w:val="20"/>
          <w:color w:val="auto"/>
        </w:rPr>
      </w:pPr>
      <w:r>
        <w:rPr>
          <w:rFonts w:ascii="Courier New" w:cs="Courier New" w:eastAsia="Courier New" w:hAnsi="Courier New"/>
          <w:sz w:val="16"/>
          <w:szCs w:val="16"/>
          <w:color w:val="auto"/>
        </w:rPr>
        <w:t>Notes to Pro Forma Consolidated Statement of Income for the year ended September 30, 1993 (Unaudited)</w:t>
      </w:r>
    </w:p>
    <w:p>
      <w:pPr>
        <w:spacing w:after="0" w:line="61" w:lineRule="exact"/>
        <w:rPr>
          <w:sz w:val="20"/>
          <w:szCs w:val="20"/>
          <w:color w:val="auto"/>
        </w:rPr>
      </w:pPr>
    </w:p>
    <w:p>
      <w:pPr>
        <w:ind w:left="1020" w:right="1300"/>
        <w:spacing w:after="0" w:line="406" w:lineRule="auto"/>
        <w:rPr>
          <w:sz w:val="20"/>
          <w:szCs w:val="20"/>
          <w:color w:val="auto"/>
        </w:rPr>
      </w:pPr>
      <w:r>
        <w:rPr>
          <w:rFonts w:ascii="Courier New" w:cs="Courier New" w:eastAsia="Courier New" w:hAnsi="Courier New"/>
          <w:sz w:val="14"/>
          <w:szCs w:val="14"/>
          <w:color w:val="auto"/>
        </w:rPr>
        <w:t>Pro Forma Consolidated Statement of Income for the three months ended January 1, 1994</w:t>
      </w:r>
    </w:p>
    <w:p>
      <w:pPr>
        <w:ind w:left="1020" w:right="640"/>
        <w:spacing w:after="0" w:line="406" w:lineRule="auto"/>
        <w:rPr>
          <w:sz w:val="20"/>
          <w:szCs w:val="20"/>
          <w:color w:val="auto"/>
        </w:rPr>
      </w:pPr>
      <w:r>
        <w:rPr>
          <w:rFonts w:ascii="Courier New" w:cs="Courier New" w:eastAsia="Courier New" w:hAnsi="Courier New"/>
          <w:sz w:val="14"/>
          <w:szCs w:val="14"/>
          <w:color w:val="auto"/>
        </w:rPr>
        <w:t>Notes to Pro Forma Consolidated Statement of Income for the three months ended January 1, 1994</w:t>
      </w:r>
    </w:p>
    <w:p>
      <w:pPr>
        <w:ind w:left="1020" w:right="1580"/>
        <w:spacing w:after="0" w:line="342" w:lineRule="auto"/>
        <w:rPr>
          <w:sz w:val="20"/>
          <w:szCs w:val="20"/>
          <w:color w:val="auto"/>
        </w:rPr>
      </w:pPr>
      <w:r>
        <w:rPr>
          <w:rFonts w:ascii="Courier New" w:cs="Courier New" w:eastAsia="Courier New" w:hAnsi="Courier New"/>
          <w:sz w:val="16"/>
          <w:szCs w:val="16"/>
          <w:color w:val="auto"/>
        </w:rPr>
        <w:t>Pro Forma Consolidated Balance Sheet at January 1, 1994 (Unaudited)</w:t>
      </w:r>
    </w:p>
    <w:p>
      <w:pPr>
        <w:spacing w:after="0" w:line="20" w:lineRule="exact"/>
        <w:rPr>
          <w:sz w:val="20"/>
          <w:szCs w:val="20"/>
          <w:color w:val="auto"/>
        </w:rPr>
      </w:pPr>
    </w:p>
    <w:p>
      <w:pPr>
        <w:ind w:left="1020" w:right="1020"/>
        <w:spacing w:after="0" w:line="342" w:lineRule="auto"/>
        <w:rPr>
          <w:sz w:val="20"/>
          <w:szCs w:val="20"/>
          <w:color w:val="auto"/>
        </w:rPr>
      </w:pPr>
      <w:r>
        <w:rPr>
          <w:rFonts w:ascii="Courier New" w:cs="Courier New" w:eastAsia="Courier New" w:hAnsi="Courier New"/>
          <w:sz w:val="16"/>
          <w:szCs w:val="16"/>
          <w:color w:val="auto"/>
        </w:rPr>
        <w:t>Notes to Pro Forma Consolidated Balance Sheet (Unaudited)</w:t>
      </w:r>
    </w:p>
    <w:p>
      <w:pPr>
        <w:spacing w:after="0" w:line="3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8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2040"/>
        <w:spacing w:after="0" w:line="406" w:lineRule="auto"/>
        <w:rPr>
          <w:sz w:val="20"/>
          <w:szCs w:val="20"/>
          <w:color w:val="auto"/>
        </w:rPr>
      </w:pPr>
      <w:r>
        <w:rPr>
          <w:rFonts w:ascii="Courier New" w:cs="Courier New" w:eastAsia="Courier New" w:hAnsi="Courier New"/>
          <w:sz w:val="14"/>
          <w:szCs w:val="14"/>
          <w:color w:val="auto"/>
        </w:rPr>
        <w:t>To the Board of Directors and Shareholders of Grace-Sierra Horticultural Products Company</w:t>
      </w:r>
    </w:p>
    <w:p>
      <w:pPr>
        <w:spacing w:after="0" w:line="309" w:lineRule="auto"/>
        <w:rPr>
          <w:sz w:val="20"/>
          <w:szCs w:val="20"/>
          <w:color w:val="auto"/>
        </w:rPr>
      </w:pPr>
      <w:r>
        <w:rPr>
          <w:rFonts w:ascii="Courier New" w:cs="Courier New" w:eastAsia="Courier New" w:hAnsi="Courier New"/>
          <w:sz w:val="14"/>
          <w:szCs w:val="14"/>
          <w:color w:val="auto"/>
        </w:rPr>
        <w:t>We have audited the accompanying consolidated balance sheet of Grace-Sierra Horticultural Products Company and its subsidiaries as of December 16, 1993 and the related consolidated statements of operations, changes in common shareholders deficit, and cash flows for the period from January 1, 1993 to December 16, 1993. These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F-18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F-19</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F-20</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F-21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F-22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F-23-F-24</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F-25</w:t>
      </w:r>
    </w:p>
    <w:p>
      <w:pPr>
        <w:sectPr>
          <w:pgSz w:w="11900" w:h="16899" w:orient="portrait"/>
          <w:cols w:equalWidth="0" w:num="2">
            <w:col w:w="6220" w:space="100"/>
            <w:col w:w="3899"/>
          </w:cols>
          <w:pgMar w:left="240" w:top="1440" w:right="1440" w:bottom="0" w:gutter="0" w:footer="0" w:header="0"/>
          <w:type w:val="continuous"/>
        </w:sectPr>
      </w:pPr>
    </w:p>
    <w:bookmarkStart w:id="5" w:name="page6"/>
    <w:bookmarkEnd w:id="5"/>
    <w:p>
      <w:pPr>
        <w:ind w:right="3899"/>
        <w:spacing w:after="0" w:line="254" w:lineRule="auto"/>
        <w:rPr>
          <w:sz w:val="20"/>
          <w:szCs w:val="20"/>
          <w:color w:val="auto"/>
        </w:rPr>
      </w:pPr>
      <w:r>
        <w:rPr>
          <w:rFonts w:ascii="Courier New" w:cs="Courier New" w:eastAsia="Courier New" w:hAnsi="Courier New"/>
          <w:sz w:val="16"/>
          <w:szCs w:val="16"/>
          <w:color w:val="auto"/>
        </w:rPr>
        <w:t>financial statements are the responsibility of the Company's management. Our responsibility is to express an opinion on these financial statements based on our audit. The consolidated financial statements of Grace-Sierra Horticultural Products Company as of and for the year ended December 31, 1992 were audited by other auditors whose report thereon dated February 17, 1993 expressed an unqualified opinion on those statements.</w:t>
      </w:r>
    </w:p>
    <w:p>
      <w:pPr>
        <w:spacing w:after="0" w:line="88" w:lineRule="exact"/>
        <w:rPr>
          <w:sz w:val="20"/>
          <w:szCs w:val="20"/>
          <w:color w:val="auto"/>
        </w:rPr>
      </w:pPr>
    </w:p>
    <w:p>
      <w:pPr>
        <w:ind w:right="3899"/>
        <w:spacing w:after="0" w:line="248"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95" w:lineRule="exact"/>
        <w:rPr>
          <w:sz w:val="20"/>
          <w:szCs w:val="20"/>
          <w:color w:val="auto"/>
        </w:rPr>
      </w:pPr>
    </w:p>
    <w:p>
      <w:pPr>
        <w:ind w:right="3899"/>
        <w:spacing w:after="0" w:line="289" w:lineRule="auto"/>
        <w:rPr>
          <w:sz w:val="20"/>
          <w:szCs w:val="20"/>
          <w:color w:val="auto"/>
        </w:rPr>
      </w:pPr>
      <w:r>
        <w:rPr>
          <w:rFonts w:ascii="Courier New" w:cs="Courier New" w:eastAsia="Courier New" w:hAnsi="Courier New"/>
          <w:sz w:val="16"/>
          <w:szCs w:val="16"/>
          <w:color w:val="auto"/>
        </w:rPr>
        <w:t>As discussed in Note 1 to the consolidated financial statements, all of the Company's common stock was acquired by a third party effective on the close of business December 16, 1993.</w:t>
      </w:r>
    </w:p>
    <w:p>
      <w:pPr>
        <w:spacing w:after="0" w:line="61"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Grace-Sierra Horticultural Products Company and its subsidiaries as of December 16, 1993 and the consolidated results of their operations and their cash flows for the period from January 1, 1993 to December 16, 1993,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rPr>
          <w:sz w:val="20"/>
          <w:szCs w:val="20"/>
          <w:color w:val="auto"/>
        </w:rPr>
      </w:pPr>
      <w:r>
        <w:rPr>
          <w:rFonts w:ascii="Courier New" w:cs="Courier New" w:eastAsia="Courier New" w:hAnsi="Courier New"/>
          <w:sz w:val="16"/>
          <w:szCs w:val="16"/>
          <w:color w:val="auto"/>
        </w:rPr>
        <w:t>February 11,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48"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6"/>
          <w:szCs w:val="16"/>
          <w:color w:val="auto"/>
        </w:rPr>
        <w:t>Grace-Sierra Horticultural Products Company</w:t>
      </w:r>
    </w:p>
    <w:p>
      <w:pPr>
        <w:spacing w:after="0" w:line="200" w:lineRule="exact"/>
        <w:rPr>
          <w:sz w:val="20"/>
          <w:szCs w:val="20"/>
          <w:color w:val="auto"/>
        </w:rPr>
      </w:pPr>
    </w:p>
    <w:p>
      <w:pPr>
        <w:spacing w:after="0" w:line="306" w:lineRule="exact"/>
        <w:rPr>
          <w:sz w:val="20"/>
          <w:szCs w:val="20"/>
          <w:color w:val="auto"/>
        </w:rPr>
      </w:pPr>
    </w:p>
    <w:p>
      <w:pPr>
        <w:ind w:right="4359"/>
        <w:spacing w:after="0" w:line="278"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 of operations, of shareholders' deficit and of cash flows present fairly, in all material respects, the financial position of Grace-Sierra Horticultural Products Company and its subsidiaries at December 31, 1992, and the results of their operations and their cash flows for the year then ended in conformity with generally accepted accounting principles. These financial statements are the responsibility of the Company's management; our responsibility is to express an opinion on these financial statements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ectPr>
          <w:pgSz w:w="11900" w:h="16838" w:orient="portrait"/>
          <w:cols w:equalWidth="0" w:num="1">
            <w:col w:w="10219"/>
          </w:cols>
          <w:pgMar w:left="240" w:top="114" w:right="1440" w:bottom="1041"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Price Waterhouse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w:t>
      </w:r>
    </w:p>
    <w:p>
      <w:pPr>
        <w:spacing w:after="0"/>
        <w:rPr>
          <w:sz w:val="20"/>
          <w:szCs w:val="20"/>
          <w:color w:val="auto"/>
        </w:rPr>
      </w:pPr>
      <w:r>
        <w:rPr>
          <w:rFonts w:ascii="Courier New" w:cs="Courier New" w:eastAsia="Courier New" w:hAnsi="Courier New"/>
          <w:sz w:val="16"/>
          <w:szCs w:val="16"/>
          <w:color w:val="auto"/>
        </w:rPr>
        <w:t>February 17,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F-2</w:t>
      </w:r>
    </w:p>
    <w:p>
      <w:pPr>
        <w:spacing w:after="0" w:line="177" w:lineRule="exact"/>
        <w:rPr>
          <w:sz w:val="20"/>
          <w:szCs w:val="20"/>
          <w:color w:val="auto"/>
        </w:rPr>
      </w:pPr>
    </w:p>
    <w:p>
      <w:pPr>
        <w:jc w:val="center"/>
        <w:ind w:right="639"/>
        <w:spacing w:after="0"/>
        <w:rPr>
          <w:sz w:val="20"/>
          <w:szCs w:val="20"/>
          <w:color w:val="auto"/>
        </w:rPr>
      </w:pPr>
      <w:r>
        <w:rPr>
          <w:rFonts w:ascii="Courier New" w:cs="Courier New" w:eastAsia="Courier New" w:hAnsi="Courier New"/>
          <w:sz w:val="16"/>
          <w:szCs w:val="16"/>
          <w:color w:val="auto"/>
        </w:rPr>
        <w:t>GRACE-SIERRA HORTICULTURAL PRODUCTS COMPANY</w:t>
      </w:r>
    </w:p>
    <w:p>
      <w:pPr>
        <w:spacing w:after="0" w:line="23" w:lineRule="exact"/>
        <w:rPr>
          <w:sz w:val="20"/>
          <w:szCs w:val="20"/>
          <w:color w:val="auto"/>
        </w:rPr>
      </w:pPr>
    </w:p>
    <w:p>
      <w:pPr>
        <w:jc w:val="center"/>
        <w:ind w:right="639"/>
        <w:spacing w:after="0"/>
        <w:rPr>
          <w:sz w:val="20"/>
          <w:szCs w:val="20"/>
          <w:color w:val="auto"/>
        </w:rPr>
      </w:pPr>
      <w:r>
        <w:rPr>
          <w:rFonts w:ascii="Courier New" w:cs="Courier New" w:eastAsia="Courier New" w:hAnsi="Courier New"/>
          <w:sz w:val="16"/>
          <w:szCs w:val="16"/>
          <w:color w:val="auto"/>
        </w:rPr>
        <w:t>CONSOLIDATED BALANCE SHEETS</w:t>
      </w:r>
    </w:p>
    <w:tbl>
      <w:tblPr>
        <w:tblLayout w:type="fixed"/>
        <w:tblInd w:w="0" w:type="dxa"/>
        <w:tblCellMar>
          <w:top w:w="0" w:type="dxa"/>
          <w:left w:w="0" w:type="dxa"/>
          <w:bottom w:w="0" w:type="dxa"/>
          <w:right w:w="0" w:type="dxa"/>
        </w:tblCellMar>
      </w:tblPr>
      <w:tr>
        <w:trPr>
          <w:trHeight w:val="261"/>
        </w:trPr>
        <w:tc>
          <w:tcPr>
            <w:tcW w:w="7120" w:type="dxa"/>
            <w:vAlign w:val="bottom"/>
          </w:tcPr>
          <w:p>
            <w:pPr>
              <w:ind w:left="3340"/>
              <w:spacing w:after="0"/>
              <w:rPr>
                <w:sz w:val="20"/>
                <w:szCs w:val="20"/>
                <w:color w:val="auto"/>
              </w:rPr>
            </w:pPr>
            <w:r>
              <w:rPr>
                <w:rFonts w:ascii="Courier New" w:cs="Courier New" w:eastAsia="Courier New" w:hAnsi="Courier New"/>
                <w:sz w:val="16"/>
                <w:szCs w:val="16"/>
                <w:color w:val="auto"/>
              </w:rPr>
              <w:t>(in thousands except share data)</w:t>
            </w: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7120" w:type="dxa"/>
            <w:vAlign w:val="bottom"/>
          </w:tcPr>
          <w:p>
            <w:pPr>
              <w:spacing w:after="0"/>
              <w:rPr>
                <w:sz w:val="24"/>
                <w:szCs w:val="24"/>
                <w:color w:val="auto"/>
              </w:rPr>
            </w:pPr>
          </w:p>
        </w:tc>
        <w:tc>
          <w:tcPr>
            <w:tcW w:w="15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December 16,</w:t>
            </w:r>
          </w:p>
        </w:tc>
        <w:tc>
          <w:tcPr>
            <w:tcW w:w="13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3"/>
              </w:rPr>
              <w:t>December 31,</w:t>
            </w:r>
          </w:p>
        </w:tc>
        <w:tc>
          <w:tcPr>
            <w:tcW w:w="0" w:type="dxa"/>
            <w:vAlign w:val="bottom"/>
          </w:tcPr>
          <w:p>
            <w:pPr>
              <w:spacing w:after="0"/>
              <w:rPr>
                <w:sz w:val="1"/>
                <w:szCs w:val="1"/>
                <w:color w:val="auto"/>
              </w:rPr>
            </w:pPr>
          </w:p>
        </w:tc>
      </w:tr>
      <w:tr>
        <w:trPr>
          <w:trHeight w:val="261"/>
        </w:trPr>
        <w:tc>
          <w:tcPr>
            <w:tcW w:w="7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1993</w:t>
            </w:r>
          </w:p>
        </w:tc>
        <w:tc>
          <w:tcPr>
            <w:tcW w:w="280" w:type="dxa"/>
            <w:vAlign w:val="bottom"/>
          </w:tcPr>
          <w:p>
            <w:pPr>
              <w:spacing w:after="0"/>
              <w:rPr>
                <w:sz w:val="22"/>
                <w:szCs w:val="22"/>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1992</w:t>
            </w:r>
          </w:p>
        </w:tc>
        <w:tc>
          <w:tcPr>
            <w:tcW w:w="0" w:type="dxa"/>
            <w:vAlign w:val="bottom"/>
          </w:tcPr>
          <w:p>
            <w:pPr>
              <w:spacing w:after="0"/>
              <w:rPr>
                <w:sz w:val="1"/>
                <w:szCs w:val="1"/>
                <w:color w:val="auto"/>
              </w:rPr>
            </w:pPr>
          </w:p>
        </w:tc>
      </w:tr>
      <w:tr>
        <w:trPr>
          <w:trHeight w:val="454"/>
        </w:trPr>
        <w:tc>
          <w:tcPr>
            <w:tcW w:w="71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320" w:type="dxa"/>
            <w:vAlign w:val="bottom"/>
            <w:vMerge w:val="restart"/>
          </w:tcPr>
          <w:p>
            <w:pPr>
              <w:ind w:left="22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4,114</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2,650</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w:t>
            </w:r>
          </w:p>
        </w:tc>
        <w:tc>
          <w:tcPr>
            <w:tcW w:w="3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net of allowance</w:t>
            </w:r>
          </w:p>
        </w:tc>
        <w:tc>
          <w:tcPr>
            <w:tcW w:w="320" w:type="dxa"/>
            <w:vAlign w:val="bottom"/>
          </w:tcPr>
          <w:p>
            <w:pPr>
              <w:spacing w:after="0"/>
              <w:rPr>
                <w:sz w:val="15"/>
                <w:szCs w:val="15"/>
                <w:color w:val="auto"/>
              </w:rPr>
            </w:pPr>
          </w:p>
        </w:tc>
        <w:tc>
          <w:tcPr>
            <w:tcW w:w="12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23,409</w:t>
            </w:r>
          </w:p>
        </w:tc>
        <w:tc>
          <w:tcPr>
            <w:tcW w:w="280" w:type="dxa"/>
            <w:vAlign w:val="bottom"/>
          </w:tcPr>
          <w:p>
            <w:pPr>
              <w:spacing w:after="0"/>
              <w:rPr>
                <w:sz w:val="15"/>
                <w:szCs w:val="15"/>
                <w:color w:val="auto"/>
              </w:rPr>
            </w:pP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24,208</w:t>
            </w:r>
          </w:p>
        </w:tc>
        <w:tc>
          <w:tcPr>
            <w:tcW w:w="0" w:type="dxa"/>
            <w:vAlign w:val="bottom"/>
          </w:tcPr>
          <w:p>
            <w:pPr>
              <w:spacing w:after="0"/>
              <w:rPr>
                <w:sz w:val="1"/>
                <w:szCs w:val="1"/>
                <w:color w:val="auto"/>
              </w:rPr>
            </w:pPr>
          </w:p>
        </w:tc>
      </w:tr>
      <w:tr>
        <w:trPr>
          <w:trHeight w:val="179"/>
        </w:trPr>
        <w:tc>
          <w:tcPr>
            <w:tcW w:w="7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for doubtful accounts of $749 and $802</w:t>
            </w: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Inventories</w:t>
            </w:r>
          </w:p>
        </w:tc>
        <w:tc>
          <w:tcPr>
            <w:tcW w:w="3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18,205</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16,405</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Prepaids and other current assets</w:t>
            </w:r>
          </w:p>
        </w:tc>
        <w:tc>
          <w:tcPr>
            <w:tcW w:w="3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1,050</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1,779</w:t>
            </w:r>
          </w:p>
        </w:tc>
        <w:tc>
          <w:tcPr>
            <w:tcW w:w="0" w:type="dxa"/>
            <w:vAlign w:val="bottom"/>
          </w:tcPr>
          <w:p>
            <w:pPr>
              <w:spacing w:after="0"/>
              <w:rPr>
                <w:sz w:val="1"/>
                <w:szCs w:val="1"/>
                <w:color w:val="auto"/>
              </w:rPr>
            </w:pPr>
          </w:p>
        </w:tc>
      </w:tr>
      <w:tr>
        <w:trPr>
          <w:trHeight w:val="261"/>
        </w:trPr>
        <w:tc>
          <w:tcPr>
            <w:tcW w:w="7120" w:type="dxa"/>
            <w:vAlign w:val="bottom"/>
          </w:tcPr>
          <w:p>
            <w:pPr>
              <w:ind w:left="360"/>
              <w:spacing w:after="0"/>
              <w:rPr>
                <w:sz w:val="20"/>
                <w:szCs w:val="20"/>
                <w:color w:val="auto"/>
              </w:rPr>
            </w:pPr>
            <w:r>
              <w:rPr>
                <w:rFonts w:ascii="Courier New" w:cs="Courier New" w:eastAsia="Courier New" w:hAnsi="Courier New"/>
                <w:sz w:val="16"/>
                <w:szCs w:val="16"/>
                <w:color w:val="auto"/>
              </w:rPr>
              <w:t>Total current assets</w:t>
            </w:r>
          </w:p>
        </w:tc>
        <w:tc>
          <w:tcPr>
            <w:tcW w:w="320" w:type="dxa"/>
            <w:vAlign w:val="bottom"/>
          </w:tcPr>
          <w:p>
            <w:pPr>
              <w:spacing w:after="0"/>
              <w:rPr>
                <w:sz w:val="22"/>
                <w:szCs w:val="22"/>
                <w:color w:val="auto"/>
              </w:rPr>
            </w:pP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46,778</w:t>
            </w:r>
          </w:p>
        </w:tc>
        <w:tc>
          <w:tcPr>
            <w:tcW w:w="280" w:type="dxa"/>
            <w:vAlign w:val="bottom"/>
          </w:tcPr>
          <w:p>
            <w:pPr>
              <w:spacing w:after="0"/>
              <w:rPr>
                <w:sz w:val="22"/>
                <w:szCs w:val="22"/>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45,042</w:t>
            </w:r>
          </w:p>
        </w:tc>
        <w:tc>
          <w:tcPr>
            <w:tcW w:w="0" w:type="dxa"/>
            <w:vAlign w:val="bottom"/>
          </w:tcPr>
          <w:p>
            <w:pPr>
              <w:spacing w:after="0"/>
              <w:rPr>
                <w:sz w:val="1"/>
                <w:szCs w:val="1"/>
                <w:color w:val="auto"/>
              </w:rPr>
            </w:pPr>
          </w:p>
        </w:tc>
      </w:tr>
      <w:tr>
        <w:trPr>
          <w:trHeight w:val="276"/>
        </w:trPr>
        <w:tc>
          <w:tcPr>
            <w:tcW w:w="71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less accumulated</w:t>
            </w:r>
          </w:p>
        </w:tc>
        <w:tc>
          <w:tcPr>
            <w:tcW w:w="320" w:type="dxa"/>
            <w:vAlign w:val="bottom"/>
          </w:tcPr>
          <w:p>
            <w:pPr>
              <w:spacing w:after="0"/>
              <w:rPr>
                <w:sz w:val="23"/>
                <w:szCs w:val="23"/>
                <w:color w:val="auto"/>
              </w:rPr>
            </w:pPr>
          </w:p>
        </w:tc>
        <w:tc>
          <w:tcPr>
            <w:tcW w:w="12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19,822</w:t>
            </w:r>
          </w:p>
        </w:tc>
        <w:tc>
          <w:tcPr>
            <w:tcW w:w="280" w:type="dxa"/>
            <w:vAlign w:val="bottom"/>
          </w:tcPr>
          <w:p>
            <w:pPr>
              <w:spacing w:after="0"/>
              <w:rPr>
                <w:sz w:val="23"/>
                <w:szCs w:val="23"/>
                <w:color w:val="auto"/>
              </w:rPr>
            </w:pP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22,576</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120" w:type="dxa"/>
            <w:vAlign w:val="bottom"/>
          </w:tcPr>
          <w:p>
            <w:pPr>
              <w:spacing w:after="0"/>
              <w:rPr>
                <w:sz w:val="20"/>
                <w:szCs w:val="20"/>
                <w:color w:val="auto"/>
              </w:rPr>
            </w:pPr>
            <w:r>
              <w:rPr>
                <w:rFonts w:ascii="Courier New" w:cs="Courier New" w:eastAsia="Courier New" w:hAnsi="Courier New"/>
                <w:sz w:val="16"/>
                <w:szCs w:val="16"/>
                <w:color w:val="auto"/>
              </w:rPr>
              <w:t>Other assets, net</w:t>
            </w:r>
          </w:p>
        </w:tc>
        <w:tc>
          <w:tcPr>
            <w:tcW w:w="320" w:type="dxa"/>
            <w:vAlign w:val="bottom"/>
          </w:tcPr>
          <w:p>
            <w:pPr>
              <w:spacing w:after="0"/>
              <w:rPr>
                <w:sz w:val="22"/>
                <w:szCs w:val="22"/>
                <w:color w:val="auto"/>
              </w:rPr>
            </w:pP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1,017</w:t>
            </w:r>
          </w:p>
        </w:tc>
        <w:tc>
          <w:tcPr>
            <w:tcW w:w="280" w:type="dxa"/>
            <w:vAlign w:val="bottom"/>
          </w:tcPr>
          <w:p>
            <w:pPr>
              <w:spacing w:after="0"/>
              <w:rPr>
                <w:sz w:val="22"/>
                <w:szCs w:val="22"/>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851</w:t>
            </w:r>
          </w:p>
        </w:tc>
        <w:tc>
          <w:tcPr>
            <w:tcW w:w="0" w:type="dxa"/>
            <w:vAlign w:val="bottom"/>
          </w:tcPr>
          <w:p>
            <w:pPr>
              <w:spacing w:after="0"/>
              <w:rPr>
                <w:sz w:val="1"/>
                <w:szCs w:val="1"/>
                <w:color w:val="auto"/>
              </w:rPr>
            </w:pPr>
          </w:p>
        </w:tc>
      </w:tr>
      <w:tr>
        <w:trPr>
          <w:trHeight w:val="358"/>
        </w:trPr>
        <w:tc>
          <w:tcPr>
            <w:tcW w:w="712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67,617</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68,469</w:t>
            </w:r>
          </w:p>
        </w:tc>
        <w:tc>
          <w:tcPr>
            <w:tcW w:w="0" w:type="dxa"/>
            <w:vAlign w:val="bottom"/>
          </w:tcPr>
          <w:p>
            <w:pPr>
              <w:spacing w:after="0"/>
              <w:rPr>
                <w:sz w:val="1"/>
                <w:szCs w:val="1"/>
                <w:color w:val="auto"/>
              </w:rPr>
            </w:pPr>
          </w:p>
        </w:tc>
      </w:tr>
      <w:tr>
        <w:trPr>
          <w:trHeight w:val="276"/>
        </w:trPr>
        <w:tc>
          <w:tcPr>
            <w:tcW w:w="7120" w:type="dxa"/>
            <w:vAlign w:val="bottom"/>
          </w:tcPr>
          <w:p>
            <w:pPr>
              <w:spacing w:after="0"/>
              <w:rPr>
                <w:sz w:val="20"/>
                <w:szCs w:val="20"/>
                <w:color w:val="auto"/>
              </w:rPr>
            </w:pPr>
            <w:r>
              <w:rPr>
                <w:rFonts w:ascii="Courier New" w:cs="Courier New" w:eastAsia="Courier New" w:hAnsi="Courier New"/>
                <w:sz w:val="16"/>
                <w:szCs w:val="16"/>
                <w:color w:val="auto"/>
              </w:rPr>
              <w:t>LIABILITIES, MANDATORILY REDEEMABLE CUMULATIVE PREFERRED</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AND COMMON SHAREHOLDERS' DEFICIT</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32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562"/>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2,056</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Bank overdraft</w:t>
            </w:r>
          </w:p>
        </w:tc>
        <w:tc>
          <w:tcPr>
            <w:tcW w:w="3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Trade accounts payable and accrued expenses</w:t>
            </w:r>
          </w:p>
        </w:tc>
        <w:tc>
          <w:tcPr>
            <w:tcW w:w="3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9,254</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10,039</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Employee compensation</w:t>
            </w:r>
          </w:p>
        </w:tc>
        <w:tc>
          <w:tcPr>
            <w:tcW w:w="3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3,822</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1,728</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payable</w:t>
            </w:r>
          </w:p>
        </w:tc>
        <w:tc>
          <w:tcPr>
            <w:tcW w:w="3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191</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3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412</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89</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Current maturities of long-term debt</w:t>
            </w:r>
          </w:p>
        </w:tc>
        <w:tc>
          <w:tcPr>
            <w:tcW w:w="3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4,149</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261"/>
        </w:trPr>
        <w:tc>
          <w:tcPr>
            <w:tcW w:w="7120" w:type="dxa"/>
            <w:vAlign w:val="bottom"/>
          </w:tcPr>
          <w:p>
            <w:pPr>
              <w:ind w:left="360"/>
              <w:spacing w:after="0"/>
              <w:rPr>
                <w:sz w:val="20"/>
                <w:szCs w:val="20"/>
                <w:color w:val="auto"/>
              </w:rPr>
            </w:pPr>
            <w:r>
              <w:rPr>
                <w:rFonts w:ascii="Courier New" w:cs="Courier New" w:eastAsia="Courier New" w:hAnsi="Courier New"/>
                <w:sz w:val="16"/>
                <w:szCs w:val="16"/>
                <w:color w:val="auto"/>
              </w:rPr>
              <w:t>Total current liabilities</w:t>
            </w:r>
          </w:p>
        </w:tc>
        <w:tc>
          <w:tcPr>
            <w:tcW w:w="320" w:type="dxa"/>
            <w:vAlign w:val="bottom"/>
          </w:tcPr>
          <w:p>
            <w:pPr>
              <w:spacing w:after="0"/>
              <w:rPr>
                <w:sz w:val="22"/>
                <w:szCs w:val="22"/>
                <w:color w:val="auto"/>
              </w:rPr>
            </w:pP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17,637</w:t>
            </w:r>
          </w:p>
        </w:tc>
        <w:tc>
          <w:tcPr>
            <w:tcW w:w="280" w:type="dxa"/>
            <w:vAlign w:val="bottom"/>
          </w:tcPr>
          <w:p>
            <w:pPr>
              <w:spacing w:after="0"/>
              <w:rPr>
                <w:sz w:val="22"/>
                <w:szCs w:val="22"/>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14,232</w:t>
            </w:r>
          </w:p>
        </w:tc>
        <w:tc>
          <w:tcPr>
            <w:tcW w:w="0" w:type="dxa"/>
            <w:vAlign w:val="bottom"/>
          </w:tcPr>
          <w:p>
            <w:pPr>
              <w:spacing w:after="0"/>
              <w:rPr>
                <w:sz w:val="1"/>
                <w:szCs w:val="1"/>
                <w:color w:val="auto"/>
              </w:rPr>
            </w:pPr>
          </w:p>
        </w:tc>
      </w:tr>
      <w:tr>
        <w:trPr>
          <w:trHeight w:val="276"/>
        </w:trPr>
        <w:tc>
          <w:tcPr>
            <w:tcW w:w="7120" w:type="dxa"/>
            <w:vAlign w:val="bottom"/>
          </w:tcPr>
          <w:p>
            <w:pPr>
              <w:spacing w:after="0"/>
              <w:rPr>
                <w:sz w:val="20"/>
                <w:szCs w:val="20"/>
                <w:color w:val="auto"/>
              </w:rPr>
            </w:pPr>
            <w:r>
              <w:rPr>
                <w:rFonts w:ascii="Courier New" w:cs="Courier New" w:eastAsia="Courier New" w:hAnsi="Courier New"/>
                <w:sz w:val="16"/>
                <w:szCs w:val="16"/>
                <w:color w:val="auto"/>
              </w:rPr>
              <w:t>Long-term debt, less current maturities</w:t>
            </w:r>
          </w:p>
        </w:tc>
        <w:tc>
          <w:tcPr>
            <w:tcW w:w="320" w:type="dxa"/>
            <w:vAlign w:val="bottom"/>
          </w:tcPr>
          <w:p>
            <w:pPr>
              <w:spacing w:after="0"/>
              <w:rPr>
                <w:sz w:val="23"/>
                <w:szCs w:val="23"/>
                <w:color w:val="auto"/>
              </w:rPr>
            </w:pP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76,395</w:t>
            </w:r>
          </w:p>
        </w:tc>
        <w:tc>
          <w:tcPr>
            <w:tcW w:w="280" w:type="dxa"/>
            <w:vAlign w:val="bottom"/>
          </w:tcPr>
          <w:p>
            <w:pPr>
              <w:spacing w:after="0"/>
              <w:rPr>
                <w:sz w:val="23"/>
                <w:szCs w:val="23"/>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79,592</w:t>
            </w:r>
          </w:p>
        </w:tc>
        <w:tc>
          <w:tcPr>
            <w:tcW w:w="0" w:type="dxa"/>
            <w:vAlign w:val="bottom"/>
          </w:tcPr>
          <w:p>
            <w:pPr>
              <w:spacing w:after="0"/>
              <w:rPr>
                <w:sz w:val="1"/>
                <w:szCs w:val="1"/>
                <w:color w:val="auto"/>
              </w:rPr>
            </w:pPr>
          </w:p>
        </w:tc>
      </w:tr>
      <w:tr>
        <w:trPr>
          <w:trHeight w:val="261"/>
        </w:trPr>
        <w:tc>
          <w:tcPr>
            <w:tcW w:w="712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320" w:type="dxa"/>
            <w:vAlign w:val="bottom"/>
          </w:tcPr>
          <w:p>
            <w:pPr>
              <w:spacing w:after="0"/>
              <w:rPr>
                <w:sz w:val="22"/>
                <w:szCs w:val="22"/>
                <w:color w:val="auto"/>
              </w:rPr>
            </w:pP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507</w:t>
            </w:r>
          </w:p>
        </w:tc>
        <w:tc>
          <w:tcPr>
            <w:tcW w:w="280" w:type="dxa"/>
            <w:vAlign w:val="bottom"/>
          </w:tcPr>
          <w:p>
            <w:pPr>
              <w:spacing w:after="0"/>
              <w:rPr>
                <w:sz w:val="22"/>
                <w:szCs w:val="22"/>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497</w:t>
            </w:r>
          </w:p>
        </w:tc>
        <w:tc>
          <w:tcPr>
            <w:tcW w:w="0" w:type="dxa"/>
            <w:vAlign w:val="bottom"/>
          </w:tcPr>
          <w:p>
            <w:pPr>
              <w:spacing w:after="0"/>
              <w:rPr>
                <w:sz w:val="1"/>
                <w:szCs w:val="1"/>
                <w:color w:val="auto"/>
              </w:rPr>
            </w:pPr>
          </w:p>
        </w:tc>
      </w:tr>
      <w:tr>
        <w:trPr>
          <w:trHeight w:val="358"/>
        </w:trPr>
        <w:tc>
          <w:tcPr>
            <w:tcW w:w="7120" w:type="dxa"/>
            <w:vAlign w:val="bottom"/>
          </w:tcPr>
          <w:p>
            <w:pPr>
              <w:ind w:left="360"/>
              <w:spacing w:after="0"/>
              <w:rPr>
                <w:sz w:val="20"/>
                <w:szCs w:val="20"/>
                <w:color w:val="auto"/>
              </w:rPr>
            </w:pPr>
            <w:r>
              <w:rPr>
                <w:rFonts w:ascii="Courier New" w:cs="Courier New" w:eastAsia="Courier New" w:hAnsi="Courier New"/>
                <w:sz w:val="16"/>
                <w:szCs w:val="16"/>
                <w:color w:val="auto"/>
              </w:rPr>
              <w:t>Total Liabilities</w:t>
            </w:r>
          </w:p>
        </w:tc>
        <w:tc>
          <w:tcPr>
            <w:tcW w:w="320" w:type="dxa"/>
            <w:vAlign w:val="bottom"/>
          </w:tcPr>
          <w:p>
            <w:pPr>
              <w:spacing w:after="0"/>
              <w:rPr>
                <w:sz w:val="24"/>
                <w:szCs w:val="24"/>
                <w:color w:val="auto"/>
              </w:rPr>
            </w:pP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94,539</w:t>
            </w:r>
          </w:p>
        </w:tc>
        <w:tc>
          <w:tcPr>
            <w:tcW w:w="28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94,321</w:t>
            </w:r>
          </w:p>
        </w:tc>
        <w:tc>
          <w:tcPr>
            <w:tcW w:w="0" w:type="dxa"/>
            <w:vAlign w:val="bottom"/>
          </w:tcPr>
          <w:p>
            <w:pPr>
              <w:spacing w:after="0"/>
              <w:rPr>
                <w:sz w:val="1"/>
                <w:szCs w:val="1"/>
                <w:color w:val="auto"/>
              </w:rPr>
            </w:pPr>
          </w:p>
        </w:tc>
      </w:tr>
      <w:tr>
        <w:trPr>
          <w:trHeight w:val="358"/>
        </w:trPr>
        <w:tc>
          <w:tcPr>
            <w:tcW w:w="71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120" w:type="dxa"/>
            <w:vAlign w:val="bottom"/>
          </w:tcPr>
          <w:p>
            <w:pPr>
              <w:spacing w:after="0"/>
              <w:rPr>
                <w:sz w:val="20"/>
                <w:szCs w:val="20"/>
                <w:color w:val="auto"/>
              </w:rPr>
            </w:pPr>
            <w:r>
              <w:rPr>
                <w:rFonts w:ascii="Courier New" w:cs="Courier New" w:eastAsia="Courier New" w:hAnsi="Courier New"/>
                <w:sz w:val="16"/>
                <w:szCs w:val="16"/>
                <w:color w:val="auto"/>
              </w:rPr>
              <w:t>Mandatorily redeemable cumulative preferred stock at</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redemption value of $100 per share; 700,000 shares authorized;</w:t>
            </w:r>
          </w:p>
        </w:tc>
        <w:tc>
          <w:tcPr>
            <w:tcW w:w="320" w:type="dxa"/>
            <w:vAlign w:val="bottom"/>
          </w:tcPr>
          <w:p>
            <w:pPr>
              <w:spacing w:after="0"/>
              <w:rPr>
                <w:sz w:val="15"/>
                <w:szCs w:val="15"/>
                <w:color w:val="auto"/>
              </w:rPr>
            </w:pPr>
          </w:p>
        </w:tc>
        <w:tc>
          <w:tcPr>
            <w:tcW w:w="12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63,501</w:t>
            </w:r>
          </w:p>
        </w:tc>
        <w:tc>
          <w:tcPr>
            <w:tcW w:w="280" w:type="dxa"/>
            <w:vAlign w:val="bottom"/>
          </w:tcPr>
          <w:p>
            <w:pPr>
              <w:spacing w:after="0"/>
              <w:rPr>
                <w:sz w:val="15"/>
                <w:szCs w:val="15"/>
                <w:color w:val="auto"/>
              </w:rPr>
            </w:pP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63,501</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635,011 shares issued and outstanding</w:t>
            </w: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120" w:type="dxa"/>
            <w:vAlign w:val="bottom"/>
          </w:tcPr>
          <w:p>
            <w:pPr>
              <w:spacing w:after="0"/>
              <w:rPr>
                <w:sz w:val="20"/>
                <w:szCs w:val="20"/>
                <w:color w:val="auto"/>
              </w:rPr>
            </w:pPr>
            <w:r>
              <w:rPr>
                <w:rFonts w:ascii="Courier New" w:cs="Courier New" w:eastAsia="Courier New" w:hAnsi="Courier New"/>
                <w:sz w:val="16"/>
                <w:szCs w:val="16"/>
                <w:color w:val="auto"/>
              </w:rPr>
              <w:t>Preferred stock dividend payable</w:t>
            </w:r>
          </w:p>
        </w:tc>
        <w:tc>
          <w:tcPr>
            <w:tcW w:w="320" w:type="dxa"/>
            <w:vAlign w:val="bottom"/>
          </w:tcPr>
          <w:p>
            <w:pPr>
              <w:spacing w:after="0"/>
              <w:rPr>
                <w:sz w:val="22"/>
                <w:szCs w:val="22"/>
                <w:color w:val="auto"/>
              </w:rPr>
            </w:pP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7,620</w:t>
            </w:r>
          </w:p>
        </w:tc>
        <w:tc>
          <w:tcPr>
            <w:tcW w:w="280" w:type="dxa"/>
            <w:vAlign w:val="bottom"/>
          </w:tcPr>
          <w:p>
            <w:pPr>
              <w:spacing w:after="0"/>
              <w:rPr>
                <w:sz w:val="22"/>
                <w:szCs w:val="22"/>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3,810</w:t>
            </w:r>
          </w:p>
        </w:tc>
        <w:tc>
          <w:tcPr>
            <w:tcW w:w="0" w:type="dxa"/>
            <w:vAlign w:val="bottom"/>
          </w:tcPr>
          <w:p>
            <w:pPr>
              <w:spacing w:after="0"/>
              <w:rPr>
                <w:sz w:val="1"/>
                <w:szCs w:val="1"/>
                <w:color w:val="auto"/>
              </w:rPr>
            </w:pPr>
          </w:p>
        </w:tc>
      </w:tr>
      <w:tr>
        <w:trPr>
          <w:trHeight w:val="358"/>
        </w:trPr>
        <w:tc>
          <w:tcPr>
            <w:tcW w:w="7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71,121</w:t>
            </w:r>
          </w:p>
        </w:tc>
        <w:tc>
          <w:tcPr>
            <w:tcW w:w="28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67,311</w:t>
            </w:r>
          </w:p>
        </w:tc>
        <w:tc>
          <w:tcPr>
            <w:tcW w:w="0" w:type="dxa"/>
            <w:vAlign w:val="bottom"/>
          </w:tcPr>
          <w:p>
            <w:pPr>
              <w:spacing w:after="0"/>
              <w:rPr>
                <w:sz w:val="1"/>
                <w:szCs w:val="1"/>
                <w:color w:val="auto"/>
              </w:rPr>
            </w:pPr>
          </w:p>
        </w:tc>
      </w:tr>
      <w:tr>
        <w:trPr>
          <w:trHeight w:val="276"/>
        </w:trPr>
        <w:tc>
          <w:tcPr>
            <w:tcW w:w="7120" w:type="dxa"/>
            <w:vAlign w:val="bottom"/>
          </w:tcPr>
          <w:p>
            <w:pPr>
              <w:spacing w:after="0"/>
              <w:rPr>
                <w:sz w:val="20"/>
                <w:szCs w:val="20"/>
                <w:color w:val="auto"/>
              </w:rPr>
            </w:pPr>
            <w:r>
              <w:rPr>
                <w:rFonts w:ascii="Courier New" w:cs="Courier New" w:eastAsia="Courier New" w:hAnsi="Courier New"/>
                <w:sz w:val="16"/>
                <w:szCs w:val="16"/>
                <w:color w:val="auto"/>
              </w:rPr>
              <w:t>Common shareholders' deficit:</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at stated value of $1 per share; par value</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$0.001; 5,100,000 shares authorized; 1,000,000 shares</w:t>
            </w:r>
          </w:p>
        </w:tc>
        <w:tc>
          <w:tcPr>
            <w:tcW w:w="320" w:type="dxa"/>
            <w:vAlign w:val="bottom"/>
          </w:tcPr>
          <w:p>
            <w:pPr>
              <w:spacing w:after="0"/>
              <w:rPr>
                <w:sz w:val="15"/>
                <w:szCs w:val="15"/>
                <w:color w:val="auto"/>
              </w:rPr>
            </w:pPr>
          </w:p>
        </w:tc>
        <w:tc>
          <w:tcPr>
            <w:tcW w:w="12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1,000</w:t>
            </w:r>
          </w:p>
        </w:tc>
        <w:tc>
          <w:tcPr>
            <w:tcW w:w="280" w:type="dxa"/>
            <w:vAlign w:val="bottom"/>
          </w:tcPr>
          <w:p>
            <w:pPr>
              <w:spacing w:after="0"/>
              <w:rPr>
                <w:sz w:val="15"/>
                <w:szCs w:val="15"/>
                <w:color w:val="auto"/>
              </w:rPr>
            </w:pPr>
          </w:p>
        </w:tc>
        <w:tc>
          <w:tcPr>
            <w:tcW w:w="10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79"/>
        </w:trPr>
        <w:tc>
          <w:tcPr>
            <w:tcW w:w="7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issued and outstanding</w:t>
            </w: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(Deficit) retained earnings</w:t>
            </w:r>
          </w:p>
        </w:tc>
        <w:tc>
          <w:tcPr>
            <w:tcW w:w="32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(2,555)</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1,437</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Capital deficit</w:t>
            </w:r>
          </w:p>
        </w:tc>
        <w:tc>
          <w:tcPr>
            <w:tcW w:w="32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(98,517)</w:t>
            </w:r>
          </w:p>
        </w:tc>
        <w:tc>
          <w:tcPr>
            <w:tcW w:w="280" w:type="dxa"/>
            <w:vAlign w:val="bottom"/>
          </w:tcPr>
          <w:p>
            <w:pPr>
              <w:spacing w:after="0"/>
              <w:rPr>
                <w:sz w:val="15"/>
                <w:szCs w:val="15"/>
                <w:color w:val="auto"/>
              </w:rPr>
            </w:pP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6"/>
              </w:rPr>
              <w:t>(98,517)</w:t>
            </w:r>
          </w:p>
        </w:tc>
        <w:tc>
          <w:tcPr>
            <w:tcW w:w="0" w:type="dxa"/>
            <w:vAlign w:val="bottom"/>
          </w:tcPr>
          <w:p>
            <w:pPr>
              <w:spacing w:after="0"/>
              <w:rPr>
                <w:sz w:val="1"/>
                <w:szCs w:val="1"/>
                <w:color w:val="auto"/>
              </w:rPr>
            </w:pPr>
          </w:p>
        </w:tc>
      </w:tr>
      <w:tr>
        <w:trPr>
          <w:trHeight w:val="179"/>
        </w:trPr>
        <w:tc>
          <w:tcPr>
            <w:tcW w:w="7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Foreign currency translation adjustment</w:t>
            </w:r>
          </w:p>
        </w:tc>
        <w:tc>
          <w:tcPr>
            <w:tcW w:w="320" w:type="dxa"/>
            <w:vAlign w:val="bottom"/>
          </w:tcPr>
          <w:p>
            <w:pPr>
              <w:spacing w:after="0"/>
              <w:rPr>
                <w:sz w:val="15"/>
                <w:szCs w:val="15"/>
                <w:color w:val="auto"/>
              </w:rPr>
            </w:pPr>
          </w:p>
        </w:tc>
        <w:tc>
          <w:tcPr>
            <w:tcW w:w="12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2,029</w:t>
            </w:r>
          </w:p>
        </w:tc>
        <w:tc>
          <w:tcPr>
            <w:tcW w:w="28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2,917</w:t>
            </w:r>
          </w:p>
        </w:tc>
        <w:tc>
          <w:tcPr>
            <w:tcW w:w="0" w:type="dxa"/>
            <w:vAlign w:val="bottom"/>
          </w:tcPr>
          <w:p>
            <w:pPr>
              <w:spacing w:after="0"/>
              <w:rPr>
                <w:sz w:val="1"/>
                <w:szCs w:val="1"/>
                <w:color w:val="auto"/>
              </w:rPr>
            </w:pPr>
          </w:p>
        </w:tc>
      </w:tr>
      <w:tr>
        <w:trPr>
          <w:trHeight w:val="261"/>
        </w:trPr>
        <w:tc>
          <w:tcPr>
            <w:tcW w:w="7120" w:type="dxa"/>
            <w:vAlign w:val="bottom"/>
          </w:tcPr>
          <w:p>
            <w:pPr>
              <w:ind w:left="360"/>
              <w:spacing w:after="0"/>
              <w:rPr>
                <w:sz w:val="20"/>
                <w:szCs w:val="20"/>
                <w:color w:val="auto"/>
              </w:rPr>
            </w:pPr>
            <w:r>
              <w:rPr>
                <w:rFonts w:ascii="Courier New" w:cs="Courier New" w:eastAsia="Courier New" w:hAnsi="Courier New"/>
                <w:sz w:val="16"/>
                <w:szCs w:val="16"/>
                <w:color w:val="auto"/>
              </w:rPr>
              <w:t>Total common shareholders' deficit</w:t>
            </w:r>
          </w:p>
        </w:tc>
        <w:tc>
          <w:tcPr>
            <w:tcW w:w="320" w:type="dxa"/>
            <w:vAlign w:val="bottom"/>
          </w:tcPr>
          <w:p>
            <w:pPr>
              <w:spacing w:after="0"/>
              <w:rPr>
                <w:sz w:val="22"/>
                <w:szCs w:val="22"/>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(98,043)</w:t>
            </w:r>
          </w:p>
        </w:tc>
        <w:tc>
          <w:tcPr>
            <w:tcW w:w="280" w:type="dxa"/>
            <w:vAlign w:val="bottom"/>
          </w:tcPr>
          <w:p>
            <w:pPr>
              <w:spacing w:after="0"/>
              <w:rPr>
                <w:sz w:val="22"/>
                <w:szCs w:val="22"/>
                <w:color w:val="auto"/>
              </w:rPr>
            </w:pP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6"/>
              </w:rPr>
              <w:t>(93,163)</w:t>
            </w:r>
          </w:p>
        </w:tc>
        <w:tc>
          <w:tcPr>
            <w:tcW w:w="0" w:type="dxa"/>
            <w:vAlign w:val="bottom"/>
          </w:tcPr>
          <w:p>
            <w:pPr>
              <w:spacing w:after="0"/>
              <w:rPr>
                <w:sz w:val="1"/>
                <w:szCs w:val="1"/>
                <w:color w:val="auto"/>
              </w:rPr>
            </w:pPr>
          </w:p>
        </w:tc>
      </w:tr>
      <w:tr>
        <w:trPr>
          <w:trHeight w:val="358"/>
        </w:trPr>
        <w:tc>
          <w:tcPr>
            <w:tcW w:w="712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67,617</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68,469</w:t>
            </w:r>
          </w:p>
        </w:tc>
        <w:tc>
          <w:tcPr>
            <w:tcW w:w="0" w:type="dxa"/>
            <w:vAlign w:val="bottom"/>
          </w:tcPr>
          <w:p>
            <w:pPr>
              <w:spacing w:after="0"/>
              <w:rPr>
                <w:sz w:val="1"/>
                <w:szCs w:val="1"/>
                <w:color w:val="auto"/>
              </w:rPr>
            </w:pPr>
          </w:p>
        </w:tc>
      </w:tr>
      <w:tr>
        <w:trPr>
          <w:trHeight w:val="276"/>
        </w:trPr>
        <w:tc>
          <w:tcPr>
            <w:tcW w:w="7120" w:type="dxa"/>
            <w:vAlign w:val="bottom"/>
          </w:tcPr>
          <w:p>
            <w:pPr>
              <w:jc w:val="center"/>
              <w:ind w:left="2762"/>
              <w:spacing w:after="0"/>
              <w:rPr>
                <w:sz w:val="20"/>
                <w:szCs w:val="20"/>
                <w:color w:val="auto"/>
              </w:rPr>
            </w:pPr>
            <w:r>
              <w:rPr>
                <w:rFonts w:ascii="Courier New" w:cs="Courier New" w:eastAsia="Courier New" w:hAnsi="Courier New"/>
                <w:sz w:val="16"/>
                <w:szCs w:val="16"/>
                <w:color w:val="auto"/>
                <w:w w:val="96"/>
              </w:rPr>
              <w:t>The accompanying notes are an integral part</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7120" w:type="dxa"/>
            <w:vAlign w:val="bottom"/>
          </w:tcPr>
          <w:p>
            <w:pPr>
              <w:jc w:val="center"/>
              <w:ind w:left="2762"/>
              <w:spacing w:after="0"/>
              <w:rPr>
                <w:sz w:val="20"/>
                <w:szCs w:val="20"/>
                <w:color w:val="auto"/>
              </w:rPr>
            </w:pPr>
            <w:r>
              <w:rPr>
                <w:rFonts w:ascii="Courier New" w:cs="Courier New" w:eastAsia="Courier New" w:hAnsi="Courier New"/>
                <w:sz w:val="16"/>
                <w:szCs w:val="16"/>
                <w:color w:val="auto"/>
                <w:w w:val="96"/>
              </w:rPr>
              <w:t>of these consolidated financial statements.</w:t>
            </w: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7120" w:type="dxa"/>
            <w:vAlign w:val="bottom"/>
          </w:tcPr>
          <w:p>
            <w:pPr>
              <w:jc w:val="center"/>
              <w:ind w:left="2762"/>
              <w:spacing w:after="0"/>
              <w:rPr>
                <w:sz w:val="20"/>
                <w:szCs w:val="20"/>
                <w:color w:val="auto"/>
              </w:rPr>
            </w:pPr>
            <w:r>
              <w:rPr>
                <w:rFonts w:ascii="Courier New" w:cs="Courier New" w:eastAsia="Courier New" w:hAnsi="Courier New"/>
                <w:sz w:val="16"/>
                <w:szCs w:val="16"/>
                <w:color w:val="auto"/>
                <w:w w:val="97"/>
              </w:rPr>
              <w:t>F-3</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GRACE-SIERRA HORTICULTURAL PRODUCTS COMPANY</w:t>
      </w:r>
    </w:p>
    <w:p>
      <w:pPr>
        <w:spacing w:after="0" w:line="17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(in thousands)</w:t>
      </w:r>
    </w:p>
    <w:p>
      <w:pPr>
        <w:sectPr>
          <w:pgSz w:w="11900" w:h="16838" w:orient="portrait"/>
          <w:cols w:equalWidth="0" w:num="1">
            <w:col w:w="10219"/>
          </w:cols>
          <w:pgMar w:left="240" w:top="114"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200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Period from</w:t>
            </w:r>
          </w:p>
        </w:tc>
        <w:tc>
          <w:tcPr>
            <w:tcW w:w="1900" w:type="dxa"/>
            <w:vAlign w:val="bottom"/>
            <w:gridSpan w:val="2"/>
            <w:vMerge w:val="restart"/>
          </w:tcPr>
          <w:p>
            <w:pPr>
              <w:jc w:val="right"/>
              <w:ind w:right="302"/>
              <w:spacing w:after="0"/>
              <w:rPr>
                <w:sz w:val="20"/>
                <w:szCs w:val="20"/>
                <w:color w:val="auto"/>
              </w:rPr>
            </w:pPr>
            <w:r>
              <w:rPr>
                <w:rFonts w:ascii="Courier New" w:cs="Courier New" w:eastAsia="Courier New" w:hAnsi="Courier New"/>
                <w:sz w:val="16"/>
                <w:szCs w:val="16"/>
                <w:color w:val="auto"/>
              </w:rPr>
              <w:t>Year Ended</w:t>
            </w:r>
          </w:p>
        </w:tc>
        <w:tc>
          <w:tcPr>
            <w:tcW w:w="0" w:type="dxa"/>
            <w:vAlign w:val="bottom"/>
          </w:tcPr>
          <w:p>
            <w:pPr>
              <w:spacing w:after="0"/>
              <w:rPr>
                <w:sz w:val="1"/>
                <w:szCs w:val="1"/>
                <w:color w:val="auto"/>
              </w:rPr>
            </w:pPr>
          </w:p>
        </w:tc>
      </w:tr>
      <w:tr>
        <w:trPr>
          <w:trHeight w:val="179"/>
        </w:trPr>
        <w:tc>
          <w:tcPr>
            <w:tcW w:w="3540" w:type="dxa"/>
            <w:vAlign w:val="bottom"/>
          </w:tcPr>
          <w:p>
            <w:pPr>
              <w:spacing w:after="0"/>
              <w:rPr>
                <w:sz w:val="15"/>
                <w:szCs w:val="15"/>
                <w:color w:val="auto"/>
              </w:rPr>
            </w:pPr>
          </w:p>
        </w:tc>
        <w:tc>
          <w:tcPr>
            <w:tcW w:w="200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rPr>
              <w:t>January 1 to</w:t>
            </w:r>
          </w:p>
        </w:tc>
        <w:tc>
          <w:tcPr>
            <w:tcW w:w="1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200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December 16, 1993</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1992</w:t>
            </w:r>
          </w:p>
        </w:tc>
        <w:tc>
          <w:tcPr>
            <w:tcW w:w="0" w:type="dxa"/>
            <w:vAlign w:val="bottom"/>
          </w:tcPr>
          <w:p>
            <w:pPr>
              <w:spacing w:after="0"/>
              <w:rPr>
                <w:sz w:val="1"/>
                <w:szCs w:val="1"/>
                <w:color w:val="auto"/>
              </w:rPr>
            </w:pPr>
          </w:p>
        </w:tc>
      </w:tr>
      <w:tr>
        <w:trPr>
          <w:trHeight w:val="537"/>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108,650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107,044</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600" w:type="dxa"/>
            <w:vAlign w:val="bottom"/>
          </w:tcPr>
          <w:p>
            <w:pPr>
              <w:spacing w:after="0"/>
              <w:rPr>
                <w:sz w:val="23"/>
                <w:szCs w:val="23"/>
                <w:color w:val="auto"/>
              </w:rPr>
            </w:pPr>
          </w:p>
        </w:tc>
        <w:tc>
          <w:tcPr>
            <w:tcW w:w="1400" w:type="dxa"/>
            <w:vAlign w:val="bottom"/>
            <w:vMerge w:val="restart"/>
          </w:tcPr>
          <w:p>
            <w:pPr>
              <w:jc w:val="right"/>
              <w:ind w:right="622"/>
              <w:spacing w:after="0"/>
              <w:rPr>
                <w:sz w:val="20"/>
                <w:szCs w:val="20"/>
                <w:color w:val="auto"/>
              </w:rPr>
            </w:pPr>
            <w:r>
              <w:rPr>
                <w:rFonts w:ascii="Courier New" w:cs="Courier New" w:eastAsia="Courier New" w:hAnsi="Courier New"/>
                <w:sz w:val="16"/>
                <w:szCs w:val="16"/>
                <w:color w:val="auto"/>
              </w:rPr>
              <w:t>62,441</w:t>
            </w:r>
          </w:p>
        </w:tc>
        <w:tc>
          <w:tcPr>
            <w:tcW w:w="820" w:type="dxa"/>
            <w:vAlign w:val="bottom"/>
          </w:tcPr>
          <w:p>
            <w:pPr>
              <w:spacing w:after="0"/>
              <w:rPr>
                <w:sz w:val="23"/>
                <w:szCs w:val="23"/>
                <w:color w:val="auto"/>
              </w:rPr>
            </w:pPr>
          </w:p>
        </w:tc>
        <w:tc>
          <w:tcPr>
            <w:tcW w:w="10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63,642</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Cost of goods sold</w:t>
            </w:r>
          </w:p>
        </w:tc>
        <w:tc>
          <w:tcPr>
            <w:tcW w:w="6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Selling, administrative and general</w:t>
            </w:r>
          </w:p>
        </w:tc>
        <w:tc>
          <w:tcPr>
            <w:tcW w:w="600" w:type="dxa"/>
            <w:vAlign w:val="bottom"/>
          </w:tcPr>
          <w:p>
            <w:pPr>
              <w:spacing w:after="0"/>
              <w:rPr>
                <w:sz w:val="15"/>
                <w:szCs w:val="15"/>
                <w:color w:val="auto"/>
              </w:rPr>
            </w:pPr>
          </w:p>
        </w:tc>
        <w:tc>
          <w:tcPr>
            <w:tcW w:w="14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32,486</w:t>
            </w:r>
          </w:p>
        </w:tc>
        <w:tc>
          <w:tcPr>
            <w:tcW w:w="8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30,207</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600" w:type="dxa"/>
            <w:vAlign w:val="bottom"/>
          </w:tcPr>
          <w:p>
            <w:pPr>
              <w:spacing w:after="0"/>
              <w:rPr>
                <w:sz w:val="15"/>
                <w:szCs w:val="15"/>
                <w:color w:val="auto"/>
              </w:rPr>
            </w:pPr>
          </w:p>
        </w:tc>
        <w:tc>
          <w:tcPr>
            <w:tcW w:w="14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3,927</w:t>
            </w:r>
          </w:p>
        </w:tc>
        <w:tc>
          <w:tcPr>
            <w:tcW w:w="8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3,430</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w:t>
            </w:r>
          </w:p>
        </w:tc>
        <w:tc>
          <w:tcPr>
            <w:tcW w:w="600" w:type="dxa"/>
            <w:vAlign w:val="bottom"/>
          </w:tcPr>
          <w:p>
            <w:pPr>
              <w:spacing w:after="0"/>
              <w:rPr>
                <w:sz w:val="15"/>
                <w:szCs w:val="15"/>
                <w:color w:val="auto"/>
              </w:rPr>
            </w:pPr>
          </w:p>
        </w:tc>
        <w:tc>
          <w:tcPr>
            <w:tcW w:w="14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7,400</w:t>
            </w:r>
          </w:p>
        </w:tc>
        <w:tc>
          <w:tcPr>
            <w:tcW w:w="8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7,411</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Foreign exchange loss</w:t>
            </w:r>
          </w:p>
        </w:tc>
        <w:tc>
          <w:tcPr>
            <w:tcW w:w="600" w:type="dxa"/>
            <w:vAlign w:val="bottom"/>
          </w:tcPr>
          <w:p>
            <w:pPr>
              <w:spacing w:after="0"/>
              <w:rPr>
                <w:sz w:val="15"/>
                <w:szCs w:val="15"/>
                <w:color w:val="auto"/>
              </w:rPr>
            </w:pPr>
          </w:p>
        </w:tc>
        <w:tc>
          <w:tcPr>
            <w:tcW w:w="14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57</w:t>
            </w:r>
          </w:p>
        </w:tc>
        <w:tc>
          <w:tcPr>
            <w:tcW w:w="820" w:type="dxa"/>
            <w:vAlign w:val="bottom"/>
          </w:tcPr>
          <w:p>
            <w:pPr>
              <w:spacing w:after="0"/>
              <w:rPr>
                <w:sz w:val="15"/>
                <w:szCs w:val="15"/>
                <w:color w:val="auto"/>
              </w:rPr>
            </w:pP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760</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expense (income), net</w:t>
            </w:r>
          </w:p>
        </w:tc>
        <w:tc>
          <w:tcPr>
            <w:tcW w:w="600" w:type="dxa"/>
            <w:vAlign w:val="bottom"/>
          </w:tcPr>
          <w:p>
            <w:pPr>
              <w:spacing w:after="0"/>
              <w:rPr>
                <w:sz w:val="15"/>
                <w:szCs w:val="15"/>
                <w:color w:val="auto"/>
              </w:rPr>
            </w:pPr>
          </w:p>
        </w:tc>
        <w:tc>
          <w:tcPr>
            <w:tcW w:w="14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474</w:t>
            </w:r>
          </w:p>
        </w:tc>
        <w:tc>
          <w:tcPr>
            <w:tcW w:w="820" w:type="dxa"/>
            <w:vAlign w:val="bottom"/>
          </w:tcPr>
          <w:p>
            <w:pPr>
              <w:spacing w:after="0"/>
              <w:rPr>
                <w:sz w:val="15"/>
                <w:szCs w:val="15"/>
                <w:color w:val="auto"/>
              </w:rPr>
            </w:pP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(273)</w:t>
            </w:r>
          </w:p>
        </w:tc>
        <w:tc>
          <w:tcPr>
            <w:tcW w:w="0" w:type="dxa"/>
            <w:vAlign w:val="bottom"/>
          </w:tcPr>
          <w:p>
            <w:pPr>
              <w:spacing w:after="0"/>
              <w:rPr>
                <w:sz w:val="1"/>
                <w:szCs w:val="1"/>
                <w:color w:val="auto"/>
              </w:rPr>
            </w:pPr>
          </w:p>
        </w:tc>
      </w:tr>
      <w:tr>
        <w:trPr>
          <w:trHeight w:val="261"/>
        </w:trPr>
        <w:tc>
          <w:tcPr>
            <w:tcW w:w="3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106,785</w:t>
            </w:r>
          </w:p>
        </w:tc>
        <w:tc>
          <w:tcPr>
            <w:tcW w:w="820" w:type="dxa"/>
            <w:vAlign w:val="bottom"/>
          </w:tcPr>
          <w:p>
            <w:pPr>
              <w:spacing w:after="0"/>
              <w:rPr>
                <w:sz w:val="22"/>
                <w:szCs w:val="22"/>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105,177</w:t>
            </w:r>
          </w:p>
        </w:tc>
        <w:tc>
          <w:tcPr>
            <w:tcW w:w="0" w:type="dxa"/>
            <w:vAlign w:val="bottom"/>
          </w:tcPr>
          <w:p>
            <w:pPr>
              <w:spacing w:after="0"/>
              <w:rPr>
                <w:sz w:val="1"/>
                <w:szCs w:val="1"/>
                <w:color w:val="auto"/>
              </w:rPr>
            </w:pP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600" w:type="dxa"/>
            <w:vAlign w:val="bottom"/>
          </w:tcPr>
          <w:p>
            <w:pPr>
              <w:spacing w:after="0"/>
              <w:rPr>
                <w:sz w:val="24"/>
                <w:szCs w:val="24"/>
                <w:color w:val="auto"/>
              </w:rPr>
            </w:pP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1,865</w:t>
            </w:r>
          </w:p>
        </w:tc>
        <w:tc>
          <w:tcPr>
            <w:tcW w:w="820" w:type="dxa"/>
            <w:vAlign w:val="bottom"/>
          </w:tcPr>
          <w:p>
            <w:pPr>
              <w:spacing w:after="0"/>
              <w:rPr>
                <w:sz w:val="24"/>
                <w:szCs w:val="24"/>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1,867</w:t>
            </w:r>
          </w:p>
        </w:tc>
        <w:tc>
          <w:tcPr>
            <w:tcW w:w="0" w:type="dxa"/>
            <w:vAlign w:val="bottom"/>
          </w:tcPr>
          <w:p>
            <w:pPr>
              <w:spacing w:after="0"/>
              <w:rPr>
                <w:sz w:val="1"/>
                <w:szCs w:val="1"/>
                <w:color w:val="auto"/>
              </w:rPr>
            </w:pP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600" w:type="dxa"/>
            <w:vAlign w:val="bottom"/>
          </w:tcPr>
          <w:p>
            <w:pPr>
              <w:spacing w:after="0"/>
              <w:rPr>
                <w:sz w:val="24"/>
                <w:szCs w:val="24"/>
                <w:color w:val="auto"/>
              </w:rPr>
            </w:pPr>
          </w:p>
        </w:tc>
        <w:tc>
          <w:tcPr>
            <w:tcW w:w="14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2,047</w:t>
            </w:r>
          </w:p>
        </w:tc>
        <w:tc>
          <w:tcPr>
            <w:tcW w:w="820" w:type="dxa"/>
            <w:vAlign w:val="bottom"/>
          </w:tcPr>
          <w:p>
            <w:pPr>
              <w:spacing w:after="0"/>
              <w:rPr>
                <w:sz w:val="24"/>
                <w:szCs w:val="24"/>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(182)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The accompanying notes are an integral part</w:t>
      </w:r>
    </w:p>
    <w:p>
      <w:pPr>
        <w:spacing w:after="0" w:line="26"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F-4</w:t>
      </w:r>
    </w:p>
    <w:p>
      <w:pPr>
        <w:spacing w:after="0" w:line="200" w:lineRule="exact"/>
        <w:rPr>
          <w:sz w:val="20"/>
          <w:szCs w:val="20"/>
          <w:color w:val="auto"/>
        </w:rPr>
      </w:pPr>
    </w:p>
    <w:p>
      <w:pPr>
        <w:spacing w:after="0" w:line="334" w:lineRule="exact"/>
        <w:rPr>
          <w:sz w:val="20"/>
          <w:szCs w:val="20"/>
          <w:color w:val="auto"/>
        </w:rPr>
      </w:pPr>
    </w:p>
    <w:p>
      <w:pPr>
        <w:jc w:val="center"/>
        <w:ind w:left="580"/>
        <w:spacing w:after="0"/>
        <w:rPr>
          <w:sz w:val="20"/>
          <w:szCs w:val="20"/>
          <w:color w:val="auto"/>
        </w:rPr>
      </w:pPr>
      <w:r>
        <w:rPr>
          <w:rFonts w:ascii="Courier New" w:cs="Courier New" w:eastAsia="Courier New" w:hAnsi="Courier New"/>
          <w:sz w:val="16"/>
          <w:szCs w:val="16"/>
          <w:color w:val="auto"/>
        </w:rPr>
        <w:t>GRACE-SIERRA HORTICULTURAL PRODUCTS COMPANY</w:t>
      </w:r>
    </w:p>
    <w:p>
      <w:pPr>
        <w:spacing w:after="0" w:line="177" w:lineRule="exact"/>
        <w:rPr>
          <w:sz w:val="20"/>
          <w:szCs w:val="20"/>
          <w:color w:val="auto"/>
        </w:rPr>
      </w:pPr>
    </w:p>
    <w:p>
      <w:pPr>
        <w:jc w:val="center"/>
        <w:ind w:left="660"/>
        <w:spacing w:after="0"/>
        <w:rPr>
          <w:sz w:val="20"/>
          <w:szCs w:val="20"/>
          <w:color w:val="auto"/>
        </w:rPr>
      </w:pPr>
      <w:r>
        <w:rPr>
          <w:rFonts w:ascii="Courier New" w:cs="Courier New" w:eastAsia="Courier New" w:hAnsi="Courier New"/>
          <w:sz w:val="16"/>
          <w:szCs w:val="16"/>
          <w:color w:val="auto"/>
        </w:rPr>
        <w:t>CONSOLIDATED STATEMENTS OF CHANGES IN COMMON SHAREHOLDERS' DEFICIT</w:t>
      </w:r>
    </w:p>
    <w:p>
      <w:pPr>
        <w:spacing w:after="0" w:line="26" w:lineRule="exact"/>
        <w:rPr>
          <w:sz w:val="20"/>
          <w:szCs w:val="20"/>
          <w:color w:val="auto"/>
        </w:rPr>
      </w:pPr>
    </w:p>
    <w:p>
      <w:pPr>
        <w:jc w:val="center"/>
        <w:ind w:left="660"/>
        <w:spacing w:after="0"/>
        <w:rPr>
          <w:sz w:val="20"/>
          <w:szCs w:val="20"/>
          <w:color w:val="auto"/>
        </w:rPr>
      </w:pPr>
      <w:r>
        <w:rPr>
          <w:rFonts w:ascii="Courier New" w:cs="Courier New" w:eastAsia="Courier New" w:hAnsi="Courier New"/>
          <w:sz w:val="16"/>
          <w:szCs w:val="16"/>
          <w:color w:val="auto"/>
        </w:rPr>
        <w:t>(in thousands except share data)</w:t>
      </w:r>
    </w:p>
    <w:p>
      <w:pPr>
        <w:spacing w:after="0" w:line="149"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FOR THE PERIOD FROM JANUARY 1 TO DECEMBER 16, 1993 AND THE YEAR ENDED DECEMBER 31, 1992</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vMerge w:val="restart"/>
          </w:tcPr>
          <w:p>
            <w:pPr>
              <w:ind w:left="320"/>
              <w:spacing w:after="0"/>
              <w:rPr>
                <w:sz w:val="20"/>
                <w:szCs w:val="20"/>
                <w:color w:val="auto"/>
              </w:rPr>
            </w:pPr>
            <w:r>
              <w:rPr>
                <w:rFonts w:ascii="Courier New" w:cs="Courier New" w:eastAsia="Courier New" w:hAnsi="Courier New"/>
                <w:sz w:val="16"/>
                <w:szCs w:val="16"/>
                <w:color w:val="auto"/>
              </w:rPr>
              <w:t>(Deficit)</w:t>
            </w:r>
          </w:p>
        </w:tc>
        <w:tc>
          <w:tcPr>
            <w:tcW w:w="126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Foreign</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2420" w:type="dxa"/>
            <w:vAlign w:val="bottom"/>
            <w:gridSpan w:val="2"/>
            <w:vMerge w:val="restart"/>
          </w:tcPr>
          <w:p>
            <w:pPr>
              <w:jc w:val="right"/>
              <w:ind w:right="342"/>
              <w:spacing w:after="0"/>
              <w:rPr>
                <w:sz w:val="20"/>
                <w:szCs w:val="20"/>
                <w:color w:val="auto"/>
              </w:rPr>
            </w:pPr>
            <w:r>
              <w:rPr>
                <w:rFonts w:ascii="Courier New" w:cs="Courier New" w:eastAsia="Courier New" w:hAnsi="Courier New"/>
                <w:sz w:val="16"/>
                <w:szCs w:val="16"/>
                <w:color w:val="auto"/>
              </w:rPr>
              <w:t>Common Stock</w:t>
            </w:r>
          </w:p>
        </w:tc>
        <w:tc>
          <w:tcPr>
            <w:tcW w:w="1340" w:type="dxa"/>
            <w:vAlign w:val="bottom"/>
            <w:vMerge w:val="continue"/>
          </w:tcPr>
          <w:p>
            <w:pPr>
              <w:spacing w:after="0"/>
              <w:rPr>
                <w:sz w:val="15"/>
                <w:szCs w:val="15"/>
                <w:color w:val="auto"/>
              </w:rPr>
            </w:pPr>
          </w:p>
        </w:tc>
        <w:tc>
          <w:tcPr>
            <w:tcW w:w="126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Capital</w:t>
            </w:r>
          </w:p>
        </w:tc>
        <w:tc>
          <w:tcPr>
            <w:tcW w:w="140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Currency</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13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Retained</w:t>
            </w:r>
          </w:p>
        </w:tc>
        <w:tc>
          <w:tcPr>
            <w:tcW w:w="1260" w:type="dxa"/>
            <w:vAlign w:val="bottom"/>
            <w:vMerge w:val="continue"/>
          </w:tcPr>
          <w:p>
            <w:pPr>
              <w:spacing w:after="0"/>
              <w:rPr>
                <w:sz w:val="15"/>
                <w:szCs w:val="15"/>
                <w:color w:val="auto"/>
              </w:rPr>
            </w:pPr>
          </w:p>
        </w:tc>
        <w:tc>
          <w:tcPr>
            <w:tcW w:w="14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Translation</w:t>
            </w:r>
          </w:p>
        </w:tc>
        <w:tc>
          <w:tcPr>
            <w:tcW w:w="98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261"/>
        </w:trPr>
        <w:tc>
          <w:tcPr>
            <w:tcW w:w="4040" w:type="dxa"/>
            <w:vAlign w:val="bottom"/>
          </w:tcPr>
          <w:p>
            <w:pPr>
              <w:spacing w:after="0"/>
              <w:rPr>
                <w:sz w:val="22"/>
                <w:szCs w:val="22"/>
                <w:color w:val="auto"/>
              </w:rPr>
            </w:pP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Shares</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Amount</w:t>
            </w:r>
          </w:p>
        </w:tc>
        <w:tc>
          <w:tcPr>
            <w:tcW w:w="1340" w:type="dxa"/>
            <w:vAlign w:val="bottom"/>
          </w:tcPr>
          <w:p>
            <w:pPr>
              <w:ind w:left="320"/>
              <w:spacing w:after="0"/>
              <w:rPr>
                <w:sz w:val="20"/>
                <w:szCs w:val="20"/>
                <w:color w:val="auto"/>
              </w:rPr>
            </w:pPr>
            <w:r>
              <w:rPr>
                <w:rFonts w:ascii="Courier New" w:cs="Courier New" w:eastAsia="Courier New" w:hAnsi="Courier New"/>
                <w:sz w:val="16"/>
                <w:szCs w:val="16"/>
                <w:color w:val="auto"/>
              </w:rPr>
              <w:t>Earnings</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Deficit</w:t>
            </w:r>
          </w:p>
        </w:tc>
        <w:tc>
          <w:tcPr>
            <w:tcW w:w="1400" w:type="dxa"/>
            <w:vAlign w:val="bottom"/>
          </w:tcPr>
          <w:p>
            <w:pPr>
              <w:ind w:left="240"/>
              <w:spacing w:after="0"/>
              <w:rPr>
                <w:sz w:val="20"/>
                <w:szCs w:val="20"/>
                <w:color w:val="auto"/>
              </w:rPr>
            </w:pPr>
            <w:r>
              <w:rPr>
                <w:rFonts w:ascii="Courier New" w:cs="Courier New" w:eastAsia="Courier New" w:hAnsi="Courier New"/>
                <w:sz w:val="16"/>
                <w:szCs w:val="16"/>
                <w:color w:val="auto"/>
              </w:rPr>
              <w:t>Adjustment</w:t>
            </w: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37"/>
        </w:trPr>
        <w:tc>
          <w:tcPr>
            <w:tcW w:w="4040" w:type="dxa"/>
            <w:vAlign w:val="bottom"/>
          </w:tcPr>
          <w:p>
            <w:pPr>
              <w:spacing w:after="0"/>
              <w:rPr>
                <w:sz w:val="20"/>
                <w:szCs w:val="20"/>
                <w:color w:val="auto"/>
              </w:rPr>
            </w:pPr>
            <w:r>
              <w:rPr>
                <w:rFonts w:ascii="Courier New" w:cs="Courier New" w:eastAsia="Courier New" w:hAnsi="Courier New"/>
                <w:sz w:val="16"/>
                <w:szCs w:val="16"/>
                <w:color w:val="auto"/>
              </w:rPr>
              <w:t>Balance at December 31, 1991</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1,000,000</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$ 1,000</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$ 8,975</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$(98,517)</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$ 3,555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$(84,987)</w:t>
            </w: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(134)</w:t>
            </w: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c>
          <w:tcPr>
            <w:tcW w:w="0" w:type="dxa"/>
            <w:vAlign w:val="bottom"/>
          </w:tcPr>
          <w:p>
            <w:pPr>
              <w:spacing w:after="0"/>
              <w:rPr>
                <w:sz w:val="1"/>
                <w:szCs w:val="1"/>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 of preferred stock</w:t>
            </w: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(3,594)</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(3,594)</w:t>
            </w:r>
          </w:p>
        </w:tc>
        <w:tc>
          <w:tcPr>
            <w:tcW w:w="0" w:type="dxa"/>
            <w:vAlign w:val="bottom"/>
          </w:tcPr>
          <w:p>
            <w:pPr>
              <w:spacing w:after="0"/>
              <w:rPr>
                <w:sz w:val="1"/>
                <w:szCs w:val="1"/>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 payable on preferred stock</w:t>
            </w: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(3,810)</w:t>
            </w:r>
          </w:p>
        </w:tc>
        <w:tc>
          <w:tcPr>
            <w:tcW w:w="1260" w:type="dxa"/>
            <w:vAlign w:val="bottom"/>
          </w:tcPr>
          <w:p>
            <w:pPr>
              <w:spacing w:after="0"/>
              <w:rPr>
                <w:sz w:val="15"/>
                <w:szCs w:val="15"/>
                <w:color w:val="auto"/>
              </w:rPr>
            </w:pPr>
          </w:p>
        </w:tc>
        <w:tc>
          <w:tcPr>
            <w:tcW w:w="14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(638)</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(3,810)</w:t>
            </w:r>
          </w:p>
        </w:tc>
        <w:tc>
          <w:tcPr>
            <w:tcW w:w="0" w:type="dxa"/>
            <w:vAlign w:val="bottom"/>
          </w:tcPr>
          <w:p>
            <w:pPr>
              <w:spacing w:after="0"/>
              <w:rPr>
                <w:sz w:val="1"/>
                <w:szCs w:val="1"/>
                <w:color w:val="auto"/>
              </w:rPr>
            </w:pPr>
          </w:p>
        </w:tc>
      </w:tr>
      <w:tr>
        <w:trPr>
          <w:trHeight w:val="261"/>
        </w:trPr>
        <w:tc>
          <w:tcPr>
            <w:tcW w:w="404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w:t>
            </w:r>
          </w:p>
        </w:tc>
        <w:tc>
          <w:tcPr>
            <w:tcW w:w="1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(638)</w:t>
            </w: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rPr>
              <w:t>Balance at December 31, 1992</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1,000,000</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1,000</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1,437</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(98,517)</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2,917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(93,163)</w:t>
            </w: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(182)</w:t>
            </w: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0" w:type="dxa"/>
            <w:vAlign w:val="bottom"/>
          </w:tcPr>
          <w:p>
            <w:pPr>
              <w:spacing w:after="0"/>
              <w:rPr>
                <w:sz w:val="1"/>
                <w:szCs w:val="1"/>
                <w:color w:val="auto"/>
              </w:rPr>
            </w:pPr>
          </w:p>
        </w:tc>
      </w:tr>
      <w:tr>
        <w:trPr>
          <w:trHeight w:val="179"/>
        </w:trPr>
        <w:tc>
          <w:tcPr>
            <w:tcW w:w="40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 payable on preferred stock</w:t>
            </w: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(3,810)</w:t>
            </w:r>
          </w:p>
        </w:tc>
        <w:tc>
          <w:tcPr>
            <w:tcW w:w="1260" w:type="dxa"/>
            <w:vAlign w:val="bottom"/>
          </w:tcPr>
          <w:p>
            <w:pPr>
              <w:spacing w:after="0"/>
              <w:rPr>
                <w:sz w:val="15"/>
                <w:szCs w:val="15"/>
                <w:color w:val="auto"/>
              </w:rPr>
            </w:pPr>
          </w:p>
        </w:tc>
        <w:tc>
          <w:tcPr>
            <w:tcW w:w="140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(888)</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(3,810)</w:t>
            </w:r>
          </w:p>
        </w:tc>
        <w:tc>
          <w:tcPr>
            <w:tcW w:w="0" w:type="dxa"/>
            <w:vAlign w:val="bottom"/>
          </w:tcPr>
          <w:p>
            <w:pPr>
              <w:spacing w:after="0"/>
              <w:rPr>
                <w:sz w:val="1"/>
                <w:szCs w:val="1"/>
                <w:color w:val="auto"/>
              </w:rPr>
            </w:pPr>
          </w:p>
        </w:tc>
      </w:tr>
      <w:tr>
        <w:trPr>
          <w:trHeight w:val="261"/>
        </w:trPr>
        <w:tc>
          <w:tcPr>
            <w:tcW w:w="404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w:t>
            </w:r>
          </w:p>
        </w:tc>
        <w:tc>
          <w:tcPr>
            <w:tcW w:w="1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(888)</w:t>
            </w: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Courier New" w:cs="Courier New" w:eastAsia="Courier New" w:hAnsi="Courier New"/>
                <w:sz w:val="16"/>
                <w:szCs w:val="16"/>
                <w:color w:val="auto"/>
              </w:rPr>
              <w:t>Balance at December 16, 1993</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1,000,000</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$ 1,000</w:t>
            </w:r>
          </w:p>
        </w:tc>
        <w:tc>
          <w:tcPr>
            <w:tcW w:w="13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 (2,555)</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$(98,517)</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$ 2,029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$(98,043)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5500"/>
        <w:spacing w:after="0"/>
        <w:rPr>
          <w:sz w:val="20"/>
          <w:szCs w:val="20"/>
          <w:color w:val="auto"/>
        </w:rPr>
      </w:pPr>
      <w:r>
        <w:rPr>
          <w:rFonts w:ascii="Courier New" w:cs="Courier New" w:eastAsia="Courier New" w:hAnsi="Courier New"/>
          <w:sz w:val="16"/>
          <w:szCs w:val="16"/>
          <w:color w:val="auto"/>
        </w:rPr>
        <w:t>The accompanying notes are an integral part</w:t>
      </w:r>
    </w:p>
    <w:p>
      <w:pPr>
        <w:spacing w:after="0" w:line="26" w:lineRule="exact"/>
        <w:rPr>
          <w:sz w:val="20"/>
          <w:szCs w:val="20"/>
          <w:color w:val="auto"/>
        </w:rPr>
      </w:pPr>
    </w:p>
    <w:p>
      <w:pPr>
        <w:jc w:val="right"/>
        <w:ind w:right="5500"/>
        <w:spacing w:after="0"/>
        <w:rPr>
          <w:sz w:val="20"/>
          <w:szCs w:val="20"/>
          <w:color w:val="auto"/>
        </w:rPr>
      </w:pPr>
      <w:r>
        <w:rPr>
          <w:rFonts w:ascii="Courier New" w:cs="Courier New" w:eastAsia="Courier New" w:hAnsi="Courier New"/>
          <w:sz w:val="16"/>
          <w:szCs w:val="16"/>
          <w:color w:val="auto"/>
        </w:rPr>
        <w:t>of these consolidated financial statements</w:t>
      </w:r>
    </w:p>
    <w:p>
      <w:pPr>
        <w:sectPr>
          <w:pgSz w:w="11900" w:h="16838" w:orient="portrait"/>
          <w:cols w:equalWidth="0" w:num="1">
            <w:col w:w="11440"/>
          </w:cols>
          <w:pgMar w:left="240" w:top="469" w:right="219" w:bottom="0" w:gutter="0" w:footer="0" w:header="0"/>
        </w:sectPr>
      </w:pPr>
    </w:p>
    <w:bookmarkStart w:id="8" w:name="page9"/>
    <w:bookmarkEnd w:id="8"/>
    <w:p>
      <w:pPr>
        <w:spacing w:after="0" w:line="105"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F-5</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GRACE-SIERRA HORTICULTURAL PRODUCTS COMPANY</w:t>
      </w:r>
    </w:p>
    <w:p>
      <w:pPr>
        <w:spacing w:after="0" w:line="17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20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Period from</w:t>
            </w:r>
          </w:p>
        </w:tc>
        <w:tc>
          <w:tcPr>
            <w:tcW w:w="1820" w:type="dxa"/>
            <w:vAlign w:val="bottom"/>
            <w:gridSpan w:val="2"/>
            <w:vMerge w:val="restart"/>
          </w:tcPr>
          <w:p>
            <w:pPr>
              <w:jc w:val="right"/>
              <w:ind w:right="382"/>
              <w:spacing w:after="0"/>
              <w:rPr>
                <w:sz w:val="20"/>
                <w:szCs w:val="20"/>
                <w:color w:val="auto"/>
              </w:rPr>
            </w:pPr>
            <w:r>
              <w:rPr>
                <w:rFonts w:ascii="Courier New" w:cs="Courier New" w:eastAsia="Courier New" w:hAnsi="Courier New"/>
                <w:sz w:val="16"/>
                <w:szCs w:val="16"/>
                <w:color w:val="auto"/>
              </w:rPr>
              <w:t>Year Ended</w:t>
            </w:r>
          </w:p>
        </w:tc>
        <w:tc>
          <w:tcPr>
            <w:tcW w:w="0" w:type="dxa"/>
            <w:vAlign w:val="bottom"/>
          </w:tcPr>
          <w:p>
            <w:pPr>
              <w:spacing w:after="0"/>
              <w:rPr>
                <w:sz w:val="1"/>
                <w:szCs w:val="1"/>
                <w:color w:val="auto"/>
              </w:rPr>
            </w:pPr>
          </w:p>
        </w:tc>
      </w:tr>
      <w:tr>
        <w:trPr>
          <w:trHeight w:val="179"/>
        </w:trPr>
        <w:tc>
          <w:tcPr>
            <w:tcW w:w="5900" w:type="dxa"/>
            <w:vAlign w:val="bottom"/>
          </w:tcPr>
          <w:p>
            <w:pPr>
              <w:spacing w:after="0"/>
              <w:rPr>
                <w:sz w:val="15"/>
                <w:szCs w:val="15"/>
                <w:color w:val="auto"/>
              </w:rPr>
            </w:pPr>
          </w:p>
        </w:tc>
        <w:tc>
          <w:tcPr>
            <w:tcW w:w="204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January 1 to</w:t>
            </w:r>
          </w:p>
        </w:tc>
        <w:tc>
          <w:tcPr>
            <w:tcW w:w="1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900" w:type="dxa"/>
            <w:vAlign w:val="bottom"/>
          </w:tcPr>
          <w:p>
            <w:pPr>
              <w:spacing w:after="0"/>
              <w:rPr>
                <w:sz w:val="22"/>
                <w:szCs w:val="22"/>
                <w:color w:val="auto"/>
              </w:rPr>
            </w:pPr>
          </w:p>
        </w:tc>
        <w:tc>
          <w:tcPr>
            <w:tcW w:w="204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December 16, 1993</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1992</w:t>
            </w:r>
          </w:p>
        </w:tc>
        <w:tc>
          <w:tcPr>
            <w:tcW w:w="0" w:type="dxa"/>
            <w:vAlign w:val="bottom"/>
          </w:tcPr>
          <w:p>
            <w:pPr>
              <w:spacing w:after="0"/>
              <w:rPr>
                <w:sz w:val="1"/>
                <w:szCs w:val="1"/>
                <w:color w:val="auto"/>
              </w:rPr>
            </w:pPr>
          </w:p>
        </w:tc>
      </w:tr>
      <w:tr>
        <w:trPr>
          <w:trHeight w:val="454"/>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 flows from operations:</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ind w:right="602"/>
              <w:spacing w:after="0"/>
              <w:rPr>
                <w:sz w:val="20"/>
                <w:szCs w:val="20"/>
                <w:color w:val="auto"/>
              </w:rPr>
            </w:pPr>
            <w:r>
              <w:rPr>
                <w:rFonts w:ascii="Courier New" w:cs="Courier New" w:eastAsia="Courier New" w:hAnsi="Courier New"/>
                <w:sz w:val="16"/>
                <w:szCs w:val="16"/>
                <w:color w:val="auto"/>
              </w:rPr>
              <w:t>(182)</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(134)</w:t>
            </w:r>
          </w:p>
        </w:tc>
        <w:tc>
          <w:tcPr>
            <w:tcW w:w="0" w:type="dxa"/>
            <w:vAlign w:val="bottom"/>
          </w:tcPr>
          <w:p>
            <w:pPr>
              <w:spacing w:after="0"/>
              <w:rPr>
                <w:sz w:val="1"/>
                <w:szCs w:val="1"/>
                <w:color w:val="auto"/>
              </w:rPr>
            </w:pPr>
          </w:p>
        </w:tc>
      </w:tr>
      <w:tr>
        <w:trPr>
          <w:trHeight w:val="179"/>
        </w:trPr>
        <w:tc>
          <w:tcPr>
            <w:tcW w:w="5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loss</w:t>
            </w:r>
          </w:p>
        </w:tc>
        <w:tc>
          <w:tcPr>
            <w:tcW w:w="7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 income to net cash</w:t>
            </w: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(used in) provided by operating activities:</w:t>
            </w:r>
          </w:p>
        </w:tc>
        <w:tc>
          <w:tcPr>
            <w:tcW w:w="700" w:type="dxa"/>
            <w:vAlign w:val="bottom"/>
          </w:tcPr>
          <w:p>
            <w:pPr>
              <w:spacing w:after="0"/>
              <w:rPr>
                <w:sz w:val="15"/>
                <w:szCs w:val="15"/>
                <w:color w:val="auto"/>
              </w:rPr>
            </w:pPr>
          </w:p>
        </w:tc>
        <w:tc>
          <w:tcPr>
            <w:tcW w:w="1340" w:type="dxa"/>
            <w:vAlign w:val="bottom"/>
            <w:vMerge w:val="restart"/>
          </w:tcPr>
          <w:p>
            <w:pPr>
              <w:jc w:val="right"/>
              <w:ind w:right="702"/>
              <w:spacing w:after="0"/>
              <w:rPr>
                <w:sz w:val="20"/>
                <w:szCs w:val="20"/>
                <w:color w:val="auto"/>
              </w:rPr>
            </w:pPr>
            <w:r>
              <w:rPr>
                <w:rFonts w:ascii="Courier New" w:cs="Courier New" w:eastAsia="Courier New" w:hAnsi="Courier New"/>
                <w:sz w:val="16"/>
                <w:szCs w:val="16"/>
                <w:color w:val="auto"/>
              </w:rPr>
              <w:t>3,504</w:t>
            </w:r>
          </w:p>
        </w:tc>
        <w:tc>
          <w:tcPr>
            <w:tcW w:w="700" w:type="dxa"/>
            <w:vAlign w:val="bottom"/>
          </w:tcPr>
          <w:p>
            <w:pPr>
              <w:spacing w:after="0"/>
              <w:rPr>
                <w:sz w:val="15"/>
                <w:szCs w:val="15"/>
                <w:color w:val="auto"/>
              </w:rPr>
            </w:pPr>
          </w:p>
        </w:tc>
        <w:tc>
          <w:tcPr>
            <w:tcW w:w="112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3,122</w:t>
            </w:r>
          </w:p>
        </w:tc>
        <w:tc>
          <w:tcPr>
            <w:tcW w:w="0" w:type="dxa"/>
            <w:vAlign w:val="bottom"/>
          </w:tcPr>
          <w:p>
            <w:pPr>
              <w:spacing w:after="0"/>
              <w:rPr>
                <w:sz w:val="1"/>
                <w:szCs w:val="1"/>
                <w:color w:val="auto"/>
              </w:rPr>
            </w:pPr>
          </w:p>
        </w:tc>
      </w:tr>
      <w:tr>
        <w:trPr>
          <w:trHeight w:val="179"/>
        </w:trPr>
        <w:tc>
          <w:tcPr>
            <w:tcW w:w="59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Depreciation</w:t>
            </w:r>
          </w:p>
        </w:tc>
        <w:tc>
          <w:tcPr>
            <w:tcW w:w="7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Amortization of debt issuance costs</w:t>
            </w:r>
          </w:p>
        </w:tc>
        <w:tc>
          <w:tcPr>
            <w:tcW w:w="700" w:type="dxa"/>
            <w:vAlign w:val="bottom"/>
          </w:tcPr>
          <w:p>
            <w:pPr>
              <w:spacing w:after="0"/>
              <w:rPr>
                <w:sz w:val="15"/>
                <w:szCs w:val="15"/>
                <w:color w:val="auto"/>
              </w:rPr>
            </w:pPr>
          </w:p>
        </w:tc>
        <w:tc>
          <w:tcPr>
            <w:tcW w:w="134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121</w:t>
            </w:r>
          </w:p>
        </w:tc>
        <w:tc>
          <w:tcPr>
            <w:tcW w:w="70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121</w:t>
            </w:r>
          </w:p>
        </w:tc>
        <w:tc>
          <w:tcPr>
            <w:tcW w:w="0" w:type="dxa"/>
            <w:vAlign w:val="bottom"/>
          </w:tcPr>
          <w:p>
            <w:pPr>
              <w:spacing w:after="0"/>
              <w:rPr>
                <w:sz w:val="1"/>
                <w:szCs w:val="1"/>
                <w:color w:val="auto"/>
              </w:rPr>
            </w:pPr>
          </w:p>
        </w:tc>
      </w:tr>
      <w:tr>
        <w:trPr>
          <w:trHeight w:val="179"/>
        </w:trPr>
        <w:tc>
          <w:tcPr>
            <w:tcW w:w="59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Amortization of other intangible assets</w:t>
            </w:r>
          </w:p>
        </w:tc>
        <w:tc>
          <w:tcPr>
            <w:tcW w:w="700" w:type="dxa"/>
            <w:vAlign w:val="bottom"/>
          </w:tcPr>
          <w:p>
            <w:pPr>
              <w:spacing w:after="0"/>
              <w:rPr>
                <w:sz w:val="15"/>
                <w:szCs w:val="15"/>
                <w:color w:val="auto"/>
              </w:rPr>
            </w:pPr>
          </w:p>
        </w:tc>
        <w:tc>
          <w:tcPr>
            <w:tcW w:w="134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215</w:t>
            </w:r>
          </w:p>
        </w:tc>
        <w:tc>
          <w:tcPr>
            <w:tcW w:w="70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223</w:t>
            </w:r>
          </w:p>
        </w:tc>
        <w:tc>
          <w:tcPr>
            <w:tcW w:w="0" w:type="dxa"/>
            <w:vAlign w:val="bottom"/>
          </w:tcPr>
          <w:p>
            <w:pPr>
              <w:spacing w:after="0"/>
              <w:rPr>
                <w:sz w:val="1"/>
                <w:szCs w:val="1"/>
                <w:color w:val="auto"/>
              </w:rPr>
            </w:pPr>
          </w:p>
        </w:tc>
      </w:tr>
      <w:tr>
        <w:trPr>
          <w:trHeight w:val="179"/>
        </w:trPr>
        <w:tc>
          <w:tcPr>
            <w:tcW w:w="59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Loss (gain) on disposal of fixed assets</w:t>
            </w:r>
          </w:p>
        </w:tc>
        <w:tc>
          <w:tcPr>
            <w:tcW w:w="700" w:type="dxa"/>
            <w:vAlign w:val="bottom"/>
          </w:tcPr>
          <w:p>
            <w:pPr>
              <w:spacing w:after="0"/>
              <w:rPr>
                <w:sz w:val="15"/>
                <w:szCs w:val="15"/>
                <w:color w:val="auto"/>
              </w:rPr>
            </w:pPr>
          </w:p>
        </w:tc>
        <w:tc>
          <w:tcPr>
            <w:tcW w:w="134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10</w:t>
            </w:r>
          </w:p>
        </w:tc>
        <w:tc>
          <w:tcPr>
            <w:tcW w:w="70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79"/>
        </w:trPr>
        <w:tc>
          <w:tcPr>
            <w:tcW w:w="59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Deferred income</w:t>
            </w:r>
          </w:p>
        </w:tc>
        <w:tc>
          <w:tcPr>
            <w:tcW w:w="700" w:type="dxa"/>
            <w:vAlign w:val="bottom"/>
          </w:tcPr>
          <w:p>
            <w:pPr>
              <w:spacing w:after="0"/>
              <w:rPr>
                <w:sz w:val="15"/>
                <w:szCs w:val="15"/>
                <w:color w:val="auto"/>
              </w:rPr>
            </w:pPr>
          </w:p>
        </w:tc>
        <w:tc>
          <w:tcPr>
            <w:tcW w:w="13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(260)</w:t>
            </w:r>
          </w:p>
        </w:tc>
        <w:tc>
          <w:tcPr>
            <w:tcW w:w="70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(272)</w:t>
            </w:r>
          </w:p>
        </w:tc>
        <w:tc>
          <w:tcPr>
            <w:tcW w:w="0" w:type="dxa"/>
            <w:vAlign w:val="bottom"/>
          </w:tcPr>
          <w:p>
            <w:pPr>
              <w:spacing w:after="0"/>
              <w:rPr>
                <w:sz w:val="1"/>
                <w:szCs w:val="1"/>
                <w:color w:val="auto"/>
              </w:rPr>
            </w:pPr>
          </w:p>
        </w:tc>
      </w:tr>
      <w:tr>
        <w:trPr>
          <w:trHeight w:val="179"/>
        </w:trPr>
        <w:tc>
          <w:tcPr>
            <w:tcW w:w="59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Changes in operating assets and liabilities:</w:t>
            </w:r>
          </w:p>
        </w:tc>
        <w:tc>
          <w:tcPr>
            <w:tcW w:w="700" w:type="dxa"/>
            <w:vAlign w:val="bottom"/>
          </w:tcPr>
          <w:p>
            <w:pPr>
              <w:spacing w:after="0"/>
              <w:rPr>
                <w:sz w:val="15"/>
                <w:szCs w:val="15"/>
                <w:color w:val="auto"/>
              </w:rPr>
            </w:pPr>
          </w:p>
        </w:tc>
        <w:tc>
          <w:tcPr>
            <w:tcW w:w="1340" w:type="dxa"/>
            <w:vAlign w:val="bottom"/>
            <w:vMerge w:val="restart"/>
          </w:tcPr>
          <w:p>
            <w:pPr>
              <w:jc w:val="right"/>
              <w:ind w:right="702"/>
              <w:spacing w:after="0"/>
              <w:rPr>
                <w:sz w:val="20"/>
                <w:szCs w:val="20"/>
                <w:color w:val="auto"/>
              </w:rPr>
            </w:pPr>
            <w:r>
              <w:rPr>
                <w:rFonts w:ascii="Courier New" w:cs="Courier New" w:eastAsia="Courier New" w:hAnsi="Courier New"/>
                <w:sz w:val="16"/>
                <w:szCs w:val="16"/>
                <w:color w:val="auto"/>
              </w:rPr>
              <w:t>271</w:t>
            </w:r>
          </w:p>
        </w:tc>
        <w:tc>
          <w:tcPr>
            <w:tcW w:w="700" w:type="dxa"/>
            <w:vAlign w:val="bottom"/>
          </w:tcPr>
          <w:p>
            <w:pPr>
              <w:spacing w:after="0"/>
              <w:rPr>
                <w:sz w:val="15"/>
                <w:szCs w:val="15"/>
                <w:color w:val="auto"/>
              </w:rPr>
            </w:pPr>
          </w:p>
        </w:tc>
        <w:tc>
          <w:tcPr>
            <w:tcW w:w="11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5"/>
              </w:rPr>
              <w:t>(6,036)</w:t>
            </w:r>
          </w:p>
        </w:tc>
        <w:tc>
          <w:tcPr>
            <w:tcW w:w="0" w:type="dxa"/>
            <w:vAlign w:val="bottom"/>
          </w:tcPr>
          <w:p>
            <w:pPr>
              <w:spacing w:after="0"/>
              <w:rPr>
                <w:sz w:val="1"/>
                <w:szCs w:val="1"/>
                <w:color w:val="auto"/>
              </w:rPr>
            </w:pPr>
          </w:p>
        </w:tc>
      </w:tr>
      <w:tr>
        <w:trPr>
          <w:trHeight w:val="179"/>
        </w:trPr>
        <w:tc>
          <w:tcPr>
            <w:tcW w:w="59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7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Inventories</w:t>
            </w:r>
          </w:p>
        </w:tc>
        <w:tc>
          <w:tcPr>
            <w:tcW w:w="700" w:type="dxa"/>
            <w:vAlign w:val="bottom"/>
          </w:tcPr>
          <w:p>
            <w:pPr>
              <w:spacing w:after="0"/>
              <w:rPr>
                <w:sz w:val="15"/>
                <w:szCs w:val="15"/>
                <w:color w:val="auto"/>
              </w:rPr>
            </w:pPr>
          </w:p>
        </w:tc>
        <w:tc>
          <w:tcPr>
            <w:tcW w:w="13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w w:val="95"/>
              </w:rPr>
              <w:t>(2,087)</w:t>
            </w:r>
          </w:p>
        </w:tc>
        <w:tc>
          <w:tcPr>
            <w:tcW w:w="70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(3,418)</w:t>
            </w:r>
          </w:p>
        </w:tc>
        <w:tc>
          <w:tcPr>
            <w:tcW w:w="0" w:type="dxa"/>
            <w:vAlign w:val="bottom"/>
          </w:tcPr>
          <w:p>
            <w:pPr>
              <w:spacing w:after="0"/>
              <w:rPr>
                <w:sz w:val="1"/>
                <w:szCs w:val="1"/>
                <w:color w:val="auto"/>
              </w:rPr>
            </w:pPr>
          </w:p>
        </w:tc>
      </w:tr>
      <w:tr>
        <w:trPr>
          <w:trHeight w:val="179"/>
        </w:trPr>
        <w:tc>
          <w:tcPr>
            <w:tcW w:w="59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Trade accounts payable and accrued expenses</w:t>
            </w:r>
          </w:p>
        </w:tc>
        <w:tc>
          <w:tcPr>
            <w:tcW w:w="700" w:type="dxa"/>
            <w:vAlign w:val="bottom"/>
          </w:tcPr>
          <w:p>
            <w:pPr>
              <w:spacing w:after="0"/>
              <w:rPr>
                <w:sz w:val="15"/>
                <w:szCs w:val="15"/>
                <w:color w:val="auto"/>
              </w:rPr>
            </w:pPr>
          </w:p>
        </w:tc>
        <w:tc>
          <w:tcPr>
            <w:tcW w:w="134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49</w:t>
            </w:r>
          </w:p>
        </w:tc>
        <w:tc>
          <w:tcPr>
            <w:tcW w:w="70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4,899</w:t>
            </w:r>
          </w:p>
        </w:tc>
        <w:tc>
          <w:tcPr>
            <w:tcW w:w="0" w:type="dxa"/>
            <w:vAlign w:val="bottom"/>
          </w:tcPr>
          <w:p>
            <w:pPr>
              <w:spacing w:after="0"/>
              <w:rPr>
                <w:sz w:val="1"/>
                <w:szCs w:val="1"/>
                <w:color w:val="auto"/>
              </w:rPr>
            </w:pPr>
          </w:p>
        </w:tc>
      </w:tr>
      <w:tr>
        <w:trPr>
          <w:trHeight w:val="179"/>
        </w:trPr>
        <w:tc>
          <w:tcPr>
            <w:tcW w:w="59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Income taxes</w:t>
            </w:r>
          </w:p>
        </w:tc>
        <w:tc>
          <w:tcPr>
            <w:tcW w:w="700" w:type="dxa"/>
            <w:vAlign w:val="bottom"/>
          </w:tcPr>
          <w:p>
            <w:pPr>
              <w:spacing w:after="0"/>
              <w:rPr>
                <w:sz w:val="15"/>
                <w:szCs w:val="15"/>
                <w:color w:val="auto"/>
              </w:rPr>
            </w:pPr>
          </w:p>
        </w:tc>
        <w:tc>
          <w:tcPr>
            <w:tcW w:w="134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336</w:t>
            </w:r>
          </w:p>
        </w:tc>
        <w:tc>
          <w:tcPr>
            <w:tcW w:w="70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(404)</w:t>
            </w:r>
          </w:p>
        </w:tc>
        <w:tc>
          <w:tcPr>
            <w:tcW w:w="0" w:type="dxa"/>
            <w:vAlign w:val="bottom"/>
          </w:tcPr>
          <w:p>
            <w:pPr>
              <w:spacing w:after="0"/>
              <w:rPr>
                <w:sz w:val="1"/>
                <w:szCs w:val="1"/>
                <w:color w:val="auto"/>
              </w:rPr>
            </w:pPr>
          </w:p>
        </w:tc>
      </w:tr>
      <w:tr>
        <w:trPr>
          <w:trHeight w:val="179"/>
        </w:trPr>
        <w:tc>
          <w:tcPr>
            <w:tcW w:w="59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Prepaids and other</w:t>
            </w:r>
          </w:p>
        </w:tc>
        <w:tc>
          <w:tcPr>
            <w:tcW w:w="700" w:type="dxa"/>
            <w:vAlign w:val="bottom"/>
          </w:tcPr>
          <w:p>
            <w:pPr>
              <w:spacing w:after="0"/>
              <w:rPr>
                <w:sz w:val="15"/>
                <w:szCs w:val="15"/>
                <w:color w:val="auto"/>
              </w:rPr>
            </w:pPr>
          </w:p>
        </w:tc>
        <w:tc>
          <w:tcPr>
            <w:tcW w:w="134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457</w:t>
            </w:r>
          </w:p>
        </w:tc>
        <w:tc>
          <w:tcPr>
            <w:tcW w:w="70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151</w:t>
            </w:r>
          </w:p>
        </w:tc>
        <w:tc>
          <w:tcPr>
            <w:tcW w:w="0" w:type="dxa"/>
            <w:vAlign w:val="bottom"/>
          </w:tcPr>
          <w:p>
            <w:pPr>
              <w:spacing w:after="0"/>
              <w:rPr>
                <w:sz w:val="1"/>
                <w:szCs w:val="1"/>
                <w:color w:val="auto"/>
              </w:rPr>
            </w:pPr>
          </w:p>
        </w:tc>
      </w:tr>
      <w:tr>
        <w:trPr>
          <w:trHeight w:val="261"/>
        </w:trPr>
        <w:tc>
          <w:tcPr>
            <w:tcW w:w="5900" w:type="dxa"/>
            <w:vAlign w:val="bottom"/>
          </w:tcPr>
          <w:p>
            <w:pPr>
              <w:ind w:left="920"/>
              <w:spacing w:after="0"/>
              <w:rPr>
                <w:sz w:val="20"/>
                <w:szCs w:val="20"/>
                <w:color w:val="auto"/>
              </w:rPr>
            </w:pPr>
            <w:r>
              <w:rPr>
                <w:rFonts w:ascii="Courier New" w:cs="Courier New" w:eastAsia="Courier New" w:hAnsi="Courier New"/>
                <w:sz w:val="16"/>
                <w:szCs w:val="16"/>
                <w:color w:val="auto"/>
              </w:rPr>
              <w:t>Net cash provided by (used in) operating activities</w:t>
            </w:r>
          </w:p>
        </w:tc>
        <w:tc>
          <w:tcPr>
            <w:tcW w:w="700" w:type="dxa"/>
            <w:vAlign w:val="bottom"/>
          </w:tcPr>
          <w:p>
            <w:pPr>
              <w:spacing w:after="0"/>
              <w:rPr>
                <w:sz w:val="22"/>
                <w:szCs w:val="22"/>
                <w:color w:val="auto"/>
              </w:rPr>
            </w:pPr>
          </w:p>
        </w:tc>
        <w:tc>
          <w:tcPr>
            <w:tcW w:w="13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2,434</w:t>
            </w:r>
          </w:p>
        </w:tc>
        <w:tc>
          <w:tcPr>
            <w:tcW w:w="700" w:type="dxa"/>
            <w:vAlign w:val="bottom"/>
          </w:tcPr>
          <w:p>
            <w:pPr>
              <w:spacing w:after="0"/>
              <w:rPr>
                <w:sz w:val="22"/>
                <w:szCs w:val="22"/>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(1,775)</w:t>
            </w:r>
          </w:p>
        </w:tc>
        <w:tc>
          <w:tcPr>
            <w:tcW w:w="0" w:type="dxa"/>
            <w:vAlign w:val="bottom"/>
          </w:tcPr>
          <w:p>
            <w:pPr>
              <w:spacing w:after="0"/>
              <w:rPr>
                <w:sz w:val="1"/>
                <w:szCs w:val="1"/>
                <w:color w:val="auto"/>
              </w:rPr>
            </w:pPr>
          </w:p>
        </w:tc>
      </w:tr>
      <w:tr>
        <w:trPr>
          <w:trHeight w:val="276"/>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700" w:type="dxa"/>
            <w:vAlign w:val="bottom"/>
          </w:tcPr>
          <w:p>
            <w:pPr>
              <w:spacing w:after="0"/>
              <w:rPr>
                <w:sz w:val="23"/>
                <w:szCs w:val="23"/>
                <w:color w:val="auto"/>
              </w:rPr>
            </w:pPr>
          </w:p>
        </w:tc>
        <w:tc>
          <w:tcPr>
            <w:tcW w:w="1340" w:type="dxa"/>
            <w:vAlign w:val="bottom"/>
            <w:vMerge w:val="restart"/>
          </w:tcPr>
          <w:p>
            <w:pPr>
              <w:jc w:val="right"/>
              <w:ind w:right="602"/>
              <w:spacing w:after="0"/>
              <w:rPr>
                <w:sz w:val="20"/>
                <w:szCs w:val="20"/>
                <w:color w:val="auto"/>
              </w:rPr>
            </w:pPr>
            <w:r>
              <w:rPr>
                <w:rFonts w:ascii="Courier New" w:cs="Courier New" w:eastAsia="Courier New" w:hAnsi="Courier New"/>
                <w:sz w:val="16"/>
                <w:szCs w:val="16"/>
                <w:color w:val="auto"/>
                <w:w w:val="95"/>
              </w:rPr>
              <w:t>(1,602)</w:t>
            </w:r>
          </w:p>
        </w:tc>
        <w:tc>
          <w:tcPr>
            <w:tcW w:w="700" w:type="dxa"/>
            <w:vAlign w:val="bottom"/>
          </w:tcPr>
          <w:p>
            <w:pPr>
              <w:spacing w:after="0"/>
              <w:rPr>
                <w:sz w:val="23"/>
                <w:szCs w:val="23"/>
                <w:color w:val="auto"/>
              </w:rPr>
            </w:pPr>
          </w:p>
        </w:tc>
        <w:tc>
          <w:tcPr>
            <w:tcW w:w="11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w w:val="95"/>
              </w:rPr>
              <w:t>(5,906)</w:t>
            </w:r>
          </w:p>
        </w:tc>
        <w:tc>
          <w:tcPr>
            <w:tcW w:w="0" w:type="dxa"/>
            <w:vAlign w:val="bottom"/>
          </w:tcPr>
          <w:p>
            <w:pPr>
              <w:spacing w:after="0"/>
              <w:rPr>
                <w:sz w:val="1"/>
                <w:szCs w:val="1"/>
                <w:color w:val="auto"/>
              </w:rPr>
            </w:pPr>
          </w:p>
        </w:tc>
      </w:tr>
      <w:tr>
        <w:trPr>
          <w:trHeight w:val="179"/>
        </w:trPr>
        <w:tc>
          <w:tcPr>
            <w:tcW w:w="5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Acquisition of property, plant and equipment</w:t>
            </w:r>
          </w:p>
        </w:tc>
        <w:tc>
          <w:tcPr>
            <w:tcW w:w="7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900" w:type="dxa"/>
            <w:vAlign w:val="bottom"/>
          </w:tcPr>
          <w:p>
            <w:pPr>
              <w:ind w:left="920"/>
              <w:spacing w:after="0"/>
              <w:rPr>
                <w:sz w:val="20"/>
                <w:szCs w:val="20"/>
                <w:color w:val="auto"/>
              </w:rPr>
            </w:pPr>
            <w:r>
              <w:rPr>
                <w:rFonts w:ascii="Courier New" w:cs="Courier New" w:eastAsia="Courier New" w:hAnsi="Courier New"/>
                <w:sz w:val="16"/>
                <w:szCs w:val="16"/>
                <w:color w:val="auto"/>
              </w:rPr>
              <w:t>Net cash used in investing activities</w:t>
            </w:r>
          </w:p>
        </w:tc>
        <w:tc>
          <w:tcPr>
            <w:tcW w:w="700" w:type="dxa"/>
            <w:vAlign w:val="bottom"/>
          </w:tcPr>
          <w:p>
            <w:pPr>
              <w:spacing w:after="0"/>
              <w:rPr>
                <w:sz w:val="22"/>
                <w:szCs w:val="22"/>
                <w:color w:val="auto"/>
              </w:rPr>
            </w:pPr>
          </w:p>
        </w:tc>
        <w:tc>
          <w:tcPr>
            <w:tcW w:w="1340" w:type="dxa"/>
            <w:vAlign w:val="bottom"/>
          </w:tcPr>
          <w:p>
            <w:pPr>
              <w:jc w:val="right"/>
              <w:ind w:right="602"/>
              <w:spacing w:after="0"/>
              <w:rPr>
                <w:sz w:val="20"/>
                <w:szCs w:val="20"/>
                <w:color w:val="auto"/>
              </w:rPr>
            </w:pPr>
            <w:r>
              <w:rPr>
                <w:rFonts w:ascii="Courier New" w:cs="Courier New" w:eastAsia="Courier New" w:hAnsi="Courier New"/>
                <w:sz w:val="16"/>
                <w:szCs w:val="16"/>
                <w:color w:val="auto"/>
                <w:w w:val="95"/>
              </w:rPr>
              <w:t>(1,602)</w:t>
            </w:r>
          </w:p>
        </w:tc>
        <w:tc>
          <w:tcPr>
            <w:tcW w:w="700" w:type="dxa"/>
            <w:vAlign w:val="bottom"/>
          </w:tcPr>
          <w:p>
            <w:pPr>
              <w:spacing w:after="0"/>
              <w:rPr>
                <w:sz w:val="22"/>
                <w:szCs w:val="22"/>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(5,906)</w:t>
            </w:r>
          </w:p>
        </w:tc>
        <w:tc>
          <w:tcPr>
            <w:tcW w:w="0" w:type="dxa"/>
            <w:vAlign w:val="bottom"/>
          </w:tcPr>
          <w:p>
            <w:pPr>
              <w:spacing w:after="0"/>
              <w:rPr>
                <w:sz w:val="1"/>
                <w:szCs w:val="1"/>
                <w:color w:val="auto"/>
              </w:rPr>
            </w:pPr>
          </w:p>
        </w:tc>
      </w:tr>
      <w:tr>
        <w:trPr>
          <w:trHeight w:val="276"/>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700" w:type="dxa"/>
            <w:vAlign w:val="bottom"/>
          </w:tcPr>
          <w:p>
            <w:pPr>
              <w:spacing w:after="0"/>
              <w:rPr>
                <w:sz w:val="23"/>
                <w:szCs w:val="23"/>
                <w:color w:val="auto"/>
              </w:rPr>
            </w:pPr>
          </w:p>
        </w:tc>
        <w:tc>
          <w:tcPr>
            <w:tcW w:w="1340" w:type="dxa"/>
            <w:vAlign w:val="bottom"/>
            <w:vMerge w:val="restart"/>
          </w:tcPr>
          <w:p>
            <w:pPr>
              <w:jc w:val="right"/>
              <w:ind w:right="702"/>
              <w:spacing w:after="0"/>
              <w:rPr>
                <w:sz w:val="20"/>
                <w:szCs w:val="20"/>
                <w:color w:val="auto"/>
              </w:rPr>
            </w:pPr>
            <w:r>
              <w:rPr>
                <w:rFonts w:ascii="Courier New" w:cs="Courier New" w:eastAsia="Courier New" w:hAnsi="Courier New"/>
                <w:sz w:val="16"/>
                <w:szCs w:val="16"/>
                <w:color w:val="auto"/>
              </w:rPr>
              <w:t>1,000</w:t>
            </w:r>
          </w:p>
        </w:tc>
        <w:tc>
          <w:tcPr>
            <w:tcW w:w="700" w:type="dxa"/>
            <w:vAlign w:val="bottom"/>
          </w:tcPr>
          <w:p>
            <w:pPr>
              <w:spacing w:after="0"/>
              <w:rPr>
                <w:sz w:val="23"/>
                <w:szCs w:val="23"/>
                <w:color w:val="auto"/>
              </w:rPr>
            </w:pPr>
          </w:p>
        </w:tc>
        <w:tc>
          <w:tcPr>
            <w:tcW w:w="112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8,000</w:t>
            </w:r>
          </w:p>
        </w:tc>
        <w:tc>
          <w:tcPr>
            <w:tcW w:w="0" w:type="dxa"/>
            <w:vAlign w:val="bottom"/>
          </w:tcPr>
          <w:p>
            <w:pPr>
              <w:spacing w:after="0"/>
              <w:rPr>
                <w:sz w:val="1"/>
                <w:szCs w:val="1"/>
                <w:color w:val="auto"/>
              </w:rPr>
            </w:pPr>
          </w:p>
        </w:tc>
      </w:tr>
      <w:tr>
        <w:trPr>
          <w:trHeight w:val="179"/>
        </w:trPr>
        <w:tc>
          <w:tcPr>
            <w:tcW w:w="5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long-term debt</w:t>
            </w:r>
          </w:p>
        </w:tc>
        <w:tc>
          <w:tcPr>
            <w:tcW w:w="7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Principal payments on long-term debt</w:t>
            </w:r>
          </w:p>
        </w:tc>
        <w:tc>
          <w:tcPr>
            <w:tcW w:w="700" w:type="dxa"/>
            <w:vAlign w:val="bottom"/>
          </w:tcPr>
          <w:p>
            <w:pPr>
              <w:spacing w:after="0"/>
              <w:rPr>
                <w:sz w:val="15"/>
                <w:szCs w:val="15"/>
                <w:color w:val="auto"/>
              </w:rPr>
            </w:pPr>
          </w:p>
        </w:tc>
        <w:tc>
          <w:tcPr>
            <w:tcW w:w="13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(177)</w:t>
            </w:r>
          </w:p>
        </w:tc>
        <w:tc>
          <w:tcPr>
            <w:tcW w:w="70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(116)</w:t>
            </w:r>
          </w:p>
        </w:tc>
        <w:tc>
          <w:tcPr>
            <w:tcW w:w="0" w:type="dxa"/>
            <w:vAlign w:val="bottom"/>
          </w:tcPr>
          <w:p>
            <w:pPr>
              <w:spacing w:after="0"/>
              <w:rPr>
                <w:sz w:val="1"/>
                <w:szCs w:val="1"/>
                <w:color w:val="auto"/>
              </w:rPr>
            </w:pPr>
          </w:p>
        </w:tc>
      </w:tr>
      <w:tr>
        <w:trPr>
          <w:trHeight w:val="261"/>
        </w:trPr>
        <w:tc>
          <w:tcPr>
            <w:tcW w:w="5900" w:type="dxa"/>
            <w:vAlign w:val="bottom"/>
          </w:tcPr>
          <w:p>
            <w:pPr>
              <w:ind w:left="92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700" w:type="dxa"/>
            <w:vAlign w:val="bottom"/>
          </w:tcPr>
          <w:p>
            <w:pPr>
              <w:spacing w:after="0"/>
              <w:rPr>
                <w:sz w:val="22"/>
                <w:szCs w:val="22"/>
                <w:color w:val="auto"/>
              </w:rPr>
            </w:pPr>
          </w:p>
        </w:tc>
        <w:tc>
          <w:tcPr>
            <w:tcW w:w="13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823</w:t>
            </w:r>
          </w:p>
        </w:tc>
        <w:tc>
          <w:tcPr>
            <w:tcW w:w="700" w:type="dxa"/>
            <w:vAlign w:val="bottom"/>
          </w:tcPr>
          <w:p>
            <w:pPr>
              <w:spacing w:after="0"/>
              <w:rPr>
                <w:sz w:val="22"/>
                <w:szCs w:val="22"/>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7,884</w:t>
            </w:r>
          </w:p>
        </w:tc>
        <w:tc>
          <w:tcPr>
            <w:tcW w:w="0" w:type="dxa"/>
            <w:vAlign w:val="bottom"/>
          </w:tcPr>
          <w:p>
            <w:pPr>
              <w:spacing w:after="0"/>
              <w:rPr>
                <w:sz w:val="1"/>
                <w:szCs w:val="1"/>
                <w:color w:val="auto"/>
              </w:rPr>
            </w:pPr>
          </w:p>
        </w:tc>
      </w:tr>
      <w:tr>
        <w:trPr>
          <w:trHeight w:val="358"/>
        </w:trPr>
        <w:tc>
          <w:tcPr>
            <w:tcW w:w="5900" w:type="dxa"/>
            <w:vAlign w:val="bottom"/>
          </w:tcPr>
          <w:p>
            <w:pPr>
              <w:spacing w:after="0"/>
              <w:rPr>
                <w:sz w:val="20"/>
                <w:szCs w:val="20"/>
                <w:color w:val="auto"/>
              </w:rPr>
            </w:pPr>
            <w:r>
              <w:rPr>
                <w:rFonts w:ascii="Courier New" w:cs="Courier New" w:eastAsia="Courier New" w:hAnsi="Courier New"/>
                <w:sz w:val="16"/>
                <w:szCs w:val="16"/>
                <w:color w:val="auto"/>
              </w:rPr>
              <w:t>Net effect of changes in translation rates on cash</w:t>
            </w:r>
          </w:p>
        </w:tc>
        <w:tc>
          <w:tcPr>
            <w:tcW w:w="700" w:type="dxa"/>
            <w:vAlign w:val="bottom"/>
          </w:tcPr>
          <w:p>
            <w:pPr>
              <w:spacing w:after="0"/>
              <w:rPr>
                <w:sz w:val="24"/>
                <w:szCs w:val="24"/>
                <w:color w:val="auto"/>
              </w:rPr>
            </w:pPr>
          </w:p>
        </w:tc>
        <w:tc>
          <w:tcPr>
            <w:tcW w:w="134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(191)</w:t>
            </w:r>
          </w:p>
        </w:tc>
        <w:tc>
          <w:tcPr>
            <w:tcW w:w="70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358"/>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Increase in cash</w:t>
            </w:r>
          </w:p>
        </w:tc>
        <w:tc>
          <w:tcPr>
            <w:tcW w:w="700" w:type="dxa"/>
            <w:vAlign w:val="bottom"/>
          </w:tcPr>
          <w:p>
            <w:pPr>
              <w:spacing w:after="0"/>
              <w:rPr>
                <w:sz w:val="24"/>
                <w:szCs w:val="24"/>
                <w:color w:val="auto"/>
              </w:rPr>
            </w:pPr>
          </w:p>
        </w:tc>
        <w:tc>
          <w:tcPr>
            <w:tcW w:w="13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1,464</w:t>
            </w:r>
          </w:p>
        </w:tc>
        <w:tc>
          <w:tcPr>
            <w:tcW w:w="700" w:type="dxa"/>
            <w:vAlign w:val="bottom"/>
          </w:tcPr>
          <w:p>
            <w:pPr>
              <w:spacing w:after="0"/>
              <w:rPr>
                <w:sz w:val="24"/>
                <w:szCs w:val="24"/>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93</w:t>
            </w:r>
          </w:p>
        </w:tc>
        <w:tc>
          <w:tcPr>
            <w:tcW w:w="0" w:type="dxa"/>
            <w:vAlign w:val="bottom"/>
          </w:tcPr>
          <w:p>
            <w:pPr>
              <w:spacing w:after="0"/>
              <w:rPr>
                <w:sz w:val="1"/>
                <w:szCs w:val="1"/>
                <w:color w:val="auto"/>
              </w:rPr>
            </w:pPr>
          </w:p>
        </w:tc>
      </w:tr>
      <w:tr>
        <w:trPr>
          <w:trHeight w:val="358"/>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 beginning of year</w:t>
            </w:r>
          </w:p>
        </w:tc>
        <w:tc>
          <w:tcPr>
            <w:tcW w:w="700" w:type="dxa"/>
            <w:vAlign w:val="bottom"/>
          </w:tcPr>
          <w:p>
            <w:pPr>
              <w:spacing w:after="0"/>
              <w:rPr>
                <w:sz w:val="24"/>
                <w:szCs w:val="24"/>
                <w:color w:val="auto"/>
              </w:rPr>
            </w:pPr>
          </w:p>
        </w:tc>
        <w:tc>
          <w:tcPr>
            <w:tcW w:w="13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2,650</w:t>
            </w:r>
          </w:p>
        </w:tc>
        <w:tc>
          <w:tcPr>
            <w:tcW w:w="700" w:type="dxa"/>
            <w:vAlign w:val="bottom"/>
          </w:tcPr>
          <w:p>
            <w:pPr>
              <w:spacing w:after="0"/>
              <w:rPr>
                <w:sz w:val="24"/>
                <w:szCs w:val="24"/>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2,557</w:t>
            </w:r>
          </w:p>
        </w:tc>
        <w:tc>
          <w:tcPr>
            <w:tcW w:w="0" w:type="dxa"/>
            <w:vAlign w:val="bottom"/>
          </w:tcPr>
          <w:p>
            <w:pPr>
              <w:spacing w:after="0"/>
              <w:rPr>
                <w:sz w:val="1"/>
                <w:szCs w:val="1"/>
                <w:color w:val="auto"/>
              </w:rPr>
            </w:pPr>
          </w:p>
        </w:tc>
      </w:tr>
      <w:tr>
        <w:trPr>
          <w:trHeight w:val="358"/>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 end of year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4,114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2,650</w:t>
            </w:r>
          </w:p>
        </w:tc>
        <w:tc>
          <w:tcPr>
            <w:tcW w:w="0" w:type="dxa"/>
            <w:vAlign w:val="bottom"/>
          </w:tcPr>
          <w:p>
            <w:pPr>
              <w:spacing w:after="0"/>
              <w:rPr>
                <w:sz w:val="1"/>
                <w:szCs w:val="1"/>
                <w:color w:val="auto"/>
              </w:rPr>
            </w:pPr>
          </w:p>
        </w:tc>
      </w:tr>
      <w:tr>
        <w:trPr>
          <w:trHeight w:val="537"/>
        </w:trPr>
        <w:tc>
          <w:tcPr>
            <w:tcW w:w="5900" w:type="dxa"/>
            <w:vAlign w:val="bottom"/>
          </w:tcPr>
          <w:p>
            <w:pPr>
              <w:spacing w:after="0"/>
              <w:rPr>
                <w:sz w:val="20"/>
                <w:szCs w:val="20"/>
                <w:color w:val="auto"/>
              </w:rPr>
            </w:pPr>
            <w:r>
              <w:rPr>
                <w:rFonts w:ascii="Courier New" w:cs="Courier New" w:eastAsia="Courier New" w:hAnsi="Courier New"/>
                <w:sz w:val="16"/>
                <w:szCs w:val="16"/>
                <w:color w:val="auto"/>
              </w:rPr>
              <w:t>Supplemental Information:</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900" w:type="dxa"/>
            <w:vAlign w:val="bottom"/>
          </w:tcPr>
          <w:p>
            <w:pPr>
              <w:ind w:left="180"/>
              <w:spacing w:after="0"/>
              <w:rPr>
                <w:sz w:val="20"/>
                <w:szCs w:val="20"/>
                <w:color w:val="auto"/>
              </w:rPr>
            </w:pPr>
            <w:r>
              <w:rPr>
                <w:rFonts w:ascii="Courier New" w:cs="Courier New" w:eastAsia="Courier New" w:hAnsi="Courier New"/>
                <w:sz w:val="16"/>
                <w:szCs w:val="16"/>
                <w:color w:val="auto"/>
              </w:rPr>
              <w:t>Interest paid</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7,480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7,211</w:t>
            </w:r>
          </w:p>
        </w:tc>
        <w:tc>
          <w:tcPr>
            <w:tcW w:w="0" w:type="dxa"/>
            <w:vAlign w:val="bottom"/>
          </w:tcPr>
          <w:p>
            <w:pPr>
              <w:spacing w:after="0"/>
              <w:rPr>
                <w:sz w:val="1"/>
                <w:szCs w:val="1"/>
                <w:color w:val="auto"/>
              </w:rPr>
            </w:pPr>
          </w:p>
        </w:tc>
      </w:tr>
      <w:tr>
        <w:trPr>
          <w:trHeight w:val="261"/>
        </w:trPr>
        <w:tc>
          <w:tcPr>
            <w:tcW w:w="5900" w:type="dxa"/>
            <w:vAlign w:val="bottom"/>
          </w:tcPr>
          <w:p>
            <w:pPr>
              <w:ind w:left="180"/>
              <w:spacing w:after="0"/>
              <w:rPr>
                <w:sz w:val="20"/>
                <w:szCs w:val="20"/>
                <w:color w:val="auto"/>
              </w:rPr>
            </w:pPr>
            <w:r>
              <w:rPr>
                <w:rFonts w:ascii="Courier New" w:cs="Courier New" w:eastAsia="Courier New" w:hAnsi="Courier New"/>
                <w:sz w:val="16"/>
                <w:szCs w:val="16"/>
                <w:color w:val="auto"/>
              </w:rPr>
              <w:t>Income taxes paid, net</w:t>
            </w:r>
          </w:p>
        </w:tc>
        <w:tc>
          <w:tcPr>
            <w:tcW w:w="700" w:type="dxa"/>
            <w:vAlign w:val="bottom"/>
          </w:tcPr>
          <w:p>
            <w:pPr>
              <w:spacing w:after="0"/>
              <w:rPr>
                <w:sz w:val="22"/>
                <w:szCs w:val="22"/>
                <w:color w:val="auto"/>
              </w:rPr>
            </w:pPr>
          </w:p>
        </w:tc>
        <w:tc>
          <w:tcPr>
            <w:tcW w:w="134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1,943</w:t>
            </w:r>
          </w:p>
        </w:tc>
        <w:tc>
          <w:tcPr>
            <w:tcW w:w="700" w:type="dxa"/>
            <w:vAlign w:val="bottom"/>
          </w:tcPr>
          <w:p>
            <w:pPr>
              <w:spacing w:after="0"/>
              <w:rPr>
                <w:sz w:val="22"/>
                <w:szCs w:val="22"/>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2,522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6"/>
          <w:szCs w:val="16"/>
          <w:color w:val="auto"/>
        </w:rPr>
        <w:t>The accompanying notes are an integral part</w:t>
      </w:r>
    </w:p>
    <w:p>
      <w:pPr>
        <w:spacing w:after="0" w:line="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6"/>
          <w:szCs w:val="16"/>
          <w:color w:val="auto"/>
        </w:rPr>
        <w:t>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F-6</w:t>
      </w:r>
    </w:p>
    <w:p>
      <w:pPr>
        <w:spacing w:after="0" w:line="200" w:lineRule="exact"/>
        <w:rPr>
          <w:sz w:val="20"/>
          <w:szCs w:val="20"/>
          <w:color w:val="auto"/>
        </w:rPr>
      </w:pPr>
    </w:p>
    <w:p>
      <w:pPr>
        <w:spacing w:after="0" w:line="334"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GRACE-SIERRA HORTICULTURAL PRODUCTS COMPANY</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ORGANIZATION AND BUSINESS:</w:t>
      </w:r>
    </w:p>
    <w:p>
      <w:pPr>
        <w:spacing w:after="0" w:line="177" w:lineRule="exact"/>
        <w:rPr>
          <w:sz w:val="20"/>
          <w:szCs w:val="20"/>
          <w:color w:val="auto"/>
        </w:rPr>
      </w:pPr>
    </w:p>
    <w:p>
      <w:pPr>
        <w:ind w:right="3899"/>
        <w:spacing w:after="0" w:line="296" w:lineRule="auto"/>
        <w:rPr>
          <w:sz w:val="20"/>
          <w:szCs w:val="20"/>
          <w:color w:val="auto"/>
        </w:rPr>
      </w:pPr>
      <w:r>
        <w:rPr>
          <w:rFonts w:ascii="Courier New" w:cs="Courier New" w:eastAsia="Courier New" w:hAnsi="Courier New"/>
          <w:sz w:val="14"/>
          <w:szCs w:val="14"/>
          <w:color w:val="auto"/>
        </w:rPr>
        <w:t>Grace-Sierra Horticultural Products Company ("Grace-Sierra" or the "Company") develops, manufactures and markets special-purpose controlled-release and water-soluble fertilizers, pesticides, and growing media for commercial markets and consumers. It markets its products in the United States and, through wholly-owned subsidiaries, to various international market areas. Manufacturing is conducted in facilities in the United States and The Netherlands.</w:t>
      </w:r>
    </w:p>
    <w:p>
      <w:pPr>
        <w:sectPr>
          <w:pgSz w:w="11900" w:h="16838" w:orient="portrait"/>
          <w:cols w:equalWidth="0" w:num="1">
            <w:col w:w="10219"/>
          </w:cols>
          <w:pgMar w:left="240" w:top="1440" w:right="1440" w:bottom="0" w:gutter="0" w:footer="0" w:header="0"/>
        </w:sectPr>
      </w:pPr>
    </w:p>
    <w:bookmarkStart w:id="9" w:name="page10"/>
    <w:bookmarkEnd w:id="9"/>
    <w:p>
      <w:pPr>
        <w:ind w:left="5"/>
        <w:spacing w:after="0"/>
        <w:rPr>
          <w:sz w:val="20"/>
          <w:szCs w:val="20"/>
          <w:color w:val="auto"/>
        </w:rPr>
      </w:pPr>
      <w:r>
        <w:rPr>
          <w:rFonts w:ascii="Courier New" w:cs="Courier New" w:eastAsia="Courier New" w:hAnsi="Courier New"/>
          <w:sz w:val="16"/>
          <w:szCs w:val="16"/>
          <w:color w:val="auto"/>
        </w:rPr>
        <w:t>Formation of Grace-Sierra</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Grace-Sierra was formed on October 25, 1989 upon the combination of:</w:t>
      </w:r>
    </w:p>
    <w:p>
      <w:pPr>
        <w:spacing w:after="0" w:line="177" w:lineRule="exact"/>
        <w:rPr>
          <w:sz w:val="20"/>
          <w:szCs w:val="20"/>
          <w:color w:val="auto"/>
        </w:rPr>
      </w:pPr>
    </w:p>
    <w:p>
      <w:pPr>
        <w:ind w:left="365" w:right="4459" w:hanging="365"/>
        <w:spacing w:after="0" w:line="289" w:lineRule="auto"/>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Sierra Chemical Company ("Sierra"), a corporation in which W. R. Grace &amp; Co. ("Grace") previously held a 29% common stock interest, and</w:t>
      </w:r>
    </w:p>
    <w:p>
      <w:pPr>
        <w:spacing w:after="0" w:line="61" w:lineRule="exact"/>
        <w:rPr>
          <w:sz w:val="20"/>
          <w:szCs w:val="20"/>
          <w:color w:val="auto"/>
        </w:rPr>
      </w:pPr>
    </w:p>
    <w:p>
      <w:pPr>
        <w:ind w:left="365" w:right="5479" w:hanging="365"/>
        <w:spacing w:after="0" w:line="406" w:lineRule="auto"/>
        <w:tabs>
          <w:tab w:leader="none" w:pos="36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business and assets of the former Grace Horticultural Products business ("GHP").</w:t>
      </w:r>
    </w:p>
    <w:p>
      <w:pPr>
        <w:ind w:left="5" w:right="4359"/>
        <w:spacing w:after="0" w:line="242" w:lineRule="auto"/>
        <w:rPr>
          <w:sz w:val="20"/>
          <w:szCs w:val="20"/>
          <w:color w:val="auto"/>
        </w:rPr>
      </w:pPr>
      <w:r>
        <w:rPr>
          <w:rFonts w:ascii="Courier New" w:cs="Courier New" w:eastAsia="Courier New" w:hAnsi="Courier New"/>
          <w:sz w:val="16"/>
          <w:szCs w:val="16"/>
          <w:color w:val="auto"/>
        </w:rPr>
        <w:t>On October 25, 1989 Grace contributed to a newly-formed corporation, the business and assets, subject to certain liabilities, of GHP and Grace's common stock interest in Sierra. The newly-formed corporation then merged into Sierra and the name Sierra was changed to Grace-Sierra. Concurrently, Sierra's former shareholders, other than Grace, received $67,492,662 in cash from Grace-Sierra for their shares of common stock of Sierra. Grace received shares of mandatorily redeemable cumulative preferred stock ("Redeemable Preferred Stock") of Grace-Sierra having a redemption value on the date of issue of $46,400,000 and 49% of the Grace-Sierra common stock ("Common Stock") issued. 1001 Yosemite Limited ("Yosemite"), a limited partnership in which several former principal shareholders of Sierra are partners, and Merrill Lynch Interfunding, Inc. acquired 30% and 21% of the Common Stock, respectively. Financing required to buy out Sierra's former shareholders other than Grace was provided by the sale of $65,000,000 of 10.28% Senior Notes to a group of institutional lenders. Since these transactions represented a restructuring of a majority of ownership interests, they were accounted for at historical costs.</w:t>
      </w:r>
    </w:p>
    <w:p>
      <w:pPr>
        <w:spacing w:after="0" w:line="9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Subsequent Event</w:t>
      </w:r>
    </w:p>
    <w:p>
      <w:pPr>
        <w:spacing w:after="0" w:line="177" w:lineRule="exact"/>
        <w:rPr>
          <w:sz w:val="20"/>
          <w:szCs w:val="20"/>
          <w:color w:val="auto"/>
        </w:rPr>
      </w:pPr>
    </w:p>
    <w:p>
      <w:pPr>
        <w:ind w:left="5" w:right="4819"/>
        <w:spacing w:after="0" w:line="246" w:lineRule="auto"/>
        <w:rPr>
          <w:sz w:val="20"/>
          <w:szCs w:val="20"/>
          <w:color w:val="auto"/>
        </w:rPr>
      </w:pPr>
      <w:r>
        <w:rPr>
          <w:rFonts w:ascii="Courier New" w:cs="Courier New" w:eastAsia="Courier New" w:hAnsi="Courier New"/>
          <w:sz w:val="16"/>
          <w:szCs w:val="16"/>
          <w:color w:val="auto"/>
        </w:rPr>
        <w:t>Effective at the close of business on December 16, 1993, Grace-Sierra was acquired by O. M. Scott &amp; Sons ("OMS"), a subsidiary of The Scotts Company. The acquisition was structured as a merger of a subsidiary of OMS into</w:t>
      </w:r>
    </w:p>
    <w:p>
      <w:pPr>
        <w:ind w:left="5" w:right="3339"/>
        <w:spacing w:after="0" w:line="305" w:lineRule="auto"/>
        <w:rPr>
          <w:sz w:val="20"/>
          <w:szCs w:val="20"/>
          <w:color w:val="auto"/>
        </w:rPr>
      </w:pPr>
      <w:r>
        <w:rPr>
          <w:rFonts w:ascii="Courier New" w:cs="Courier New" w:eastAsia="Courier New" w:hAnsi="Courier New"/>
          <w:sz w:val="16"/>
          <w:szCs w:val="16"/>
          <w:color w:val="auto"/>
        </w:rPr>
        <w:t>Grace-Sierra, with Grace-Sierra surviving and changing its name to Scotts-Sierra Horticultural Products Company ("Scotts-Sierra").</w:t>
      </w:r>
    </w:p>
    <w:p>
      <w:pPr>
        <w:spacing w:after="0" w:line="227"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F-7</w:t>
      </w:r>
    </w:p>
    <w:p>
      <w:pPr>
        <w:spacing w:after="0" w:line="355" w:lineRule="exact"/>
        <w:rPr>
          <w:sz w:val="20"/>
          <w:szCs w:val="20"/>
          <w:color w:val="auto"/>
        </w:rPr>
      </w:pPr>
    </w:p>
    <w:p>
      <w:pPr>
        <w:ind w:left="5" w:right="4079"/>
        <w:spacing w:after="0" w:line="272" w:lineRule="auto"/>
        <w:rPr>
          <w:sz w:val="20"/>
          <w:szCs w:val="20"/>
          <w:color w:val="auto"/>
        </w:rPr>
      </w:pPr>
      <w:r>
        <w:rPr>
          <w:rFonts w:ascii="Courier New" w:cs="Courier New" w:eastAsia="Courier New" w:hAnsi="Courier New"/>
          <w:sz w:val="16"/>
          <w:szCs w:val="16"/>
          <w:color w:val="auto"/>
        </w:rPr>
        <w:t>The purchase price of $120,000,000 included the acquisition of all of the outstanding Common Stock of Grace-Sierra and the retirement of the Redeemable Preferred Stock and substantially all the outstanding long-term indebtedness of the Company.</w:t>
      </w:r>
    </w:p>
    <w:p>
      <w:pPr>
        <w:spacing w:after="0" w:line="73" w:lineRule="exact"/>
        <w:rPr>
          <w:sz w:val="20"/>
          <w:szCs w:val="20"/>
          <w:color w:val="auto"/>
        </w:rPr>
      </w:pPr>
    </w:p>
    <w:p>
      <w:pPr>
        <w:ind w:left="5" w:right="3899"/>
        <w:spacing w:after="0" w:line="258" w:lineRule="auto"/>
        <w:rPr>
          <w:sz w:val="20"/>
          <w:szCs w:val="20"/>
          <w:color w:val="auto"/>
        </w:rPr>
      </w:pPr>
      <w:r>
        <w:rPr>
          <w:rFonts w:ascii="Courier New" w:cs="Courier New" w:eastAsia="Courier New" w:hAnsi="Courier New"/>
          <w:sz w:val="16"/>
          <w:szCs w:val="16"/>
          <w:color w:val="auto"/>
        </w:rPr>
        <w:t>These consolidated financial statements and the accompanying notes have been prepared based on the financial position of Grace-Sierra as of December 16, 1993, prior to the merger transaction described above. Therefore, certain disclosures provided therein are substantially impacted by the transaction described above and should be read in consideration thereof.</w:t>
      </w:r>
    </w:p>
    <w:p>
      <w:pPr>
        <w:spacing w:after="0" w:line="8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2 - SUMMARY OF SIGNIFICANT ACCOUNTING POLICIES: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Principles of Consolidation</w:t>
      </w:r>
    </w:p>
    <w:p>
      <w:pPr>
        <w:spacing w:after="0" w:line="177" w:lineRule="exact"/>
        <w:rPr>
          <w:sz w:val="20"/>
          <w:szCs w:val="20"/>
          <w:color w:val="auto"/>
        </w:rPr>
      </w:pPr>
    </w:p>
    <w:p>
      <w:pPr>
        <w:ind w:left="5" w:right="4359"/>
        <w:spacing w:after="0" w:line="258" w:lineRule="auto"/>
        <w:rPr>
          <w:sz w:val="20"/>
          <w:szCs w:val="20"/>
          <w:color w:val="auto"/>
        </w:rPr>
      </w:pPr>
      <w:r>
        <w:rPr>
          <w:rFonts w:ascii="Courier New" w:cs="Courier New" w:eastAsia="Courier New" w:hAnsi="Courier New"/>
          <w:sz w:val="16"/>
          <w:szCs w:val="16"/>
          <w:color w:val="auto"/>
        </w:rPr>
        <w:t>The consolidated financial statements include the accounts of Grace-Sierra and its wholly-owned subsidiaries, which have been recorded on the predecessor historical cost basis after giving effect to the formation transactions described in Note 1. All significant intercompany accounts and transactions have been eliminated.</w:t>
      </w:r>
    </w:p>
    <w:p>
      <w:pPr>
        <w:spacing w:after="0" w:line="8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Capital deficit</w:t>
      </w:r>
    </w:p>
    <w:p>
      <w:pPr>
        <w:spacing w:after="0" w:line="177" w:lineRule="exact"/>
        <w:rPr>
          <w:sz w:val="20"/>
          <w:szCs w:val="20"/>
          <w:color w:val="auto"/>
        </w:rPr>
      </w:pPr>
    </w:p>
    <w:p>
      <w:pPr>
        <w:ind w:left="5" w:right="4079"/>
        <w:spacing w:after="0" w:line="281" w:lineRule="auto"/>
        <w:rPr>
          <w:sz w:val="20"/>
          <w:szCs w:val="20"/>
          <w:color w:val="auto"/>
        </w:rPr>
      </w:pPr>
      <w:r>
        <w:rPr>
          <w:rFonts w:ascii="Courier New" w:cs="Courier New" w:eastAsia="Courier New" w:hAnsi="Courier New"/>
          <w:sz w:val="14"/>
          <w:szCs w:val="14"/>
          <w:color w:val="auto"/>
        </w:rPr>
        <w:t>The difference between: (A) the sum of (i) the debt assumed by Grace-Sierra on October 25, 1989, (ii) the redemption value of the cumulative redeemable preferred stock and (iii) the retained earnings and foreign currency translation adjustment of Sierra and</w:t>
      </w:r>
    </w:p>
    <w:p>
      <w:pPr>
        <w:spacing w:after="0" w:line="1" w:lineRule="exact"/>
        <w:rPr>
          <w:sz w:val="20"/>
          <w:szCs w:val="20"/>
          <w:color w:val="auto"/>
        </w:rPr>
      </w:pPr>
    </w:p>
    <w:p>
      <w:pPr>
        <w:ind w:left="5" w:right="3899" w:hanging="5"/>
        <w:spacing w:after="0" w:line="383" w:lineRule="auto"/>
        <w:tabs>
          <w:tab w:leader="none" w:pos="37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assets of Sierra and GHP at predecessor historical cost, all as of October 25, 1989, has been reflected as capital deficit.</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Revenue recognition</w:t>
      </w:r>
    </w:p>
    <w:p>
      <w:pPr>
        <w:spacing w:after="0" w:line="177" w:lineRule="exact"/>
        <w:rPr>
          <w:sz w:val="20"/>
          <w:szCs w:val="20"/>
          <w:color w:val="auto"/>
        </w:rPr>
      </w:pPr>
    </w:p>
    <w:p>
      <w:pPr>
        <w:ind w:left="5" w:right="4359"/>
        <w:spacing w:after="0" w:line="406" w:lineRule="auto"/>
        <w:rPr>
          <w:sz w:val="20"/>
          <w:szCs w:val="20"/>
          <w:color w:val="auto"/>
        </w:rPr>
      </w:pPr>
      <w:r>
        <w:rPr>
          <w:rFonts w:ascii="Courier New" w:cs="Courier New" w:eastAsia="Courier New" w:hAnsi="Courier New"/>
          <w:sz w:val="14"/>
          <w:szCs w:val="14"/>
          <w:color w:val="auto"/>
        </w:rPr>
        <w:t>Revenue is recognized when products are shipped. A significant portion of sales are made under deferred payment terms.</w:t>
      </w:r>
    </w:p>
    <w:p>
      <w:pPr>
        <w:ind w:left="5"/>
        <w:spacing w:after="0"/>
        <w:rPr>
          <w:sz w:val="20"/>
          <w:szCs w:val="20"/>
          <w:color w:val="auto"/>
        </w:rPr>
      </w:pPr>
      <w:r>
        <w:rPr>
          <w:rFonts w:ascii="Courier New" w:cs="Courier New" w:eastAsia="Courier New" w:hAnsi="Courier New"/>
          <w:sz w:val="16"/>
          <w:szCs w:val="16"/>
          <w:color w:val="auto"/>
        </w:rPr>
        <w:t>Inventories</w:t>
      </w:r>
    </w:p>
    <w:p>
      <w:pPr>
        <w:spacing w:after="0" w:line="177" w:lineRule="exact"/>
        <w:rPr>
          <w:sz w:val="20"/>
          <w:szCs w:val="20"/>
          <w:color w:val="auto"/>
        </w:rPr>
      </w:pPr>
    </w:p>
    <w:p>
      <w:pPr>
        <w:ind w:left="5" w:right="3999"/>
        <w:spacing w:after="0" w:line="322" w:lineRule="auto"/>
        <w:rPr>
          <w:sz w:val="20"/>
          <w:szCs w:val="20"/>
          <w:color w:val="auto"/>
        </w:rPr>
      </w:pPr>
      <w:r>
        <w:rPr>
          <w:rFonts w:ascii="Courier New" w:cs="Courier New" w:eastAsia="Courier New" w:hAnsi="Courier New"/>
          <w:sz w:val="14"/>
          <w:szCs w:val="14"/>
          <w:color w:val="auto"/>
        </w:rPr>
        <w:t>Inventories are stated at the lower of cost or market. Cost is determined using the last-in, first-out method for U.S. inventories and the first-in, first-out method for other inventories and includes materials, labor and manufacturing overhead.</w:t>
      </w:r>
    </w:p>
    <w:p>
      <w:pPr>
        <w:spacing w:after="0" w:line="4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Property, plant and equipment</w:t>
      </w:r>
    </w:p>
    <w:p>
      <w:pPr>
        <w:sectPr>
          <w:pgSz w:w="11900" w:h="16838" w:orient="portrait"/>
          <w:cols w:equalWidth="0" w:num="1">
            <w:col w:w="10224"/>
          </w:cols>
          <w:pgMar w:left="235" w:top="114" w:right="1440" w:bottom="0" w:gutter="0" w:footer="0" w:header="0"/>
        </w:sectPr>
      </w:pPr>
    </w:p>
    <w:bookmarkStart w:id="10" w:name="page11"/>
    <w:bookmarkEnd w:id="10"/>
    <w:p>
      <w:pPr>
        <w:ind w:right="3999"/>
        <w:spacing w:after="0" w:line="272" w:lineRule="auto"/>
        <w:rPr>
          <w:sz w:val="20"/>
          <w:szCs w:val="20"/>
          <w:color w:val="auto"/>
        </w:rPr>
      </w:pPr>
      <w:r>
        <w:rPr>
          <w:rFonts w:ascii="Courier New" w:cs="Courier New" w:eastAsia="Courier New" w:hAnsi="Courier New"/>
          <w:sz w:val="16"/>
          <w:szCs w:val="16"/>
          <w:color w:val="auto"/>
        </w:rPr>
        <w:t>Property, plant and equipment are stated at historical cost and are depreciated by the straight-line method over their estimated useful lives, which range from three to ten years for machinery and equipment and up to 40 years for buildings.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 assets</w:t>
      </w:r>
    </w:p>
    <w:p>
      <w:pPr>
        <w:spacing w:after="0" w:line="177" w:lineRule="exact"/>
        <w:rPr>
          <w:sz w:val="20"/>
          <w:szCs w:val="20"/>
          <w:color w:val="auto"/>
        </w:rPr>
      </w:pPr>
    </w:p>
    <w:p>
      <w:pPr>
        <w:ind w:right="4079"/>
        <w:spacing w:after="0" w:line="301" w:lineRule="auto"/>
        <w:rPr>
          <w:sz w:val="20"/>
          <w:szCs w:val="20"/>
          <w:color w:val="auto"/>
        </w:rPr>
      </w:pPr>
      <w:r>
        <w:rPr>
          <w:rFonts w:ascii="Courier New" w:cs="Courier New" w:eastAsia="Courier New" w:hAnsi="Courier New"/>
          <w:sz w:val="14"/>
          <w:szCs w:val="14"/>
          <w:color w:val="auto"/>
        </w:rPr>
        <w:t>Debt issuance costs incurred in connection with financing the transaction described in Note 1 are accounted for as a deferred charge and amortized by the interest method over the terms of the debt agreements. Accumulated amortization of debt issuance costs and other intangible assets totalled $1,010,000 and $674,000 as of December 16, 1993 and December 31, 1992, respectively.</w:t>
      </w:r>
    </w:p>
    <w:p>
      <w:pPr>
        <w:spacing w:after="0" w:line="5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F-8</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w:t>
      </w:r>
    </w:p>
    <w:p>
      <w:pPr>
        <w:spacing w:after="0" w:line="177" w:lineRule="exact"/>
        <w:rPr>
          <w:sz w:val="20"/>
          <w:szCs w:val="20"/>
          <w:color w:val="auto"/>
        </w:rPr>
      </w:pPr>
    </w:p>
    <w:p>
      <w:pPr>
        <w:ind w:right="3899"/>
        <w:spacing w:after="0" w:line="247" w:lineRule="auto"/>
        <w:rPr>
          <w:sz w:val="20"/>
          <w:szCs w:val="20"/>
          <w:color w:val="auto"/>
        </w:rPr>
      </w:pPr>
      <w:r>
        <w:rPr>
          <w:rFonts w:ascii="Courier New" w:cs="Courier New" w:eastAsia="Courier New" w:hAnsi="Courier New"/>
          <w:sz w:val="16"/>
          <w:szCs w:val="16"/>
          <w:color w:val="auto"/>
        </w:rPr>
        <w:t>The local currencies of Grace-Sierra's foreign subsidiaries have been designated as functional currencies. Accordingly, assets and liabilities of foreign subsidiaries are translated at the period end rates of exchange, and statements of operations are translated at average rates of exchange for the respective period. Gains or losses resulting from translating foreign currency financial statements are accumulated as a separate component of common shareholders' deficit. Gains or losses resulting from foreign currency transactions (transactions denominated in a currency other than the entity's local currency) are included in results of operations.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77" w:lineRule="exact"/>
        <w:rPr>
          <w:sz w:val="20"/>
          <w:szCs w:val="20"/>
          <w:color w:val="auto"/>
        </w:rPr>
      </w:pPr>
    </w:p>
    <w:p>
      <w:pPr>
        <w:ind w:right="3899"/>
        <w:spacing w:after="0" w:line="287" w:lineRule="auto"/>
        <w:rPr>
          <w:sz w:val="20"/>
          <w:szCs w:val="20"/>
          <w:color w:val="auto"/>
        </w:rPr>
      </w:pPr>
      <w:r>
        <w:rPr>
          <w:rFonts w:ascii="Courier New" w:cs="Courier New" w:eastAsia="Courier New" w:hAnsi="Courier New"/>
          <w:sz w:val="14"/>
          <w:szCs w:val="14"/>
          <w:color w:val="auto"/>
        </w:rPr>
        <w:t>Effective January 1, 1993, the Company adopted Statement of Financial Accounting Standards ("SFAS") No. 109, "Accounting for Income Taxes", which requires recognition of deferred tax assets and liabilities for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 The cumulative effect of adopting this new accounting principle did not have a material effect on the Company's financial statements.</w:t>
      </w:r>
    </w:p>
    <w:p>
      <w:pPr>
        <w:spacing w:after="0" w:line="71" w:lineRule="exact"/>
        <w:rPr>
          <w:sz w:val="20"/>
          <w:szCs w:val="20"/>
          <w:color w:val="auto"/>
        </w:rPr>
      </w:pPr>
    </w:p>
    <w:p>
      <w:pPr>
        <w:jc w:val="both"/>
        <w:ind w:right="4179"/>
        <w:spacing w:after="0" w:line="289" w:lineRule="auto"/>
        <w:rPr>
          <w:sz w:val="20"/>
          <w:szCs w:val="20"/>
          <w:color w:val="auto"/>
        </w:rPr>
      </w:pPr>
      <w:r>
        <w:rPr>
          <w:rFonts w:ascii="Courier New" w:cs="Courier New" w:eastAsia="Courier New" w:hAnsi="Courier New"/>
          <w:sz w:val="16"/>
          <w:szCs w:val="16"/>
          <w:color w:val="auto"/>
        </w:rPr>
        <w:t>Prior to fiscal 1993, the Company's deferred income tax provision was based on differences between financial reporting and taxable income.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60" w:type="dxa"/>
            <w:vAlign w:val="bottom"/>
          </w:tcPr>
          <w:p>
            <w:pPr>
              <w:spacing w:after="0"/>
              <w:rPr>
                <w:sz w:val="20"/>
                <w:szCs w:val="20"/>
                <w:color w:val="auto"/>
              </w:rPr>
            </w:pPr>
            <w:r>
              <w:rPr>
                <w:rFonts w:ascii="Courier New" w:cs="Courier New" w:eastAsia="Courier New" w:hAnsi="Courier New"/>
                <w:sz w:val="16"/>
                <w:szCs w:val="16"/>
                <w:color w:val="auto"/>
              </w:rPr>
              <w:t>NOTE 3 - INVENTORIES:</w:t>
            </w:r>
          </w:p>
        </w:tc>
        <w:tc>
          <w:tcPr>
            <w:tcW w:w="1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Inventories consisted of the following:</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6"/>
        </w:trPr>
        <w:tc>
          <w:tcPr>
            <w:tcW w:w="4560" w:type="dxa"/>
            <w:vAlign w:val="bottom"/>
          </w:tcPr>
          <w:p>
            <w:pPr>
              <w:spacing w:after="0"/>
              <w:rPr>
                <w:sz w:val="23"/>
                <w:szCs w:val="23"/>
                <w:color w:val="auto"/>
              </w:rPr>
            </w:pPr>
          </w:p>
        </w:tc>
        <w:tc>
          <w:tcPr>
            <w:tcW w:w="1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December 16,</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4560" w:type="dxa"/>
            <w:vAlign w:val="bottom"/>
          </w:tcPr>
          <w:p>
            <w:pPr>
              <w:spacing w:after="0"/>
              <w:rPr>
                <w:sz w:val="15"/>
                <w:szCs w:val="15"/>
                <w:color w:val="auto"/>
              </w:rPr>
            </w:pPr>
          </w:p>
        </w:tc>
        <w:tc>
          <w:tcPr>
            <w:tcW w:w="16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1993</w:t>
            </w:r>
          </w:p>
        </w:tc>
        <w:tc>
          <w:tcPr>
            <w:tcW w:w="660" w:type="dxa"/>
            <w:vAlign w:val="bottom"/>
          </w:tcPr>
          <w:p>
            <w:pPr>
              <w:spacing w:after="0"/>
              <w:rPr>
                <w:sz w:val="15"/>
                <w:szCs w:val="15"/>
                <w:color w:val="auto"/>
              </w:rPr>
            </w:pP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1992</w:t>
            </w:r>
          </w:p>
        </w:tc>
      </w:tr>
      <w:tr>
        <w:trPr>
          <w:trHeight w:val="261"/>
        </w:trPr>
        <w:tc>
          <w:tcPr>
            <w:tcW w:w="4560" w:type="dxa"/>
            <w:vAlign w:val="bottom"/>
          </w:tcPr>
          <w:p>
            <w:pPr>
              <w:spacing w:after="0"/>
              <w:rPr>
                <w:sz w:val="22"/>
                <w:szCs w:val="22"/>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740" w:type="dxa"/>
            <w:vAlign w:val="bottom"/>
          </w:tcPr>
          <w:p>
            <w:pPr>
              <w:spacing w:after="0"/>
              <w:rPr>
                <w:sz w:val="22"/>
                <w:szCs w:val="22"/>
                <w:color w:val="auto"/>
              </w:rPr>
            </w:pPr>
          </w:p>
        </w:tc>
      </w:tr>
      <w:tr>
        <w:trPr>
          <w:trHeight w:val="276"/>
        </w:trPr>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Finished goods</w:t>
            </w:r>
          </w:p>
        </w:tc>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$ 10,545</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9,700</w:t>
            </w:r>
          </w:p>
        </w:tc>
      </w:tr>
      <w:tr>
        <w:trPr>
          <w:trHeight w:val="261"/>
        </w:trPr>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Raw materials, supplies and work-in-process</w:t>
            </w:r>
          </w:p>
        </w:tc>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7,660</w:t>
            </w:r>
          </w:p>
        </w:tc>
        <w:tc>
          <w:tcPr>
            <w:tcW w:w="660" w:type="dxa"/>
            <w:vAlign w:val="bottom"/>
          </w:tcPr>
          <w:p>
            <w:pPr>
              <w:spacing w:after="0"/>
              <w:rPr>
                <w:sz w:val="22"/>
                <w:szCs w:val="22"/>
                <w:color w:val="auto"/>
              </w:rPr>
            </w:pP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6,705</w:t>
            </w:r>
          </w:p>
        </w:tc>
      </w:tr>
      <w:tr>
        <w:trPr>
          <w:trHeight w:val="358"/>
        </w:trPr>
        <w:tc>
          <w:tcPr>
            <w:tcW w:w="4560" w:type="dxa"/>
            <w:vAlign w:val="bottom"/>
          </w:tcPr>
          <w:p>
            <w:pPr>
              <w:spacing w:after="0"/>
              <w:rPr>
                <w:sz w:val="24"/>
                <w:szCs w:val="24"/>
                <w:color w:val="auto"/>
              </w:rPr>
            </w:pPr>
          </w:p>
        </w:tc>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$ 18,205</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16,405</w:t>
            </w:r>
          </w:p>
        </w:tc>
      </w:tr>
    </w:tbl>
    <w:p>
      <w:pPr>
        <w:spacing w:after="0" w:line="276" w:lineRule="exact"/>
        <w:rPr>
          <w:sz w:val="20"/>
          <w:szCs w:val="20"/>
          <w:color w:val="auto"/>
        </w:rPr>
      </w:pPr>
    </w:p>
    <w:p>
      <w:pPr>
        <w:ind w:right="4279"/>
        <w:spacing w:after="0" w:line="263" w:lineRule="auto"/>
        <w:rPr>
          <w:sz w:val="20"/>
          <w:szCs w:val="20"/>
          <w:color w:val="auto"/>
        </w:rPr>
      </w:pPr>
      <w:r>
        <w:rPr>
          <w:rFonts w:ascii="Courier New" w:cs="Courier New" w:eastAsia="Courier New" w:hAnsi="Courier New"/>
          <w:sz w:val="16"/>
          <w:szCs w:val="16"/>
          <w:color w:val="auto"/>
        </w:rPr>
        <w:t>At December 16, 1993 and December 31, 1992, domestic inventories accounted for on the last-in, first-out method amounted to $15,508,000 and $12,597,000, respectively, which amounted to approximately $1,277,000 and $1,674,000, respectively, less than current replacement cost.</w:t>
      </w:r>
    </w:p>
    <w:p>
      <w:pPr>
        <w:spacing w:after="0" w:line="80" w:lineRule="exact"/>
        <w:rPr>
          <w:sz w:val="20"/>
          <w:szCs w:val="20"/>
          <w:color w:val="auto"/>
        </w:rPr>
      </w:pPr>
    </w:p>
    <w:p>
      <w:pPr>
        <w:ind w:right="3999"/>
        <w:spacing w:after="0" w:line="272" w:lineRule="auto"/>
        <w:rPr>
          <w:sz w:val="20"/>
          <w:szCs w:val="20"/>
          <w:color w:val="auto"/>
        </w:rPr>
      </w:pPr>
      <w:r>
        <w:rPr>
          <w:rFonts w:ascii="Courier New" w:cs="Courier New" w:eastAsia="Courier New" w:hAnsi="Courier New"/>
          <w:sz w:val="16"/>
          <w:szCs w:val="16"/>
          <w:color w:val="auto"/>
        </w:rPr>
        <w:t>On July 2, 1992, Company inventories sustained fire damage due to a lightning strike. Damage from the fire of approximately $1,268,000 was covered under the Company's insurance policies, the final proceeds of which were collected during 1993.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PROPERTY, PLANT AND EQUIPMENT: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 consisted of the following:</w:t>
      </w:r>
    </w:p>
    <w:p>
      <w:pPr>
        <w:spacing w:after="0" w:line="17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26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December 16,</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3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1993</w:t>
            </w:r>
          </w:p>
        </w:tc>
        <w:tc>
          <w:tcPr>
            <w:tcW w:w="660" w:type="dxa"/>
            <w:vAlign w:val="bottom"/>
          </w:tcPr>
          <w:p>
            <w:pPr>
              <w:spacing w:after="0"/>
              <w:rPr>
                <w:sz w:val="15"/>
                <w:szCs w:val="15"/>
                <w:color w:val="auto"/>
              </w:rPr>
            </w:pP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1992</w:t>
            </w:r>
          </w:p>
        </w:tc>
      </w:tr>
      <w:tr>
        <w:trPr>
          <w:trHeight w:val="261"/>
        </w:trPr>
        <w:tc>
          <w:tcPr>
            <w:tcW w:w="3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740" w:type="dxa"/>
            <w:vAlign w:val="bottom"/>
          </w:tcPr>
          <w:p>
            <w:pPr>
              <w:spacing w:after="0"/>
              <w:rPr>
                <w:sz w:val="22"/>
                <w:szCs w:val="22"/>
                <w:color w:val="auto"/>
              </w:rPr>
            </w:pPr>
          </w:p>
        </w:tc>
      </w:tr>
      <w:tr>
        <w:trPr>
          <w:trHeight w:val="276"/>
        </w:trPr>
        <w:tc>
          <w:tcPr>
            <w:tcW w:w="334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748</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743</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Buildings</w:t>
            </w:r>
          </w:p>
        </w:tc>
        <w:tc>
          <w:tcPr>
            <w:tcW w:w="154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6,522</w:t>
            </w:r>
          </w:p>
        </w:tc>
        <w:tc>
          <w:tcPr>
            <w:tcW w:w="66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6,393</w:t>
            </w:r>
          </w:p>
        </w:tc>
      </w:tr>
      <w:tr>
        <w:trPr>
          <w:trHeight w:val="261"/>
        </w:trPr>
        <w:tc>
          <w:tcPr>
            <w:tcW w:w="334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1540" w:type="dxa"/>
            <w:vAlign w:val="bottom"/>
          </w:tcPr>
          <w:p>
            <w:pPr>
              <w:spacing w:after="0"/>
              <w:rPr>
                <w:sz w:val="22"/>
                <w:szCs w:val="22"/>
                <w:color w:val="auto"/>
              </w:rPr>
            </w:pP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30,434</w:t>
            </w:r>
          </w:p>
        </w:tc>
        <w:tc>
          <w:tcPr>
            <w:tcW w:w="660" w:type="dxa"/>
            <w:vAlign w:val="bottom"/>
          </w:tcPr>
          <w:p>
            <w:pPr>
              <w:spacing w:after="0"/>
              <w:rPr>
                <w:sz w:val="22"/>
                <w:szCs w:val="22"/>
                <w:color w:val="auto"/>
              </w:rPr>
            </w:pP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31,153</w:t>
            </w:r>
          </w:p>
        </w:tc>
      </w:tr>
    </w:tbl>
    <w:p>
      <w:pPr>
        <w:sectPr>
          <w:pgSz w:w="11900" w:h="16838" w:orient="portrait"/>
          <w:cols w:equalWidth="0" w:num="1">
            <w:col w:w="10219"/>
          </w:cols>
          <w:pgMar w:left="240" w:top="114" w:right="1440" w:bottom="0" w:gutter="0" w:footer="0" w:header="0"/>
        </w:sectPr>
      </w:pPr>
    </w:p>
    <w:bookmarkStart w:id="11" w:name="page12"/>
    <w:bookmarkEnd w:id="11"/>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20" w:type="dxa"/>
            <w:vAlign w:val="bottom"/>
            <w:gridSpan w:val="2"/>
            <w:vMerge w:val="restart"/>
          </w:tcPr>
          <w:p>
            <w:pPr>
              <w:ind w:left="2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3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37,704</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38,289</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120" w:type="dxa"/>
            <w:vAlign w:val="bottom"/>
            <w:gridSpan w:val="2"/>
            <w:vMerge w:val="continue"/>
          </w:tcPr>
          <w:p>
            <w:pPr>
              <w:spacing w:after="0"/>
              <w:rPr>
                <w:sz w:val="22"/>
                <w:szCs w:val="22"/>
                <w:color w:val="auto"/>
              </w:rPr>
            </w:pPr>
          </w:p>
        </w:tc>
        <w:tc>
          <w:tcPr>
            <w:tcW w:w="134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(17,882)</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(15,713)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3580" w:type="dxa"/>
            <w:vAlign w:val="bottom"/>
          </w:tcPr>
          <w:p>
            <w:pPr>
              <w:spacing w:after="0"/>
              <w:rPr>
                <w:sz w:val="24"/>
                <w:szCs w:val="24"/>
                <w:color w:val="auto"/>
              </w:rPr>
            </w:pPr>
          </w:p>
        </w:tc>
        <w:tc>
          <w:tcPr>
            <w:tcW w:w="288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$ 19,822</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$ 22,576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80" w:type="dxa"/>
            <w:vAlign w:val="bottom"/>
          </w:tcPr>
          <w:p>
            <w:pPr>
              <w:spacing w:after="0"/>
              <w:rPr>
                <w:sz w:val="20"/>
                <w:szCs w:val="20"/>
                <w:color w:val="auto"/>
              </w:rPr>
            </w:pPr>
            <w:r>
              <w:rPr>
                <w:rFonts w:ascii="Courier New" w:cs="Courier New" w:eastAsia="Courier New" w:hAnsi="Courier New"/>
                <w:sz w:val="16"/>
                <w:szCs w:val="16"/>
                <w:color w:val="auto"/>
              </w:rPr>
              <w:t>NOTE 5 - DEBT AND LEASE COMMITMENTS:</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80" w:type="dxa"/>
            <w:vAlign w:val="bottom"/>
          </w:tcPr>
          <w:p>
            <w:pPr>
              <w:spacing w:after="0"/>
              <w:rPr>
                <w:sz w:val="20"/>
                <w:szCs w:val="20"/>
                <w:color w:val="auto"/>
              </w:rPr>
            </w:pPr>
            <w:r>
              <w:rPr>
                <w:rFonts w:ascii="Courier New" w:cs="Courier New" w:eastAsia="Courier New" w:hAnsi="Courier New"/>
                <w:sz w:val="16"/>
                <w:szCs w:val="16"/>
                <w:color w:val="auto"/>
              </w:rPr>
              <w:t>Long-term debt consists of:</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3"/>
                <w:szCs w:val="23"/>
                <w:color w:val="auto"/>
              </w:rPr>
            </w:pPr>
          </w:p>
        </w:tc>
        <w:tc>
          <w:tcPr>
            <w:tcW w:w="2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December 16, 1993   Years of</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December 16,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 Rate</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Maturity</w:t>
            </w:r>
          </w:p>
        </w:tc>
        <w:tc>
          <w:tcPr>
            <w:tcW w:w="14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1993</w:t>
            </w: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1992</w:t>
            </w: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Courier New" w:cs="Courier New" w:eastAsia="Courier New" w:hAnsi="Courier New"/>
                <w:sz w:val="16"/>
                <w:szCs w:val="16"/>
                <w:color w:val="auto"/>
              </w:rPr>
              <w:t>Senior notes</w:t>
            </w:r>
          </w:p>
        </w:tc>
        <w:tc>
          <w:tcPr>
            <w:tcW w:w="15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10.28%</w:t>
            </w:r>
          </w:p>
        </w:tc>
        <w:tc>
          <w:tcPr>
            <w:tcW w:w="1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1995-1999</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$ 65,000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$ 65,000</w:t>
            </w:r>
          </w:p>
        </w:tc>
        <w:tc>
          <w:tcPr>
            <w:tcW w:w="0" w:type="dxa"/>
            <w:vAlign w:val="bottom"/>
          </w:tcPr>
          <w:p>
            <w:pPr>
              <w:spacing w:after="0"/>
              <w:rPr>
                <w:sz w:val="1"/>
                <w:szCs w:val="1"/>
                <w:color w:val="auto"/>
              </w:rPr>
            </w:pP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Revolving credit agreement</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6.625%</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1994-1996</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15,000</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14,000</w:t>
            </w:r>
          </w:p>
        </w:tc>
        <w:tc>
          <w:tcPr>
            <w:tcW w:w="0" w:type="dxa"/>
            <w:vAlign w:val="bottom"/>
          </w:tcPr>
          <w:p>
            <w:pPr>
              <w:spacing w:after="0"/>
              <w:rPr>
                <w:sz w:val="1"/>
                <w:szCs w:val="1"/>
                <w:color w:val="auto"/>
              </w:rPr>
            </w:pPr>
          </w:p>
        </w:tc>
      </w:tr>
      <w:tr>
        <w:trPr>
          <w:trHeight w:val="179"/>
        </w:trPr>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Mortgage note payable</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8.375%</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1994-1995</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105</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234</w:t>
            </w: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0"/>
                <w:szCs w:val="20"/>
                <w:color w:val="auto"/>
              </w:rPr>
            </w:pPr>
            <w:r>
              <w:rPr>
                <w:rFonts w:ascii="Courier New" w:cs="Courier New" w:eastAsia="Courier New" w:hAnsi="Courier New"/>
                <w:sz w:val="16"/>
                <w:szCs w:val="16"/>
                <w:color w:val="auto"/>
              </w:rPr>
              <w:t>Various capitalized lease obligations</w:t>
            </w:r>
          </w:p>
        </w:tc>
        <w:tc>
          <w:tcPr>
            <w:tcW w:w="1540" w:type="dxa"/>
            <w:vAlign w:val="bottom"/>
          </w:tcPr>
          <w:p>
            <w:pPr>
              <w:spacing w:after="0"/>
              <w:rPr>
                <w:sz w:val="22"/>
                <w:szCs w:val="22"/>
                <w:color w:val="auto"/>
              </w:rPr>
            </w:pPr>
          </w:p>
        </w:tc>
        <w:tc>
          <w:tcPr>
            <w:tcW w:w="1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1994-1998</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439</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487</w:t>
            </w:r>
          </w:p>
        </w:tc>
        <w:tc>
          <w:tcPr>
            <w:tcW w:w="0" w:type="dxa"/>
            <w:vAlign w:val="bottom"/>
          </w:tcPr>
          <w:p>
            <w:pPr>
              <w:spacing w:after="0"/>
              <w:rPr>
                <w:sz w:val="1"/>
                <w:szCs w:val="1"/>
                <w:color w:val="auto"/>
              </w:rPr>
            </w:pPr>
          </w:p>
        </w:tc>
      </w:tr>
      <w:tr>
        <w:trPr>
          <w:trHeight w:val="276"/>
        </w:trPr>
        <w:tc>
          <w:tcPr>
            <w:tcW w:w="3580" w:type="dxa"/>
            <w:vAlign w:val="bottom"/>
            <w:vMerge w:val="restart"/>
          </w:tcPr>
          <w:p>
            <w:pPr>
              <w:spacing w:after="0"/>
              <w:rPr>
                <w:sz w:val="20"/>
                <w:szCs w:val="20"/>
                <w:color w:val="auto"/>
              </w:rPr>
            </w:pPr>
            <w:r>
              <w:rPr>
                <w:rFonts w:ascii="Courier New" w:cs="Courier New" w:eastAsia="Courier New" w:hAnsi="Courier New"/>
                <w:sz w:val="16"/>
                <w:szCs w:val="16"/>
                <w:color w:val="auto"/>
              </w:rPr>
              <w:t>Amount due within one year</w:t>
            </w:r>
          </w:p>
        </w:tc>
        <w:tc>
          <w:tcPr>
            <w:tcW w:w="15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80,544</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79,721</w:t>
            </w:r>
          </w:p>
        </w:tc>
        <w:tc>
          <w:tcPr>
            <w:tcW w:w="0" w:type="dxa"/>
            <w:vAlign w:val="bottom"/>
          </w:tcPr>
          <w:p>
            <w:pPr>
              <w:spacing w:after="0"/>
              <w:rPr>
                <w:sz w:val="1"/>
                <w:szCs w:val="1"/>
                <w:color w:val="auto"/>
              </w:rPr>
            </w:pPr>
          </w:p>
        </w:tc>
      </w:tr>
      <w:tr>
        <w:trPr>
          <w:trHeight w:val="261"/>
        </w:trPr>
        <w:tc>
          <w:tcPr>
            <w:tcW w:w="358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(4,149)</w:t>
            </w:r>
          </w:p>
        </w:tc>
        <w:tc>
          <w:tcPr>
            <w:tcW w:w="12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358"/>
        </w:trPr>
        <w:tc>
          <w:tcPr>
            <w:tcW w:w="512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excluding current portion</w:t>
            </w:r>
          </w:p>
        </w:tc>
        <w:tc>
          <w:tcPr>
            <w:tcW w:w="1340" w:type="dxa"/>
            <w:vAlign w:val="bottom"/>
          </w:tcPr>
          <w:p>
            <w:pPr>
              <w:spacing w:after="0"/>
              <w:rPr>
                <w:sz w:val="24"/>
                <w:szCs w:val="24"/>
                <w:color w:val="auto"/>
              </w:rPr>
            </w:pP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$ 76,395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$ 79,592</w:t>
            </w:r>
          </w:p>
        </w:tc>
        <w:tc>
          <w:tcPr>
            <w:tcW w:w="0" w:type="dxa"/>
            <w:vAlign w:val="bottom"/>
          </w:tcPr>
          <w:p>
            <w:pPr>
              <w:spacing w:after="0"/>
              <w:rPr>
                <w:sz w:val="1"/>
                <w:szCs w:val="1"/>
                <w:color w:val="auto"/>
              </w:rPr>
            </w:pPr>
          </w:p>
        </w:tc>
      </w:tr>
      <w:tr>
        <w:trPr>
          <w:trHeight w:val="276"/>
        </w:trPr>
        <w:tc>
          <w:tcPr>
            <w:tcW w:w="6460" w:type="dxa"/>
            <w:vAlign w:val="bottom"/>
            <w:gridSpan w:val="3"/>
          </w:tcPr>
          <w:p>
            <w:pPr>
              <w:spacing w:after="0"/>
              <w:rPr>
                <w:sz w:val="20"/>
                <w:szCs w:val="20"/>
                <w:color w:val="auto"/>
              </w:rPr>
            </w:pPr>
            <w:r>
              <w:rPr>
                <w:rFonts w:ascii="Courier New" w:cs="Courier New" w:eastAsia="Courier New" w:hAnsi="Courier New"/>
                <w:sz w:val="16"/>
                <w:szCs w:val="16"/>
                <w:color w:val="auto"/>
              </w:rPr>
              <w:t>Long-term debt matures as follows (in thousands):  1994 - $4,149;</w:t>
            </w: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64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1995 - $18,136;  1996 - $19,100;  1997 - $13,106;  1998 - $13,053</w:t>
            </w: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580" w:type="dxa"/>
            <w:vAlign w:val="bottom"/>
          </w:tcPr>
          <w:p>
            <w:pPr>
              <w:spacing w:after="0"/>
              <w:rPr>
                <w:sz w:val="20"/>
                <w:szCs w:val="20"/>
                <w:color w:val="auto"/>
              </w:rPr>
            </w:pPr>
            <w:r>
              <w:rPr>
                <w:rFonts w:ascii="Courier New" w:cs="Courier New" w:eastAsia="Courier New" w:hAnsi="Courier New"/>
                <w:sz w:val="16"/>
                <w:szCs w:val="16"/>
                <w:color w:val="auto"/>
              </w:rPr>
              <w:t>and 1999 - $13,000.</w:t>
            </w:r>
          </w:p>
        </w:tc>
        <w:tc>
          <w:tcPr>
            <w:tcW w:w="15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999"/>
        <w:spacing w:after="0" w:line="254" w:lineRule="auto"/>
        <w:rPr>
          <w:sz w:val="20"/>
          <w:szCs w:val="20"/>
          <w:color w:val="auto"/>
        </w:rPr>
      </w:pPr>
      <w:r>
        <w:rPr>
          <w:rFonts w:ascii="Courier New" w:cs="Courier New" w:eastAsia="Courier New" w:hAnsi="Courier New"/>
          <w:sz w:val="16"/>
          <w:szCs w:val="16"/>
          <w:color w:val="auto"/>
        </w:rPr>
        <w:t>The Senior Notes require annual payments of $13,000,000 commencing on October 31, 1995 and become due in full on October 31, 1999. At its option, Grace-Sierra, may make prepayments on the Senior Notes. Optional prepayments are subject to a premium, determined by a specified calculation. On October 14, 1993, Grace acquired all of the Company's outstanding Senior Notes from the group of institutional lenders.</w:t>
      </w:r>
    </w:p>
    <w:p>
      <w:pPr>
        <w:spacing w:after="0" w:line="88" w:lineRule="exact"/>
        <w:rPr>
          <w:sz w:val="20"/>
          <w:szCs w:val="20"/>
          <w:color w:val="auto"/>
        </w:rPr>
      </w:pPr>
    </w:p>
    <w:p>
      <w:pPr>
        <w:ind w:right="3439"/>
        <w:spacing w:after="0" w:line="243" w:lineRule="auto"/>
        <w:rPr>
          <w:sz w:val="20"/>
          <w:szCs w:val="20"/>
          <w:color w:val="auto"/>
        </w:rPr>
      </w:pPr>
      <w:r>
        <w:rPr>
          <w:rFonts w:ascii="Courier New" w:cs="Courier New" w:eastAsia="Courier New" w:hAnsi="Courier New"/>
          <w:sz w:val="16"/>
          <w:szCs w:val="16"/>
          <w:color w:val="auto"/>
        </w:rPr>
        <w:t>The Revolving Credit Agreement provides for an initial loan commitment of $15,000,000 which declines to $11,000,000 in 1994, $6,000,000 in 1995 and terminates in 1996. The Revolving Credit Agreement provides Grace-Sierra the option to choose between various forms of loans, all of which have interest rates approximating prime plus 5/8 of 1%. The prime rate at December 16, 1993 and December 31,</w:t>
      </w:r>
    </w:p>
    <w:p>
      <w:pPr>
        <w:ind w:right="3999"/>
        <w:spacing w:after="0" w:line="305" w:lineRule="auto"/>
        <w:rPr>
          <w:sz w:val="20"/>
          <w:szCs w:val="20"/>
          <w:color w:val="auto"/>
        </w:rPr>
      </w:pPr>
      <w:r>
        <w:rPr>
          <w:rFonts w:ascii="Courier New" w:cs="Courier New" w:eastAsia="Courier New" w:hAnsi="Courier New"/>
          <w:sz w:val="16"/>
          <w:szCs w:val="16"/>
          <w:color w:val="auto"/>
        </w:rPr>
        <w:t>1992 was 6%. The average daily amount of the unused portion of the loan commitment is subject to a commitment fee of 3/8 of 1%.</w:t>
      </w:r>
    </w:p>
    <w:p>
      <w:pPr>
        <w:spacing w:after="0" w:line="48" w:lineRule="exact"/>
        <w:rPr>
          <w:sz w:val="20"/>
          <w:szCs w:val="20"/>
          <w:color w:val="auto"/>
        </w:rPr>
      </w:pPr>
    </w:p>
    <w:p>
      <w:pPr>
        <w:ind w:right="3799"/>
        <w:spacing w:after="0" w:line="272" w:lineRule="auto"/>
        <w:rPr>
          <w:sz w:val="20"/>
          <w:szCs w:val="20"/>
          <w:color w:val="auto"/>
        </w:rPr>
      </w:pPr>
      <w:r>
        <w:rPr>
          <w:rFonts w:ascii="Courier New" w:cs="Courier New" w:eastAsia="Courier New" w:hAnsi="Courier New"/>
          <w:sz w:val="16"/>
          <w:szCs w:val="16"/>
          <w:color w:val="auto"/>
        </w:rPr>
        <w:t>The mortgage note payable is with an agency of The Netherlands Government, is due in equal annual installments including interest, and is collateralized by land and a building with a net book value of $1,224,000 at December 16, 1993.</w:t>
      </w:r>
    </w:p>
    <w:p>
      <w:pPr>
        <w:spacing w:after="0" w:line="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F-10</w:t>
      </w:r>
    </w:p>
    <w:p>
      <w:pPr>
        <w:spacing w:after="0" w:line="355" w:lineRule="exact"/>
        <w:rPr>
          <w:sz w:val="20"/>
          <w:szCs w:val="20"/>
          <w:color w:val="auto"/>
        </w:rPr>
      </w:pPr>
    </w:p>
    <w:p>
      <w:pPr>
        <w:ind w:right="3899"/>
        <w:spacing w:after="0" w:line="289" w:lineRule="auto"/>
        <w:rPr>
          <w:sz w:val="20"/>
          <w:szCs w:val="20"/>
          <w:color w:val="auto"/>
        </w:rPr>
      </w:pPr>
      <w:r>
        <w:rPr>
          <w:rFonts w:ascii="Courier New" w:cs="Courier New" w:eastAsia="Courier New" w:hAnsi="Courier New"/>
          <w:sz w:val="16"/>
          <w:szCs w:val="16"/>
          <w:color w:val="auto"/>
        </w:rPr>
        <w:t>Assets recorded under capitalized lease obligations and included in property, plant and equipment, at December 16, 1993 and December 31, 1992 were comprised of:</w:t>
      </w:r>
    </w:p>
    <w:p>
      <w:pPr>
        <w:spacing w:after="0" w:line="237"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1993</w:t>
            </w:r>
          </w:p>
        </w:tc>
        <w:tc>
          <w:tcPr>
            <w:tcW w:w="640" w:type="dxa"/>
            <w:vAlign w:val="bottom"/>
          </w:tcPr>
          <w:p>
            <w:pPr>
              <w:spacing w:after="0"/>
              <w:rPr>
                <w:sz w:val="15"/>
                <w:szCs w:val="15"/>
                <w:color w:val="auto"/>
              </w:rPr>
            </w:pPr>
          </w:p>
        </w:tc>
        <w:tc>
          <w:tcPr>
            <w:tcW w:w="6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1992</w:t>
            </w:r>
          </w:p>
        </w:tc>
      </w:tr>
      <w:tr>
        <w:trPr>
          <w:trHeight w:val="261"/>
        </w:trPr>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620" w:type="dxa"/>
            <w:vAlign w:val="bottom"/>
          </w:tcPr>
          <w:p>
            <w:pPr>
              <w:spacing w:after="0"/>
              <w:rPr>
                <w:sz w:val="22"/>
                <w:szCs w:val="22"/>
                <w:color w:val="auto"/>
              </w:rPr>
            </w:pPr>
          </w:p>
        </w:tc>
      </w:tr>
      <w:tr>
        <w:trPr>
          <w:trHeight w:val="276"/>
        </w:trPr>
        <w:tc>
          <w:tcPr>
            <w:tcW w:w="380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1,096</w:t>
            </w:r>
          </w:p>
        </w:tc>
        <w:tc>
          <w:tcPr>
            <w:tcW w:w="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1,096</w:t>
            </w:r>
          </w:p>
        </w:tc>
      </w:tr>
      <w:tr>
        <w:trPr>
          <w:trHeight w:val="2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Less - accumulated amortization</w:t>
            </w:r>
          </w:p>
        </w:tc>
        <w:tc>
          <w:tcPr>
            <w:tcW w:w="1120" w:type="dxa"/>
            <w:vAlign w:val="bottom"/>
          </w:tcPr>
          <w:p>
            <w:pPr>
              <w:spacing w:after="0"/>
              <w:rPr>
                <w:sz w:val="22"/>
                <w:szCs w:val="22"/>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(548)</w:t>
            </w:r>
          </w:p>
        </w:tc>
        <w:tc>
          <w:tcPr>
            <w:tcW w:w="6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(516)</w:t>
            </w:r>
          </w:p>
        </w:tc>
      </w:tr>
      <w:tr>
        <w:trPr>
          <w:trHeight w:val="358"/>
        </w:trPr>
        <w:tc>
          <w:tcPr>
            <w:tcW w:w="38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548</w:t>
            </w:r>
          </w:p>
        </w:tc>
        <w:tc>
          <w:tcPr>
            <w:tcW w:w="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580</w:t>
            </w:r>
          </w:p>
        </w:tc>
      </w:tr>
    </w:tbl>
    <w:p>
      <w:pPr>
        <w:spacing w:after="0" w:line="97" w:lineRule="exact"/>
        <w:rPr>
          <w:sz w:val="20"/>
          <w:szCs w:val="20"/>
          <w:color w:val="auto"/>
        </w:rPr>
      </w:pPr>
    </w:p>
    <w:p>
      <w:pPr>
        <w:ind w:right="3899"/>
        <w:spacing w:after="0" w:line="288" w:lineRule="auto"/>
        <w:rPr>
          <w:sz w:val="20"/>
          <w:szCs w:val="20"/>
          <w:color w:val="auto"/>
        </w:rPr>
      </w:pPr>
      <w:r>
        <w:rPr>
          <w:rFonts w:ascii="Courier New" w:cs="Courier New" w:eastAsia="Courier New" w:hAnsi="Courier New"/>
          <w:sz w:val="14"/>
          <w:szCs w:val="14"/>
          <w:color w:val="auto"/>
        </w:rPr>
        <w:t>The Senior Notes and the Revolving Credit Agreement contain restrictive covenants including the maintenance of net worth, current ratio, interest coverage and limitations on indebtedness, investments, liens and encumbrances, payment of dividends and the sale of assets. The Company was in default of various restrictive covenants of the Senior Notes and the Revolving Credit Agreement as of and throughout the period ended December 16, 1993. The Company received waivers from the Senior Notes holder and the bank issuing the Revolving Credit Agreement. At December 16, 1993, there were no earnings free of restrictions for the payment of cash dividends.</w:t>
      </w:r>
    </w:p>
    <w:p>
      <w:pPr>
        <w:spacing w:after="0" w:line="255" w:lineRule="exact"/>
        <w:rPr>
          <w:sz w:val="20"/>
          <w:szCs w:val="20"/>
          <w:color w:val="auto"/>
        </w:rPr>
      </w:pPr>
    </w:p>
    <w:p>
      <w:pPr>
        <w:ind w:right="3999"/>
        <w:spacing w:after="0" w:line="322" w:lineRule="auto"/>
        <w:rPr>
          <w:sz w:val="20"/>
          <w:szCs w:val="20"/>
          <w:color w:val="auto"/>
        </w:rPr>
      </w:pPr>
      <w:r>
        <w:rPr>
          <w:rFonts w:ascii="Courier New" w:cs="Courier New" w:eastAsia="Courier New" w:hAnsi="Courier New"/>
          <w:sz w:val="14"/>
          <w:szCs w:val="14"/>
          <w:color w:val="auto"/>
        </w:rPr>
        <w:t>The Senior Notes and the Revolving Credit Agreement are classified in the accompanying balance sheets according to their scheduled maturities. In connection with the acquisition of the Company (see Note 1), these credit facilities were retired by the acquirer.</w:t>
      </w:r>
    </w:p>
    <w:p>
      <w:pPr>
        <w:spacing w:after="0" w:line="43" w:lineRule="exact"/>
        <w:rPr>
          <w:sz w:val="20"/>
          <w:szCs w:val="20"/>
          <w:color w:val="auto"/>
        </w:rPr>
      </w:pPr>
    </w:p>
    <w:p>
      <w:pPr>
        <w:ind w:right="4079"/>
        <w:spacing w:after="0" w:line="272" w:lineRule="auto"/>
        <w:rPr>
          <w:sz w:val="20"/>
          <w:szCs w:val="20"/>
          <w:color w:val="auto"/>
        </w:rPr>
      </w:pPr>
      <w:r>
        <w:rPr>
          <w:rFonts w:ascii="Courier New" w:cs="Courier New" w:eastAsia="Courier New" w:hAnsi="Courier New"/>
          <w:sz w:val="16"/>
          <w:szCs w:val="16"/>
          <w:color w:val="auto"/>
        </w:rPr>
        <w:t>Grace-Sierra occupies its Milpitas, California facilities under an operating lease expiring in 1998 under which rent is due at specified minimum rates. Future minimum lease commitments are as follows:</w:t>
      </w:r>
    </w:p>
    <w:p>
      <w:pPr>
        <w:spacing w:after="0" w:line="249"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4"/>
              </w:rPr>
              <w:t>Period Ending</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Capital</w:t>
            </w:r>
          </w:p>
        </w:tc>
        <w:tc>
          <w:tcPr>
            <w:tcW w:w="1860" w:type="dxa"/>
            <w:vAlign w:val="bottom"/>
          </w:tcPr>
          <w:p>
            <w:pPr>
              <w:ind w:left="460"/>
              <w:spacing w:after="0"/>
              <w:rPr>
                <w:sz w:val="20"/>
                <w:szCs w:val="20"/>
                <w:color w:val="auto"/>
              </w:rPr>
            </w:pPr>
            <w:r>
              <w:rPr>
                <w:rFonts w:ascii="Courier New" w:cs="Courier New" w:eastAsia="Courier New" w:hAnsi="Courier New"/>
                <w:sz w:val="16"/>
                <w:szCs w:val="16"/>
                <w:color w:val="auto"/>
              </w:rPr>
              <w:t>Operating</w:t>
            </w:r>
          </w:p>
        </w:tc>
        <w:tc>
          <w:tcPr>
            <w:tcW w:w="940" w:type="dxa"/>
            <w:vAlign w:val="bottom"/>
            <w:vMerge w:val="restart"/>
          </w:tcPr>
          <w:p>
            <w:pPr>
              <w:jc w:val="center"/>
              <w:ind w:left="202"/>
              <w:spacing w:after="0"/>
              <w:rPr>
                <w:sz w:val="20"/>
                <w:szCs w:val="20"/>
                <w:color w:val="auto"/>
              </w:rPr>
            </w:pPr>
            <w:r>
              <w:rPr>
                <w:rFonts w:ascii="Courier New" w:cs="Courier New" w:eastAsia="Courier New" w:hAnsi="Courier New"/>
                <w:sz w:val="16"/>
                <w:szCs w:val="16"/>
                <w:color w:val="auto"/>
                <w:w w:val="95"/>
              </w:rPr>
              <w:t>Total</w:t>
            </w:r>
          </w:p>
        </w:tc>
        <w:tc>
          <w:tcPr>
            <w:tcW w:w="0" w:type="dxa"/>
            <w:vAlign w:val="bottom"/>
          </w:tcPr>
          <w:p>
            <w:pPr>
              <w:spacing w:after="0"/>
              <w:rPr>
                <w:sz w:val="1"/>
                <w:szCs w:val="1"/>
                <w:color w:val="auto"/>
              </w:rPr>
            </w:pPr>
          </w:p>
        </w:tc>
      </w:tr>
      <w:tr>
        <w:trPr>
          <w:trHeight w:val="179"/>
        </w:trPr>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December 31,</w:t>
            </w:r>
          </w:p>
        </w:tc>
        <w:tc>
          <w:tcPr>
            <w:tcW w:w="14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Leases</w:t>
            </w:r>
          </w:p>
        </w:tc>
        <w:tc>
          <w:tcPr>
            <w:tcW w:w="18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Leases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60" w:type="dxa"/>
            <w:vAlign w:val="bottom"/>
          </w:tcPr>
          <w:p>
            <w:pPr>
              <w:ind w:left="280"/>
              <w:spacing w:after="0"/>
              <w:rPr>
                <w:sz w:val="20"/>
                <w:szCs w:val="20"/>
                <w:color w:val="auto"/>
              </w:rPr>
            </w:pPr>
            <w:r>
              <w:rPr>
                <w:rFonts w:ascii="Courier New" w:cs="Courier New" w:eastAsia="Courier New" w:hAnsi="Courier New"/>
                <w:sz w:val="16"/>
                <w:szCs w:val="16"/>
                <w:color w:val="auto"/>
              </w:rPr>
              <w:t>(in thousands)</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66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1994</w:t>
            </w:r>
          </w:p>
        </w:tc>
        <w:tc>
          <w:tcPr>
            <w:tcW w:w="14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$ 114</w:t>
            </w:r>
          </w:p>
        </w:tc>
        <w:tc>
          <w:tcPr>
            <w:tcW w:w="1860" w:type="dxa"/>
            <w:vAlign w:val="bottom"/>
          </w:tcPr>
          <w:p>
            <w:pPr>
              <w:ind w:left="660"/>
              <w:spacing w:after="0"/>
              <w:rPr>
                <w:sz w:val="20"/>
                <w:szCs w:val="20"/>
                <w:color w:val="auto"/>
              </w:rPr>
            </w:pPr>
            <w:r>
              <w:rPr>
                <w:rFonts w:ascii="Courier New" w:cs="Courier New" w:eastAsia="Courier New" w:hAnsi="Courier New"/>
                <w:sz w:val="16"/>
                <w:szCs w:val="16"/>
                <w:color w:val="auto"/>
              </w:rPr>
              <w:t>$ 1,299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$ 1,413</w:t>
            </w:r>
          </w:p>
        </w:tc>
        <w:tc>
          <w:tcPr>
            <w:tcW w:w="0" w:type="dxa"/>
            <w:vAlign w:val="bottom"/>
          </w:tcPr>
          <w:p>
            <w:pPr>
              <w:spacing w:after="0"/>
              <w:rPr>
                <w:sz w:val="1"/>
                <w:szCs w:val="1"/>
                <w:color w:val="auto"/>
              </w:rPr>
            </w:pPr>
          </w:p>
        </w:tc>
      </w:tr>
    </w:tbl>
    <w:p>
      <w:pPr>
        <w:sectPr>
          <w:pgSz w:w="11900" w:h="16854" w:orient="portrait"/>
          <w:cols w:equalWidth="0" w:num="1">
            <w:col w:w="10219"/>
          </w:cols>
          <w:pgMar w:left="240" w:top="111" w:right="1440" w:bottom="0" w:gutter="0" w:footer="0" w:header="0"/>
        </w:sectPr>
      </w:pPr>
    </w:p>
    <w:bookmarkStart w:id="12" w:name="page13"/>
    <w:bookmarkEnd w:id="12"/>
    <w:p>
      <w:pPr>
        <w:spacing w:after="0" w:line="87"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18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80" w:type="dxa"/>
            <w:vAlign w:val="bottom"/>
          </w:tcPr>
          <w:p>
            <w:pPr>
              <w:spacing w:after="0"/>
              <w:rPr>
                <w:sz w:val="15"/>
                <w:szCs w:val="15"/>
                <w:color w:val="auto"/>
              </w:rPr>
            </w:pPr>
          </w:p>
        </w:tc>
        <w:tc>
          <w:tcPr>
            <w:tcW w:w="8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114</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1,083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1,197</w:t>
            </w:r>
          </w:p>
        </w:tc>
        <w:tc>
          <w:tcPr>
            <w:tcW w:w="0" w:type="dxa"/>
            <w:vAlign w:val="bottom"/>
          </w:tcPr>
          <w:p>
            <w:pPr>
              <w:spacing w:after="0"/>
              <w:rPr>
                <w:sz w:val="1"/>
                <w:szCs w:val="1"/>
                <w:color w:val="auto"/>
              </w:rPr>
            </w:pPr>
          </w:p>
        </w:tc>
      </w:tr>
      <w:tr>
        <w:trPr>
          <w:trHeight w:val="179"/>
        </w:trPr>
        <w:tc>
          <w:tcPr>
            <w:tcW w:w="1820" w:type="dxa"/>
            <w:vAlign w:val="bottom"/>
          </w:tcPr>
          <w:p>
            <w:pPr>
              <w:spacing w:after="0" w:line="179" w:lineRule="exact"/>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114</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1,108</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1,222</w:t>
            </w:r>
          </w:p>
        </w:tc>
        <w:tc>
          <w:tcPr>
            <w:tcW w:w="0" w:type="dxa"/>
            <w:vAlign w:val="bottom"/>
          </w:tcPr>
          <w:p>
            <w:pPr>
              <w:spacing w:after="0"/>
              <w:rPr>
                <w:sz w:val="1"/>
                <w:szCs w:val="1"/>
                <w:color w:val="auto"/>
              </w:rPr>
            </w:pPr>
          </w:p>
        </w:tc>
      </w:tr>
      <w:tr>
        <w:trPr>
          <w:trHeight w:val="179"/>
        </w:trPr>
        <w:tc>
          <w:tcPr>
            <w:tcW w:w="1820" w:type="dxa"/>
            <w:vAlign w:val="bottom"/>
          </w:tcPr>
          <w:p>
            <w:pPr>
              <w:spacing w:after="0" w:line="179" w:lineRule="exact"/>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8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114</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1,133</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1,247</w:t>
            </w:r>
          </w:p>
        </w:tc>
        <w:tc>
          <w:tcPr>
            <w:tcW w:w="0" w:type="dxa"/>
            <w:vAlign w:val="bottom"/>
          </w:tcPr>
          <w:p>
            <w:pPr>
              <w:spacing w:after="0"/>
              <w:rPr>
                <w:sz w:val="1"/>
                <w:szCs w:val="1"/>
                <w:color w:val="auto"/>
              </w:rPr>
            </w:pPr>
          </w:p>
        </w:tc>
      </w:tr>
      <w:tr>
        <w:trPr>
          <w:trHeight w:val="179"/>
        </w:trPr>
        <w:tc>
          <w:tcPr>
            <w:tcW w:w="1820" w:type="dxa"/>
            <w:vAlign w:val="bottom"/>
          </w:tcPr>
          <w:p>
            <w:pPr>
              <w:spacing w:after="0" w:line="179" w:lineRule="exact"/>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5"/>
                <w:szCs w:val="15"/>
                <w:color w:val="auto"/>
              </w:rPr>
            </w:pPr>
          </w:p>
        </w:tc>
        <w:tc>
          <w:tcPr>
            <w:tcW w:w="8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53</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1,159</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1,212</w:t>
            </w:r>
          </w:p>
        </w:tc>
        <w:tc>
          <w:tcPr>
            <w:tcW w:w="0" w:type="dxa"/>
            <w:vAlign w:val="bottom"/>
          </w:tcPr>
          <w:p>
            <w:pPr>
              <w:spacing w:after="0"/>
              <w:rPr>
                <w:sz w:val="1"/>
                <w:szCs w:val="1"/>
                <w:color w:val="auto"/>
              </w:rPr>
            </w:pPr>
          </w:p>
        </w:tc>
      </w:tr>
      <w:tr>
        <w:trPr>
          <w:trHeight w:val="261"/>
        </w:trPr>
        <w:tc>
          <w:tcPr>
            <w:tcW w:w="1820" w:type="dxa"/>
            <w:vAlign w:val="bottom"/>
          </w:tcPr>
          <w:p>
            <w:pPr>
              <w:spacing w:after="0"/>
              <w:rPr>
                <w:sz w:val="20"/>
                <w:szCs w:val="20"/>
                <w:color w:val="auto"/>
              </w:rPr>
            </w:pPr>
            <w:r>
              <w:rPr>
                <w:rFonts w:ascii="Courier New" w:cs="Courier New" w:eastAsia="Courier New" w:hAnsi="Courier New"/>
                <w:sz w:val="16"/>
                <w:szCs w:val="16"/>
                <w:color w:val="auto"/>
                <w:w w:val="98"/>
              </w:rPr>
              <w:t>1999 and thereafter</w:t>
            </w:r>
          </w:p>
        </w:tc>
        <w:tc>
          <w:tcPr>
            <w:tcW w:w="180" w:type="dxa"/>
            <w:vAlign w:val="bottom"/>
          </w:tcPr>
          <w:p>
            <w:pPr>
              <w:spacing w:after="0"/>
              <w:rPr>
                <w:sz w:val="22"/>
                <w:szCs w:val="22"/>
                <w:color w:val="auto"/>
              </w:rPr>
            </w:pPr>
          </w:p>
        </w:tc>
        <w:tc>
          <w:tcPr>
            <w:tcW w:w="8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2,427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2,427</w:t>
            </w:r>
          </w:p>
        </w:tc>
        <w:tc>
          <w:tcPr>
            <w:tcW w:w="0" w:type="dxa"/>
            <w:vAlign w:val="bottom"/>
          </w:tcPr>
          <w:p>
            <w:pPr>
              <w:spacing w:after="0"/>
              <w:rPr>
                <w:sz w:val="1"/>
                <w:szCs w:val="1"/>
                <w:color w:val="auto"/>
              </w:rPr>
            </w:pPr>
          </w:p>
        </w:tc>
      </w:tr>
      <w:tr>
        <w:trPr>
          <w:trHeight w:val="276"/>
        </w:trPr>
        <w:tc>
          <w:tcPr>
            <w:tcW w:w="1820" w:type="dxa"/>
            <w:vAlign w:val="bottom"/>
          </w:tcPr>
          <w:p>
            <w:pPr>
              <w:spacing w:after="0"/>
              <w:rPr>
                <w:sz w:val="20"/>
                <w:szCs w:val="20"/>
                <w:color w:val="auto"/>
              </w:rPr>
            </w:pPr>
            <w:r>
              <w:rPr>
                <w:rFonts w:ascii="Courier New" w:cs="Courier New" w:eastAsia="Courier New" w:hAnsi="Courier New"/>
                <w:sz w:val="16"/>
                <w:szCs w:val="16"/>
                <w:color w:val="auto"/>
              </w:rPr>
              <w:t>Total minimum</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422"/>
              <w:spacing w:after="0"/>
              <w:rPr>
                <w:sz w:val="20"/>
                <w:szCs w:val="20"/>
                <w:color w:val="auto"/>
              </w:rPr>
            </w:pPr>
            <w:r>
              <w:rPr>
                <w:rFonts w:ascii="Courier New" w:cs="Courier New" w:eastAsia="Courier New" w:hAnsi="Courier New"/>
                <w:sz w:val="16"/>
                <w:szCs w:val="16"/>
                <w:color w:val="auto"/>
              </w:rPr>
              <w:t>509</w:t>
            </w:r>
          </w:p>
        </w:tc>
        <w:tc>
          <w:tcPr>
            <w:tcW w:w="15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$ 8,209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$ 8,718</w:t>
            </w:r>
          </w:p>
        </w:tc>
        <w:tc>
          <w:tcPr>
            <w:tcW w:w="0" w:type="dxa"/>
            <w:vAlign w:val="bottom"/>
          </w:tcPr>
          <w:p>
            <w:pPr>
              <w:spacing w:after="0"/>
              <w:rPr>
                <w:sz w:val="1"/>
                <w:szCs w:val="1"/>
                <w:color w:val="auto"/>
              </w:rPr>
            </w:pPr>
          </w:p>
        </w:tc>
      </w:tr>
      <w:tr>
        <w:trPr>
          <w:trHeight w:val="261"/>
        </w:trPr>
        <w:tc>
          <w:tcPr>
            <w:tcW w:w="1820" w:type="dxa"/>
            <w:vAlign w:val="bottom"/>
          </w:tcPr>
          <w:p>
            <w:pPr>
              <w:ind w:left="200"/>
              <w:spacing w:after="0"/>
              <w:rPr>
                <w:sz w:val="20"/>
                <w:szCs w:val="20"/>
                <w:color w:val="auto"/>
              </w:rPr>
            </w:pPr>
            <w:r>
              <w:rPr>
                <w:rFonts w:ascii="Courier New" w:cs="Courier New" w:eastAsia="Courier New" w:hAnsi="Courier New"/>
                <w:sz w:val="16"/>
                <w:szCs w:val="16"/>
                <w:color w:val="auto"/>
              </w:rPr>
              <w:t>lease payments</w:t>
            </w:r>
          </w:p>
        </w:tc>
        <w:tc>
          <w:tcPr>
            <w:tcW w:w="1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20" w:type="dxa"/>
            <w:vAlign w:val="bottom"/>
          </w:tcPr>
          <w:p>
            <w:pPr>
              <w:spacing w:after="0"/>
              <w:rPr>
                <w:sz w:val="20"/>
                <w:szCs w:val="20"/>
                <w:color w:val="auto"/>
              </w:rPr>
            </w:pPr>
            <w:r>
              <w:rPr>
                <w:rFonts w:ascii="Courier New" w:cs="Courier New" w:eastAsia="Courier New" w:hAnsi="Courier New"/>
                <w:sz w:val="16"/>
                <w:szCs w:val="16"/>
                <w:color w:val="auto"/>
              </w:rPr>
              <w:t>Less: amount</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representing</w:t>
            </w:r>
          </w:p>
        </w:tc>
        <w:tc>
          <w:tcPr>
            <w:tcW w:w="180" w:type="dxa"/>
            <w:vAlign w:val="bottom"/>
          </w:tcPr>
          <w:p>
            <w:pPr>
              <w:spacing w:after="0"/>
              <w:rPr>
                <w:sz w:val="15"/>
                <w:szCs w:val="15"/>
                <w:color w:val="auto"/>
              </w:rPr>
            </w:pPr>
          </w:p>
        </w:tc>
        <w:tc>
          <w:tcPr>
            <w:tcW w:w="840" w:type="dxa"/>
            <w:vAlign w:val="bottom"/>
            <w:vMerge w:val="restart"/>
          </w:tcPr>
          <w:p>
            <w:pPr>
              <w:jc w:val="right"/>
              <w:ind w:right="422"/>
              <w:spacing w:after="0"/>
              <w:rPr>
                <w:sz w:val="20"/>
                <w:szCs w:val="20"/>
                <w:color w:val="auto"/>
              </w:rPr>
            </w:pPr>
            <w:r>
              <w:rPr>
                <w:rFonts w:ascii="Courier New" w:cs="Courier New" w:eastAsia="Courier New" w:hAnsi="Courier New"/>
                <w:sz w:val="16"/>
                <w:szCs w:val="16"/>
                <w:color w:val="auto"/>
              </w:rPr>
              <w:t>70</w:t>
            </w: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560"/>
              <w:spacing w:after="0"/>
              <w:rPr>
                <w:sz w:val="20"/>
                <w:szCs w:val="20"/>
                <w:color w:val="auto"/>
              </w:rPr>
            </w:pPr>
            <w:r>
              <w:rPr>
                <w:rFonts w:ascii="Courier New" w:cs="Courier New" w:eastAsia="Courier New" w:hAnsi="Courier New"/>
                <w:sz w:val="16"/>
                <w:szCs w:val="16"/>
                <w:color w:val="auto"/>
              </w:rPr>
              <w:t>interest</w:t>
            </w: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20" w:type="dxa"/>
            <w:vAlign w:val="bottom"/>
          </w:tcPr>
          <w:p>
            <w:pPr>
              <w:spacing w:after="0"/>
              <w:rPr>
                <w:sz w:val="20"/>
                <w:szCs w:val="20"/>
                <w:color w:val="auto"/>
              </w:rPr>
            </w:pPr>
            <w:r>
              <w:rPr>
                <w:rFonts w:ascii="Courier New" w:cs="Courier New" w:eastAsia="Courier New" w:hAnsi="Courier New"/>
                <w:sz w:val="16"/>
                <w:szCs w:val="16"/>
                <w:color w:val="auto"/>
              </w:rPr>
              <w:t>Present value of</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8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net minimum</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422"/>
              <w:spacing w:after="0"/>
              <w:rPr>
                <w:sz w:val="20"/>
                <w:szCs w:val="20"/>
                <w:color w:val="auto"/>
              </w:rPr>
            </w:pPr>
            <w:r>
              <w:rPr>
                <w:rFonts w:ascii="Courier New" w:cs="Courier New" w:eastAsia="Courier New" w:hAnsi="Courier New"/>
                <w:sz w:val="16"/>
                <w:szCs w:val="16"/>
                <w:color w:val="auto"/>
              </w:rPr>
              <w:t>439</w:t>
            </w: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200"/>
              <w:spacing w:after="0"/>
              <w:rPr>
                <w:sz w:val="20"/>
                <w:szCs w:val="20"/>
                <w:color w:val="auto"/>
              </w:rPr>
            </w:pPr>
            <w:r>
              <w:rPr>
                <w:rFonts w:ascii="Courier New" w:cs="Courier New" w:eastAsia="Courier New" w:hAnsi="Courier New"/>
                <w:sz w:val="16"/>
                <w:szCs w:val="16"/>
                <w:color w:val="auto"/>
              </w:rPr>
              <w:t>lease payments</w:t>
            </w:r>
          </w:p>
        </w:tc>
        <w:tc>
          <w:tcPr>
            <w:tcW w:w="1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999"/>
        <w:spacing w:after="0" w:line="309" w:lineRule="auto"/>
        <w:rPr>
          <w:sz w:val="20"/>
          <w:szCs w:val="20"/>
          <w:color w:val="auto"/>
        </w:rPr>
      </w:pPr>
      <w:r>
        <w:rPr>
          <w:rFonts w:ascii="Courier New" w:cs="Courier New" w:eastAsia="Courier New" w:hAnsi="Courier New"/>
          <w:sz w:val="14"/>
          <w:szCs w:val="14"/>
          <w:color w:val="auto"/>
        </w:rPr>
        <w:t>Rent expense amounted to $1,382,000 and $1,791,000 for the periods ended December 16, 1993 and December 31, 1992, respectively. Certain facilities lease agreements provide for escalation in lease rents based on inflation and give Grace-Sierra the option to renew the agreements beyond their original terms.</w:t>
      </w:r>
    </w:p>
    <w:p>
      <w:pPr>
        <w:spacing w:after="0" w:line="52"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F-11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RELATED PARTY TRANSACTIONS:</w:t>
      </w:r>
    </w:p>
    <w:p>
      <w:pPr>
        <w:spacing w:after="0" w:line="177" w:lineRule="exact"/>
        <w:rPr>
          <w:sz w:val="20"/>
          <w:szCs w:val="20"/>
          <w:color w:val="auto"/>
        </w:rPr>
      </w:pPr>
    </w:p>
    <w:p>
      <w:pPr>
        <w:ind w:right="3899"/>
        <w:spacing w:after="0" w:line="250" w:lineRule="auto"/>
        <w:rPr>
          <w:sz w:val="20"/>
          <w:szCs w:val="20"/>
          <w:color w:val="auto"/>
        </w:rPr>
      </w:pPr>
      <w:r>
        <w:rPr>
          <w:rFonts w:ascii="Courier New" w:cs="Courier New" w:eastAsia="Courier New" w:hAnsi="Courier New"/>
          <w:sz w:val="16"/>
          <w:szCs w:val="16"/>
          <w:color w:val="auto"/>
        </w:rPr>
        <w:t>On October 25, 1989, Grace-Sierra granted Grace options to purchase 4,100,000 shares of authorized but unissued shares of Common Stock at a purchase price of $1.30 per share, exercisable for ten years commencing October 25, 1992. These options become immediately exercisable if there is an initial public offering of the Common Stock, or if either substantially all the assets or outstanding shares of Common Stock are sold or Grace-Sierra is merged with another corporation and is not the surviving company. Grace has not exercised its option to purchase these shares.</w:t>
      </w:r>
    </w:p>
    <w:p>
      <w:pPr>
        <w:spacing w:after="0" w:line="90" w:lineRule="exact"/>
        <w:rPr>
          <w:sz w:val="20"/>
          <w:szCs w:val="20"/>
          <w:color w:val="auto"/>
        </w:rPr>
      </w:pPr>
    </w:p>
    <w:p>
      <w:pPr>
        <w:ind w:right="3899"/>
        <w:spacing w:after="0" w:line="263" w:lineRule="auto"/>
        <w:rPr>
          <w:sz w:val="20"/>
          <w:szCs w:val="20"/>
          <w:color w:val="auto"/>
        </w:rPr>
      </w:pPr>
      <w:r>
        <w:rPr>
          <w:rFonts w:ascii="Courier New" w:cs="Courier New" w:eastAsia="Courier New" w:hAnsi="Courier New"/>
          <w:sz w:val="16"/>
          <w:szCs w:val="16"/>
          <w:color w:val="auto"/>
        </w:rPr>
        <w:t>On October 25, 1989, Merrill Lynch Interfunding, Inc. entered into an agreement with Grace-Sierra which provides that if and when it disposes of its 210,000 shares of Common Stock it would provide Grace-Sierra with the initial $3,000,000 of proceeds of such sale or sales.</w:t>
      </w:r>
    </w:p>
    <w:p>
      <w:pPr>
        <w:spacing w:after="0" w:line="80" w:lineRule="exact"/>
        <w:rPr>
          <w:sz w:val="20"/>
          <w:szCs w:val="20"/>
          <w:color w:val="auto"/>
        </w:rPr>
      </w:pPr>
    </w:p>
    <w:p>
      <w:pPr>
        <w:ind w:right="3999"/>
        <w:spacing w:after="0" w:line="290" w:lineRule="auto"/>
        <w:rPr>
          <w:sz w:val="20"/>
          <w:szCs w:val="20"/>
          <w:color w:val="auto"/>
        </w:rPr>
      </w:pPr>
      <w:r>
        <w:rPr>
          <w:rFonts w:ascii="Courier New" w:cs="Courier New" w:eastAsia="Courier New" w:hAnsi="Courier New"/>
          <w:sz w:val="14"/>
          <w:szCs w:val="14"/>
          <w:color w:val="auto"/>
        </w:rPr>
        <w:t>In 1984, Sierra sold its Milpitas, California facility to Yosemite. The gain recognized by Sierra on the sale of the facility amounted to $2,715,000 and is being recognized on a straight-line basis over ten years, the original lease term. As of December 16, 1993 and December 31, 1992, the unrealized portion of the gain amounted to $237,000 and $497,000, respectively. In 1988, Yosemite constructed a second facility which was also leased to Sierra. The amended lease agreement covering both facilities ("Facilities") expires in 1998 and provides for scheduled minimum rent increases.</w:t>
      </w:r>
    </w:p>
    <w:p>
      <w:pPr>
        <w:spacing w:after="0" w:line="64" w:lineRule="exact"/>
        <w:rPr>
          <w:sz w:val="20"/>
          <w:szCs w:val="20"/>
          <w:color w:val="auto"/>
        </w:rPr>
      </w:pPr>
    </w:p>
    <w:p>
      <w:pPr>
        <w:ind w:right="3899"/>
        <w:spacing w:after="0" w:line="281" w:lineRule="auto"/>
        <w:rPr>
          <w:sz w:val="20"/>
          <w:szCs w:val="20"/>
          <w:color w:val="auto"/>
        </w:rPr>
      </w:pPr>
      <w:r>
        <w:rPr>
          <w:rFonts w:ascii="Courier New" w:cs="Courier New" w:eastAsia="Courier New" w:hAnsi="Courier New"/>
          <w:sz w:val="14"/>
          <w:szCs w:val="14"/>
          <w:color w:val="auto"/>
        </w:rPr>
        <w:t>On October 25, 1989, Grace-Sierra and Yosemite amended the lease for the Facilities. This amendment provides Grace-Sierra an option to purchase the Facilities at the greater of the fair market value of the Facilities at the date the option is exercised or $6,350,000, as adjusted for inflation to the date the option is exercised. The option provides that in 1995 Yosemite would at its option either (1) sell to Grace-Sierra the 300,000 shares of Common Stock it owns for $780,000, (2) sell the Facilities to Grace-Sierra for $780,000 with Grace-Sierra assuming mortgage indebtedness on the Facilities up to $4,000,000, subject to adjustment or (3) grant to Grace-Sierra an option to purchase the Facilities in January 1997 for $780,000 with Grace-Sierra assuming mortgage indebtedness on the Facilities up to $4,000,000, subject to adjustment. This option terminates on the earlier of the date Grace-Sierra declines to exercise its right of first refusal to purchase the Facilities under the lease or July 31, 1997.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October 25, 1989, Grace-Sierra and Grace entered into six year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supply agreements, subject to renewal thereafter, under which</w:t>
      </w:r>
    </w:p>
    <w:p>
      <w:pPr>
        <w:spacing w:after="0" w:line="236" w:lineRule="auto"/>
        <w:rPr>
          <w:sz w:val="20"/>
          <w:szCs w:val="20"/>
          <w:color w:val="auto"/>
        </w:rPr>
      </w:pPr>
      <w:r>
        <w:rPr>
          <w:rFonts w:ascii="Courier New" w:cs="Courier New" w:eastAsia="Courier New" w:hAnsi="Courier New"/>
          <w:sz w:val="16"/>
          <w:szCs w:val="16"/>
          <w:color w:val="auto"/>
        </w:rPr>
        <w:t>Grace-Sierra is required to purchase from Grace, at prices</w:t>
      </w:r>
    </w:p>
    <w:p>
      <w:pPr>
        <w:spacing w:after="0" w:line="237" w:lineRule="auto"/>
        <w:rPr>
          <w:sz w:val="20"/>
          <w:szCs w:val="20"/>
          <w:color w:val="auto"/>
        </w:rPr>
      </w:pPr>
      <w:r>
        <w:rPr>
          <w:rFonts w:ascii="Courier New" w:cs="Courier New" w:eastAsia="Courier New" w:hAnsi="Courier New"/>
          <w:sz w:val="16"/>
          <w:szCs w:val="16"/>
          <w:color w:val="auto"/>
        </w:rPr>
        <w:t>determined by formulas, 90% of its requirements for vermiculite.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Grace shall also make available to Grace-Sierra certain quantities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soil mixes, vermiculite soil amendments and pesticide products at</w:t>
      </w:r>
    </w:p>
    <w:p>
      <w:pPr>
        <w:spacing w:after="0" w:line="1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6"/>
          <w:szCs w:val="16"/>
          <w:color w:val="auto"/>
        </w:rPr>
        <w:t>annually agreed-upon prices.</w:t>
      </w:r>
      <w:r>
        <w:rPr>
          <w:sz w:val="20"/>
          <w:szCs w:val="20"/>
          <w:color w:val="auto"/>
        </w:rPr>
        <w:tab/>
      </w:r>
      <w:r>
        <w:rPr>
          <w:rFonts w:ascii="Courier New" w:cs="Courier New" w:eastAsia="Courier New" w:hAnsi="Courier New"/>
          <w:sz w:val="14"/>
          <w:szCs w:val="14"/>
          <w:color w:val="auto"/>
        </w:rPr>
        <w:t>Such purchases totalled $ 3,511,000</w:t>
      </w:r>
    </w:p>
    <w:p>
      <w:pPr>
        <w:spacing w:after="0" w:line="236" w:lineRule="auto"/>
        <w:rPr>
          <w:sz w:val="20"/>
          <w:szCs w:val="20"/>
          <w:color w:val="auto"/>
        </w:rPr>
      </w:pPr>
      <w:r>
        <w:rPr>
          <w:rFonts w:ascii="Courier New" w:cs="Courier New" w:eastAsia="Courier New" w:hAnsi="Courier New"/>
          <w:sz w:val="16"/>
          <w:szCs w:val="16"/>
          <w:color w:val="auto"/>
        </w:rPr>
        <w:t>and $2,942,000 for the periods ended December 16, 1993 and</w:t>
      </w:r>
    </w:p>
    <w:p>
      <w:pPr>
        <w:spacing w:after="0"/>
        <w:tabs>
          <w:tab w:leader="none" w:pos="3140" w:val="left"/>
        </w:tabs>
        <w:rPr>
          <w:sz w:val="20"/>
          <w:szCs w:val="20"/>
          <w:color w:val="auto"/>
        </w:rPr>
      </w:pPr>
      <w:r>
        <w:rPr>
          <w:rFonts w:ascii="Courier New" w:cs="Courier New" w:eastAsia="Courier New" w:hAnsi="Courier New"/>
          <w:sz w:val="16"/>
          <w:szCs w:val="16"/>
          <w:color w:val="auto"/>
        </w:rPr>
        <w:t>December 31, 1992, respectively.</w:t>
      </w:r>
      <w:r>
        <w:rPr>
          <w:sz w:val="20"/>
          <w:szCs w:val="20"/>
          <w:color w:val="auto"/>
        </w:rPr>
        <w:tab/>
      </w:r>
      <w:r>
        <w:rPr>
          <w:rFonts w:ascii="Courier New" w:cs="Courier New" w:eastAsia="Courier New" w:hAnsi="Courier New"/>
          <w:sz w:val="14"/>
          <w:szCs w:val="14"/>
          <w:color w:val="auto"/>
        </w:rPr>
        <w:t>Grace-Sierra and Grace also</w:t>
      </w:r>
    </w:p>
    <w:p>
      <w:pPr>
        <w:spacing w:after="0" w:line="237" w:lineRule="auto"/>
        <w:rPr>
          <w:sz w:val="20"/>
          <w:szCs w:val="20"/>
          <w:color w:val="auto"/>
        </w:rPr>
      </w:pPr>
      <w:r>
        <w:rPr>
          <w:rFonts w:ascii="Courier New" w:cs="Courier New" w:eastAsia="Courier New" w:hAnsi="Courier New"/>
          <w:sz w:val="16"/>
          <w:szCs w:val="16"/>
          <w:color w:val="auto"/>
        </w:rPr>
        <w:t>entered into a services agreement under which Grace-Sierra may</w:t>
      </w:r>
    </w:p>
    <w:p>
      <w:pPr>
        <w:spacing w:after="0"/>
        <w:rPr>
          <w:sz w:val="20"/>
          <w:szCs w:val="20"/>
          <w:color w:val="auto"/>
        </w:rPr>
      </w:pPr>
      <w:r>
        <w:rPr>
          <w:rFonts w:ascii="Courier New" w:cs="Courier New" w:eastAsia="Courier New" w:hAnsi="Courier New"/>
          <w:sz w:val="14"/>
          <w:szCs w:val="14"/>
          <w:color w:val="auto"/>
        </w:rPr>
        <w:t>purchase certain administrative and technical support services from</w:t>
      </w:r>
    </w:p>
    <w:p>
      <w:pPr>
        <w:spacing w:after="0" w:line="1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Grace.</w:t>
      </w:r>
      <w:r>
        <w:rPr>
          <w:sz w:val="20"/>
          <w:szCs w:val="20"/>
          <w:color w:val="auto"/>
        </w:rPr>
        <w:tab/>
      </w:r>
      <w:r>
        <w:rPr>
          <w:rFonts w:ascii="Courier New" w:cs="Courier New" w:eastAsia="Courier New" w:hAnsi="Courier New"/>
          <w:sz w:val="14"/>
          <w:szCs w:val="14"/>
          <w:color w:val="auto"/>
        </w:rPr>
        <w:t>Charges for these services amounted to approximately</w:t>
      </w:r>
    </w:p>
    <w:p>
      <w:pPr>
        <w:spacing w:after="0"/>
        <w:rPr>
          <w:sz w:val="20"/>
          <w:szCs w:val="20"/>
          <w:color w:val="auto"/>
        </w:rPr>
      </w:pPr>
      <w:r>
        <w:rPr>
          <w:rFonts w:ascii="Courier New" w:cs="Courier New" w:eastAsia="Courier New" w:hAnsi="Courier New"/>
          <w:sz w:val="16"/>
          <w:szCs w:val="16"/>
          <w:color w:val="auto"/>
        </w:rPr>
        <w:t>$298,000 for the year ended December 31, 1992; there were no such</w:t>
      </w:r>
    </w:p>
    <w:p>
      <w:pPr>
        <w:spacing w:after="0" w:line="32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F-12</w:t>
      </w:r>
    </w:p>
    <w:p>
      <w:pPr>
        <w:spacing w:after="0" w:line="355" w:lineRule="exact"/>
        <w:rPr>
          <w:sz w:val="20"/>
          <w:szCs w:val="20"/>
          <w:color w:val="auto"/>
        </w:rPr>
      </w:pPr>
    </w:p>
    <w:p>
      <w:pPr>
        <w:ind w:right="4179"/>
        <w:spacing w:after="0" w:line="348" w:lineRule="auto"/>
        <w:rPr>
          <w:sz w:val="20"/>
          <w:szCs w:val="20"/>
          <w:color w:val="auto"/>
        </w:rPr>
      </w:pPr>
      <w:r>
        <w:rPr>
          <w:rFonts w:ascii="Courier New" w:cs="Courier New" w:eastAsia="Courier New" w:hAnsi="Courier New"/>
          <w:sz w:val="14"/>
          <w:szCs w:val="14"/>
          <w:color w:val="auto"/>
        </w:rPr>
        <w:t>charges for the period from January 1 to December 16, 1993. At December 16, 1993 and December 31, 1992, $741,000 and $451,000, respectively, was due to Grace, and is included in trade accounts</w:t>
      </w:r>
    </w:p>
    <w:p>
      <w:pPr>
        <w:sectPr>
          <w:pgSz w:w="11900" w:h="16925" w:orient="portrait"/>
          <w:cols w:equalWidth="0" w:num="1">
            <w:col w:w="10219"/>
          </w:cols>
          <w:pgMar w:left="240" w:top="111"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payable and accrued expenses on the accompanying balance sheets.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of Grace-Sierra products to Grace during the periods ended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1993 and December 31, 1992 were $279,000 and</w:t>
      </w:r>
    </w:p>
    <w:p>
      <w:pPr>
        <w:spacing w:after="0"/>
        <w:tabs>
          <w:tab w:leader="none" w:pos="2480" w:val="left"/>
        </w:tabs>
        <w:rPr>
          <w:sz w:val="20"/>
          <w:szCs w:val="20"/>
          <w:color w:val="auto"/>
        </w:rPr>
      </w:pPr>
      <w:r>
        <w:rPr>
          <w:rFonts w:ascii="Courier New" w:cs="Courier New" w:eastAsia="Courier New" w:hAnsi="Courier New"/>
          <w:sz w:val="16"/>
          <w:szCs w:val="16"/>
          <w:color w:val="auto"/>
        </w:rPr>
        <w:t>$1,130,000, respectively.</w:t>
      </w:r>
      <w:r>
        <w:rPr>
          <w:sz w:val="20"/>
          <w:szCs w:val="20"/>
          <w:color w:val="auto"/>
        </w:rPr>
        <w:tab/>
      </w:r>
      <w:r>
        <w:rPr>
          <w:rFonts w:ascii="Courier New" w:cs="Courier New" w:eastAsia="Courier New" w:hAnsi="Courier New"/>
          <w:sz w:val="14"/>
          <w:szCs w:val="14"/>
          <w:color w:val="auto"/>
        </w:rPr>
        <w:t>As of December 16, 1993 and December 31,</w:t>
      </w:r>
    </w:p>
    <w:p>
      <w:pPr>
        <w:spacing w:after="0" w:line="237" w:lineRule="auto"/>
        <w:rPr>
          <w:sz w:val="20"/>
          <w:szCs w:val="20"/>
          <w:color w:val="auto"/>
        </w:rPr>
      </w:pPr>
      <w:r>
        <w:rPr>
          <w:rFonts w:ascii="Courier New" w:cs="Courier New" w:eastAsia="Courier New" w:hAnsi="Courier New"/>
          <w:sz w:val="16"/>
          <w:szCs w:val="16"/>
          <w:color w:val="auto"/>
        </w:rPr>
        <w:t>1992, the related receivable balance from Grace was $74,000 and</w:t>
      </w:r>
    </w:p>
    <w:p>
      <w:pPr>
        <w:spacing w:after="0" w:line="237" w:lineRule="auto"/>
        <w:rPr>
          <w:sz w:val="20"/>
          <w:szCs w:val="20"/>
          <w:color w:val="auto"/>
        </w:rPr>
      </w:pPr>
      <w:r>
        <w:rPr>
          <w:rFonts w:ascii="Courier New" w:cs="Courier New" w:eastAsia="Courier New" w:hAnsi="Courier New"/>
          <w:sz w:val="16"/>
          <w:szCs w:val="16"/>
          <w:color w:val="auto"/>
        </w:rPr>
        <w:t>$129,000, respectively and is included in accounts receivable on the</w:t>
      </w:r>
    </w:p>
    <w:p>
      <w:pPr>
        <w:spacing w:after="0"/>
        <w:rPr>
          <w:sz w:val="20"/>
          <w:szCs w:val="20"/>
          <w:color w:val="auto"/>
        </w:rPr>
      </w:pPr>
      <w:r>
        <w:rPr>
          <w:rFonts w:ascii="Courier New" w:cs="Courier New" w:eastAsia="Courier New" w:hAnsi="Courier New"/>
          <w:sz w:val="16"/>
          <w:szCs w:val="16"/>
          <w:color w:val="auto"/>
        </w:rPr>
        <w:t>accompanying balance sheets.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MANDATORILY REDEEMABLE CUMULATIVE PREFERRED STOCK:</w:t>
      </w:r>
    </w:p>
    <w:p>
      <w:pPr>
        <w:spacing w:after="0" w:line="177" w:lineRule="exact"/>
        <w:rPr>
          <w:sz w:val="20"/>
          <w:szCs w:val="20"/>
          <w:color w:val="auto"/>
        </w:rPr>
      </w:pPr>
    </w:p>
    <w:p>
      <w:pPr>
        <w:ind w:right="3899"/>
        <w:spacing w:after="0" w:line="263" w:lineRule="auto"/>
        <w:rPr>
          <w:sz w:val="20"/>
          <w:szCs w:val="20"/>
          <w:color w:val="auto"/>
        </w:rPr>
      </w:pPr>
      <w:r>
        <w:rPr>
          <w:rFonts w:ascii="Courier New" w:cs="Courier New" w:eastAsia="Courier New" w:hAnsi="Courier New"/>
          <w:sz w:val="16"/>
          <w:szCs w:val="16"/>
          <w:color w:val="auto"/>
        </w:rPr>
        <w:t>Grace-Sierra has authorized 1,000,000 shares of Preferred Stock at $0.001 par value, of which 700,000 shares authorized are Redeemable Preferred Stock. Of the authorized Redeemable Preferred Stock, 635,011 shares are issued and outstanding at December 16, 1993, at a redemption value of $100 per share.</w:t>
      </w:r>
    </w:p>
    <w:p>
      <w:pPr>
        <w:spacing w:after="0" w:line="80" w:lineRule="exact"/>
        <w:rPr>
          <w:sz w:val="20"/>
          <w:szCs w:val="20"/>
          <w:color w:val="auto"/>
        </w:rPr>
      </w:pPr>
    </w:p>
    <w:p>
      <w:pPr>
        <w:ind w:right="3899"/>
        <w:spacing w:after="0" w:line="247" w:lineRule="auto"/>
        <w:rPr>
          <w:sz w:val="20"/>
          <w:szCs w:val="20"/>
          <w:color w:val="auto"/>
        </w:rPr>
      </w:pPr>
      <w:r>
        <w:rPr>
          <w:rFonts w:ascii="Courier New" w:cs="Courier New" w:eastAsia="Courier New" w:hAnsi="Courier New"/>
          <w:sz w:val="16"/>
          <w:szCs w:val="16"/>
          <w:color w:val="auto"/>
        </w:rPr>
        <w:t>Dividends on Redeemable Preferred Stock are cumulative and accrue at an annual rate of $12 per share and are payable when and as declared in equal semiannual payments on June 30 and December 31 in each year. For each dividend payment date prior to June 30, 1992, the dividend was paid by issuing additional shares of Redeemable Preferred Stock on the basis of one full share for each $100 of such dividend. 67,608 shares accrued as dividends for the year ended December 31, 1992. For each payment date after June 30, 1992 the dividend is to be paid in cash. At December 16, 1993, an amount of $7,620,000 has been recorded as payable to shareholders of Redeemable Preferred Stock.</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270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w w:val="96"/>
              </w:rPr>
              <w:t>Redeemable Preferred Stock</w:t>
            </w:r>
          </w:p>
        </w:tc>
        <w:tc>
          <w:tcPr>
            <w:tcW w:w="17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Preferred Stock</w:t>
            </w:r>
          </w:p>
        </w:tc>
      </w:tr>
      <w:tr>
        <w:trPr>
          <w:trHeight w:val="179"/>
        </w:trPr>
        <w:tc>
          <w:tcPr>
            <w:tcW w:w="3340" w:type="dxa"/>
            <w:vAlign w:val="bottom"/>
          </w:tcPr>
          <w:p>
            <w:pPr>
              <w:spacing w:after="0"/>
              <w:rPr>
                <w:sz w:val="15"/>
                <w:szCs w:val="15"/>
                <w:color w:val="auto"/>
              </w:rPr>
            </w:pP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Shares</w:t>
            </w:r>
          </w:p>
        </w:tc>
        <w:tc>
          <w:tcPr>
            <w:tcW w:w="48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Amount</w:t>
            </w:r>
          </w:p>
        </w:tc>
        <w:tc>
          <w:tcPr>
            <w:tcW w:w="17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5"/>
              </w:rPr>
              <w:t>Dividend Payable</w:t>
            </w:r>
          </w:p>
        </w:tc>
      </w:tr>
      <w:tr>
        <w:trPr>
          <w:trHeight w:val="261"/>
        </w:trPr>
        <w:tc>
          <w:tcPr>
            <w:tcW w:w="3340" w:type="dxa"/>
            <w:vAlign w:val="bottom"/>
          </w:tcPr>
          <w:p>
            <w:pPr>
              <w:spacing w:after="0"/>
              <w:rPr>
                <w:sz w:val="22"/>
                <w:szCs w:val="22"/>
                <w:color w:val="auto"/>
              </w:rPr>
            </w:pPr>
          </w:p>
        </w:tc>
        <w:tc>
          <w:tcPr>
            <w:tcW w:w="4460" w:type="dxa"/>
            <w:vAlign w:val="bottom"/>
            <w:gridSpan w:val="5"/>
          </w:tcPr>
          <w:p>
            <w:pPr>
              <w:jc w:val="right"/>
              <w:ind w:right="382"/>
              <w:spacing w:after="0"/>
              <w:rPr>
                <w:sz w:val="20"/>
                <w:szCs w:val="20"/>
                <w:color w:val="auto"/>
              </w:rPr>
            </w:pPr>
            <w:r>
              <w:rPr>
                <w:rFonts w:ascii="Courier New" w:cs="Courier New" w:eastAsia="Courier New" w:hAnsi="Courier New"/>
                <w:sz w:val="16"/>
                <w:szCs w:val="16"/>
                <w:color w:val="auto"/>
              </w:rPr>
              <w:t>(in thousands except share amounts)</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Balance at December 31, 1991</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599,067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59,907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276"/>
        </w:trPr>
        <w:tc>
          <w:tcPr>
            <w:tcW w:w="3340" w:type="dxa"/>
            <w:vAlign w:val="bottom"/>
          </w:tcPr>
          <w:p>
            <w:pPr>
              <w:spacing w:after="0"/>
              <w:rPr>
                <w:sz w:val="20"/>
                <w:szCs w:val="20"/>
                <w:color w:val="auto"/>
              </w:rPr>
            </w:pPr>
            <w:r>
              <w:rPr>
                <w:rFonts w:ascii="Courier New" w:cs="Courier New" w:eastAsia="Courier New" w:hAnsi="Courier New"/>
                <w:sz w:val="16"/>
                <w:szCs w:val="16"/>
                <w:color w:val="auto"/>
              </w:rPr>
              <w:t>Dividend of preferred stock</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35,944</w:t>
            </w:r>
          </w:p>
        </w:tc>
        <w:tc>
          <w:tcPr>
            <w:tcW w:w="480" w:type="dxa"/>
            <w:vAlign w:val="bottom"/>
          </w:tcPr>
          <w:p>
            <w:pPr>
              <w:spacing w:after="0"/>
              <w:rPr>
                <w:sz w:val="23"/>
                <w:szCs w:val="23"/>
                <w:color w:val="auto"/>
              </w:rPr>
            </w:pP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3,594</w:t>
            </w:r>
          </w:p>
        </w:tc>
        <w:tc>
          <w:tcPr>
            <w:tcW w:w="880" w:type="dxa"/>
            <w:vAlign w:val="bottom"/>
          </w:tcPr>
          <w:p>
            <w:pPr>
              <w:spacing w:after="0"/>
              <w:rPr>
                <w:sz w:val="23"/>
                <w:szCs w:val="23"/>
                <w:color w:val="auto"/>
              </w:rPr>
            </w:pP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261"/>
        </w:trPr>
        <w:tc>
          <w:tcPr>
            <w:tcW w:w="3340" w:type="dxa"/>
            <w:vAlign w:val="bottom"/>
          </w:tcPr>
          <w:p>
            <w:pPr>
              <w:spacing w:after="0"/>
              <w:rPr>
                <w:sz w:val="20"/>
                <w:szCs w:val="20"/>
                <w:color w:val="auto"/>
              </w:rPr>
            </w:pPr>
            <w:r>
              <w:rPr>
                <w:rFonts w:ascii="Courier New" w:cs="Courier New" w:eastAsia="Courier New" w:hAnsi="Courier New"/>
                <w:sz w:val="16"/>
                <w:szCs w:val="16"/>
                <w:color w:val="auto"/>
                <w:w w:val="96"/>
              </w:rPr>
              <w:t>Dividend declared on preferred stock</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2"/>
                <w:szCs w:val="22"/>
                <w:color w:val="auto"/>
              </w:rPr>
            </w:pP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22"/>
                <w:szCs w:val="22"/>
                <w:color w:val="auto"/>
              </w:rPr>
            </w:pP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3,810</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Balance at December 31, 1992</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635,011</w:t>
            </w:r>
          </w:p>
        </w:tc>
        <w:tc>
          <w:tcPr>
            <w:tcW w:w="480" w:type="dxa"/>
            <w:vAlign w:val="bottom"/>
          </w:tcPr>
          <w:p>
            <w:pPr>
              <w:spacing w:after="0"/>
              <w:rPr>
                <w:sz w:val="24"/>
                <w:szCs w:val="24"/>
                <w:color w:val="auto"/>
              </w:rPr>
            </w:pP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63,501</w:t>
            </w:r>
          </w:p>
        </w:tc>
        <w:tc>
          <w:tcPr>
            <w:tcW w:w="880" w:type="dxa"/>
            <w:vAlign w:val="bottom"/>
          </w:tcPr>
          <w:p>
            <w:pPr>
              <w:spacing w:after="0"/>
              <w:rPr>
                <w:sz w:val="24"/>
                <w:szCs w:val="24"/>
                <w:color w:val="auto"/>
              </w:rPr>
            </w:pP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3,810</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w w:val="96"/>
              </w:rPr>
              <w:t>Dividend declared on preferred stock</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24"/>
                <w:szCs w:val="24"/>
                <w:color w:val="auto"/>
              </w:rPr>
            </w:pP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3,810</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Balance at December 16, 1993</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635,011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63,501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7,620</w:t>
            </w:r>
          </w:p>
        </w:tc>
      </w:tr>
    </w:tbl>
    <w:p>
      <w:pPr>
        <w:spacing w:after="0" w:line="276" w:lineRule="exact"/>
        <w:rPr>
          <w:sz w:val="20"/>
          <w:szCs w:val="20"/>
          <w:color w:val="auto"/>
        </w:rPr>
      </w:pPr>
    </w:p>
    <w:p>
      <w:pPr>
        <w:ind w:right="3059"/>
        <w:spacing w:after="0" w:line="258" w:lineRule="auto"/>
        <w:rPr>
          <w:sz w:val="20"/>
          <w:szCs w:val="20"/>
          <w:color w:val="auto"/>
        </w:rPr>
      </w:pPr>
      <w:r>
        <w:rPr>
          <w:rFonts w:ascii="Courier New" w:cs="Courier New" w:eastAsia="Courier New" w:hAnsi="Courier New"/>
          <w:sz w:val="16"/>
          <w:szCs w:val="16"/>
          <w:color w:val="auto"/>
        </w:rPr>
        <w:t>Grace-Sierra is required to redeem all shares of Redeemable Preferred Stock outstanding on June 30, 2004 by paying in cash the $100 per share redemption value, plus an amount per share equal to all accrued but unpaid dividends thereon. Grace-Sierra, at its option, may redeem the Redeemable Preferred Stock at any time prior to June 30, 2004 at redemption value plus accrued and unpaid dividends.</w:t>
      </w:r>
    </w:p>
    <w:p>
      <w:pPr>
        <w:spacing w:after="0" w:line="83" w:lineRule="exact"/>
        <w:rPr>
          <w:sz w:val="20"/>
          <w:szCs w:val="20"/>
          <w:color w:val="auto"/>
        </w:rPr>
      </w:pPr>
    </w:p>
    <w:p>
      <w:pPr>
        <w:jc w:val="both"/>
        <w:ind w:right="3439"/>
        <w:spacing w:after="0" w:line="322" w:lineRule="auto"/>
        <w:rPr>
          <w:sz w:val="20"/>
          <w:szCs w:val="20"/>
          <w:color w:val="auto"/>
        </w:rPr>
      </w:pPr>
      <w:r>
        <w:rPr>
          <w:rFonts w:ascii="Courier New" w:cs="Courier New" w:eastAsia="Courier New" w:hAnsi="Courier New"/>
          <w:sz w:val="14"/>
          <w:szCs w:val="14"/>
          <w:color w:val="auto"/>
        </w:rPr>
        <w:t>Furthermore, Grace-Sierra cannot declare or pay dividends, or make other distributions, on any shares of Common Stock until all accrued and unpaid dividends of the Redeemable Preferred Stock have been paid in full. Upon liquidation, the holders of the Redeemable Preferred Stock shall be</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F-13</w:t>
      </w:r>
    </w:p>
    <w:p>
      <w:pPr>
        <w:spacing w:after="0" w:line="355" w:lineRule="exact"/>
        <w:rPr>
          <w:sz w:val="20"/>
          <w:szCs w:val="20"/>
          <w:color w:val="auto"/>
        </w:rPr>
      </w:pPr>
    </w:p>
    <w:p>
      <w:pPr>
        <w:ind w:right="3999"/>
        <w:spacing w:after="0" w:line="272" w:lineRule="auto"/>
        <w:rPr>
          <w:sz w:val="20"/>
          <w:szCs w:val="20"/>
          <w:color w:val="auto"/>
        </w:rPr>
      </w:pPr>
      <w:r>
        <w:rPr>
          <w:rFonts w:ascii="Courier New" w:cs="Courier New" w:eastAsia="Courier New" w:hAnsi="Courier New"/>
          <w:sz w:val="16"/>
          <w:szCs w:val="16"/>
          <w:color w:val="auto"/>
        </w:rPr>
        <w:t>entitled to receive an amount of $100 per share, plus an amount per share equal to all accrued but unpaid dividends. The remaining assets, if any, shall be distributed ratably among the holders of the Common Stock.</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INCOME TAXES:</w:t>
      </w:r>
    </w:p>
    <w:p>
      <w:pPr>
        <w:spacing w:after="0" w:line="177" w:lineRule="exact"/>
        <w:rPr>
          <w:sz w:val="20"/>
          <w:szCs w:val="20"/>
          <w:color w:val="auto"/>
        </w:rPr>
      </w:pPr>
    </w:p>
    <w:p>
      <w:pPr>
        <w:ind w:right="4739"/>
        <w:spacing w:after="0" w:line="342" w:lineRule="auto"/>
        <w:rPr>
          <w:sz w:val="20"/>
          <w:szCs w:val="20"/>
          <w:color w:val="auto"/>
        </w:rPr>
      </w:pPr>
      <w:r>
        <w:rPr>
          <w:rFonts w:ascii="Courier New" w:cs="Courier New" w:eastAsia="Courier New" w:hAnsi="Courier New"/>
          <w:sz w:val="16"/>
          <w:szCs w:val="16"/>
          <w:color w:val="auto"/>
        </w:rPr>
        <w:t>Income (loss) before income taxes consists of the following components: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1993</w:t>
            </w:r>
          </w:p>
        </w:tc>
        <w:tc>
          <w:tcPr>
            <w:tcW w:w="60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1992</w:t>
            </w:r>
          </w:p>
        </w:tc>
      </w:tr>
      <w:tr>
        <w:trPr>
          <w:trHeight w:val="261"/>
        </w:trPr>
        <w:tc>
          <w:tcPr>
            <w:tcW w:w="32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660" w:type="dxa"/>
            <w:vAlign w:val="bottom"/>
          </w:tcPr>
          <w:p>
            <w:pPr>
              <w:spacing w:after="0"/>
              <w:rPr>
                <w:sz w:val="22"/>
                <w:szCs w:val="22"/>
                <w:color w:val="auto"/>
              </w:rPr>
            </w:pPr>
          </w:p>
        </w:tc>
      </w:tr>
      <w:tr>
        <w:trPr>
          <w:trHeight w:val="276"/>
        </w:trPr>
        <w:tc>
          <w:tcPr>
            <w:tcW w:w="3260" w:type="dxa"/>
            <w:vAlign w:val="bottom"/>
          </w:tcPr>
          <w:p>
            <w:pPr>
              <w:spacing w:after="0"/>
              <w:rPr>
                <w:sz w:val="20"/>
                <w:szCs w:val="20"/>
                <w:color w:val="auto"/>
              </w:rPr>
            </w:pPr>
            <w:r>
              <w:rPr>
                <w:rFonts w:ascii="Courier New" w:cs="Courier New" w:eastAsia="Courier New" w:hAnsi="Courier New"/>
                <w:sz w:val="16"/>
                <w:szCs w:val="16"/>
                <w:color w:val="auto"/>
              </w:rPr>
              <w:t>U. S. Operations</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(3,071)</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(3,294)</w:t>
            </w:r>
          </w:p>
        </w:tc>
      </w:tr>
      <w:tr>
        <w:trPr>
          <w:trHeight w:val="261"/>
        </w:trPr>
        <w:tc>
          <w:tcPr>
            <w:tcW w:w="326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190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4,936</w:t>
            </w:r>
          </w:p>
        </w:tc>
        <w:tc>
          <w:tcPr>
            <w:tcW w:w="600" w:type="dxa"/>
            <w:vAlign w:val="bottom"/>
          </w:tcPr>
          <w:p>
            <w:pPr>
              <w:spacing w:after="0"/>
              <w:rPr>
                <w:sz w:val="22"/>
                <w:szCs w:val="22"/>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5,161</w:t>
            </w:r>
          </w:p>
        </w:tc>
      </w:tr>
      <w:tr>
        <w:trPr>
          <w:trHeight w:val="358"/>
        </w:trPr>
        <w:tc>
          <w:tcPr>
            <w:tcW w:w="3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1,865</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1,867</w:t>
            </w:r>
          </w:p>
        </w:tc>
      </w:tr>
    </w:tbl>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provision for income taxes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1993</w:t>
            </w:r>
          </w:p>
        </w:tc>
        <w:tc>
          <w:tcPr>
            <w:tcW w:w="660" w:type="dxa"/>
            <w:vAlign w:val="bottom"/>
          </w:tcPr>
          <w:p>
            <w:pPr>
              <w:spacing w:after="0"/>
              <w:rPr>
                <w:sz w:val="15"/>
                <w:szCs w:val="15"/>
                <w:color w:val="auto"/>
              </w:rPr>
            </w:pP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1992</w:t>
            </w:r>
          </w:p>
        </w:tc>
        <w:tc>
          <w:tcPr>
            <w:tcW w:w="0" w:type="dxa"/>
            <w:vAlign w:val="bottom"/>
          </w:tcPr>
          <w:p>
            <w:pPr>
              <w:spacing w:after="0"/>
              <w:rPr>
                <w:sz w:val="1"/>
                <w:szCs w:val="1"/>
                <w:color w:val="auto"/>
              </w:rPr>
            </w:pPr>
          </w:p>
        </w:tc>
      </w:tr>
      <w:tr>
        <w:trPr>
          <w:trHeight w:val="261"/>
        </w:trPr>
        <w:tc>
          <w:tcPr>
            <w:tcW w:w="33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Courier New" w:cs="Courier New" w:eastAsia="Courier New" w:hAnsi="Courier New"/>
                <w:sz w:val="16"/>
                <w:szCs w:val="16"/>
                <w:color w:val="auto"/>
              </w:rPr>
              <w:t>Currently Payable:</w:t>
            </w:r>
          </w:p>
        </w:tc>
        <w:tc>
          <w:tcPr>
            <w:tcW w:w="18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Federal</w:t>
            </w:r>
          </w:p>
        </w:tc>
        <w:tc>
          <w:tcPr>
            <w:tcW w:w="18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Foreign</w:t>
            </w:r>
          </w:p>
        </w:tc>
        <w:tc>
          <w:tcPr>
            <w:tcW w:w="1860" w:type="dxa"/>
            <w:vAlign w:val="bottom"/>
          </w:tcPr>
          <w:p>
            <w:pPr>
              <w:spacing w:after="0"/>
              <w:rPr>
                <w:sz w:val="22"/>
                <w:szCs w:val="22"/>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2,047</w:t>
            </w:r>
          </w:p>
        </w:tc>
        <w:tc>
          <w:tcPr>
            <w:tcW w:w="6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34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28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2,047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2,001</w:t>
            </w:r>
          </w:p>
        </w:tc>
      </w:tr>
    </w:tbl>
    <w:p>
      <w:pPr>
        <w:spacing w:after="0" w:line="97" w:lineRule="exact"/>
        <w:rPr>
          <w:sz w:val="20"/>
          <w:szCs w:val="20"/>
          <w:color w:val="auto"/>
        </w:rPr>
      </w:pPr>
    </w:p>
    <w:p>
      <w:pPr>
        <w:ind w:right="3899"/>
        <w:spacing w:after="0" w:line="251" w:lineRule="auto"/>
        <w:rPr>
          <w:sz w:val="20"/>
          <w:szCs w:val="20"/>
          <w:color w:val="auto"/>
        </w:rPr>
      </w:pPr>
      <w:r>
        <w:rPr>
          <w:rFonts w:ascii="Courier New" w:cs="Courier New" w:eastAsia="Courier New" w:hAnsi="Courier New"/>
          <w:sz w:val="16"/>
          <w:szCs w:val="16"/>
          <w:color w:val="auto"/>
        </w:rPr>
        <w:t>Deferred income taxes for fiscal 1993 reflect the impact of "temporary differences" between the amounts of assets and liabilities for financial reporting purposes and such amounts as determined by tax regulations. These temporary differences are determined in accordance with SFAS No. 109 and are more inclusive in nature than "timing differences" as determined under previously applicable accounting principles. No deferred taxes were recognized in 1993 and 1992.</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components of deferred tax assets and liabilities at</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1993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vMerge w:val="restart"/>
          </w:tcPr>
          <w:p>
            <w:pPr>
              <w:jc w:val="right"/>
              <w:ind w:right="1462"/>
              <w:spacing w:after="0"/>
              <w:rPr>
                <w:sz w:val="20"/>
                <w:szCs w:val="20"/>
                <w:color w:val="auto"/>
              </w:rPr>
            </w:pPr>
            <w:r>
              <w:rPr>
                <w:rFonts w:ascii="Courier New" w:cs="Courier New" w:eastAsia="Courier New" w:hAnsi="Courier New"/>
                <w:sz w:val="16"/>
                <w:szCs w:val="16"/>
                <w:color w:val="auto"/>
              </w:rPr>
              <w:t>496</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18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Inventories</w:t>
            </w:r>
          </w:p>
        </w:tc>
        <w:tc>
          <w:tcPr>
            <w:tcW w:w="180" w:type="dxa"/>
            <w:vAlign w:val="bottom"/>
          </w:tcPr>
          <w:p>
            <w:pPr>
              <w:spacing w:after="0"/>
              <w:rPr>
                <w:sz w:val="15"/>
                <w:szCs w:val="15"/>
                <w:color w:val="auto"/>
              </w:rPr>
            </w:pPr>
          </w:p>
        </w:tc>
        <w:tc>
          <w:tcPr>
            <w:tcW w:w="2100" w:type="dxa"/>
            <w:vAlign w:val="bottom"/>
          </w:tcPr>
          <w:p>
            <w:pPr>
              <w:jc w:val="right"/>
              <w:ind w:right="1462"/>
              <w:spacing w:after="0" w:line="179" w:lineRule="exact"/>
              <w:rPr>
                <w:sz w:val="20"/>
                <w:szCs w:val="20"/>
                <w:color w:val="auto"/>
              </w:rPr>
            </w:pPr>
            <w:r>
              <w:rPr>
                <w:rFonts w:ascii="Courier New" w:cs="Courier New" w:eastAsia="Courier New" w:hAnsi="Courier New"/>
                <w:sz w:val="16"/>
                <w:szCs w:val="16"/>
                <w:color w:val="auto"/>
              </w:rPr>
              <w:t>742</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expenses</w:t>
            </w:r>
          </w:p>
        </w:tc>
        <w:tc>
          <w:tcPr>
            <w:tcW w:w="180" w:type="dxa"/>
            <w:vAlign w:val="bottom"/>
          </w:tcPr>
          <w:p>
            <w:pPr>
              <w:spacing w:after="0"/>
              <w:rPr>
                <w:sz w:val="15"/>
                <w:szCs w:val="15"/>
                <w:color w:val="auto"/>
              </w:rPr>
            </w:pPr>
          </w:p>
        </w:tc>
        <w:tc>
          <w:tcPr>
            <w:tcW w:w="2100" w:type="dxa"/>
            <w:vAlign w:val="bottom"/>
          </w:tcPr>
          <w:p>
            <w:pPr>
              <w:jc w:val="right"/>
              <w:ind w:right="1462"/>
              <w:spacing w:after="0" w:line="179" w:lineRule="exact"/>
              <w:rPr>
                <w:sz w:val="20"/>
                <w:szCs w:val="20"/>
                <w:color w:val="auto"/>
              </w:rPr>
            </w:pPr>
            <w:r>
              <w:rPr>
                <w:rFonts w:ascii="Courier New" w:cs="Courier New" w:eastAsia="Courier New" w:hAnsi="Courier New"/>
                <w:sz w:val="16"/>
                <w:szCs w:val="16"/>
                <w:color w:val="auto"/>
              </w:rPr>
              <w:t>814</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operating loss carryforward</w:t>
            </w:r>
          </w:p>
        </w:tc>
        <w:tc>
          <w:tcPr>
            <w:tcW w:w="180" w:type="dxa"/>
            <w:vAlign w:val="bottom"/>
          </w:tcPr>
          <w:p>
            <w:pPr>
              <w:spacing w:after="0"/>
              <w:rPr>
                <w:sz w:val="15"/>
                <w:szCs w:val="15"/>
                <w:color w:val="auto"/>
              </w:rPr>
            </w:pPr>
          </w:p>
        </w:tc>
        <w:tc>
          <w:tcPr>
            <w:tcW w:w="2100" w:type="dxa"/>
            <w:vAlign w:val="bottom"/>
          </w:tcPr>
          <w:p>
            <w:pPr>
              <w:jc w:val="right"/>
              <w:ind w:right="1462"/>
              <w:spacing w:after="0" w:line="179" w:lineRule="exact"/>
              <w:rPr>
                <w:sz w:val="20"/>
                <w:szCs w:val="20"/>
                <w:color w:val="auto"/>
              </w:rPr>
            </w:pPr>
            <w:r>
              <w:rPr>
                <w:rFonts w:ascii="Courier New" w:cs="Courier New" w:eastAsia="Courier New" w:hAnsi="Courier New"/>
                <w:sz w:val="16"/>
                <w:szCs w:val="16"/>
                <w:color w:val="auto"/>
              </w:rPr>
              <w:t>3,863</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Foreign tax credit carryforward</w:t>
            </w:r>
          </w:p>
        </w:tc>
        <w:tc>
          <w:tcPr>
            <w:tcW w:w="180" w:type="dxa"/>
            <w:vAlign w:val="bottom"/>
          </w:tcPr>
          <w:p>
            <w:pPr>
              <w:spacing w:after="0"/>
              <w:rPr>
                <w:sz w:val="22"/>
                <w:szCs w:val="22"/>
                <w:color w:val="auto"/>
              </w:rPr>
            </w:pPr>
          </w:p>
        </w:tc>
        <w:tc>
          <w:tcPr>
            <w:tcW w:w="2100" w:type="dxa"/>
            <w:vAlign w:val="bottom"/>
          </w:tcPr>
          <w:p>
            <w:pPr>
              <w:jc w:val="right"/>
              <w:ind w:right="1462"/>
              <w:spacing w:after="0"/>
              <w:rPr>
                <w:sz w:val="20"/>
                <w:szCs w:val="20"/>
                <w:color w:val="auto"/>
              </w:rPr>
            </w:pPr>
            <w:r>
              <w:rPr>
                <w:rFonts w:ascii="Courier New" w:cs="Courier New" w:eastAsia="Courier New" w:hAnsi="Courier New"/>
                <w:sz w:val="16"/>
                <w:szCs w:val="16"/>
                <w:color w:val="auto"/>
              </w:rPr>
              <w:t>717</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280" w:type="dxa"/>
            <w:vAlign w:val="bottom"/>
          </w:tcPr>
          <w:p>
            <w:pPr>
              <w:ind w:left="360"/>
              <w:spacing w:after="0"/>
              <w:rPr>
                <w:sz w:val="20"/>
                <w:szCs w:val="20"/>
                <w:color w:val="auto"/>
              </w:rPr>
            </w:pPr>
            <w:r>
              <w:rPr>
                <w:rFonts w:ascii="Courier New" w:cs="Courier New" w:eastAsia="Courier New" w:hAnsi="Courier New"/>
                <w:sz w:val="16"/>
                <w:szCs w:val="16"/>
                <w:color w:val="auto"/>
              </w:rPr>
              <w:t>Gross asset</w:t>
            </w:r>
          </w:p>
        </w:tc>
        <w:tc>
          <w:tcPr>
            <w:tcW w:w="180" w:type="dxa"/>
            <w:vAlign w:val="bottom"/>
          </w:tcPr>
          <w:p>
            <w:pPr>
              <w:spacing w:after="0"/>
              <w:rPr>
                <w:sz w:val="24"/>
                <w:szCs w:val="24"/>
                <w:color w:val="auto"/>
              </w:rPr>
            </w:pPr>
          </w:p>
        </w:tc>
        <w:tc>
          <w:tcPr>
            <w:tcW w:w="2100" w:type="dxa"/>
            <w:vAlign w:val="bottom"/>
          </w:tcPr>
          <w:p>
            <w:pPr>
              <w:jc w:val="right"/>
              <w:ind w:right="1462"/>
              <w:spacing w:after="0"/>
              <w:rPr>
                <w:sz w:val="20"/>
                <w:szCs w:val="20"/>
                <w:color w:val="auto"/>
              </w:rPr>
            </w:pPr>
            <w:r>
              <w:rPr>
                <w:rFonts w:ascii="Courier New" w:cs="Courier New" w:eastAsia="Courier New" w:hAnsi="Courier New"/>
                <w:sz w:val="16"/>
                <w:szCs w:val="16"/>
                <w:color w:val="auto"/>
              </w:rPr>
              <w:t>6,632</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280" w:type="dxa"/>
            <w:vAlign w:val="bottom"/>
          </w:tcPr>
          <w:p>
            <w:pPr>
              <w:spacing w:after="0"/>
              <w:rPr>
                <w:sz w:val="20"/>
                <w:szCs w:val="20"/>
                <w:color w:val="auto"/>
              </w:rPr>
            </w:pPr>
            <w:r>
              <w:rPr>
                <w:rFonts w:ascii="Courier New" w:cs="Courier New" w:eastAsia="Courier New" w:hAnsi="Courier New"/>
                <w:sz w:val="16"/>
                <w:szCs w:val="16"/>
                <w:color w:val="auto"/>
              </w:rPr>
              <w:t>Liability:</w:t>
            </w:r>
          </w:p>
        </w:tc>
        <w:tc>
          <w:tcPr>
            <w:tcW w:w="180" w:type="dxa"/>
            <w:vAlign w:val="bottom"/>
          </w:tcPr>
          <w:p>
            <w:pPr>
              <w:spacing w:after="0"/>
              <w:rPr>
                <w:sz w:val="23"/>
                <w:szCs w:val="23"/>
                <w:color w:val="auto"/>
              </w:rPr>
            </w:pPr>
          </w:p>
        </w:tc>
        <w:tc>
          <w:tcPr>
            <w:tcW w:w="2100" w:type="dxa"/>
            <w:vAlign w:val="bottom"/>
            <w:vMerge w:val="restart"/>
          </w:tcPr>
          <w:p>
            <w:pPr>
              <w:jc w:val="right"/>
              <w:ind w:right="1462"/>
              <w:spacing w:after="0"/>
              <w:rPr>
                <w:sz w:val="20"/>
                <w:szCs w:val="20"/>
                <w:color w:val="auto"/>
              </w:rPr>
            </w:pPr>
            <w:r>
              <w:rPr>
                <w:rFonts w:ascii="Courier New" w:cs="Courier New" w:eastAsia="Courier New" w:hAnsi="Courier New"/>
                <w:sz w:val="16"/>
                <w:szCs w:val="16"/>
                <w:color w:val="auto"/>
              </w:rPr>
              <w:t>2,304</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Property, plant and equipment</w:t>
            </w:r>
          </w:p>
        </w:tc>
        <w:tc>
          <w:tcPr>
            <w:tcW w:w="180" w:type="dxa"/>
            <w:vAlign w:val="bottom"/>
          </w:tcPr>
          <w:p>
            <w:pPr>
              <w:spacing w:after="0"/>
              <w:rPr>
                <w:sz w:val="22"/>
                <w:szCs w:val="22"/>
                <w:color w:val="auto"/>
              </w:rPr>
            </w:pPr>
          </w:p>
        </w:tc>
        <w:tc>
          <w:tcPr>
            <w:tcW w:w="21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280" w:type="dxa"/>
            <w:vAlign w:val="bottom"/>
          </w:tcPr>
          <w:p>
            <w:pPr>
              <w:ind w:left="360"/>
              <w:spacing w:after="0"/>
              <w:rPr>
                <w:sz w:val="20"/>
                <w:szCs w:val="20"/>
                <w:color w:val="auto"/>
              </w:rPr>
            </w:pPr>
            <w:r>
              <w:rPr>
                <w:rFonts w:ascii="Courier New" w:cs="Courier New" w:eastAsia="Courier New" w:hAnsi="Courier New"/>
                <w:sz w:val="16"/>
                <w:szCs w:val="16"/>
                <w:color w:val="auto"/>
              </w:rPr>
              <w:t>Gross liability</w:t>
            </w:r>
          </w:p>
        </w:tc>
        <w:tc>
          <w:tcPr>
            <w:tcW w:w="180" w:type="dxa"/>
            <w:vAlign w:val="bottom"/>
          </w:tcPr>
          <w:p>
            <w:pPr>
              <w:spacing w:after="0"/>
              <w:rPr>
                <w:sz w:val="24"/>
                <w:szCs w:val="24"/>
                <w:color w:val="auto"/>
              </w:rPr>
            </w:pPr>
          </w:p>
        </w:tc>
        <w:tc>
          <w:tcPr>
            <w:tcW w:w="2100" w:type="dxa"/>
            <w:vAlign w:val="bottom"/>
          </w:tcPr>
          <w:p>
            <w:pPr>
              <w:jc w:val="right"/>
              <w:ind w:right="1462"/>
              <w:spacing w:after="0"/>
              <w:rPr>
                <w:sz w:val="20"/>
                <w:szCs w:val="20"/>
                <w:color w:val="auto"/>
              </w:rPr>
            </w:pPr>
            <w:r>
              <w:rPr>
                <w:rFonts w:ascii="Courier New" w:cs="Courier New" w:eastAsia="Courier New" w:hAnsi="Courier New"/>
                <w:sz w:val="16"/>
                <w:szCs w:val="16"/>
                <w:color w:val="auto"/>
              </w:rPr>
              <w:t>2,304</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280" w:type="dxa"/>
            <w:vAlign w:val="bottom"/>
          </w:tcPr>
          <w:p>
            <w:pPr>
              <w:spacing w:after="0"/>
              <w:rPr>
                <w:sz w:val="20"/>
                <w:szCs w:val="20"/>
                <w:color w:val="auto"/>
              </w:rPr>
            </w:pPr>
            <w:r>
              <w:rPr>
                <w:rFonts w:ascii="Courier New" w:cs="Courier New" w:eastAsia="Courier New" w:hAnsi="Courier New"/>
                <w:sz w:val="16"/>
                <w:szCs w:val="16"/>
                <w:color w:val="auto"/>
              </w:rPr>
              <w:t>Net asset</w:t>
            </w:r>
          </w:p>
        </w:tc>
        <w:tc>
          <w:tcPr>
            <w:tcW w:w="180" w:type="dxa"/>
            <w:vAlign w:val="bottom"/>
          </w:tcPr>
          <w:p>
            <w:pPr>
              <w:spacing w:after="0"/>
              <w:rPr>
                <w:sz w:val="23"/>
                <w:szCs w:val="23"/>
                <w:color w:val="auto"/>
              </w:rPr>
            </w:pPr>
          </w:p>
        </w:tc>
        <w:tc>
          <w:tcPr>
            <w:tcW w:w="2100" w:type="dxa"/>
            <w:vAlign w:val="bottom"/>
          </w:tcPr>
          <w:p>
            <w:pPr>
              <w:jc w:val="right"/>
              <w:ind w:right="1462"/>
              <w:spacing w:after="0"/>
              <w:rPr>
                <w:sz w:val="20"/>
                <w:szCs w:val="20"/>
                <w:color w:val="auto"/>
              </w:rPr>
            </w:pPr>
            <w:r>
              <w:rPr>
                <w:rFonts w:ascii="Courier New" w:cs="Courier New" w:eastAsia="Courier New" w:hAnsi="Courier New"/>
                <w:sz w:val="16"/>
                <w:szCs w:val="16"/>
                <w:color w:val="auto"/>
              </w:rPr>
              <w:t>4,328</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280" w:type="dxa"/>
            <w:vAlign w:val="bottom"/>
          </w:tcPr>
          <w:p>
            <w:pPr>
              <w:spacing w:after="0"/>
              <w:rPr>
                <w:sz w:val="20"/>
                <w:szCs w:val="20"/>
                <w:color w:val="auto"/>
              </w:rPr>
            </w:pPr>
            <w:r>
              <w:rPr>
                <w:rFonts w:ascii="Courier New" w:cs="Courier New" w:eastAsia="Courier New" w:hAnsi="Courier New"/>
                <w:sz w:val="16"/>
                <w:szCs w:val="16"/>
                <w:color w:val="auto"/>
              </w:rPr>
              <w:t>Less valuation allowance</w:t>
            </w:r>
          </w:p>
        </w:tc>
        <w:tc>
          <w:tcPr>
            <w:tcW w:w="180" w:type="dxa"/>
            <w:vAlign w:val="bottom"/>
          </w:tcPr>
          <w:p>
            <w:pPr>
              <w:spacing w:after="0"/>
              <w:rPr>
                <w:sz w:val="22"/>
                <w:szCs w:val="22"/>
                <w:color w:val="auto"/>
              </w:rPr>
            </w:pPr>
          </w:p>
        </w:tc>
        <w:tc>
          <w:tcPr>
            <w:tcW w:w="2100" w:type="dxa"/>
            <w:vAlign w:val="bottom"/>
          </w:tcPr>
          <w:p>
            <w:pPr>
              <w:jc w:val="right"/>
              <w:ind w:right="1362"/>
              <w:spacing w:after="0"/>
              <w:rPr>
                <w:sz w:val="20"/>
                <w:szCs w:val="20"/>
                <w:color w:val="auto"/>
              </w:rPr>
            </w:pPr>
            <w:r>
              <w:rPr>
                <w:rFonts w:ascii="Courier New" w:cs="Courier New" w:eastAsia="Courier New" w:hAnsi="Courier New"/>
                <w:sz w:val="16"/>
                <w:szCs w:val="16"/>
                <w:color w:val="auto"/>
                <w:w w:val="95"/>
              </w:rPr>
              <w:t>(4,328)</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ind w:right="1462"/>
              <w:spacing w:after="0"/>
              <w:rPr>
                <w:sz w:val="20"/>
                <w:szCs w:val="20"/>
                <w:color w:val="auto"/>
              </w:rPr>
            </w:pPr>
            <w:r>
              <w:rPr>
                <w:rFonts w:ascii="Courier New" w:cs="Courier New" w:eastAsia="Courier New" w:hAnsi="Courier New"/>
                <w:sz w:val="16"/>
                <w:szCs w:val="16"/>
                <w:color w:val="auto"/>
              </w:rPr>
              <w:t>-0-</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80" w:type="dxa"/>
            <w:vAlign w:val="bottom"/>
          </w:tcPr>
          <w:p>
            <w:pPr>
              <w:ind w:left="3060"/>
              <w:spacing w:after="0"/>
              <w:rPr>
                <w:sz w:val="20"/>
                <w:szCs w:val="20"/>
                <w:color w:val="auto"/>
              </w:rPr>
            </w:pPr>
            <w:r>
              <w:rPr>
                <w:rFonts w:ascii="Courier New" w:cs="Courier New" w:eastAsia="Courier New" w:hAnsi="Courier New"/>
                <w:sz w:val="16"/>
                <w:szCs w:val="16"/>
                <w:color w:val="auto"/>
              </w:rPr>
              <w:t>F-14</w:t>
            </w: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6560" w:type="dxa"/>
            <w:vAlign w:val="bottom"/>
            <w:gridSpan w:val="3"/>
          </w:tcPr>
          <w:p>
            <w:pPr>
              <w:spacing w:after="0"/>
              <w:rPr>
                <w:sz w:val="20"/>
                <w:szCs w:val="20"/>
                <w:color w:val="auto"/>
              </w:rPr>
            </w:pPr>
            <w:r>
              <w:rPr>
                <w:rFonts w:ascii="Courier New" w:cs="Courier New" w:eastAsia="Courier New" w:hAnsi="Courier New"/>
                <w:sz w:val="16"/>
                <w:szCs w:val="16"/>
                <w:color w:val="auto"/>
              </w:rPr>
              <w:t>Upon adoption of SFAS 109, the Company recorded a net deferred tax</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5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asset of $4,500,000, offset by a valuation allowance of $4,500,000</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5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due to the uncertainty that the asset will be realized.  During</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5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1993, the net deferred tax asset and the corresponding valuation</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280" w:type="dxa"/>
            <w:vAlign w:val="bottom"/>
          </w:tcPr>
          <w:p>
            <w:pPr>
              <w:spacing w:after="0"/>
              <w:rPr>
                <w:sz w:val="20"/>
                <w:szCs w:val="20"/>
                <w:color w:val="auto"/>
              </w:rPr>
            </w:pPr>
            <w:r>
              <w:rPr>
                <w:rFonts w:ascii="Courier New" w:cs="Courier New" w:eastAsia="Courier New" w:hAnsi="Courier New"/>
                <w:sz w:val="16"/>
                <w:szCs w:val="16"/>
                <w:color w:val="auto"/>
              </w:rPr>
              <w:t>allowance were increased by $1,408,000.</w:t>
            </w:r>
          </w:p>
        </w:tc>
        <w:tc>
          <w:tcPr>
            <w:tcW w:w="1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60" w:type="dxa"/>
            <w:vAlign w:val="bottom"/>
            <w:gridSpan w:val="3"/>
          </w:tcPr>
          <w:p>
            <w:pPr>
              <w:spacing w:after="0"/>
              <w:rPr>
                <w:sz w:val="20"/>
                <w:szCs w:val="20"/>
                <w:color w:val="auto"/>
              </w:rPr>
            </w:pPr>
            <w:r>
              <w:rPr>
                <w:rFonts w:ascii="Courier New" w:cs="Courier New" w:eastAsia="Courier New" w:hAnsi="Courier New"/>
                <w:sz w:val="16"/>
                <w:szCs w:val="16"/>
                <w:color w:val="auto"/>
              </w:rPr>
              <w:t>The differences between income tax at the federal statutory rate and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65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the effective rate provided in the financial statements are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280" w:type="dxa"/>
            <w:vAlign w:val="bottom"/>
          </w:tcPr>
          <w:p>
            <w:pPr>
              <w:spacing w:after="0"/>
              <w:rPr>
                <w:sz w:val="20"/>
                <w:szCs w:val="20"/>
                <w:color w:val="auto"/>
              </w:rPr>
            </w:pPr>
            <w:r>
              <w:rPr>
                <w:rFonts w:ascii="Courier New" w:cs="Courier New" w:eastAsia="Courier New" w:hAnsi="Courier New"/>
                <w:sz w:val="16"/>
                <w:szCs w:val="16"/>
                <w:color w:val="auto"/>
              </w:rPr>
              <w:t>summarized as follows:</w:t>
            </w:r>
          </w:p>
        </w:tc>
        <w:tc>
          <w:tcPr>
            <w:tcW w:w="1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1993</w:t>
            </w:r>
          </w:p>
        </w:tc>
        <w:tc>
          <w:tcPr>
            <w:tcW w:w="320" w:type="dxa"/>
            <w:vAlign w:val="bottom"/>
          </w:tcPr>
          <w:p>
            <w:pPr>
              <w:spacing w:after="0"/>
              <w:rPr>
                <w:sz w:val="24"/>
                <w:szCs w:val="24"/>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1992</w:t>
            </w:r>
          </w:p>
        </w:tc>
        <w:tc>
          <w:tcPr>
            <w:tcW w:w="0" w:type="dxa"/>
            <w:vAlign w:val="bottom"/>
          </w:tcPr>
          <w:p>
            <w:pPr>
              <w:spacing w:after="0"/>
              <w:rPr>
                <w:sz w:val="1"/>
                <w:szCs w:val="1"/>
                <w:color w:val="auto"/>
              </w:rPr>
            </w:pPr>
          </w:p>
        </w:tc>
      </w:tr>
      <w:tr>
        <w:trPr>
          <w:trHeight w:val="261"/>
        </w:trPr>
        <w:tc>
          <w:tcPr>
            <w:tcW w:w="4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8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76"/>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Income tax at federal statutory rate</w:t>
            </w:r>
          </w:p>
        </w:tc>
        <w:tc>
          <w:tcPr>
            <w:tcW w:w="180" w:type="dxa"/>
            <w:vAlign w:val="bottom"/>
          </w:tcPr>
          <w:p>
            <w:pPr>
              <w:spacing w:after="0"/>
              <w:rPr>
                <w:sz w:val="23"/>
                <w:szCs w:val="23"/>
                <w:color w:val="auto"/>
              </w:rPr>
            </w:pPr>
          </w:p>
        </w:tc>
        <w:tc>
          <w:tcPr>
            <w:tcW w:w="21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   634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635</w:t>
            </w:r>
          </w:p>
        </w:tc>
        <w:tc>
          <w:tcPr>
            <w:tcW w:w="0" w:type="dxa"/>
            <w:vAlign w:val="bottom"/>
          </w:tcPr>
          <w:p>
            <w:pPr>
              <w:spacing w:after="0"/>
              <w:rPr>
                <w:sz w:val="1"/>
                <w:szCs w:val="1"/>
                <w:color w:val="auto"/>
              </w:rPr>
            </w:pP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Difference related to foreign subsidiaries</w:t>
            </w:r>
          </w:p>
        </w:tc>
        <w:tc>
          <w:tcPr>
            <w:tcW w:w="180" w:type="dxa"/>
            <w:vAlign w:val="bottom"/>
          </w:tcPr>
          <w:p>
            <w:pPr>
              <w:spacing w:after="0"/>
              <w:rPr>
                <w:sz w:val="15"/>
                <w:szCs w:val="15"/>
                <w:color w:val="auto"/>
              </w:rPr>
            </w:pPr>
          </w:p>
        </w:tc>
        <w:tc>
          <w:tcPr>
            <w:tcW w:w="210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369</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247</w:t>
            </w:r>
          </w:p>
        </w:tc>
        <w:tc>
          <w:tcPr>
            <w:tcW w:w="0" w:type="dxa"/>
            <w:vAlign w:val="bottom"/>
          </w:tcPr>
          <w:p>
            <w:pPr>
              <w:spacing w:after="0"/>
              <w:rPr>
                <w:sz w:val="1"/>
                <w:szCs w:val="1"/>
                <w:color w:val="auto"/>
              </w:rPr>
            </w:pP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Current year loss producing no tax benefit</w:t>
            </w:r>
          </w:p>
        </w:tc>
        <w:tc>
          <w:tcPr>
            <w:tcW w:w="180" w:type="dxa"/>
            <w:vAlign w:val="bottom"/>
          </w:tcPr>
          <w:p>
            <w:pPr>
              <w:spacing w:after="0"/>
              <w:rPr>
                <w:sz w:val="15"/>
                <w:szCs w:val="15"/>
                <w:color w:val="auto"/>
              </w:rPr>
            </w:pPr>
          </w:p>
        </w:tc>
        <w:tc>
          <w:tcPr>
            <w:tcW w:w="210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1,044</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1,123</w:t>
            </w:r>
          </w:p>
        </w:tc>
        <w:tc>
          <w:tcPr>
            <w:tcW w:w="0" w:type="dxa"/>
            <w:vAlign w:val="bottom"/>
          </w:tcPr>
          <w:p>
            <w:pPr>
              <w:spacing w:after="0"/>
              <w:rPr>
                <w:sz w:val="1"/>
                <w:szCs w:val="1"/>
                <w:color w:val="auto"/>
              </w:rPr>
            </w:pPr>
          </w:p>
        </w:tc>
      </w:tr>
      <w:tr>
        <w:trPr>
          <w:trHeight w:val="261"/>
        </w:trPr>
        <w:tc>
          <w:tcPr>
            <w:tcW w:w="428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22"/>
                <w:szCs w:val="22"/>
                <w:color w:val="auto"/>
              </w:rPr>
            </w:pPr>
          </w:p>
        </w:tc>
        <w:tc>
          <w:tcPr>
            <w:tcW w:w="21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358"/>
        </w:trPr>
        <w:tc>
          <w:tcPr>
            <w:tcW w:w="4280" w:type="dxa"/>
            <w:vAlign w:val="bottom"/>
          </w:tcPr>
          <w:p>
            <w:pPr>
              <w:ind w:left="460"/>
              <w:spacing w:after="0"/>
              <w:rPr>
                <w:sz w:val="20"/>
                <w:szCs w:val="20"/>
                <w:color w:val="auto"/>
              </w:rPr>
            </w:pPr>
            <w:r>
              <w:rPr>
                <w:rFonts w:ascii="Courier New" w:cs="Courier New" w:eastAsia="Courier New" w:hAnsi="Courier New"/>
                <w:sz w:val="16"/>
                <w:szCs w:val="16"/>
                <w:color w:val="auto"/>
              </w:rPr>
              <w:t>Provision for income taxes</w:t>
            </w:r>
          </w:p>
        </w:tc>
        <w:tc>
          <w:tcPr>
            <w:tcW w:w="180" w:type="dxa"/>
            <w:vAlign w:val="bottom"/>
          </w:tcPr>
          <w:p>
            <w:pPr>
              <w:spacing w:after="0"/>
              <w:rPr>
                <w:sz w:val="24"/>
                <w:szCs w:val="24"/>
                <w:color w:val="auto"/>
              </w:rPr>
            </w:pPr>
          </w:p>
        </w:tc>
        <w:tc>
          <w:tcPr>
            <w:tcW w:w="21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$ 2,047</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999"/>
        <w:spacing w:after="0" w:line="246" w:lineRule="auto"/>
        <w:rPr>
          <w:sz w:val="20"/>
          <w:szCs w:val="20"/>
          <w:color w:val="auto"/>
        </w:rPr>
      </w:pPr>
      <w:r>
        <w:rPr>
          <w:rFonts w:ascii="Courier New" w:cs="Courier New" w:eastAsia="Courier New" w:hAnsi="Courier New"/>
          <w:sz w:val="16"/>
          <w:szCs w:val="16"/>
          <w:color w:val="auto"/>
        </w:rPr>
        <w:t>Undistributed earnings intended to be reinvested indefinitely in foreign subsidiaries were approximately $19,600,000 at December 16, 1993. The determination of unrecognized deferred tax liability is not practicable. At December 16, 1993, the Company had net operating loss carryforwards of $9,700,000 for U.S. federal income tax purposes available to reduce future taxable income; such carryforwards expire in 2007. Foreign tax credit carryforwards as of December 16, 1993 amounted to approximately $700,000; such carryforwards expire beginning in years 1994 to 1997. If certain substantial changes in the Company's ownership should occur, there would be an annual limitation on the amount of the net operating loss carryforwards which can be utilized.</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 CONSOLIDATED FOREIGN SUBSIDIARIES:</w:t>
      </w:r>
    </w:p>
    <w:p>
      <w:pPr>
        <w:spacing w:after="0" w:line="177" w:lineRule="exact"/>
        <w:rPr>
          <w:sz w:val="20"/>
          <w:szCs w:val="20"/>
          <w:color w:val="auto"/>
        </w:rPr>
      </w:pPr>
    </w:p>
    <w:p>
      <w:pPr>
        <w:ind w:right="4079"/>
        <w:spacing w:after="0" w:line="289" w:lineRule="auto"/>
        <w:rPr>
          <w:sz w:val="20"/>
          <w:szCs w:val="20"/>
          <w:color w:val="auto"/>
        </w:rPr>
      </w:pPr>
      <w:r>
        <w:rPr>
          <w:rFonts w:ascii="Courier New" w:cs="Courier New" w:eastAsia="Courier New" w:hAnsi="Courier New"/>
          <w:sz w:val="16"/>
          <w:szCs w:val="16"/>
          <w:color w:val="auto"/>
        </w:rPr>
        <w:t>The accompanying consolidated financial statements include net assets and net income of foreign subsidiaries, located principally in Europe,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Balance sheet information:</w:t>
            </w:r>
          </w:p>
        </w:tc>
        <w:tc>
          <w:tcPr>
            <w:tcW w:w="2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80" w:type="dxa"/>
            <w:vAlign w:val="bottom"/>
          </w:tcPr>
          <w:p>
            <w:pPr>
              <w:spacing w:after="0"/>
              <w:rPr>
                <w:sz w:val="23"/>
                <w:szCs w:val="23"/>
                <w:color w:val="auto"/>
              </w:rPr>
            </w:pPr>
          </w:p>
        </w:tc>
        <w:tc>
          <w:tcPr>
            <w:tcW w:w="22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December 16,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220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1993</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1992</w:t>
            </w:r>
          </w:p>
        </w:tc>
        <w:tc>
          <w:tcPr>
            <w:tcW w:w="0" w:type="dxa"/>
            <w:vAlign w:val="bottom"/>
          </w:tcPr>
          <w:p>
            <w:pPr>
              <w:spacing w:after="0"/>
              <w:rPr>
                <w:sz w:val="1"/>
                <w:szCs w:val="1"/>
                <w:color w:val="auto"/>
              </w:rPr>
            </w:pPr>
          </w:p>
        </w:tc>
      </w:tr>
      <w:tr>
        <w:trPr>
          <w:trHeight w:val="261"/>
        </w:trPr>
        <w:tc>
          <w:tcPr>
            <w:tcW w:w="4080" w:type="dxa"/>
            <w:vAlign w:val="bottom"/>
          </w:tcPr>
          <w:p>
            <w:pPr>
              <w:spacing w:after="0"/>
              <w:rPr>
                <w:sz w:val="22"/>
                <w:szCs w:val="22"/>
                <w:color w:val="auto"/>
              </w:rPr>
            </w:pPr>
          </w:p>
        </w:tc>
        <w:tc>
          <w:tcPr>
            <w:tcW w:w="354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76"/>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Working capital:</w:t>
            </w:r>
          </w:p>
        </w:tc>
        <w:tc>
          <w:tcPr>
            <w:tcW w:w="220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  2,963</w:t>
            </w:r>
          </w:p>
        </w:tc>
        <w:tc>
          <w:tcPr>
            <w:tcW w:w="13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  2,276</w:t>
            </w:r>
          </w:p>
        </w:tc>
        <w:tc>
          <w:tcPr>
            <w:tcW w:w="0" w:type="dxa"/>
            <w:vAlign w:val="bottom"/>
          </w:tcPr>
          <w:p>
            <w:pPr>
              <w:spacing w:after="0"/>
              <w:rPr>
                <w:sz w:val="1"/>
                <w:szCs w:val="1"/>
                <w:color w:val="auto"/>
              </w:rPr>
            </w:pPr>
          </w:p>
        </w:tc>
      </w:tr>
      <w:tr>
        <w:trPr>
          <w:trHeight w:val="179"/>
        </w:trPr>
        <w:tc>
          <w:tcPr>
            <w:tcW w:w="40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Cash</w:t>
            </w:r>
          </w:p>
        </w:tc>
        <w:tc>
          <w:tcPr>
            <w:tcW w:w="22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22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10,167</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8,016</w:t>
            </w:r>
          </w:p>
        </w:tc>
        <w:tc>
          <w:tcPr>
            <w:tcW w:w="0" w:type="dxa"/>
            <w:vAlign w:val="bottom"/>
          </w:tcPr>
          <w:p>
            <w:pPr>
              <w:spacing w:after="0"/>
              <w:rPr>
                <w:sz w:val="1"/>
                <w:szCs w:val="1"/>
                <w:color w:val="auto"/>
              </w:rPr>
            </w:pPr>
          </w:p>
        </w:tc>
      </w:tr>
      <w:tr>
        <w:trPr>
          <w:trHeight w:val="179"/>
        </w:trPr>
        <w:tc>
          <w:tcPr>
            <w:tcW w:w="40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Inventories</w:t>
            </w:r>
          </w:p>
        </w:tc>
        <w:tc>
          <w:tcPr>
            <w:tcW w:w="22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3,996</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3,856</w:t>
            </w:r>
          </w:p>
        </w:tc>
        <w:tc>
          <w:tcPr>
            <w:tcW w:w="0" w:type="dxa"/>
            <w:vAlign w:val="bottom"/>
          </w:tcPr>
          <w:p>
            <w:pPr>
              <w:spacing w:after="0"/>
              <w:rPr>
                <w:sz w:val="1"/>
                <w:szCs w:val="1"/>
                <w:color w:val="auto"/>
              </w:rPr>
            </w:pPr>
          </w:p>
        </w:tc>
      </w:tr>
      <w:tr>
        <w:trPr>
          <w:trHeight w:val="261"/>
        </w:trPr>
        <w:tc>
          <w:tcPr>
            <w:tcW w:w="4080" w:type="dxa"/>
            <w:vAlign w:val="bottom"/>
          </w:tcPr>
          <w:p>
            <w:pPr>
              <w:ind w:left="360"/>
              <w:spacing w:after="0"/>
              <w:rPr>
                <w:sz w:val="20"/>
                <w:szCs w:val="20"/>
                <w:color w:val="auto"/>
              </w:rPr>
            </w:pPr>
            <w:r>
              <w:rPr>
                <w:rFonts w:ascii="Courier New" w:cs="Courier New" w:eastAsia="Courier New" w:hAnsi="Courier New"/>
                <w:sz w:val="16"/>
                <w:szCs w:val="16"/>
                <w:color w:val="auto"/>
              </w:rPr>
              <w:t>Other, net</w:t>
            </w:r>
          </w:p>
        </w:tc>
        <w:tc>
          <w:tcPr>
            <w:tcW w:w="22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(4,473)</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(3,943)</w:t>
            </w:r>
          </w:p>
        </w:tc>
        <w:tc>
          <w:tcPr>
            <w:tcW w:w="0" w:type="dxa"/>
            <w:vAlign w:val="bottom"/>
          </w:tcPr>
          <w:p>
            <w:pPr>
              <w:spacing w:after="0"/>
              <w:rPr>
                <w:sz w:val="1"/>
                <w:szCs w:val="1"/>
                <w:color w:val="auto"/>
              </w:rPr>
            </w:pPr>
          </w:p>
        </w:tc>
      </w:tr>
      <w:tr>
        <w:trPr>
          <w:trHeight w:val="276"/>
        </w:trPr>
        <w:tc>
          <w:tcPr>
            <w:tcW w:w="40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Property, plant and equipment-net</w:t>
            </w:r>
          </w:p>
        </w:tc>
        <w:tc>
          <w:tcPr>
            <w:tcW w:w="22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12,653</w:t>
            </w:r>
          </w:p>
        </w:tc>
        <w:tc>
          <w:tcPr>
            <w:tcW w:w="13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10,205</w:t>
            </w:r>
          </w:p>
        </w:tc>
        <w:tc>
          <w:tcPr>
            <w:tcW w:w="0" w:type="dxa"/>
            <w:vAlign w:val="bottom"/>
          </w:tcPr>
          <w:p>
            <w:pPr>
              <w:spacing w:after="0"/>
              <w:rPr>
                <w:sz w:val="1"/>
                <w:szCs w:val="1"/>
                <w:color w:val="auto"/>
              </w:rPr>
            </w:pPr>
          </w:p>
        </w:tc>
      </w:tr>
      <w:tr>
        <w:trPr>
          <w:trHeight w:val="261"/>
        </w:trPr>
        <w:tc>
          <w:tcPr>
            <w:tcW w:w="4080" w:type="dxa"/>
            <w:vAlign w:val="bottom"/>
            <w:vMerge w:val="continue"/>
          </w:tcPr>
          <w:p>
            <w:pPr>
              <w:spacing w:after="0"/>
              <w:rPr>
                <w:sz w:val="22"/>
                <w:szCs w:val="22"/>
                <w:color w:val="auto"/>
              </w:rPr>
            </w:pPr>
          </w:p>
        </w:tc>
        <w:tc>
          <w:tcPr>
            <w:tcW w:w="22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3,013</w:t>
            </w:r>
          </w:p>
        </w:tc>
        <w:tc>
          <w:tcPr>
            <w:tcW w:w="13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3,580</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0" w:gutter="0" w:footer="0" w:header="0"/>
        </w:sectPr>
      </w:pPr>
    </w:p>
    <w:bookmarkStart w:id="15" w:name="page16"/>
    <w:bookmarkEnd w:id="15"/>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Long-term debt</w:t>
            </w:r>
          </w:p>
        </w:tc>
        <w:tc>
          <w:tcPr>
            <w:tcW w:w="880" w:type="dxa"/>
            <w:vAlign w:val="bottom"/>
          </w:tcPr>
          <w:p>
            <w:pPr>
              <w:spacing w:after="0"/>
              <w:rPr>
                <w:sz w:val="15"/>
                <w:szCs w:val="15"/>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15,666</w:t>
            </w:r>
          </w:p>
        </w:tc>
        <w:tc>
          <w:tcPr>
            <w:tcW w:w="5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13,785</w:t>
            </w:r>
          </w:p>
        </w:tc>
        <w:tc>
          <w:tcPr>
            <w:tcW w:w="0" w:type="dxa"/>
            <w:vAlign w:val="bottom"/>
          </w:tcPr>
          <w:p>
            <w:pPr>
              <w:spacing w:after="0"/>
              <w:rPr>
                <w:sz w:val="1"/>
                <w:szCs w:val="1"/>
                <w:color w:val="auto"/>
              </w:rPr>
            </w:pPr>
          </w:p>
        </w:tc>
      </w:tr>
      <w:tr>
        <w:trPr>
          <w:trHeight w:val="261"/>
        </w:trPr>
        <w:tc>
          <w:tcPr>
            <w:tcW w:w="428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(62)</w:t>
            </w:r>
          </w:p>
        </w:tc>
        <w:tc>
          <w:tcPr>
            <w:tcW w:w="5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c>
          <w:tcPr>
            <w:tcW w:w="0" w:type="dxa"/>
            <w:vAlign w:val="bottom"/>
          </w:tcPr>
          <w:p>
            <w:pPr>
              <w:spacing w:after="0"/>
              <w:rPr>
                <w:sz w:val="1"/>
                <w:szCs w:val="1"/>
                <w:color w:val="auto"/>
              </w:rPr>
            </w:pPr>
          </w:p>
        </w:tc>
      </w:tr>
      <w:tr>
        <w:trPr>
          <w:trHeight w:val="358"/>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Net assets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15,604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13,603</w:t>
            </w:r>
          </w:p>
        </w:tc>
        <w:tc>
          <w:tcPr>
            <w:tcW w:w="0" w:type="dxa"/>
            <w:vAlign w:val="bottom"/>
          </w:tcPr>
          <w:p>
            <w:pPr>
              <w:spacing w:after="0"/>
              <w:rPr>
                <w:sz w:val="1"/>
                <w:szCs w:val="1"/>
                <w:color w:val="auto"/>
              </w:rPr>
            </w:pPr>
          </w:p>
        </w:tc>
      </w:tr>
      <w:tr>
        <w:trPr>
          <w:trHeight w:val="537"/>
        </w:trPr>
        <w:tc>
          <w:tcPr>
            <w:tcW w:w="4280" w:type="dxa"/>
            <w:vAlign w:val="bottom"/>
          </w:tcPr>
          <w:p>
            <w:pPr>
              <w:ind w:left="3060"/>
              <w:spacing w:after="0"/>
              <w:rPr>
                <w:sz w:val="20"/>
                <w:szCs w:val="20"/>
                <w:color w:val="auto"/>
              </w:rPr>
            </w:pPr>
            <w:r>
              <w:rPr>
                <w:rFonts w:ascii="Courier New" w:cs="Courier New" w:eastAsia="Courier New" w:hAnsi="Courier New"/>
                <w:sz w:val="16"/>
                <w:szCs w:val="16"/>
                <w:color w:val="auto"/>
              </w:rPr>
              <w:t>F-15</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Statement of operations information:</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1993</w:t>
            </w:r>
          </w:p>
        </w:tc>
        <w:tc>
          <w:tcPr>
            <w:tcW w:w="560" w:type="dxa"/>
            <w:vAlign w:val="bottom"/>
          </w:tcPr>
          <w:p>
            <w:pPr>
              <w:spacing w:after="0"/>
              <w:rPr>
                <w:sz w:val="23"/>
                <w:szCs w:val="23"/>
                <w:color w:val="auto"/>
              </w:rPr>
            </w:pPr>
          </w:p>
        </w:tc>
        <w:tc>
          <w:tcPr>
            <w:tcW w:w="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1992</w:t>
            </w:r>
          </w:p>
        </w:tc>
        <w:tc>
          <w:tcPr>
            <w:tcW w:w="0" w:type="dxa"/>
            <w:vAlign w:val="bottom"/>
          </w:tcPr>
          <w:p>
            <w:pPr>
              <w:spacing w:after="0"/>
              <w:rPr>
                <w:sz w:val="1"/>
                <w:szCs w:val="1"/>
                <w:color w:val="auto"/>
              </w:rPr>
            </w:pPr>
          </w:p>
        </w:tc>
      </w:tr>
      <w:tr>
        <w:trPr>
          <w:trHeight w:val="261"/>
        </w:trPr>
        <w:tc>
          <w:tcPr>
            <w:tcW w:w="4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38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358"/>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Net sales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27,922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28,221</w:t>
            </w:r>
          </w:p>
        </w:tc>
        <w:tc>
          <w:tcPr>
            <w:tcW w:w="0" w:type="dxa"/>
            <w:vAlign w:val="bottom"/>
          </w:tcPr>
          <w:p>
            <w:pPr>
              <w:spacing w:after="0"/>
              <w:rPr>
                <w:sz w:val="1"/>
                <w:szCs w:val="1"/>
                <w:color w:val="auto"/>
              </w:rPr>
            </w:pPr>
          </w:p>
        </w:tc>
      </w:tr>
      <w:tr>
        <w:trPr>
          <w:trHeight w:val="276"/>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Costs and expenses:</w:t>
            </w:r>
          </w:p>
        </w:tc>
        <w:tc>
          <w:tcPr>
            <w:tcW w:w="880" w:type="dxa"/>
            <w:vAlign w:val="bottom"/>
          </w:tcPr>
          <w:p>
            <w:pPr>
              <w:spacing w:after="0"/>
              <w:rPr>
                <w:sz w:val="23"/>
                <w:szCs w:val="23"/>
                <w:color w:val="auto"/>
              </w:rPr>
            </w:pPr>
          </w:p>
        </w:tc>
        <w:tc>
          <w:tcPr>
            <w:tcW w:w="112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11,732</w:t>
            </w:r>
          </w:p>
        </w:tc>
        <w:tc>
          <w:tcPr>
            <w:tcW w:w="560" w:type="dxa"/>
            <w:vAlign w:val="bottom"/>
          </w:tcPr>
          <w:p>
            <w:pPr>
              <w:spacing w:after="0"/>
              <w:rPr>
                <w:sz w:val="23"/>
                <w:szCs w:val="23"/>
                <w:color w:val="auto"/>
              </w:rPr>
            </w:pPr>
          </w:p>
        </w:tc>
        <w:tc>
          <w:tcPr>
            <w:tcW w:w="7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11,246</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Cost of goods sold</w:t>
            </w:r>
          </w:p>
        </w:tc>
        <w:tc>
          <w:tcPr>
            <w:tcW w:w="8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Selling, administrative and general</w:t>
            </w:r>
          </w:p>
        </w:tc>
        <w:tc>
          <w:tcPr>
            <w:tcW w:w="8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10,767</w:t>
            </w:r>
          </w:p>
        </w:tc>
        <w:tc>
          <w:tcPr>
            <w:tcW w:w="56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10,597</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8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462</w:t>
            </w:r>
          </w:p>
        </w:tc>
        <w:tc>
          <w:tcPr>
            <w:tcW w:w="56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448</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Interest</w:t>
            </w:r>
          </w:p>
        </w:tc>
        <w:tc>
          <w:tcPr>
            <w:tcW w:w="8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261"/>
        </w:trPr>
        <w:tc>
          <w:tcPr>
            <w:tcW w:w="4280" w:type="dxa"/>
            <w:vAlign w:val="bottom"/>
          </w:tcPr>
          <w:p>
            <w:pPr>
              <w:ind w:left="360"/>
              <w:spacing w:after="0"/>
              <w:rPr>
                <w:sz w:val="20"/>
                <w:szCs w:val="20"/>
                <w:color w:val="auto"/>
              </w:rPr>
            </w:pPr>
            <w:r>
              <w:rPr>
                <w:rFonts w:ascii="Courier New" w:cs="Courier New" w:eastAsia="Courier New" w:hAnsi="Courier New"/>
                <w:sz w:val="16"/>
                <w:szCs w:val="16"/>
                <w:color w:val="auto"/>
              </w:rPr>
              <w:t>Other expense, net</w:t>
            </w:r>
          </w:p>
        </w:tc>
        <w:tc>
          <w:tcPr>
            <w:tcW w:w="88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w:t>
            </w:r>
          </w:p>
        </w:tc>
        <w:tc>
          <w:tcPr>
            <w:tcW w:w="560" w:type="dxa"/>
            <w:vAlign w:val="bottom"/>
          </w:tcPr>
          <w:p>
            <w:pPr>
              <w:spacing w:after="0"/>
              <w:rPr>
                <w:sz w:val="22"/>
                <w:szCs w:val="22"/>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752</w:t>
            </w:r>
          </w:p>
        </w:tc>
        <w:tc>
          <w:tcPr>
            <w:tcW w:w="0" w:type="dxa"/>
            <w:vAlign w:val="bottom"/>
          </w:tcPr>
          <w:p>
            <w:pPr>
              <w:spacing w:after="0"/>
              <w:rPr>
                <w:sz w:val="1"/>
                <w:szCs w:val="1"/>
                <w:color w:val="auto"/>
              </w:rPr>
            </w:pPr>
          </w:p>
        </w:tc>
      </w:tr>
      <w:tr>
        <w:trPr>
          <w:trHeight w:val="358"/>
        </w:trPr>
        <w:tc>
          <w:tcPr>
            <w:tcW w:w="4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22,986</w:t>
            </w:r>
          </w:p>
        </w:tc>
        <w:tc>
          <w:tcPr>
            <w:tcW w:w="560" w:type="dxa"/>
            <w:vAlign w:val="bottom"/>
          </w:tcPr>
          <w:p>
            <w:pPr>
              <w:spacing w:after="0"/>
              <w:rPr>
                <w:sz w:val="24"/>
                <w:szCs w:val="24"/>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23,060</w:t>
            </w:r>
          </w:p>
        </w:tc>
        <w:tc>
          <w:tcPr>
            <w:tcW w:w="0" w:type="dxa"/>
            <w:vAlign w:val="bottom"/>
          </w:tcPr>
          <w:p>
            <w:pPr>
              <w:spacing w:after="0"/>
              <w:rPr>
                <w:sz w:val="1"/>
                <w:szCs w:val="1"/>
                <w:color w:val="auto"/>
              </w:rPr>
            </w:pPr>
          </w:p>
        </w:tc>
      </w:tr>
      <w:tr>
        <w:trPr>
          <w:trHeight w:val="276"/>
        </w:trPr>
        <w:tc>
          <w:tcPr>
            <w:tcW w:w="4280" w:type="dxa"/>
            <w:vAlign w:val="bottom"/>
          </w:tcPr>
          <w:p>
            <w:pPr>
              <w:ind w:left="360"/>
              <w:spacing w:after="0"/>
              <w:rPr>
                <w:sz w:val="20"/>
                <w:szCs w:val="20"/>
                <w:color w:val="auto"/>
              </w:rPr>
            </w:pPr>
            <w:r>
              <w:rPr>
                <w:rFonts w:ascii="Courier New" w:cs="Courier New" w:eastAsia="Courier New" w:hAnsi="Courier New"/>
                <w:sz w:val="16"/>
                <w:szCs w:val="16"/>
                <w:color w:val="auto"/>
              </w:rPr>
              <w:t>Income before income taxes</w:t>
            </w:r>
          </w:p>
        </w:tc>
        <w:tc>
          <w:tcPr>
            <w:tcW w:w="880" w:type="dxa"/>
            <w:vAlign w:val="bottom"/>
          </w:tcPr>
          <w:p>
            <w:pPr>
              <w:spacing w:after="0"/>
              <w:rPr>
                <w:sz w:val="23"/>
                <w:szCs w:val="23"/>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4,936</w:t>
            </w:r>
          </w:p>
        </w:tc>
        <w:tc>
          <w:tcPr>
            <w:tcW w:w="560" w:type="dxa"/>
            <w:vAlign w:val="bottom"/>
          </w:tcPr>
          <w:p>
            <w:pPr>
              <w:spacing w:after="0"/>
              <w:rPr>
                <w:sz w:val="23"/>
                <w:szCs w:val="23"/>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5,161</w:t>
            </w:r>
          </w:p>
        </w:tc>
        <w:tc>
          <w:tcPr>
            <w:tcW w:w="0" w:type="dxa"/>
            <w:vAlign w:val="bottom"/>
          </w:tcPr>
          <w:p>
            <w:pPr>
              <w:spacing w:after="0"/>
              <w:rPr>
                <w:sz w:val="1"/>
                <w:szCs w:val="1"/>
                <w:color w:val="auto"/>
              </w:rPr>
            </w:pPr>
          </w:p>
        </w:tc>
      </w:tr>
      <w:tr>
        <w:trPr>
          <w:trHeight w:val="261"/>
        </w:trPr>
        <w:tc>
          <w:tcPr>
            <w:tcW w:w="4280" w:type="dxa"/>
            <w:vAlign w:val="bottom"/>
          </w:tcPr>
          <w:p>
            <w:pPr>
              <w:ind w:left="360"/>
              <w:spacing w:after="0"/>
              <w:rPr>
                <w:sz w:val="20"/>
                <w:szCs w:val="20"/>
                <w:color w:val="auto"/>
              </w:rPr>
            </w:pPr>
            <w:r>
              <w:rPr>
                <w:rFonts w:ascii="Courier New" w:cs="Courier New" w:eastAsia="Courier New" w:hAnsi="Courier New"/>
                <w:sz w:val="16"/>
                <w:szCs w:val="16"/>
                <w:color w:val="auto"/>
              </w:rPr>
              <w:t>Provision for income taxes</w:t>
            </w:r>
          </w:p>
        </w:tc>
        <w:tc>
          <w:tcPr>
            <w:tcW w:w="88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2,047</w:t>
            </w:r>
          </w:p>
        </w:tc>
        <w:tc>
          <w:tcPr>
            <w:tcW w:w="560" w:type="dxa"/>
            <w:vAlign w:val="bottom"/>
          </w:tcPr>
          <w:p>
            <w:pPr>
              <w:spacing w:after="0"/>
              <w:rPr>
                <w:sz w:val="22"/>
                <w:szCs w:val="22"/>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2,001</w:t>
            </w:r>
          </w:p>
        </w:tc>
        <w:tc>
          <w:tcPr>
            <w:tcW w:w="0" w:type="dxa"/>
            <w:vAlign w:val="bottom"/>
          </w:tcPr>
          <w:p>
            <w:pPr>
              <w:spacing w:after="0"/>
              <w:rPr>
                <w:sz w:val="1"/>
                <w:szCs w:val="1"/>
                <w:color w:val="auto"/>
              </w:rPr>
            </w:pPr>
          </w:p>
        </w:tc>
      </w:tr>
      <w:tr>
        <w:trPr>
          <w:trHeight w:val="358"/>
        </w:trPr>
        <w:tc>
          <w:tcPr>
            <w:tcW w:w="4280" w:type="dxa"/>
            <w:vAlign w:val="bottom"/>
          </w:tcPr>
          <w:p>
            <w:pPr>
              <w:ind w:left="360"/>
              <w:spacing w:after="0"/>
              <w:rPr>
                <w:sz w:val="20"/>
                <w:szCs w:val="20"/>
                <w:color w:val="auto"/>
              </w:rPr>
            </w:pPr>
            <w:r>
              <w:rPr>
                <w:rFonts w:ascii="Courier New" w:cs="Courier New" w:eastAsia="Courier New" w:hAnsi="Courier New"/>
                <w:sz w:val="16"/>
                <w:szCs w:val="16"/>
                <w:color w:val="auto"/>
              </w:rPr>
              <w:t>Net income</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2,889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3,160</w:t>
            </w:r>
          </w:p>
        </w:tc>
        <w:tc>
          <w:tcPr>
            <w:tcW w:w="0" w:type="dxa"/>
            <w:vAlign w:val="bottom"/>
          </w:tcPr>
          <w:p>
            <w:pPr>
              <w:spacing w:after="0"/>
              <w:rPr>
                <w:sz w:val="1"/>
                <w:szCs w:val="1"/>
                <w:color w:val="auto"/>
              </w:rPr>
            </w:pP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NOTE 10 - PENSION AND SAVINGS PLANS:</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6"/>
          <w:szCs w:val="16"/>
          <w:color w:val="auto"/>
        </w:rPr>
        <w:t>On October 25, 1989, Grace-Sierra adopted non-contributory defined benefit pension plans that cover its eligible U.S. employees. The benefits under these plans are based on years of service and final average compensation levels for salaried employees and stated amounts for hourly employees. The Company's funding policy, consistent with statutory requirements and tax considerations, is based on actuarial computations using the Projected Unit Credit method.</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components of the net periodic pension cost for the periods ended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16, 1993 and December 31, 1992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1993</w:t>
            </w:r>
          </w:p>
        </w:tc>
        <w:tc>
          <w:tcPr>
            <w:tcW w:w="560" w:type="dxa"/>
            <w:vAlign w:val="bottom"/>
          </w:tcPr>
          <w:p>
            <w:pPr>
              <w:spacing w:after="0"/>
              <w:rPr>
                <w:sz w:val="15"/>
                <w:szCs w:val="15"/>
                <w:color w:val="auto"/>
              </w:rPr>
            </w:pPr>
          </w:p>
        </w:tc>
        <w:tc>
          <w:tcPr>
            <w:tcW w:w="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1992</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60" w:type="dxa"/>
            <w:vAlign w:val="bottom"/>
            <w:gridSpan w:val="3"/>
          </w:tcPr>
          <w:p>
            <w:pPr>
              <w:jc w:val="right"/>
              <w:ind w:right="56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76"/>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Service cost-benefits earned during the year</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253</w:t>
            </w:r>
          </w:p>
        </w:tc>
        <w:tc>
          <w:tcPr>
            <w:tcW w:w="0" w:type="dxa"/>
            <w:vAlign w:val="bottom"/>
          </w:tcPr>
          <w:p>
            <w:pPr>
              <w:spacing w:after="0"/>
              <w:rPr>
                <w:sz w:val="1"/>
                <w:szCs w:val="1"/>
                <w:color w:val="auto"/>
              </w:rPr>
            </w:pPr>
          </w:p>
        </w:tc>
      </w:tr>
      <w:tr>
        <w:trPr>
          <w:trHeight w:val="179"/>
        </w:trPr>
        <w:tc>
          <w:tcPr>
            <w:tcW w:w="4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Interest cost on projected benefit obligation</w:t>
            </w:r>
          </w:p>
        </w:tc>
        <w:tc>
          <w:tcPr>
            <w:tcW w:w="24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105</w:t>
            </w:r>
          </w:p>
        </w:tc>
        <w:tc>
          <w:tcPr>
            <w:tcW w:w="56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w:t>
            </w:r>
          </w:p>
        </w:tc>
        <w:tc>
          <w:tcPr>
            <w:tcW w:w="0" w:type="dxa"/>
            <w:vAlign w:val="bottom"/>
          </w:tcPr>
          <w:p>
            <w:pPr>
              <w:spacing w:after="0"/>
              <w:rPr>
                <w:sz w:val="1"/>
                <w:szCs w:val="1"/>
                <w:color w:val="auto"/>
              </w:rPr>
            </w:pPr>
          </w:p>
        </w:tc>
      </w:tr>
      <w:tr>
        <w:trPr>
          <w:trHeight w:val="179"/>
        </w:trPr>
        <w:tc>
          <w:tcPr>
            <w:tcW w:w="4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amortization and deferral</w:t>
            </w:r>
          </w:p>
        </w:tc>
        <w:tc>
          <w:tcPr>
            <w:tcW w:w="24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40</w:t>
            </w:r>
          </w:p>
        </w:tc>
        <w:tc>
          <w:tcPr>
            <w:tcW w:w="56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261"/>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Return on assets</w:t>
            </w:r>
          </w:p>
        </w:tc>
        <w:tc>
          <w:tcPr>
            <w:tcW w:w="240" w:type="dxa"/>
            <w:vAlign w:val="bottom"/>
          </w:tcPr>
          <w:p>
            <w:pPr>
              <w:spacing w:after="0"/>
              <w:rPr>
                <w:sz w:val="22"/>
                <w:szCs w:val="22"/>
                <w:color w:val="auto"/>
              </w:rPr>
            </w:pP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(62)</w:t>
            </w:r>
          </w:p>
        </w:tc>
        <w:tc>
          <w:tcPr>
            <w:tcW w:w="560" w:type="dxa"/>
            <w:vAlign w:val="bottom"/>
          </w:tcPr>
          <w:p>
            <w:pPr>
              <w:spacing w:after="0"/>
              <w:rPr>
                <w:sz w:val="22"/>
                <w:szCs w:val="22"/>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(45)</w:t>
            </w:r>
          </w:p>
        </w:tc>
        <w:tc>
          <w:tcPr>
            <w:tcW w:w="0" w:type="dxa"/>
            <w:vAlign w:val="bottom"/>
          </w:tcPr>
          <w:p>
            <w:pPr>
              <w:spacing w:after="0"/>
              <w:rPr>
                <w:sz w:val="1"/>
                <w:szCs w:val="1"/>
                <w:color w:val="auto"/>
              </w:rPr>
            </w:pPr>
          </w:p>
        </w:tc>
      </w:tr>
      <w:tr>
        <w:trPr>
          <w:trHeight w:val="358"/>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Net periodic pension cost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596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258</w:t>
            </w:r>
          </w:p>
        </w:tc>
        <w:tc>
          <w:tcPr>
            <w:tcW w:w="0" w:type="dxa"/>
            <w:vAlign w:val="bottom"/>
          </w:tcPr>
          <w:p>
            <w:pPr>
              <w:spacing w:after="0"/>
              <w:rPr>
                <w:sz w:val="1"/>
                <w:szCs w:val="1"/>
                <w:color w:val="auto"/>
              </w:rPr>
            </w:pPr>
          </w:p>
        </w:tc>
      </w:tr>
      <w:tr>
        <w:trPr>
          <w:trHeight w:val="454"/>
        </w:trPr>
        <w:tc>
          <w:tcPr>
            <w:tcW w:w="6280" w:type="dxa"/>
            <w:vAlign w:val="bottom"/>
            <w:gridSpan w:val="3"/>
          </w:tcPr>
          <w:p>
            <w:pPr>
              <w:spacing w:after="0"/>
              <w:rPr>
                <w:sz w:val="20"/>
                <w:szCs w:val="20"/>
                <w:color w:val="auto"/>
              </w:rPr>
            </w:pPr>
            <w:r>
              <w:rPr>
                <w:rFonts w:ascii="Courier New" w:cs="Courier New" w:eastAsia="Courier New" w:hAnsi="Courier New"/>
                <w:sz w:val="16"/>
                <w:szCs w:val="16"/>
                <w:color w:val="auto"/>
              </w:rPr>
              <w:t>The funded status of the plans and amounts recognized in the</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Company's balance sheets are as follows: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3"/>
                <w:szCs w:val="23"/>
                <w:color w:val="auto"/>
              </w:rPr>
            </w:pPr>
          </w:p>
        </w:tc>
        <w:tc>
          <w:tcPr>
            <w:tcW w:w="13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5"/>
              </w:rPr>
              <w:t>December 16,</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1993</w:t>
            </w:r>
          </w:p>
        </w:tc>
        <w:tc>
          <w:tcPr>
            <w:tcW w:w="560" w:type="dxa"/>
            <w:vAlign w:val="bottom"/>
          </w:tcPr>
          <w:p>
            <w:pPr>
              <w:spacing w:after="0"/>
              <w:rPr>
                <w:sz w:val="15"/>
                <w:szCs w:val="15"/>
                <w:color w:val="auto"/>
              </w:rPr>
            </w:pPr>
          </w:p>
        </w:tc>
        <w:tc>
          <w:tcPr>
            <w:tcW w:w="7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1992</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60" w:type="dxa"/>
            <w:vAlign w:val="bottom"/>
            <w:gridSpan w:val="3"/>
          </w:tcPr>
          <w:p>
            <w:pPr>
              <w:jc w:val="right"/>
              <w:ind w:right="562"/>
              <w:spacing w:after="0"/>
              <w:rPr>
                <w:sz w:val="20"/>
                <w:szCs w:val="20"/>
                <w:color w:val="auto"/>
              </w:rPr>
            </w:pPr>
            <w:r>
              <w:rPr>
                <w:rFonts w:ascii="Courier New" w:cs="Courier New" w:eastAsia="Courier New" w:hAnsi="Courier New"/>
                <w:sz w:val="16"/>
                <w:szCs w:val="16"/>
                <w:color w:val="auto"/>
              </w:rPr>
              <w:t>(in thousands)</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1,042</w:t>
            </w:r>
          </w:p>
        </w:tc>
        <w:tc>
          <w:tcPr>
            <w:tcW w:w="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442</w:t>
            </w:r>
          </w:p>
        </w:tc>
        <w:tc>
          <w:tcPr>
            <w:tcW w:w="0" w:type="dxa"/>
            <w:vAlign w:val="bottom"/>
          </w:tcPr>
          <w:p>
            <w:pPr>
              <w:spacing w:after="0"/>
              <w:rPr>
                <w:sz w:val="1"/>
                <w:szCs w:val="1"/>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Vested benefit obligation</w:t>
            </w:r>
          </w:p>
        </w:tc>
        <w:tc>
          <w:tcPr>
            <w:tcW w:w="2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920" w:type="dxa"/>
            <w:vAlign w:val="bottom"/>
          </w:tcPr>
          <w:p>
            <w:pPr>
              <w:ind w:left="180"/>
              <w:spacing w:after="0"/>
              <w:rPr>
                <w:sz w:val="20"/>
                <w:szCs w:val="20"/>
                <w:color w:val="auto"/>
              </w:rPr>
            </w:pPr>
            <w:r>
              <w:rPr>
                <w:rFonts w:ascii="Courier New" w:cs="Courier New" w:eastAsia="Courier New" w:hAnsi="Courier New"/>
                <w:sz w:val="16"/>
                <w:szCs w:val="16"/>
                <w:color w:val="auto"/>
              </w:rPr>
              <w:t>Nonvested benefit obligation</w:t>
            </w:r>
          </w:p>
        </w:tc>
        <w:tc>
          <w:tcPr>
            <w:tcW w:w="24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136</w:t>
            </w:r>
          </w:p>
        </w:tc>
        <w:tc>
          <w:tcPr>
            <w:tcW w:w="560" w:type="dxa"/>
            <w:vAlign w:val="bottom"/>
          </w:tcPr>
          <w:p>
            <w:pPr>
              <w:spacing w:after="0"/>
              <w:rPr>
                <w:sz w:val="22"/>
                <w:szCs w:val="22"/>
                <w:color w:val="auto"/>
              </w:rPr>
            </w:pP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276"/>
        </w:trPr>
        <w:tc>
          <w:tcPr>
            <w:tcW w:w="4920" w:type="dxa"/>
            <w:vAlign w:val="bottom"/>
          </w:tcPr>
          <w:p>
            <w:pPr>
              <w:ind w:left="180"/>
              <w:spacing w:after="0"/>
              <w:rPr>
                <w:sz w:val="20"/>
                <w:szCs w:val="20"/>
                <w:color w:val="auto"/>
              </w:rPr>
            </w:pPr>
            <w:r>
              <w:rPr>
                <w:rFonts w:ascii="Courier New" w:cs="Courier New" w:eastAsia="Courier New" w:hAnsi="Courier New"/>
                <w:sz w:val="16"/>
                <w:szCs w:val="16"/>
                <w:color w:val="auto"/>
              </w:rPr>
              <w:t>Accumulated benefit obligation</w:t>
            </w:r>
          </w:p>
        </w:tc>
        <w:tc>
          <w:tcPr>
            <w:tcW w:w="240" w:type="dxa"/>
            <w:vAlign w:val="bottom"/>
          </w:tcPr>
          <w:p>
            <w:pPr>
              <w:spacing w:after="0"/>
              <w:rPr>
                <w:sz w:val="23"/>
                <w:szCs w:val="23"/>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1,178</w:t>
            </w:r>
          </w:p>
        </w:tc>
        <w:tc>
          <w:tcPr>
            <w:tcW w:w="560" w:type="dxa"/>
            <w:vAlign w:val="bottom"/>
          </w:tcPr>
          <w:p>
            <w:pPr>
              <w:spacing w:after="0"/>
              <w:rPr>
                <w:sz w:val="23"/>
                <w:szCs w:val="23"/>
                <w:color w:val="auto"/>
              </w:rPr>
            </w:pP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501</w:t>
            </w:r>
          </w:p>
        </w:tc>
        <w:tc>
          <w:tcPr>
            <w:tcW w:w="0" w:type="dxa"/>
            <w:vAlign w:val="bottom"/>
          </w:tcPr>
          <w:p>
            <w:pPr>
              <w:spacing w:after="0"/>
              <w:rPr>
                <w:sz w:val="1"/>
                <w:szCs w:val="1"/>
                <w:color w:val="auto"/>
              </w:rPr>
            </w:pPr>
          </w:p>
        </w:tc>
      </w:tr>
      <w:tr>
        <w:trPr>
          <w:trHeight w:val="261"/>
        </w:trPr>
        <w:tc>
          <w:tcPr>
            <w:tcW w:w="4920" w:type="dxa"/>
            <w:vAlign w:val="bottom"/>
          </w:tcPr>
          <w:p>
            <w:pPr>
              <w:ind w:left="180"/>
              <w:spacing w:after="0"/>
              <w:rPr>
                <w:sz w:val="20"/>
                <w:szCs w:val="20"/>
                <w:color w:val="auto"/>
              </w:rPr>
            </w:pPr>
            <w:r>
              <w:rPr>
                <w:rFonts w:ascii="Courier New" w:cs="Courier New" w:eastAsia="Courier New" w:hAnsi="Courier New"/>
                <w:sz w:val="16"/>
                <w:szCs w:val="16"/>
                <w:color w:val="auto"/>
              </w:rPr>
              <w:t>Effects of projected future compensation levels</w:t>
            </w:r>
          </w:p>
        </w:tc>
        <w:tc>
          <w:tcPr>
            <w:tcW w:w="24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936</w:t>
            </w:r>
          </w:p>
        </w:tc>
        <w:tc>
          <w:tcPr>
            <w:tcW w:w="560" w:type="dxa"/>
            <w:vAlign w:val="bottom"/>
          </w:tcPr>
          <w:p>
            <w:pPr>
              <w:spacing w:after="0"/>
              <w:rPr>
                <w:sz w:val="22"/>
                <w:szCs w:val="22"/>
                <w:color w:val="auto"/>
              </w:rPr>
            </w:pP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340</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0"/>
                <w:szCs w:val="20"/>
                <w:color w:val="auto"/>
              </w:rPr>
            </w:pPr>
            <w:r>
              <w:rPr>
                <w:rFonts w:ascii="Courier New" w:cs="Courier New" w:eastAsia="Courier New" w:hAnsi="Courier New"/>
                <w:sz w:val="16"/>
                <w:szCs w:val="16"/>
                <w:color w:val="auto"/>
              </w:rPr>
              <w:t>Projected benefit obligation</w:t>
            </w:r>
          </w:p>
        </w:tc>
        <w:tc>
          <w:tcPr>
            <w:tcW w:w="240" w:type="dxa"/>
            <w:vAlign w:val="bottom"/>
          </w:tcPr>
          <w:p>
            <w:pPr>
              <w:spacing w:after="0"/>
              <w:rPr>
                <w:sz w:val="23"/>
                <w:szCs w:val="23"/>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2,114</w:t>
            </w:r>
          </w:p>
        </w:tc>
        <w:tc>
          <w:tcPr>
            <w:tcW w:w="560" w:type="dxa"/>
            <w:vAlign w:val="bottom"/>
          </w:tcPr>
          <w:p>
            <w:pPr>
              <w:spacing w:after="0"/>
              <w:rPr>
                <w:sz w:val="23"/>
                <w:szCs w:val="23"/>
                <w:color w:val="auto"/>
              </w:rPr>
            </w:pP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841</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Less plan assets at fair value</w:t>
            </w:r>
          </w:p>
        </w:tc>
        <w:tc>
          <w:tcPr>
            <w:tcW w:w="240" w:type="dxa"/>
            <w:vAlign w:val="bottom"/>
          </w:tcPr>
          <w:p>
            <w:pPr>
              <w:spacing w:after="0"/>
              <w:rPr>
                <w:sz w:val="22"/>
                <w:szCs w:val="22"/>
                <w:color w:val="auto"/>
              </w:rPr>
            </w:pP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(1,259)</w:t>
            </w:r>
          </w:p>
        </w:tc>
        <w:tc>
          <w:tcPr>
            <w:tcW w:w="560" w:type="dxa"/>
            <w:vAlign w:val="bottom"/>
          </w:tcPr>
          <w:p>
            <w:pPr>
              <w:spacing w:after="0"/>
              <w:rPr>
                <w:sz w:val="22"/>
                <w:szCs w:val="22"/>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(815)</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0"/>
                <w:szCs w:val="20"/>
                <w:color w:val="auto"/>
              </w:rPr>
            </w:pPr>
            <w:r>
              <w:rPr>
                <w:rFonts w:ascii="Courier New" w:cs="Courier New" w:eastAsia="Courier New" w:hAnsi="Courier New"/>
                <w:sz w:val="16"/>
                <w:szCs w:val="16"/>
                <w:color w:val="auto"/>
                <w:w w:val="96"/>
              </w:rPr>
              <w:t>Projected benefit obligation in excess of plan assets</w:t>
            </w:r>
          </w:p>
        </w:tc>
        <w:tc>
          <w:tcPr>
            <w:tcW w:w="240" w:type="dxa"/>
            <w:vAlign w:val="bottom"/>
          </w:tcPr>
          <w:p>
            <w:pPr>
              <w:spacing w:after="0"/>
              <w:rPr>
                <w:sz w:val="23"/>
                <w:szCs w:val="23"/>
                <w:color w:val="auto"/>
              </w:rPr>
            </w:pP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855</w:t>
            </w:r>
          </w:p>
        </w:tc>
        <w:tc>
          <w:tcPr>
            <w:tcW w:w="560" w:type="dxa"/>
            <w:vAlign w:val="bottom"/>
          </w:tcPr>
          <w:p>
            <w:pPr>
              <w:spacing w:after="0"/>
              <w:rPr>
                <w:sz w:val="23"/>
                <w:szCs w:val="23"/>
                <w:color w:val="auto"/>
              </w:rPr>
            </w:pP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Unrecognized net (gain) loss</w:t>
            </w:r>
          </w:p>
        </w:tc>
        <w:tc>
          <w:tcPr>
            <w:tcW w:w="24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(453)</w:t>
            </w:r>
          </w:p>
        </w:tc>
        <w:tc>
          <w:tcPr>
            <w:tcW w:w="560" w:type="dxa"/>
            <w:vAlign w:val="bottom"/>
          </w:tcPr>
          <w:p>
            <w:pPr>
              <w:spacing w:after="0"/>
              <w:rPr>
                <w:sz w:val="15"/>
                <w:szCs w:val="15"/>
                <w:color w:val="auto"/>
              </w:rPr>
            </w:pP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207</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Unrecognized prior service cost</w:t>
            </w:r>
          </w:p>
        </w:tc>
        <w:tc>
          <w:tcPr>
            <w:tcW w:w="240" w:type="dxa"/>
            <w:vAlign w:val="bottom"/>
          </w:tcPr>
          <w:p>
            <w:pPr>
              <w:spacing w:after="0"/>
              <w:rPr>
                <w:sz w:val="22"/>
                <w:szCs w:val="22"/>
                <w:color w:val="auto"/>
              </w:rPr>
            </w:pP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(159)</w:t>
            </w:r>
          </w:p>
        </w:tc>
        <w:tc>
          <w:tcPr>
            <w:tcW w:w="560" w:type="dxa"/>
            <w:vAlign w:val="bottom"/>
          </w:tcPr>
          <w:p>
            <w:pPr>
              <w:spacing w:after="0"/>
              <w:rPr>
                <w:sz w:val="22"/>
                <w:szCs w:val="22"/>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(173)</w:t>
            </w:r>
          </w:p>
        </w:tc>
        <w:tc>
          <w:tcPr>
            <w:tcW w:w="0" w:type="dxa"/>
            <w:vAlign w:val="bottom"/>
          </w:tcPr>
          <w:p>
            <w:pPr>
              <w:spacing w:after="0"/>
              <w:rPr>
                <w:sz w:val="1"/>
                <w:szCs w:val="1"/>
                <w:color w:val="auto"/>
              </w:rPr>
            </w:pP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Accrued pension cost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243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w:t>
            </w:r>
          </w:p>
        </w:tc>
        <w:tc>
          <w:tcPr>
            <w:tcW w:w="0" w:type="dxa"/>
            <w:vAlign w:val="bottom"/>
          </w:tcPr>
          <w:p>
            <w:pPr>
              <w:spacing w:after="0"/>
              <w:rPr>
                <w:sz w:val="1"/>
                <w:szCs w:val="1"/>
                <w:color w:val="auto"/>
              </w:rPr>
            </w:pPr>
          </w:p>
        </w:tc>
      </w:tr>
      <w:tr>
        <w:trPr>
          <w:trHeight w:val="358"/>
        </w:trPr>
        <w:tc>
          <w:tcPr>
            <w:tcW w:w="4920" w:type="dxa"/>
            <w:vAlign w:val="bottom"/>
          </w:tcPr>
          <w:p>
            <w:pPr>
              <w:ind w:left="3060"/>
              <w:spacing w:after="0"/>
              <w:rPr>
                <w:sz w:val="20"/>
                <w:szCs w:val="20"/>
                <w:color w:val="auto"/>
              </w:rPr>
            </w:pPr>
            <w:r>
              <w:rPr>
                <w:rFonts w:ascii="Courier New" w:cs="Courier New" w:eastAsia="Courier New" w:hAnsi="Courier New"/>
                <w:sz w:val="16"/>
                <w:szCs w:val="16"/>
                <w:color w:val="auto"/>
              </w:rPr>
              <w:t>F-16</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3619"/>
        <w:spacing w:after="0" w:line="342" w:lineRule="auto"/>
        <w:rPr>
          <w:sz w:val="20"/>
          <w:szCs w:val="20"/>
          <w:color w:val="auto"/>
        </w:rPr>
      </w:pPr>
      <w:r>
        <w:rPr>
          <w:rFonts w:ascii="Courier New" w:cs="Courier New" w:eastAsia="Courier New" w:hAnsi="Courier New"/>
          <w:sz w:val="16"/>
          <w:szCs w:val="16"/>
          <w:color w:val="auto"/>
        </w:rPr>
        <w:t>Significant assumptions used in determining pension obligations and the related pension expense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80" w:type="dxa"/>
            <w:vAlign w:val="bottom"/>
          </w:tcPr>
          <w:p>
            <w:pPr>
              <w:spacing w:after="0"/>
              <w:rPr>
                <w:sz w:val="22"/>
                <w:szCs w:val="22"/>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c>
          <w:tcPr>
            <w:tcW w:w="0" w:type="dxa"/>
            <w:vAlign w:val="bottom"/>
          </w:tcPr>
          <w:p>
            <w:pPr>
              <w:spacing w:after="0"/>
              <w:rPr>
                <w:sz w:val="1"/>
                <w:szCs w:val="1"/>
                <w:color w:val="auto"/>
              </w:rPr>
            </w:pPr>
          </w:p>
        </w:tc>
      </w:tr>
      <w:tr>
        <w:trPr>
          <w:trHeight w:val="276"/>
        </w:trPr>
        <w:tc>
          <w:tcPr>
            <w:tcW w:w="4080" w:type="dxa"/>
            <w:vAlign w:val="bottom"/>
          </w:tcPr>
          <w:p>
            <w:pPr>
              <w:spacing w:after="0"/>
              <w:rPr>
                <w:sz w:val="20"/>
                <w:szCs w:val="20"/>
                <w:color w:val="auto"/>
              </w:rPr>
            </w:pPr>
            <w:r>
              <w:rPr>
                <w:rFonts w:ascii="Courier New" w:cs="Courier New" w:eastAsia="Courier New" w:hAnsi="Courier New"/>
                <w:sz w:val="16"/>
                <w:szCs w:val="16"/>
                <w:color w:val="auto"/>
              </w:rPr>
              <w:t>Weighted average discount rate</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Expected long-term rate of return</w:t>
            </w:r>
          </w:p>
        </w:tc>
        <w:tc>
          <w:tcPr>
            <w:tcW w:w="14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9%</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79"/>
        </w:trPr>
        <w:tc>
          <w:tcPr>
            <w:tcW w:w="40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on plan assets</w:t>
            </w:r>
          </w:p>
        </w:tc>
        <w:tc>
          <w:tcPr>
            <w:tcW w:w="14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spacing w:after="0" w:line="179" w:lineRule="exact"/>
              <w:rPr>
                <w:sz w:val="20"/>
                <w:szCs w:val="20"/>
                <w:color w:val="auto"/>
              </w:rPr>
            </w:pPr>
            <w:r>
              <w:rPr>
                <w:rFonts w:ascii="Courier New" w:cs="Courier New" w:eastAsia="Courier New" w:hAnsi="Courier New"/>
                <w:sz w:val="16"/>
                <w:szCs w:val="16"/>
                <w:color w:val="auto"/>
              </w:rPr>
              <w:t>Projected rate of increase in future</w:t>
            </w:r>
          </w:p>
        </w:tc>
        <w:tc>
          <w:tcPr>
            <w:tcW w:w="140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6%</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261"/>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compensation levels</w:t>
            </w:r>
          </w:p>
        </w:tc>
        <w:tc>
          <w:tcPr>
            <w:tcW w:w="140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439"/>
        <w:spacing w:after="0" w:line="342" w:lineRule="auto"/>
        <w:rPr>
          <w:sz w:val="20"/>
          <w:szCs w:val="20"/>
          <w:color w:val="auto"/>
        </w:rPr>
      </w:pPr>
      <w:r>
        <w:rPr>
          <w:rFonts w:ascii="Courier New" w:cs="Courier New" w:eastAsia="Courier New" w:hAnsi="Courier New"/>
          <w:sz w:val="16"/>
          <w:szCs w:val="16"/>
          <w:color w:val="auto"/>
        </w:rPr>
        <w:t>The Company also sponsors a savings and investment plan ("401K plan") for certain salaried U.S. employees. Participants may make voluntary</w:t>
      </w:r>
    </w:p>
    <w:p>
      <w:pPr>
        <w:sectPr>
          <w:pgSz w:w="11900" w:h="16931" w:orient="portrait"/>
          <w:cols w:equalWidth="0" w:num="1">
            <w:col w:w="10219"/>
          </w:cols>
          <w:pgMar w:left="240" w:top="111" w:right="1440" w:bottom="0" w:gutter="0" w:footer="0" w:header="0"/>
        </w:sectPr>
      </w:pPr>
    </w:p>
    <w:bookmarkStart w:id="16" w:name="page17"/>
    <w:bookmarkEnd w:id="16"/>
    <w:p>
      <w:pPr>
        <w:ind w:right="3619"/>
        <w:spacing w:after="0" w:line="309" w:lineRule="auto"/>
        <w:rPr>
          <w:sz w:val="20"/>
          <w:szCs w:val="20"/>
          <w:color w:val="auto"/>
        </w:rPr>
      </w:pPr>
      <w:r>
        <w:rPr>
          <w:rFonts w:ascii="Courier New" w:cs="Courier New" w:eastAsia="Courier New" w:hAnsi="Courier New"/>
          <w:sz w:val="14"/>
          <w:szCs w:val="14"/>
          <w:color w:val="auto"/>
        </w:rPr>
        <w:t>contributions to the plan between 2% and 16% of their compensation (as defined). The Company contributes the lesser of 50% of each participant's contribution or 3% of each participant's compensation (as defined). Company contributions during the periods ended December 16, 1993 and December 31, 1992 were $275,000 and $313,000, respectively.</w:t>
      </w:r>
    </w:p>
    <w:p>
      <w:pPr>
        <w:spacing w:after="0" w:line="52"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6"/>
          <w:szCs w:val="16"/>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 SFAS No. 112 no later than 1995. Management is currently evaluating the provisions of SFAS No. 112 and, at this time, the effect of adopting SFAS No. 112 has not been determined.</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 AND CONTINGENCIES</w:t>
      </w:r>
    </w:p>
    <w:p>
      <w:pPr>
        <w:spacing w:after="0" w:line="177" w:lineRule="exact"/>
        <w:rPr>
          <w:sz w:val="20"/>
          <w:szCs w:val="20"/>
          <w:color w:val="auto"/>
        </w:rPr>
      </w:pPr>
    </w:p>
    <w:p>
      <w:pPr>
        <w:ind w:right="3439"/>
        <w:spacing w:after="0" w:line="301" w:lineRule="auto"/>
        <w:rPr>
          <w:sz w:val="20"/>
          <w:szCs w:val="20"/>
          <w:color w:val="auto"/>
        </w:rPr>
      </w:pPr>
      <w:r>
        <w:rPr>
          <w:rFonts w:ascii="Courier New" w:cs="Courier New" w:eastAsia="Courier New" w:hAnsi="Courier New"/>
          <w:sz w:val="14"/>
          <w:szCs w:val="14"/>
          <w:color w:val="auto"/>
        </w:rPr>
        <w:t>The Company is involved in various lawsuits and claims that arise in the normal course of business. In the opinion of management, these claims individually and in the aggregate are not expected to result in a material adverse effect on the Company's financial position or results of operations, however, there can be no assurance that future results will not be materially affected by the final resolution of the matters.</w:t>
      </w:r>
    </w:p>
    <w:p>
      <w:pPr>
        <w:spacing w:after="0" w:line="59" w:lineRule="exact"/>
        <w:rPr>
          <w:sz w:val="20"/>
          <w:szCs w:val="20"/>
          <w:color w:val="auto"/>
        </w:rPr>
      </w:pPr>
    </w:p>
    <w:p>
      <w:pPr>
        <w:ind w:right="3439"/>
        <w:spacing w:after="0" w:line="301" w:lineRule="auto"/>
        <w:rPr>
          <w:sz w:val="20"/>
          <w:szCs w:val="20"/>
          <w:color w:val="auto"/>
        </w:rPr>
      </w:pPr>
      <w:r>
        <w:rPr>
          <w:rFonts w:ascii="Courier New" w:cs="Courier New" w:eastAsia="Courier New" w:hAnsi="Courier New"/>
          <w:sz w:val="14"/>
          <w:szCs w:val="14"/>
          <w:color w:val="auto"/>
        </w:rPr>
        <w:t>Grace-Sierra has been named as a Potentially Responsible Party ("PRP") in an environmental contamination action in connection with a landfill near Allentown, Pennsylvania.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59"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6"/>
          <w:szCs w:val="16"/>
          <w:color w:val="auto"/>
        </w:rPr>
        <w:t>The Company has been named as a PRP at a location in Newark, California where commercial barrels were cleaned. A voluntary effort has been implemented by the Company and other PRP's to remediate the location. Under the current plan, the remediation costs are to be allocated based upon the pro-rata share of barrels sent to the location. The cost to the Company is expected to be approximately $75,000, which has been accrued in the financial statements.</w:t>
      </w:r>
    </w:p>
    <w:p>
      <w:pPr>
        <w:spacing w:after="0" w:line="88" w:lineRule="exact"/>
        <w:rPr>
          <w:sz w:val="20"/>
          <w:szCs w:val="20"/>
          <w:color w:val="auto"/>
        </w:rPr>
      </w:pPr>
    </w:p>
    <w:p>
      <w:pPr>
        <w:ind w:right="3519"/>
        <w:spacing w:after="0" w:line="287" w:lineRule="auto"/>
        <w:rPr>
          <w:sz w:val="20"/>
          <w:szCs w:val="20"/>
          <w:color w:val="auto"/>
        </w:rPr>
      </w:pPr>
      <w:r>
        <w:rPr>
          <w:rFonts w:ascii="Courier New" w:cs="Courier New" w:eastAsia="Courier New" w:hAnsi="Courier New"/>
          <w:sz w:val="14"/>
          <w:szCs w:val="14"/>
          <w:color w:val="auto"/>
        </w:rPr>
        <w:t>In addition to being named as PRP's in the above noted situations, the Company is subject to potential fines in connection with certain EPA labeling violations under the Federal Insecticide, Fungicide and Rodenticide Act (FIFRA). The fines for such violations are based upon formulas as stated in FIFRA. As determined by these formulas the Company's maximum exposure for the violations is approximately $810,000. The formulas allow for certain reductions of the fines based upon achievable levels of compliance. Based upon management's anticipated levels of compliance, they estimate the Company's ultimate liability to be $200,000, which has been accrued in the financial statements.</w:t>
      </w:r>
    </w:p>
    <w:p>
      <w:pPr>
        <w:spacing w:after="0" w:line="7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PRO FORMA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99" w:firstLine="465"/>
        <w:spacing w:after="0" w:line="254" w:lineRule="auto"/>
        <w:rPr>
          <w:sz w:val="20"/>
          <w:szCs w:val="20"/>
          <w:color w:val="auto"/>
        </w:rPr>
      </w:pPr>
      <w:r>
        <w:rPr>
          <w:rFonts w:ascii="Courier New" w:cs="Courier New" w:eastAsia="Courier New" w:hAnsi="Courier New"/>
          <w:sz w:val="16"/>
          <w:szCs w:val="16"/>
          <w:color w:val="auto"/>
        </w:rPr>
        <w:t>The following unaudited Pro Forma Consolidated Statements of Income gives effect to the acquisition of the Grace-Sierra Horticultural Products Company ("Grace-Sierra") as if the transaction, which occurred on December 16, 1993, had taken place on October 1, 1992. The following unaudited Pro Forma Consolidated Balance Sheet gives effect to the acquisition as if the transaction had occurred on January 1, 1994.</w:t>
      </w:r>
    </w:p>
    <w:p>
      <w:pPr>
        <w:spacing w:after="0" w:line="88" w:lineRule="exact"/>
        <w:rPr>
          <w:sz w:val="20"/>
          <w:szCs w:val="20"/>
          <w:color w:val="auto"/>
        </w:rPr>
      </w:pPr>
    </w:p>
    <w:p>
      <w:pPr>
        <w:ind w:right="3999" w:firstLine="465"/>
        <w:spacing w:after="0" w:line="254" w:lineRule="auto"/>
        <w:rPr>
          <w:sz w:val="20"/>
          <w:szCs w:val="20"/>
          <w:color w:val="auto"/>
        </w:rPr>
      </w:pPr>
      <w:r>
        <w:rPr>
          <w:rFonts w:ascii="Courier New" w:cs="Courier New" w:eastAsia="Courier New" w:hAnsi="Courier New"/>
          <w:sz w:val="16"/>
          <w:szCs w:val="16"/>
          <w:color w:val="auto"/>
        </w:rPr>
        <w:t>The unaudited pro forma consolidated financial statements should be read in conjunction with the accompanying historical financial statements located elsewhere herein. These statements do not purport to be indicative of the results of operations which actually would have occurred had the acquisition taken place on October 1, 1992 nor do they purport to indicate the results of future operations of The Scotts Company.</w:t>
      </w:r>
    </w:p>
    <w:p>
      <w:pPr>
        <w:sectPr>
          <w:pgSz w:w="11900" w:h="16838" w:orient="portrait"/>
          <w:cols w:equalWidth="0" w:num="1">
            <w:col w:w="10219"/>
          </w:cols>
          <w:pgMar w:left="240" w:top="114" w:right="1440" w:bottom="1440" w:gutter="0" w:footer="0" w:header="0"/>
        </w:sectPr>
      </w:pPr>
    </w:p>
    <w:bookmarkStart w:id="17" w:name="page18"/>
    <w:bookmarkEnd w:id="17"/>
    <w:p>
      <w:pPr>
        <w:ind w:left="3065"/>
        <w:spacing w:after="0"/>
        <w:rPr>
          <w:sz w:val="20"/>
          <w:szCs w:val="20"/>
          <w:color w:val="auto"/>
        </w:rPr>
      </w:pPr>
      <w:r>
        <w:rPr>
          <w:rFonts w:ascii="Courier New" w:cs="Courier New" w:eastAsia="Courier New" w:hAnsi="Courier New"/>
          <w:sz w:val="16"/>
          <w:szCs w:val="16"/>
          <w:color w:val="auto"/>
        </w:rPr>
        <w:t>F-18</w:t>
      </w:r>
    </w:p>
    <w:p>
      <w:pPr>
        <w:spacing w:after="0" w:line="200" w:lineRule="exact"/>
        <w:rPr>
          <w:sz w:val="20"/>
          <w:szCs w:val="20"/>
          <w:color w:val="auto"/>
        </w:rPr>
      </w:pPr>
    </w:p>
    <w:p>
      <w:pPr>
        <w:spacing w:after="0" w:line="334"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77" w:lineRule="exact"/>
        <w:rPr>
          <w:sz w:val="20"/>
          <w:szCs w:val="20"/>
          <w:color w:val="auto"/>
        </w:rPr>
      </w:pPr>
    </w:p>
    <w:p>
      <w:pPr>
        <w:jc w:val="center"/>
        <w:ind w:right="1675"/>
        <w:spacing w:after="0"/>
        <w:rPr>
          <w:sz w:val="20"/>
          <w:szCs w:val="20"/>
          <w:color w:val="auto"/>
        </w:rPr>
      </w:pPr>
      <w:r>
        <w:rPr>
          <w:rFonts w:ascii="Courier New" w:cs="Courier New" w:eastAsia="Courier New" w:hAnsi="Courier New"/>
          <w:sz w:val="16"/>
          <w:szCs w:val="16"/>
          <w:color w:val="auto"/>
        </w:rPr>
        <w:t>Pro Forma Consolidated Statement of Income</w:t>
      </w:r>
    </w:p>
    <w:p>
      <w:pPr>
        <w:spacing w:after="0" w:line="23" w:lineRule="exact"/>
        <w:rPr>
          <w:sz w:val="20"/>
          <w:szCs w:val="20"/>
          <w:color w:val="auto"/>
        </w:rPr>
      </w:pPr>
    </w:p>
    <w:p>
      <w:pPr>
        <w:jc w:val="center"/>
        <w:ind w:right="1755"/>
        <w:spacing w:after="0"/>
        <w:rPr>
          <w:sz w:val="20"/>
          <w:szCs w:val="20"/>
          <w:color w:val="auto"/>
        </w:rPr>
      </w:pPr>
      <w:r>
        <w:rPr>
          <w:rFonts w:ascii="Courier New" w:cs="Courier New" w:eastAsia="Courier New" w:hAnsi="Courier New"/>
          <w:sz w:val="16"/>
          <w:szCs w:val="16"/>
          <w:color w:val="auto"/>
        </w:rPr>
        <w:t>For the Year Ended September 30, 1993</w:t>
      </w:r>
    </w:p>
    <w:p>
      <w:pPr>
        <w:jc w:val="center"/>
        <w:ind w:right="1755"/>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(in thousands except share data)</w:t>
      </w:r>
    </w:p>
    <w:p>
      <w:pPr>
        <w:spacing w:after="0" w:line="200" w:lineRule="exact"/>
        <w:rPr>
          <w:sz w:val="20"/>
          <w:szCs w:val="20"/>
          <w:color w:val="auto"/>
        </w:rPr>
      </w:pPr>
    </w:p>
    <w:p>
      <w:pPr>
        <w:spacing w:after="0" w:line="332"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70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Scotts</w:t>
            </w:r>
          </w:p>
        </w:tc>
        <w:tc>
          <w:tcPr>
            <w:tcW w:w="1680" w:type="dxa"/>
            <w:vAlign w:val="bottom"/>
            <w:gridSpan w:val="2"/>
            <w:vMerge w:val="restart"/>
          </w:tcPr>
          <w:p>
            <w:pPr>
              <w:jc w:val="right"/>
              <w:ind w:right="202"/>
              <w:spacing w:after="0"/>
              <w:rPr>
                <w:sz w:val="20"/>
                <w:szCs w:val="20"/>
                <w:color w:val="auto"/>
              </w:rPr>
            </w:pPr>
            <w:r>
              <w:rPr>
                <w:rFonts w:ascii="Courier New" w:cs="Courier New" w:eastAsia="Courier New" w:hAnsi="Courier New"/>
                <w:sz w:val="16"/>
                <w:szCs w:val="16"/>
                <w:color w:val="auto"/>
              </w:rPr>
              <w:t>Grace-Sierra</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2"/>
              </w:rPr>
              <w:t>Company</w:t>
            </w:r>
          </w:p>
        </w:tc>
        <w:tc>
          <w:tcPr>
            <w:tcW w:w="16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spacing w:after="0"/>
              <w:rPr>
                <w:sz w:val="20"/>
                <w:szCs w:val="20"/>
                <w:color w:val="auto"/>
              </w:rPr>
            </w:pPr>
            <w:r>
              <w:rPr>
                <w:rFonts w:ascii="Courier New" w:cs="Courier New" w:eastAsia="Courier New" w:hAnsi="Courier New"/>
                <w:sz w:val="16"/>
                <w:szCs w:val="16"/>
                <w:color w:val="auto"/>
                <w:w w:val="94"/>
              </w:rPr>
              <w:t>Pro Forma</w:t>
            </w: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13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Historical</w:t>
            </w:r>
          </w:p>
        </w:tc>
        <w:tc>
          <w:tcPr>
            <w:tcW w:w="168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Historical</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for the</w:t>
            </w:r>
          </w:p>
        </w:tc>
        <w:tc>
          <w:tcPr>
            <w:tcW w:w="480" w:type="dxa"/>
            <w:vAlign w:val="bottom"/>
          </w:tcPr>
          <w:p>
            <w:pPr>
              <w:spacing w:after="0"/>
              <w:rPr>
                <w:sz w:val="15"/>
                <w:szCs w:val="15"/>
                <w:color w:val="auto"/>
              </w:rPr>
            </w:pP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for the</w:t>
            </w:r>
          </w:p>
        </w:tc>
        <w:tc>
          <w:tcPr>
            <w:tcW w:w="1220" w:type="dxa"/>
            <w:vAlign w:val="bottom"/>
            <w:gridSpan w:val="2"/>
            <w:vMerge w:val="restart"/>
          </w:tcPr>
          <w:p>
            <w:pPr>
              <w:ind w:left="280"/>
              <w:spacing w:after="0"/>
              <w:rPr>
                <w:sz w:val="20"/>
                <w:szCs w:val="20"/>
                <w:color w:val="auto"/>
              </w:rPr>
            </w:pPr>
            <w:r>
              <w:rPr>
                <w:rFonts w:ascii="Courier New" w:cs="Courier New" w:eastAsia="Courier New" w:hAnsi="Courier New"/>
                <w:sz w:val="16"/>
                <w:szCs w:val="16"/>
                <w:color w:val="auto"/>
              </w:rPr>
              <w:t>Pro Forma</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for the</w:t>
            </w: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13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Year Ended</w:t>
            </w:r>
          </w:p>
        </w:tc>
        <w:tc>
          <w:tcPr>
            <w:tcW w:w="168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Year Ended</w:t>
            </w: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5"/>
              </w:rPr>
              <w:t>Year Ended</w:t>
            </w:r>
          </w:p>
        </w:tc>
        <w:tc>
          <w:tcPr>
            <w:tcW w:w="0" w:type="dxa"/>
            <w:vAlign w:val="bottom"/>
          </w:tcPr>
          <w:p>
            <w:pPr>
              <w:spacing w:after="0"/>
              <w:rPr>
                <w:sz w:val="1"/>
                <w:szCs w:val="1"/>
                <w:color w:val="auto"/>
              </w:rPr>
            </w:pPr>
          </w:p>
        </w:tc>
      </w:tr>
      <w:tr>
        <w:trPr>
          <w:trHeight w:val="261"/>
        </w:trPr>
        <w:tc>
          <w:tcPr>
            <w:tcW w:w="2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2"/>
              </w:rPr>
              <w:t>9/30/93</w:t>
            </w:r>
          </w:p>
        </w:tc>
        <w:tc>
          <w:tcPr>
            <w:tcW w:w="48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Courier New" w:cs="Courier New" w:eastAsia="Courier New" w:hAnsi="Courier New"/>
                <w:sz w:val="16"/>
                <w:szCs w:val="16"/>
                <w:color w:val="auto"/>
              </w:rPr>
              <w:t>9/30/93 (a)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Courier New" w:cs="Courier New" w:eastAsia="Courier New" w:hAnsi="Courier New"/>
                <w:sz w:val="16"/>
                <w:szCs w:val="16"/>
                <w:color w:val="auto"/>
              </w:rPr>
              <w:t>9/30/93</w:t>
            </w: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466,043</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119,275</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0"/>
              </w:rPr>
              <w:t>(1)</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585,318</w:t>
            </w:r>
          </w:p>
        </w:tc>
        <w:tc>
          <w:tcPr>
            <w:tcW w:w="0" w:type="dxa"/>
            <w:vAlign w:val="bottom"/>
          </w:tcPr>
          <w:p>
            <w:pPr>
              <w:spacing w:after="0"/>
              <w:rPr>
                <w:sz w:val="1"/>
                <w:szCs w:val="1"/>
                <w:color w:val="auto"/>
              </w:rPr>
            </w:pPr>
          </w:p>
        </w:tc>
      </w:tr>
      <w:tr>
        <w:trPr>
          <w:trHeight w:val="261"/>
        </w:trPr>
        <w:tc>
          <w:tcPr>
            <w:tcW w:w="27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80" w:type="dxa"/>
            <w:vAlign w:val="bottom"/>
          </w:tcPr>
          <w:p>
            <w:pPr>
              <w:spacing w:after="0"/>
              <w:rPr>
                <w:sz w:val="22"/>
                <w:szCs w:val="22"/>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244,218</w:t>
            </w:r>
          </w:p>
        </w:tc>
        <w:tc>
          <w:tcPr>
            <w:tcW w:w="480" w:type="dxa"/>
            <w:vAlign w:val="bottom"/>
          </w:tcPr>
          <w:p>
            <w:pPr>
              <w:spacing w:after="0"/>
              <w:rPr>
                <w:sz w:val="22"/>
                <w:szCs w:val="22"/>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66,135</w:t>
            </w:r>
          </w:p>
        </w:tc>
        <w:tc>
          <w:tcPr>
            <w:tcW w:w="420" w:type="dxa"/>
            <w:vAlign w:val="bottom"/>
          </w:tcPr>
          <w:p>
            <w:pPr>
              <w:spacing w:after="0"/>
              <w:rPr>
                <w:sz w:val="22"/>
                <w:szCs w:val="22"/>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1,249</w:t>
            </w:r>
          </w:p>
        </w:tc>
        <w:tc>
          <w:tcPr>
            <w:tcW w:w="2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311,602</w:t>
            </w:r>
          </w:p>
        </w:tc>
        <w:tc>
          <w:tcPr>
            <w:tcW w:w="0" w:type="dxa"/>
            <w:vAlign w:val="bottom"/>
          </w:tcPr>
          <w:p>
            <w:pPr>
              <w:spacing w:after="0"/>
              <w:rPr>
                <w:sz w:val="1"/>
                <w:szCs w:val="1"/>
                <w:color w:val="auto"/>
              </w:rPr>
            </w:pPr>
          </w:p>
        </w:tc>
      </w:tr>
      <w:tr>
        <w:trPr>
          <w:trHeight w:val="358"/>
        </w:trPr>
        <w:tc>
          <w:tcPr>
            <w:tcW w:w="2700" w:type="dxa"/>
            <w:vAlign w:val="bottom"/>
          </w:tcPr>
          <w:p>
            <w:pPr>
              <w:ind w:left="180"/>
              <w:spacing w:after="0"/>
              <w:rPr>
                <w:sz w:val="20"/>
                <w:szCs w:val="20"/>
                <w:color w:val="auto"/>
              </w:rPr>
            </w:pPr>
            <w:r>
              <w:rPr>
                <w:rFonts w:ascii="Courier New" w:cs="Courier New" w:eastAsia="Courier New" w:hAnsi="Courier New"/>
                <w:sz w:val="16"/>
                <w:szCs w:val="16"/>
                <w:color w:val="auto"/>
              </w:rPr>
              <w:t>Gross profit</w:t>
            </w:r>
          </w:p>
        </w:tc>
        <w:tc>
          <w:tcPr>
            <w:tcW w:w="280" w:type="dxa"/>
            <w:vAlign w:val="bottom"/>
          </w:tcPr>
          <w:p>
            <w:pPr>
              <w:spacing w:after="0"/>
              <w:rPr>
                <w:sz w:val="24"/>
                <w:szCs w:val="24"/>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221,825</w:t>
            </w:r>
          </w:p>
        </w:tc>
        <w:tc>
          <w:tcPr>
            <w:tcW w:w="480" w:type="dxa"/>
            <w:vAlign w:val="bottom"/>
          </w:tcPr>
          <w:p>
            <w:pPr>
              <w:spacing w:after="0"/>
              <w:rPr>
                <w:sz w:val="24"/>
                <w:szCs w:val="24"/>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53,140</w:t>
            </w:r>
          </w:p>
        </w:tc>
        <w:tc>
          <w:tcPr>
            <w:tcW w:w="4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(1,249)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273,716</w:t>
            </w: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23"/>
                <w:szCs w:val="23"/>
                <w:color w:val="auto"/>
              </w:rPr>
            </w:pPr>
          </w:p>
        </w:tc>
        <w:tc>
          <w:tcPr>
            <w:tcW w:w="11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74,579</w:t>
            </w:r>
          </w:p>
        </w:tc>
        <w:tc>
          <w:tcPr>
            <w:tcW w:w="480" w:type="dxa"/>
            <w:vAlign w:val="bottom"/>
          </w:tcPr>
          <w:p>
            <w:pPr>
              <w:spacing w:after="0"/>
              <w:rPr>
                <w:sz w:val="23"/>
                <w:szCs w:val="23"/>
                <w:color w:val="auto"/>
              </w:rPr>
            </w:pPr>
          </w:p>
        </w:tc>
        <w:tc>
          <w:tcPr>
            <w:tcW w:w="12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23,243</w:t>
            </w:r>
          </w:p>
        </w:tc>
        <w:tc>
          <w:tcPr>
            <w:tcW w:w="420" w:type="dxa"/>
            <w:vAlign w:val="bottom"/>
          </w:tcPr>
          <w:p>
            <w:pPr>
              <w:spacing w:after="0"/>
              <w:rPr>
                <w:sz w:val="23"/>
                <w:szCs w:val="23"/>
                <w:color w:val="auto"/>
              </w:rPr>
            </w:pPr>
          </w:p>
        </w:tc>
        <w:tc>
          <w:tcPr>
            <w:tcW w:w="80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97,822</w:t>
            </w:r>
          </w:p>
        </w:tc>
        <w:tc>
          <w:tcPr>
            <w:tcW w:w="0" w:type="dxa"/>
            <w:vAlign w:val="bottom"/>
          </w:tcPr>
          <w:p>
            <w:pPr>
              <w:spacing w:after="0"/>
              <w:rPr>
                <w:sz w:val="1"/>
                <w:szCs w:val="1"/>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Marketing</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Distribution</w:t>
            </w:r>
          </w:p>
        </w:tc>
        <w:tc>
          <w:tcPr>
            <w:tcW w:w="28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67,377</w:t>
            </w:r>
          </w:p>
        </w:tc>
        <w:tc>
          <w:tcPr>
            <w:tcW w:w="48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4,025</w:t>
            </w:r>
          </w:p>
        </w:tc>
        <w:tc>
          <w:tcPr>
            <w:tcW w:w="420" w:type="dxa"/>
            <w:vAlign w:val="bottom"/>
          </w:tcPr>
          <w:p>
            <w:pPr>
              <w:spacing w:after="0"/>
              <w:rPr>
                <w:sz w:val="15"/>
                <w:szCs w:val="15"/>
                <w:color w:val="auto"/>
              </w:rPr>
            </w:pPr>
          </w:p>
        </w:tc>
        <w:tc>
          <w:tcPr>
            <w:tcW w:w="8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0"/>
              </w:rPr>
              <w:t>(2)</w:t>
            </w: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71,402</w:t>
            </w:r>
          </w:p>
        </w:tc>
        <w:tc>
          <w:tcPr>
            <w:tcW w:w="0" w:type="dxa"/>
            <w:vAlign w:val="bottom"/>
          </w:tcPr>
          <w:p>
            <w:pPr>
              <w:spacing w:after="0"/>
              <w:rPr>
                <w:sz w:val="1"/>
                <w:szCs w:val="1"/>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280" w:type="dxa"/>
            <w:vAlign w:val="bottom"/>
          </w:tcPr>
          <w:p>
            <w:pPr>
              <w:spacing w:after="0"/>
              <w:rPr>
                <w:sz w:val="15"/>
                <w:szCs w:val="15"/>
                <w:color w:val="auto"/>
              </w:rPr>
            </w:pP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27,688</w:t>
            </w:r>
          </w:p>
        </w:tc>
        <w:tc>
          <w:tcPr>
            <w:tcW w:w="48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8,837</w:t>
            </w:r>
          </w:p>
        </w:tc>
        <w:tc>
          <w:tcPr>
            <w:tcW w:w="420" w:type="dxa"/>
            <w:vAlign w:val="bottom"/>
          </w:tcPr>
          <w:p>
            <w:pPr>
              <w:spacing w:after="0"/>
              <w:rPr>
                <w:sz w:val="15"/>
                <w:szCs w:val="15"/>
                <w:color w:val="auto"/>
              </w:rPr>
            </w:pPr>
          </w:p>
        </w:tc>
        <w:tc>
          <w:tcPr>
            <w:tcW w:w="8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164</w:t>
            </w:r>
          </w:p>
        </w:tc>
        <w:tc>
          <w:tcPr>
            <w:tcW w:w="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36,689</w:t>
            </w:r>
          </w:p>
        </w:tc>
        <w:tc>
          <w:tcPr>
            <w:tcW w:w="0" w:type="dxa"/>
            <w:vAlign w:val="bottom"/>
          </w:tcPr>
          <w:p>
            <w:pPr>
              <w:spacing w:after="0"/>
              <w:rPr>
                <w:sz w:val="1"/>
                <w:szCs w:val="1"/>
                <w:color w:val="auto"/>
              </w:rPr>
            </w:pPr>
          </w:p>
        </w:tc>
      </w:tr>
      <w:tr>
        <w:trPr>
          <w:trHeight w:val="261"/>
        </w:trPr>
        <w:tc>
          <w:tcPr>
            <w:tcW w:w="270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280" w:type="dxa"/>
            <w:vAlign w:val="bottom"/>
          </w:tcPr>
          <w:p>
            <w:pPr>
              <w:spacing w:after="0"/>
              <w:rPr>
                <w:sz w:val="22"/>
                <w:szCs w:val="22"/>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7,700</w:t>
            </w:r>
          </w:p>
        </w:tc>
        <w:tc>
          <w:tcPr>
            <w:tcW w:w="480" w:type="dxa"/>
            <w:vAlign w:val="bottom"/>
          </w:tcPr>
          <w:p>
            <w:pPr>
              <w:spacing w:after="0"/>
              <w:rPr>
                <w:sz w:val="22"/>
                <w:szCs w:val="22"/>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4,114</w:t>
            </w:r>
          </w:p>
        </w:tc>
        <w:tc>
          <w:tcPr>
            <w:tcW w:w="420" w:type="dxa"/>
            <w:vAlign w:val="bottom"/>
          </w:tcPr>
          <w:p>
            <w:pPr>
              <w:spacing w:after="0"/>
              <w:rPr>
                <w:sz w:val="22"/>
                <w:szCs w:val="22"/>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11,814</w:t>
            </w:r>
          </w:p>
        </w:tc>
        <w:tc>
          <w:tcPr>
            <w:tcW w:w="0" w:type="dxa"/>
            <w:vAlign w:val="bottom"/>
          </w:tcPr>
          <w:p>
            <w:pPr>
              <w:spacing w:after="0"/>
              <w:rPr>
                <w:sz w:val="1"/>
                <w:szCs w:val="1"/>
                <w:color w:val="auto"/>
              </w:rPr>
            </w:pPr>
          </w:p>
        </w:tc>
      </w:tr>
      <w:tr>
        <w:trPr>
          <w:trHeight w:val="358"/>
        </w:trPr>
        <w:tc>
          <w:tcPr>
            <w:tcW w:w="2700" w:type="dxa"/>
            <w:vAlign w:val="bottom"/>
          </w:tcPr>
          <w:p>
            <w:pPr>
              <w:ind w:left="360"/>
              <w:spacing w:after="0"/>
              <w:rPr>
                <w:sz w:val="20"/>
                <w:szCs w:val="20"/>
                <w:color w:val="auto"/>
              </w:rPr>
            </w:pPr>
            <w:r>
              <w:rPr>
                <w:rFonts w:ascii="Courier New" w:cs="Courier New" w:eastAsia="Courier New" w:hAnsi="Courier New"/>
                <w:sz w:val="16"/>
                <w:szCs w:val="16"/>
                <w:color w:val="auto"/>
              </w:rPr>
              <w:t>Total operating expenses</w:t>
            </w:r>
          </w:p>
        </w:tc>
        <w:tc>
          <w:tcPr>
            <w:tcW w:w="280" w:type="dxa"/>
            <w:vAlign w:val="bottom"/>
          </w:tcPr>
          <w:p>
            <w:pPr>
              <w:spacing w:after="0"/>
              <w:rPr>
                <w:sz w:val="24"/>
                <w:szCs w:val="24"/>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177,344</w:t>
            </w:r>
          </w:p>
        </w:tc>
        <w:tc>
          <w:tcPr>
            <w:tcW w:w="480" w:type="dxa"/>
            <w:vAlign w:val="bottom"/>
          </w:tcPr>
          <w:p>
            <w:pPr>
              <w:spacing w:after="0"/>
              <w:rPr>
                <w:sz w:val="24"/>
                <w:szCs w:val="24"/>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40,219</w:t>
            </w:r>
          </w:p>
        </w:tc>
        <w:tc>
          <w:tcPr>
            <w:tcW w:w="420" w:type="dxa"/>
            <w:vAlign w:val="bottom"/>
          </w:tcPr>
          <w:p>
            <w:pPr>
              <w:spacing w:after="0"/>
              <w:rPr>
                <w:sz w:val="24"/>
                <w:szCs w:val="24"/>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217,727</w:t>
            </w:r>
          </w:p>
        </w:tc>
        <w:tc>
          <w:tcPr>
            <w:tcW w:w="0" w:type="dxa"/>
            <w:vAlign w:val="bottom"/>
          </w:tcPr>
          <w:p>
            <w:pPr>
              <w:spacing w:after="0"/>
              <w:rPr>
                <w:sz w:val="1"/>
                <w:szCs w:val="1"/>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80" w:type="dxa"/>
            <w:vAlign w:val="bottom"/>
          </w:tcPr>
          <w:p>
            <w:pPr>
              <w:spacing w:after="0"/>
              <w:rPr>
                <w:sz w:val="24"/>
                <w:szCs w:val="24"/>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44,481</w:t>
            </w:r>
          </w:p>
        </w:tc>
        <w:tc>
          <w:tcPr>
            <w:tcW w:w="480" w:type="dxa"/>
            <w:vAlign w:val="bottom"/>
          </w:tcPr>
          <w:p>
            <w:pPr>
              <w:spacing w:after="0"/>
              <w:rPr>
                <w:sz w:val="24"/>
                <w:szCs w:val="24"/>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12,921</w:t>
            </w:r>
          </w:p>
        </w:tc>
        <w:tc>
          <w:tcPr>
            <w:tcW w:w="4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(1,413)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55,989</w:t>
            </w: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23"/>
                <w:szCs w:val="23"/>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8,454</w:t>
            </w:r>
          </w:p>
        </w:tc>
        <w:tc>
          <w:tcPr>
            <w:tcW w:w="480" w:type="dxa"/>
            <w:vAlign w:val="bottom"/>
          </w:tcPr>
          <w:p>
            <w:pPr>
              <w:spacing w:after="0"/>
              <w:rPr>
                <w:sz w:val="23"/>
                <w:szCs w:val="23"/>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7,514</w:t>
            </w:r>
          </w:p>
        </w:tc>
        <w:tc>
          <w:tcPr>
            <w:tcW w:w="4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(507) (3)</w:t>
            </w:r>
          </w:p>
        </w:tc>
        <w:tc>
          <w:tcPr>
            <w:tcW w:w="1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15,461</w:t>
            </w:r>
          </w:p>
        </w:tc>
        <w:tc>
          <w:tcPr>
            <w:tcW w:w="0" w:type="dxa"/>
            <w:vAlign w:val="bottom"/>
          </w:tcPr>
          <w:p>
            <w:pPr>
              <w:spacing w:after="0"/>
              <w:rPr>
                <w:sz w:val="1"/>
                <w:szCs w:val="1"/>
                <w:color w:val="auto"/>
              </w:rPr>
            </w:pPr>
          </w:p>
        </w:tc>
      </w:tr>
      <w:tr>
        <w:trPr>
          <w:trHeight w:val="261"/>
        </w:trPr>
        <w:tc>
          <w:tcPr>
            <w:tcW w:w="2700" w:type="dxa"/>
            <w:vAlign w:val="bottom"/>
          </w:tcPr>
          <w:p>
            <w:pPr>
              <w:spacing w:after="0"/>
              <w:rPr>
                <w:sz w:val="20"/>
                <w:szCs w:val="20"/>
                <w:color w:val="auto"/>
              </w:rPr>
            </w:pPr>
            <w:r>
              <w:rPr>
                <w:rFonts w:ascii="Courier New" w:cs="Courier New" w:eastAsia="Courier New" w:hAnsi="Courier New"/>
                <w:sz w:val="16"/>
                <w:szCs w:val="16"/>
                <w:color w:val="auto"/>
              </w:rPr>
              <w:t>Other expense, net</w:t>
            </w:r>
          </w:p>
        </w:tc>
        <w:tc>
          <w:tcPr>
            <w:tcW w:w="280" w:type="dxa"/>
            <w:vAlign w:val="bottom"/>
          </w:tcPr>
          <w:p>
            <w:pPr>
              <w:spacing w:after="0"/>
              <w:rPr>
                <w:sz w:val="22"/>
                <w:szCs w:val="22"/>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660</w:t>
            </w:r>
          </w:p>
        </w:tc>
        <w:tc>
          <w:tcPr>
            <w:tcW w:w="480" w:type="dxa"/>
            <w:vAlign w:val="bottom"/>
          </w:tcPr>
          <w:p>
            <w:pPr>
              <w:spacing w:after="0"/>
              <w:rPr>
                <w:sz w:val="22"/>
                <w:szCs w:val="22"/>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1,030</w:t>
            </w:r>
          </w:p>
        </w:tc>
        <w:tc>
          <w:tcPr>
            <w:tcW w:w="420" w:type="dxa"/>
            <w:vAlign w:val="bottom"/>
          </w:tcPr>
          <w:p>
            <w:pPr>
              <w:spacing w:after="0"/>
              <w:rPr>
                <w:sz w:val="22"/>
                <w:szCs w:val="22"/>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2,763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(4)</w:t>
            </w:r>
          </w:p>
        </w:tc>
        <w:tc>
          <w:tcPr>
            <w:tcW w:w="18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4,453</w:t>
            </w: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cumulative effect of</w:t>
            </w:r>
          </w:p>
        </w:tc>
        <w:tc>
          <w:tcPr>
            <w:tcW w:w="280" w:type="dxa"/>
            <w:vAlign w:val="bottom"/>
          </w:tcPr>
          <w:p>
            <w:pPr>
              <w:spacing w:after="0"/>
              <w:rPr>
                <w:sz w:val="15"/>
                <w:szCs w:val="15"/>
                <w:color w:val="auto"/>
              </w:rPr>
            </w:pPr>
          </w:p>
        </w:tc>
        <w:tc>
          <w:tcPr>
            <w:tcW w:w="11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35,367</w:t>
            </w:r>
          </w:p>
        </w:tc>
        <w:tc>
          <w:tcPr>
            <w:tcW w:w="480" w:type="dxa"/>
            <w:vAlign w:val="bottom"/>
          </w:tcPr>
          <w:p>
            <w:pPr>
              <w:spacing w:after="0"/>
              <w:rPr>
                <w:sz w:val="15"/>
                <w:szCs w:val="15"/>
                <w:color w:val="auto"/>
              </w:rPr>
            </w:pPr>
          </w:p>
        </w:tc>
        <w:tc>
          <w:tcPr>
            <w:tcW w:w="12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4,377</w:t>
            </w:r>
          </w:p>
        </w:tc>
        <w:tc>
          <w:tcPr>
            <w:tcW w:w="420" w:type="dxa"/>
            <w:vAlign w:val="bottom"/>
          </w:tcPr>
          <w:p>
            <w:pPr>
              <w:spacing w:after="0"/>
              <w:rPr>
                <w:sz w:val="15"/>
                <w:szCs w:val="15"/>
                <w:color w:val="auto"/>
              </w:rPr>
            </w:pP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(3,669)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36,075</w:t>
            </w:r>
          </w:p>
        </w:tc>
        <w:tc>
          <w:tcPr>
            <w:tcW w:w="0" w:type="dxa"/>
            <w:vAlign w:val="bottom"/>
          </w:tcPr>
          <w:p>
            <w:pPr>
              <w:spacing w:after="0"/>
              <w:rPr>
                <w:sz w:val="1"/>
                <w:szCs w:val="1"/>
                <w:color w:val="auto"/>
              </w:rPr>
            </w:pPr>
          </w:p>
        </w:tc>
      </w:tr>
      <w:tr>
        <w:trPr>
          <w:trHeight w:val="261"/>
        </w:trPr>
        <w:tc>
          <w:tcPr>
            <w:tcW w:w="2700" w:type="dxa"/>
            <w:vAlign w:val="bottom"/>
          </w:tcPr>
          <w:p>
            <w:pPr>
              <w:ind w:left="180"/>
              <w:spacing w:after="0"/>
              <w:rPr>
                <w:sz w:val="20"/>
                <w:szCs w:val="20"/>
                <w:color w:val="auto"/>
              </w:rPr>
            </w:pPr>
            <w:r>
              <w:rPr>
                <w:rFonts w:ascii="Courier New" w:cs="Courier New" w:eastAsia="Courier New" w:hAnsi="Courier New"/>
                <w:sz w:val="16"/>
                <w:szCs w:val="16"/>
                <w:color w:val="auto"/>
              </w:rPr>
              <w:t>accounting changes</w:t>
            </w:r>
          </w:p>
        </w:tc>
        <w:tc>
          <w:tcPr>
            <w:tcW w:w="2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80" w:type="dxa"/>
            <w:vAlign w:val="bottom"/>
          </w:tcPr>
          <w:p>
            <w:pPr>
              <w:spacing w:after="0"/>
              <w:rPr>
                <w:sz w:val="24"/>
                <w:szCs w:val="24"/>
                <w:color w:val="auto"/>
              </w:rPr>
            </w:pPr>
          </w:p>
        </w:tc>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14,320</w:t>
            </w:r>
          </w:p>
        </w:tc>
        <w:tc>
          <w:tcPr>
            <w:tcW w:w="480" w:type="dxa"/>
            <w:vAlign w:val="bottom"/>
          </w:tcPr>
          <w:p>
            <w:pPr>
              <w:spacing w:after="0"/>
              <w:rPr>
                <w:sz w:val="24"/>
                <w:szCs w:val="24"/>
                <w:color w:val="auto"/>
              </w:rPr>
            </w:pP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1,727</w:t>
            </w:r>
          </w:p>
        </w:tc>
        <w:tc>
          <w:tcPr>
            <w:tcW w:w="4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(246) (5)</w:t>
            </w:r>
          </w:p>
        </w:tc>
        <w:tc>
          <w:tcPr>
            <w:tcW w:w="18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15,801</w:t>
            </w: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Income before cumulative</w:t>
            </w:r>
          </w:p>
        </w:tc>
        <w:tc>
          <w:tcPr>
            <w:tcW w:w="280" w:type="dxa"/>
            <w:vAlign w:val="bottom"/>
          </w:tcPr>
          <w:p>
            <w:pPr>
              <w:spacing w:after="0"/>
              <w:rPr>
                <w:sz w:val="23"/>
                <w:szCs w:val="23"/>
                <w:color w:val="auto"/>
              </w:rPr>
            </w:pPr>
          </w:p>
        </w:tc>
        <w:tc>
          <w:tcPr>
            <w:tcW w:w="11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21,047</w:t>
            </w:r>
          </w:p>
        </w:tc>
        <w:tc>
          <w:tcPr>
            <w:tcW w:w="4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2,650</w:t>
            </w:r>
          </w:p>
        </w:tc>
        <w:tc>
          <w:tcPr>
            <w:tcW w:w="4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(3,423)</w:t>
            </w:r>
          </w:p>
        </w:tc>
        <w:tc>
          <w:tcPr>
            <w:tcW w:w="280" w:type="dxa"/>
            <w:vAlign w:val="bottom"/>
          </w:tcPr>
          <w:p>
            <w:pPr>
              <w:spacing w:after="0"/>
              <w:rPr>
                <w:sz w:val="23"/>
                <w:szCs w:val="23"/>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20,274</w:t>
            </w:r>
          </w:p>
        </w:tc>
        <w:tc>
          <w:tcPr>
            <w:tcW w:w="0" w:type="dxa"/>
            <w:vAlign w:val="bottom"/>
          </w:tcPr>
          <w:p>
            <w:pPr>
              <w:spacing w:after="0"/>
              <w:rPr>
                <w:sz w:val="1"/>
                <w:szCs w:val="1"/>
                <w:color w:val="auto"/>
              </w:rPr>
            </w:pPr>
          </w:p>
        </w:tc>
      </w:tr>
      <w:tr>
        <w:trPr>
          <w:trHeight w:val="261"/>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effect of accounting changes $</w:t>
            </w:r>
          </w:p>
        </w:tc>
        <w:tc>
          <w:tcPr>
            <w:tcW w:w="110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42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before cumulative effect</w:t>
            </w:r>
          </w:p>
        </w:tc>
        <w:tc>
          <w:tcPr>
            <w:tcW w:w="2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1.07</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1.03</w:t>
            </w:r>
          </w:p>
        </w:tc>
        <w:tc>
          <w:tcPr>
            <w:tcW w:w="0" w:type="dxa"/>
            <w:vAlign w:val="bottom"/>
          </w:tcPr>
          <w:p>
            <w:pPr>
              <w:spacing w:after="0"/>
              <w:rPr>
                <w:sz w:val="1"/>
                <w:szCs w:val="1"/>
                <w:color w:val="auto"/>
              </w:rPr>
            </w:pPr>
          </w:p>
        </w:tc>
      </w:tr>
      <w:tr>
        <w:trPr>
          <w:trHeight w:val="261"/>
        </w:trPr>
        <w:tc>
          <w:tcPr>
            <w:tcW w:w="2700" w:type="dxa"/>
            <w:vAlign w:val="bottom"/>
          </w:tcPr>
          <w:p>
            <w:pPr>
              <w:ind w:left="180"/>
              <w:spacing w:after="0"/>
              <w:rPr>
                <w:sz w:val="20"/>
                <w:szCs w:val="20"/>
                <w:color w:val="auto"/>
              </w:rPr>
            </w:pPr>
            <w:r>
              <w:rPr>
                <w:rFonts w:ascii="Courier New" w:cs="Courier New" w:eastAsia="Courier New" w:hAnsi="Courier New"/>
                <w:sz w:val="16"/>
                <w:szCs w:val="16"/>
                <w:color w:val="auto"/>
              </w:rPr>
              <w:t>of accounting changes</w:t>
            </w:r>
          </w:p>
        </w:tc>
        <w:tc>
          <w:tcPr>
            <w:tcW w:w="2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Weighted average common</w:t>
            </w:r>
          </w:p>
        </w:tc>
        <w:tc>
          <w:tcPr>
            <w:tcW w:w="1380" w:type="dxa"/>
            <w:vAlign w:val="bottom"/>
            <w:gridSpan w:val="2"/>
            <w:vMerge w:val="restart"/>
          </w:tcPr>
          <w:p>
            <w:pPr>
              <w:jc w:val="right"/>
              <w:ind w:right="282"/>
              <w:spacing w:after="0"/>
              <w:rPr>
                <w:sz w:val="20"/>
                <w:szCs w:val="20"/>
                <w:color w:val="auto"/>
              </w:rPr>
            </w:pPr>
            <w:r>
              <w:rPr>
                <w:rFonts w:ascii="Courier New" w:cs="Courier New" w:eastAsia="Courier New" w:hAnsi="Courier New"/>
                <w:sz w:val="16"/>
                <w:szCs w:val="16"/>
                <w:color w:val="auto"/>
              </w:rPr>
              <w:t>19,687,013</w:t>
            </w: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w w:val="93"/>
              </w:rPr>
              <w:t>19,687,013</w:t>
            </w:r>
          </w:p>
        </w:tc>
        <w:tc>
          <w:tcPr>
            <w:tcW w:w="0" w:type="dxa"/>
            <w:vAlign w:val="bottom"/>
          </w:tcPr>
          <w:p>
            <w:pPr>
              <w:spacing w:after="0"/>
              <w:rPr>
                <w:sz w:val="1"/>
                <w:szCs w:val="1"/>
                <w:color w:val="auto"/>
              </w:rPr>
            </w:pPr>
          </w:p>
        </w:tc>
      </w:tr>
      <w:tr>
        <w:trPr>
          <w:trHeight w:val="261"/>
        </w:trPr>
        <w:tc>
          <w:tcPr>
            <w:tcW w:w="2700" w:type="dxa"/>
            <w:vAlign w:val="bottom"/>
          </w:tcPr>
          <w:p>
            <w:pPr>
              <w:ind w:left="180"/>
              <w:spacing w:after="0"/>
              <w:rPr>
                <w:sz w:val="20"/>
                <w:szCs w:val="20"/>
                <w:color w:val="auto"/>
              </w:rPr>
            </w:pPr>
            <w:r>
              <w:rPr>
                <w:rFonts w:ascii="Courier New" w:cs="Courier New" w:eastAsia="Courier New" w:hAnsi="Courier New"/>
                <w:sz w:val="16"/>
                <w:szCs w:val="16"/>
                <w:color w:val="auto"/>
              </w:rPr>
              <w:t>shares outstanding</w:t>
            </w:r>
          </w:p>
        </w:tc>
        <w:tc>
          <w:tcPr>
            <w:tcW w:w="1380" w:type="dxa"/>
            <w:vAlign w:val="bottom"/>
            <w:gridSpan w:val="2"/>
            <w:vMerge w:val="continue"/>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F-19</w:t>
      </w:r>
    </w:p>
    <w:p>
      <w:pPr>
        <w:spacing w:after="0" w:line="200" w:lineRule="exact"/>
        <w:rPr>
          <w:sz w:val="20"/>
          <w:szCs w:val="20"/>
          <w:color w:val="auto"/>
        </w:rPr>
      </w:pPr>
    </w:p>
    <w:p>
      <w:pPr>
        <w:spacing w:after="0" w:line="334" w:lineRule="exact"/>
        <w:rPr>
          <w:sz w:val="20"/>
          <w:szCs w:val="20"/>
          <w:color w:val="auto"/>
        </w:rPr>
      </w:pPr>
    </w:p>
    <w:p>
      <w:pPr>
        <w:jc w:val="center"/>
        <w:ind w:right="3795"/>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77" w:lineRule="exact"/>
        <w:rPr>
          <w:sz w:val="20"/>
          <w:szCs w:val="20"/>
          <w:color w:val="auto"/>
        </w:rPr>
      </w:pPr>
    </w:p>
    <w:p>
      <w:pPr>
        <w:jc w:val="center"/>
        <w:ind w:right="3815"/>
        <w:spacing w:after="0" w:line="289" w:lineRule="auto"/>
        <w:rPr>
          <w:sz w:val="20"/>
          <w:szCs w:val="20"/>
          <w:color w:val="auto"/>
        </w:rPr>
      </w:pPr>
      <w:r>
        <w:rPr>
          <w:rFonts w:ascii="Courier New" w:cs="Courier New" w:eastAsia="Courier New" w:hAnsi="Courier New"/>
          <w:sz w:val="16"/>
          <w:szCs w:val="16"/>
          <w:color w:val="auto"/>
        </w:rPr>
        <w:t>Notes to the Pro Forma Consolidated Statement of Income For the Year Ended September 30, 1993 (Unaudited)</w:t>
      </w:r>
    </w:p>
    <w:p>
      <w:pPr>
        <w:spacing w:after="0" w:line="61"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(amounts in thousands)</w:t>
      </w:r>
    </w:p>
    <w:p>
      <w:pPr>
        <w:spacing w:after="0" w:line="200" w:lineRule="exact"/>
        <w:rPr>
          <w:sz w:val="20"/>
          <w:szCs w:val="20"/>
          <w:color w:val="auto"/>
        </w:rPr>
      </w:pPr>
    </w:p>
    <w:p>
      <w:pPr>
        <w:spacing w:after="0" w:line="334" w:lineRule="exact"/>
        <w:rPr>
          <w:sz w:val="20"/>
          <w:szCs w:val="20"/>
          <w:color w:val="auto"/>
        </w:rPr>
      </w:pPr>
    </w:p>
    <w:p>
      <w:pPr>
        <w:ind w:left="465" w:right="3899" w:hanging="465"/>
        <w:spacing w:after="0" w:line="290" w:lineRule="auto"/>
        <w:tabs>
          <w:tab w:leader="none" w:pos="46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reclassifications have been made to Grace-Sierra's historical statement of income to conform to The Scotts Company classifications. To conform Grace-Sierra's fiscal year of December 31, 1993 to Scotts' fiscal year of September 30, 1993, Grace-Sierra's results of operations for the three months ended December 31, 1993 have been excluded and their results of operations for the three months ended December 31, 1992 have been included in the pro forma presentation. Net sales and net income for these respective three month periods were:</w:t>
      </w:r>
    </w:p>
    <w:p>
      <w:pPr>
        <w:sectPr>
          <w:pgSz w:w="11900" w:h="16838" w:orient="portrait"/>
          <w:cols w:equalWidth="0" w:num="1">
            <w:col w:w="10224"/>
          </w:cols>
          <w:pgMar w:left="235" w:top="829" w:right="1440" w:bottom="0" w:gutter="0" w:footer="0" w:header="0"/>
        </w:sectPr>
      </w:pPr>
    </w:p>
    <w:bookmarkStart w:id="18" w:name="page19"/>
    <w:bookmarkEnd w:id="18"/>
    <w:tbl>
      <w:tblPr>
        <w:tblLayout w:type="fixed"/>
        <w:tblInd w:w="1025" w:type="dxa"/>
        <w:tblCellMar>
          <w:top w:w="0" w:type="dxa"/>
          <w:left w:w="0" w:type="dxa"/>
          <w:bottom w:w="0" w:type="dxa"/>
          <w:right w:w="0" w:type="dxa"/>
        </w:tblCellMar>
      </w:tblPr>
      <w:tr>
        <w:trPr>
          <w:trHeight w:val="261"/>
        </w:trPr>
        <w:tc>
          <w:tcPr>
            <w:tcW w:w="2140" w:type="dxa"/>
            <w:vAlign w:val="bottom"/>
          </w:tcPr>
          <w:p>
            <w:pPr>
              <w:spacing w:after="0"/>
              <w:rPr>
                <w:sz w:val="22"/>
                <w:szCs w:val="22"/>
                <w:color w:val="auto"/>
              </w:rPr>
            </w:pPr>
          </w:p>
        </w:tc>
        <w:tc>
          <w:tcPr>
            <w:tcW w:w="1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1993</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1992</w:t>
            </w:r>
          </w:p>
        </w:tc>
      </w:tr>
      <w:tr>
        <w:trPr>
          <w:trHeight w:val="276"/>
        </w:trPr>
        <w:tc>
          <w:tcPr>
            <w:tcW w:w="21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25,705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27,798</w:t>
            </w:r>
          </w:p>
        </w:tc>
      </w:tr>
      <w:tr>
        <w:trPr>
          <w:trHeight w:val="261"/>
        </w:trPr>
        <w:tc>
          <w:tcPr>
            <w:tcW w:w="2140" w:type="dxa"/>
            <w:vAlign w:val="bottom"/>
          </w:tcPr>
          <w:p>
            <w:pPr>
              <w:spacing w:after="0"/>
              <w:rPr>
                <w:sz w:val="20"/>
                <w:szCs w:val="20"/>
                <w:color w:val="auto"/>
              </w:rPr>
            </w:pPr>
            <w:r>
              <w:rPr>
                <w:rFonts w:ascii="Courier New" w:cs="Courier New" w:eastAsia="Courier New" w:hAnsi="Courier New"/>
                <w:sz w:val="16"/>
                <w:szCs w:val="16"/>
                <w:color w:val="auto"/>
              </w:rPr>
              <w:t>Net (loss) income</w:t>
            </w:r>
          </w:p>
        </w:tc>
        <w:tc>
          <w:tcPr>
            <w:tcW w:w="14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(784)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485</w:t>
            </w:r>
          </w:p>
        </w:tc>
      </w:tr>
    </w:tbl>
    <w:p>
      <w:pPr>
        <w:spacing w:after="0" w:line="276" w:lineRule="exact"/>
        <w:rPr>
          <w:sz w:val="20"/>
          <w:szCs w:val="20"/>
          <w:color w:val="auto"/>
        </w:rPr>
      </w:pPr>
    </w:p>
    <w:p>
      <w:pPr>
        <w:ind w:left="465" w:right="4179" w:hanging="465"/>
        <w:spacing w:after="0" w:line="258"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manufacturing profit of acquired inventories ($1,140), depreciate the step-up to fair value of tangible assets acquired ($209), amortize the fair value of patents acquired ($42) and reflect a reduction in expense related to above market facilities leases assumed in the acquisition ($142).</w:t>
      </w:r>
    </w:p>
    <w:p>
      <w:pPr>
        <w:spacing w:after="0" w:line="262" w:lineRule="exact"/>
        <w:rPr>
          <w:rFonts w:ascii="Courier New" w:cs="Courier New" w:eastAsia="Courier New" w:hAnsi="Courier New"/>
          <w:sz w:val="16"/>
          <w:szCs w:val="16"/>
          <w:color w:val="auto"/>
        </w:rPr>
      </w:pPr>
    </w:p>
    <w:p>
      <w:pPr>
        <w:ind w:left="465" w:right="4279" w:hanging="465"/>
        <w:spacing w:after="0" w:line="342"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amortize organizational costs ($164) associated with the acquisition.</w:t>
      </w:r>
    </w:p>
    <w:p>
      <w:pPr>
        <w:spacing w:after="0" w:line="199" w:lineRule="exact"/>
        <w:rPr>
          <w:rFonts w:ascii="Courier New" w:cs="Courier New" w:eastAsia="Courier New" w:hAnsi="Courier New"/>
          <w:sz w:val="16"/>
          <w:szCs w:val="16"/>
          <w:color w:val="auto"/>
        </w:rPr>
      </w:pPr>
    </w:p>
    <w:p>
      <w:pPr>
        <w:ind w:left="465" w:right="3899" w:hanging="465"/>
        <w:spacing w:after="0" w:line="263"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interest on acquisition indebtedness ($6,781) and amortization of related deferred financing costs ($326); offset by the elimination of interest on Grace-Sierra's retired indebtedness ($7,514) and the elimination of related deferred financing costs ($100).</w:t>
      </w:r>
    </w:p>
    <w:p>
      <w:pPr>
        <w:spacing w:after="0" w:line="259" w:lineRule="exact"/>
        <w:rPr>
          <w:rFonts w:ascii="Courier New" w:cs="Courier New" w:eastAsia="Courier New" w:hAnsi="Courier New"/>
          <w:sz w:val="16"/>
          <w:szCs w:val="16"/>
          <w:color w:val="auto"/>
        </w:rPr>
      </w:pPr>
    </w:p>
    <w:p>
      <w:pPr>
        <w:ind w:left="465" w:right="4559" w:hanging="465"/>
        <w:spacing w:after="0" w:line="342"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amortize non-compete agreements ($1,200) and goodwill ($1,563).</w:t>
      </w:r>
    </w:p>
    <w:p>
      <w:pPr>
        <w:spacing w:after="0" w:line="199" w:lineRule="exact"/>
        <w:rPr>
          <w:rFonts w:ascii="Courier New" w:cs="Courier New" w:eastAsia="Courier New" w:hAnsi="Courier New"/>
          <w:sz w:val="16"/>
          <w:szCs w:val="16"/>
          <w:color w:val="auto"/>
        </w:rPr>
      </w:pPr>
    </w:p>
    <w:p>
      <w:pPr>
        <w:ind w:left="465" w:right="3899" w:hanging="465"/>
        <w:spacing w:after="0" w:line="258" w:lineRule="auto"/>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domestic income taxes not previously recorded by Grace-Sierra due to its net operating loss position, as well as income taxes or benefits resulting from changes in pro forma interest expense, patent amortization, adjusted lease expense and amortization of non-compete agreements at statutory federal and state income tax rates.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F-20</w:t>
      </w:r>
    </w:p>
    <w:p>
      <w:pPr>
        <w:spacing w:after="0" w:line="200" w:lineRule="exact"/>
        <w:rPr>
          <w:sz w:val="20"/>
          <w:szCs w:val="20"/>
          <w:color w:val="auto"/>
        </w:rPr>
      </w:pPr>
    </w:p>
    <w:p>
      <w:pPr>
        <w:spacing w:after="0" w:line="334"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77" w:lineRule="exact"/>
        <w:rPr>
          <w:sz w:val="20"/>
          <w:szCs w:val="20"/>
          <w:color w:val="auto"/>
        </w:rPr>
      </w:pPr>
    </w:p>
    <w:p>
      <w:pPr>
        <w:jc w:val="center"/>
        <w:ind w:right="1675"/>
        <w:spacing w:after="0"/>
        <w:rPr>
          <w:sz w:val="20"/>
          <w:szCs w:val="20"/>
          <w:color w:val="auto"/>
        </w:rPr>
      </w:pPr>
      <w:r>
        <w:rPr>
          <w:rFonts w:ascii="Courier New" w:cs="Courier New" w:eastAsia="Courier New" w:hAnsi="Courier New"/>
          <w:sz w:val="16"/>
          <w:szCs w:val="16"/>
          <w:color w:val="auto"/>
        </w:rPr>
        <w:t>Pro Forma Consolidated Statement of Income</w:t>
      </w:r>
    </w:p>
    <w:p>
      <w:pPr>
        <w:spacing w:after="0" w:line="23" w:lineRule="exact"/>
        <w:rPr>
          <w:sz w:val="20"/>
          <w:szCs w:val="20"/>
          <w:color w:val="auto"/>
        </w:rPr>
      </w:pPr>
    </w:p>
    <w:p>
      <w:pPr>
        <w:jc w:val="center"/>
        <w:ind w:right="1675"/>
        <w:spacing w:after="0"/>
        <w:rPr>
          <w:sz w:val="20"/>
          <w:szCs w:val="20"/>
          <w:color w:val="auto"/>
        </w:rPr>
      </w:pPr>
      <w:r>
        <w:rPr>
          <w:rFonts w:ascii="Courier New" w:cs="Courier New" w:eastAsia="Courier New" w:hAnsi="Courier New"/>
          <w:sz w:val="16"/>
          <w:szCs w:val="16"/>
          <w:color w:val="auto"/>
        </w:rPr>
        <w:t>For the Three Months Ended January 1, 1994</w:t>
      </w:r>
    </w:p>
    <w:p>
      <w:pPr>
        <w:jc w:val="center"/>
        <w:ind w:right="1755"/>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(in thousands except share data)</w:t>
      </w:r>
    </w:p>
    <w:p>
      <w:pPr>
        <w:spacing w:after="0" w:line="200" w:lineRule="exact"/>
        <w:rPr>
          <w:sz w:val="20"/>
          <w:szCs w:val="20"/>
          <w:color w:val="auto"/>
        </w:rPr>
      </w:pPr>
    </w:p>
    <w:p>
      <w:pPr>
        <w:spacing w:after="0" w:line="332"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70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Scotts</w:t>
            </w:r>
          </w:p>
        </w:tc>
        <w:tc>
          <w:tcPr>
            <w:tcW w:w="1620" w:type="dxa"/>
            <w:vAlign w:val="bottom"/>
            <w:gridSpan w:val="2"/>
            <w:vMerge w:val="restart"/>
          </w:tcPr>
          <w:p>
            <w:pPr>
              <w:ind w:left="220"/>
              <w:spacing w:after="0"/>
              <w:rPr>
                <w:sz w:val="20"/>
                <w:szCs w:val="20"/>
                <w:color w:val="auto"/>
              </w:rPr>
            </w:pPr>
            <w:r>
              <w:rPr>
                <w:rFonts w:ascii="Courier New" w:cs="Courier New" w:eastAsia="Courier New" w:hAnsi="Courier New"/>
                <w:sz w:val="16"/>
                <w:szCs w:val="16"/>
                <w:color w:val="auto"/>
              </w:rPr>
              <w:t>Grace-Sierra</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w w:val="92"/>
              </w:rPr>
              <w:t>Company</w:t>
            </w:r>
          </w:p>
        </w:tc>
        <w:tc>
          <w:tcPr>
            <w:tcW w:w="16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4"/>
              </w:rPr>
              <w:t>Pro Forma</w:t>
            </w: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1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Historical</w:t>
            </w:r>
          </w:p>
        </w:tc>
        <w:tc>
          <w:tcPr>
            <w:tcW w:w="16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Historical</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for the Three</w:t>
            </w:r>
          </w:p>
        </w:tc>
        <w:tc>
          <w:tcPr>
            <w:tcW w:w="500" w:type="dxa"/>
            <w:vAlign w:val="bottom"/>
          </w:tcPr>
          <w:p>
            <w:pPr>
              <w:spacing w:after="0"/>
              <w:rPr>
                <w:sz w:val="15"/>
                <w:szCs w:val="15"/>
                <w:color w:val="auto"/>
              </w:rPr>
            </w:pPr>
          </w:p>
        </w:tc>
        <w:tc>
          <w:tcPr>
            <w:tcW w:w="11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for</w:t>
            </w:r>
          </w:p>
        </w:tc>
        <w:tc>
          <w:tcPr>
            <w:tcW w:w="1220" w:type="dxa"/>
            <w:vAlign w:val="bottom"/>
            <w:gridSpan w:val="2"/>
            <w:vMerge w:val="restart"/>
          </w:tcPr>
          <w:p>
            <w:pPr>
              <w:ind w:left="280"/>
              <w:spacing w:after="0"/>
              <w:rPr>
                <w:sz w:val="20"/>
                <w:szCs w:val="20"/>
                <w:color w:val="auto"/>
              </w:rPr>
            </w:pPr>
            <w:r>
              <w:rPr>
                <w:rFonts w:ascii="Courier New" w:cs="Courier New" w:eastAsia="Courier New" w:hAnsi="Courier New"/>
                <w:sz w:val="16"/>
                <w:szCs w:val="16"/>
                <w:color w:val="auto"/>
              </w:rPr>
              <w:t>Pro Forma</w:t>
            </w:r>
          </w:p>
        </w:tc>
        <w:tc>
          <w:tcPr>
            <w:tcW w:w="280" w:type="dxa"/>
            <w:vAlign w:val="bottom"/>
          </w:tcPr>
          <w:p>
            <w:pPr>
              <w:spacing w:after="0"/>
              <w:rPr>
                <w:sz w:val="15"/>
                <w:szCs w:val="15"/>
                <w:color w:val="auto"/>
              </w:rPr>
            </w:pP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for the Three</w:t>
            </w: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Months Ended</w:t>
            </w:r>
          </w:p>
        </w:tc>
        <w:tc>
          <w:tcPr>
            <w:tcW w:w="162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rPr>
              <w:t>10/1/93 to</w:t>
            </w: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5"/>
              </w:rPr>
              <w:t>Months Ended</w:t>
            </w:r>
          </w:p>
        </w:tc>
        <w:tc>
          <w:tcPr>
            <w:tcW w:w="0" w:type="dxa"/>
            <w:vAlign w:val="bottom"/>
          </w:tcPr>
          <w:p>
            <w:pPr>
              <w:spacing w:after="0"/>
              <w:rPr>
                <w:sz w:val="1"/>
                <w:szCs w:val="1"/>
                <w:color w:val="auto"/>
              </w:rPr>
            </w:pPr>
          </w:p>
        </w:tc>
      </w:tr>
      <w:tr>
        <w:trPr>
          <w:trHeight w:val="261"/>
        </w:trPr>
        <w:tc>
          <w:tcPr>
            <w:tcW w:w="2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1/1/94</w:t>
            </w:r>
          </w:p>
        </w:tc>
        <w:tc>
          <w:tcPr>
            <w:tcW w:w="16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12/16/93  (a)</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1/1/94</w:t>
            </w:r>
          </w:p>
        </w:tc>
        <w:tc>
          <w:tcPr>
            <w:tcW w:w="0" w:type="dxa"/>
            <w:vAlign w:val="bottom"/>
          </w:tcPr>
          <w:p>
            <w:pPr>
              <w:spacing w:after="0"/>
              <w:rPr>
                <w:sz w:val="1"/>
                <w:szCs w:val="1"/>
                <w:color w:val="auto"/>
              </w:rPr>
            </w:pPr>
          </w:p>
        </w:tc>
      </w:tr>
      <w:tr>
        <w:trPr>
          <w:trHeight w:val="454"/>
        </w:trPr>
        <w:tc>
          <w:tcPr>
            <w:tcW w:w="27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68,326</w:t>
            </w:r>
          </w:p>
        </w:tc>
        <w:tc>
          <w:tcPr>
            <w:tcW w:w="5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20,826</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89,152</w:t>
            </w:r>
          </w:p>
        </w:tc>
        <w:tc>
          <w:tcPr>
            <w:tcW w:w="0" w:type="dxa"/>
            <w:vAlign w:val="bottom"/>
          </w:tcPr>
          <w:p>
            <w:pPr>
              <w:spacing w:after="0"/>
              <w:rPr>
                <w:sz w:val="1"/>
                <w:szCs w:val="1"/>
                <w:color w:val="auto"/>
              </w:rPr>
            </w:pPr>
          </w:p>
        </w:tc>
      </w:tr>
      <w:tr>
        <w:trPr>
          <w:trHeight w:val="261"/>
        </w:trPr>
        <w:tc>
          <w:tcPr>
            <w:tcW w:w="27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80" w:type="dxa"/>
            <w:vAlign w:val="bottom"/>
          </w:tcPr>
          <w:p>
            <w:pPr>
              <w:spacing w:after="0"/>
              <w:rPr>
                <w:sz w:val="22"/>
                <w:szCs w:val="22"/>
                <w:color w:val="auto"/>
              </w:rPr>
            </w:pP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37,364</w:t>
            </w:r>
          </w:p>
        </w:tc>
        <w:tc>
          <w:tcPr>
            <w:tcW w:w="500" w:type="dxa"/>
            <w:vAlign w:val="bottom"/>
          </w:tcPr>
          <w:p>
            <w:pPr>
              <w:spacing w:after="0"/>
              <w:rPr>
                <w:sz w:val="22"/>
                <w:szCs w:val="22"/>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12,201</w:t>
            </w:r>
          </w:p>
        </w:tc>
        <w:tc>
          <w:tcPr>
            <w:tcW w:w="4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(132) (1)</w:t>
            </w:r>
          </w:p>
        </w:tc>
        <w:tc>
          <w:tcPr>
            <w:tcW w:w="180" w:type="dxa"/>
            <w:vAlign w:val="bottom"/>
          </w:tcPr>
          <w:p>
            <w:pPr>
              <w:spacing w:after="0"/>
              <w:rPr>
                <w:sz w:val="22"/>
                <w:szCs w:val="22"/>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49,433</w:t>
            </w:r>
          </w:p>
        </w:tc>
        <w:tc>
          <w:tcPr>
            <w:tcW w:w="0" w:type="dxa"/>
            <w:vAlign w:val="bottom"/>
          </w:tcPr>
          <w:p>
            <w:pPr>
              <w:spacing w:after="0"/>
              <w:rPr>
                <w:sz w:val="1"/>
                <w:szCs w:val="1"/>
                <w:color w:val="auto"/>
              </w:rPr>
            </w:pPr>
          </w:p>
        </w:tc>
      </w:tr>
      <w:tr>
        <w:trPr>
          <w:trHeight w:val="358"/>
        </w:trPr>
        <w:tc>
          <w:tcPr>
            <w:tcW w:w="2700" w:type="dxa"/>
            <w:vAlign w:val="bottom"/>
          </w:tcPr>
          <w:p>
            <w:pPr>
              <w:ind w:left="180"/>
              <w:spacing w:after="0"/>
              <w:rPr>
                <w:sz w:val="20"/>
                <w:szCs w:val="20"/>
                <w:color w:val="auto"/>
              </w:rPr>
            </w:pPr>
            <w:r>
              <w:rPr>
                <w:rFonts w:ascii="Courier New" w:cs="Courier New" w:eastAsia="Courier New" w:hAnsi="Courier New"/>
                <w:sz w:val="16"/>
                <w:szCs w:val="16"/>
                <w:color w:val="auto"/>
              </w:rPr>
              <w:t>Gross profit</w:t>
            </w:r>
          </w:p>
        </w:tc>
        <w:tc>
          <w:tcPr>
            <w:tcW w:w="280" w:type="dxa"/>
            <w:vAlign w:val="bottom"/>
          </w:tcPr>
          <w:p>
            <w:pPr>
              <w:spacing w:after="0"/>
              <w:rPr>
                <w:sz w:val="24"/>
                <w:szCs w:val="24"/>
                <w:color w:val="auto"/>
              </w:rPr>
            </w:pP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30,962</w:t>
            </w:r>
          </w:p>
        </w:tc>
        <w:tc>
          <w:tcPr>
            <w:tcW w:w="50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8,625</w:t>
            </w:r>
          </w:p>
        </w:tc>
        <w:tc>
          <w:tcPr>
            <w:tcW w:w="420" w:type="dxa"/>
            <w:vAlign w:val="bottom"/>
          </w:tcPr>
          <w:p>
            <w:pPr>
              <w:spacing w:after="0"/>
              <w:rPr>
                <w:sz w:val="24"/>
                <w:szCs w:val="24"/>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39,719</w:t>
            </w: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23"/>
                <w:szCs w:val="23"/>
                <w:color w:val="auto"/>
              </w:rPr>
            </w:pPr>
          </w:p>
        </w:tc>
        <w:tc>
          <w:tcPr>
            <w:tcW w:w="116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12,921</w:t>
            </w:r>
          </w:p>
        </w:tc>
        <w:tc>
          <w:tcPr>
            <w:tcW w:w="500" w:type="dxa"/>
            <w:vAlign w:val="bottom"/>
          </w:tcPr>
          <w:p>
            <w:pPr>
              <w:spacing w:after="0"/>
              <w:rPr>
                <w:sz w:val="23"/>
                <w:szCs w:val="23"/>
                <w:color w:val="auto"/>
              </w:rPr>
            </w:pPr>
          </w:p>
        </w:tc>
        <w:tc>
          <w:tcPr>
            <w:tcW w:w="112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5,233</w:t>
            </w:r>
          </w:p>
        </w:tc>
        <w:tc>
          <w:tcPr>
            <w:tcW w:w="420" w:type="dxa"/>
            <w:vAlign w:val="bottom"/>
          </w:tcPr>
          <w:p>
            <w:pPr>
              <w:spacing w:after="0"/>
              <w:rPr>
                <w:sz w:val="23"/>
                <w:szCs w:val="23"/>
                <w:color w:val="auto"/>
              </w:rPr>
            </w:pPr>
          </w:p>
        </w:tc>
        <w:tc>
          <w:tcPr>
            <w:tcW w:w="80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18,154</w:t>
            </w:r>
          </w:p>
        </w:tc>
        <w:tc>
          <w:tcPr>
            <w:tcW w:w="0" w:type="dxa"/>
            <w:vAlign w:val="bottom"/>
          </w:tcPr>
          <w:p>
            <w:pPr>
              <w:spacing w:after="0"/>
              <w:rPr>
                <w:sz w:val="1"/>
                <w:szCs w:val="1"/>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Marketing</w:t>
            </w:r>
          </w:p>
        </w:tc>
        <w:tc>
          <w:tcPr>
            <w:tcW w:w="2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Distribution</w:t>
            </w:r>
          </w:p>
        </w:tc>
        <w:tc>
          <w:tcPr>
            <w:tcW w:w="280" w:type="dxa"/>
            <w:vAlign w:val="bottom"/>
          </w:tcPr>
          <w:p>
            <w:pPr>
              <w:spacing w:after="0"/>
              <w:rPr>
                <w:sz w:val="15"/>
                <w:szCs w:val="15"/>
                <w:color w:val="auto"/>
              </w:rPr>
            </w:pP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10,976</w:t>
            </w:r>
          </w:p>
        </w:tc>
        <w:tc>
          <w:tcPr>
            <w:tcW w:w="50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539</w:t>
            </w:r>
          </w:p>
        </w:tc>
        <w:tc>
          <w:tcPr>
            <w:tcW w:w="420" w:type="dxa"/>
            <w:vAlign w:val="bottom"/>
          </w:tcPr>
          <w:p>
            <w:pPr>
              <w:spacing w:after="0"/>
              <w:rPr>
                <w:sz w:val="15"/>
                <w:szCs w:val="15"/>
                <w:color w:val="auto"/>
              </w:rPr>
            </w:pPr>
          </w:p>
        </w:tc>
        <w:tc>
          <w:tcPr>
            <w:tcW w:w="8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0"/>
              </w:rPr>
              <w:t>(2)</w:t>
            </w:r>
          </w:p>
        </w:tc>
        <w:tc>
          <w:tcPr>
            <w:tcW w:w="1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11,515</w:t>
            </w:r>
          </w:p>
        </w:tc>
        <w:tc>
          <w:tcPr>
            <w:tcW w:w="0" w:type="dxa"/>
            <w:vAlign w:val="bottom"/>
          </w:tcPr>
          <w:p>
            <w:pPr>
              <w:spacing w:after="0"/>
              <w:rPr>
                <w:sz w:val="1"/>
                <w:szCs w:val="1"/>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280" w:type="dxa"/>
            <w:vAlign w:val="bottom"/>
          </w:tcPr>
          <w:p>
            <w:pPr>
              <w:spacing w:after="0"/>
              <w:rPr>
                <w:sz w:val="15"/>
                <w:szCs w:val="15"/>
                <w:color w:val="auto"/>
              </w:rPr>
            </w:pP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5,010</w:t>
            </w:r>
          </w:p>
        </w:tc>
        <w:tc>
          <w:tcPr>
            <w:tcW w:w="50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2,052</w:t>
            </w:r>
          </w:p>
        </w:tc>
        <w:tc>
          <w:tcPr>
            <w:tcW w:w="420" w:type="dxa"/>
            <w:vAlign w:val="bottom"/>
          </w:tcPr>
          <w:p>
            <w:pPr>
              <w:spacing w:after="0"/>
              <w:rPr>
                <w:sz w:val="15"/>
                <w:szCs w:val="15"/>
                <w:color w:val="auto"/>
              </w:rPr>
            </w:pPr>
          </w:p>
        </w:tc>
        <w:tc>
          <w:tcPr>
            <w:tcW w:w="8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w:t>
            </w:r>
          </w:p>
        </w:tc>
        <w:tc>
          <w:tcPr>
            <w:tcW w:w="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7,096</w:t>
            </w:r>
          </w:p>
        </w:tc>
        <w:tc>
          <w:tcPr>
            <w:tcW w:w="0" w:type="dxa"/>
            <w:vAlign w:val="bottom"/>
          </w:tcPr>
          <w:p>
            <w:pPr>
              <w:spacing w:after="0"/>
              <w:rPr>
                <w:sz w:val="1"/>
                <w:szCs w:val="1"/>
                <w:color w:val="auto"/>
              </w:rPr>
            </w:pPr>
          </w:p>
        </w:tc>
      </w:tr>
      <w:tr>
        <w:trPr>
          <w:trHeight w:val="261"/>
        </w:trPr>
        <w:tc>
          <w:tcPr>
            <w:tcW w:w="270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280" w:type="dxa"/>
            <w:vAlign w:val="bottom"/>
          </w:tcPr>
          <w:p>
            <w:pPr>
              <w:spacing w:after="0"/>
              <w:rPr>
                <w:sz w:val="22"/>
                <w:szCs w:val="22"/>
                <w:color w:val="auto"/>
              </w:rPr>
            </w:pP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2,004</w:t>
            </w:r>
          </w:p>
        </w:tc>
        <w:tc>
          <w:tcPr>
            <w:tcW w:w="500" w:type="dxa"/>
            <w:vAlign w:val="bottom"/>
          </w:tcPr>
          <w:p>
            <w:pPr>
              <w:spacing w:after="0"/>
              <w:rPr>
                <w:sz w:val="22"/>
                <w:szCs w:val="22"/>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906</w:t>
            </w:r>
          </w:p>
        </w:tc>
        <w:tc>
          <w:tcPr>
            <w:tcW w:w="420" w:type="dxa"/>
            <w:vAlign w:val="bottom"/>
          </w:tcPr>
          <w:p>
            <w:pPr>
              <w:spacing w:after="0"/>
              <w:rPr>
                <w:sz w:val="22"/>
                <w:szCs w:val="22"/>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2,910</w:t>
            </w:r>
          </w:p>
        </w:tc>
        <w:tc>
          <w:tcPr>
            <w:tcW w:w="0" w:type="dxa"/>
            <w:vAlign w:val="bottom"/>
          </w:tcPr>
          <w:p>
            <w:pPr>
              <w:spacing w:after="0"/>
              <w:rPr>
                <w:sz w:val="1"/>
                <w:szCs w:val="1"/>
                <w:color w:val="auto"/>
              </w:rPr>
            </w:pPr>
          </w:p>
        </w:tc>
      </w:tr>
      <w:tr>
        <w:trPr>
          <w:trHeight w:val="358"/>
        </w:trPr>
        <w:tc>
          <w:tcPr>
            <w:tcW w:w="2700" w:type="dxa"/>
            <w:vAlign w:val="bottom"/>
          </w:tcPr>
          <w:p>
            <w:pPr>
              <w:ind w:left="360"/>
              <w:spacing w:after="0"/>
              <w:rPr>
                <w:sz w:val="20"/>
                <w:szCs w:val="20"/>
                <w:color w:val="auto"/>
              </w:rPr>
            </w:pPr>
            <w:r>
              <w:rPr>
                <w:rFonts w:ascii="Courier New" w:cs="Courier New" w:eastAsia="Courier New" w:hAnsi="Courier New"/>
                <w:sz w:val="16"/>
                <w:szCs w:val="16"/>
                <w:color w:val="auto"/>
              </w:rPr>
              <w:t>Total operating expenses</w:t>
            </w:r>
          </w:p>
        </w:tc>
        <w:tc>
          <w:tcPr>
            <w:tcW w:w="280" w:type="dxa"/>
            <w:vAlign w:val="bottom"/>
          </w:tcPr>
          <w:p>
            <w:pPr>
              <w:spacing w:after="0"/>
              <w:rPr>
                <w:sz w:val="24"/>
                <w:szCs w:val="24"/>
                <w:color w:val="auto"/>
              </w:rPr>
            </w:pP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30,911</w:t>
            </w:r>
          </w:p>
        </w:tc>
        <w:tc>
          <w:tcPr>
            <w:tcW w:w="50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8,730</w:t>
            </w:r>
          </w:p>
        </w:tc>
        <w:tc>
          <w:tcPr>
            <w:tcW w:w="420" w:type="dxa"/>
            <w:vAlign w:val="bottom"/>
          </w:tcPr>
          <w:p>
            <w:pPr>
              <w:spacing w:after="0"/>
              <w:rPr>
                <w:sz w:val="24"/>
                <w:szCs w:val="24"/>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39,675</w:t>
            </w:r>
          </w:p>
        </w:tc>
        <w:tc>
          <w:tcPr>
            <w:tcW w:w="0" w:type="dxa"/>
            <w:vAlign w:val="bottom"/>
          </w:tcPr>
          <w:p>
            <w:pPr>
              <w:spacing w:after="0"/>
              <w:rPr>
                <w:sz w:val="1"/>
                <w:szCs w:val="1"/>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w w:val="96"/>
              </w:rPr>
              <w:t>Income (loss) from operations</w:t>
            </w:r>
          </w:p>
        </w:tc>
        <w:tc>
          <w:tcPr>
            <w:tcW w:w="280" w:type="dxa"/>
            <w:vAlign w:val="bottom"/>
          </w:tcPr>
          <w:p>
            <w:pPr>
              <w:spacing w:after="0"/>
              <w:rPr>
                <w:sz w:val="24"/>
                <w:szCs w:val="24"/>
                <w:color w:val="auto"/>
              </w:rPr>
            </w:pP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51</w:t>
            </w:r>
          </w:p>
        </w:tc>
        <w:tc>
          <w:tcPr>
            <w:tcW w:w="500" w:type="dxa"/>
            <w:vAlign w:val="bottom"/>
          </w:tcPr>
          <w:p>
            <w:pPr>
              <w:spacing w:after="0"/>
              <w:rPr>
                <w:sz w:val="24"/>
                <w:szCs w:val="24"/>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(105)</w:t>
            </w:r>
          </w:p>
        </w:tc>
        <w:tc>
          <w:tcPr>
            <w:tcW w:w="420" w:type="dxa"/>
            <w:vAlign w:val="bottom"/>
          </w:tcPr>
          <w:p>
            <w:pPr>
              <w:spacing w:after="0"/>
              <w:rPr>
                <w:sz w:val="24"/>
                <w:szCs w:val="24"/>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276"/>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23"/>
                <w:szCs w:val="23"/>
                <w:color w:val="auto"/>
              </w:rPr>
            </w:pP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2,640</w:t>
            </w:r>
          </w:p>
        </w:tc>
        <w:tc>
          <w:tcPr>
            <w:tcW w:w="500" w:type="dxa"/>
            <w:vAlign w:val="bottom"/>
          </w:tcPr>
          <w:p>
            <w:pPr>
              <w:spacing w:after="0"/>
              <w:rPr>
                <w:sz w:val="23"/>
                <w:szCs w:val="23"/>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1,734</w:t>
            </w:r>
          </w:p>
        </w:tc>
        <w:tc>
          <w:tcPr>
            <w:tcW w:w="4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(274) (3)</w:t>
            </w:r>
          </w:p>
        </w:tc>
        <w:tc>
          <w:tcPr>
            <w:tcW w:w="180" w:type="dxa"/>
            <w:vAlign w:val="bottom"/>
          </w:tcPr>
          <w:p>
            <w:pPr>
              <w:spacing w:after="0"/>
              <w:rPr>
                <w:sz w:val="23"/>
                <w:szCs w:val="23"/>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4,100</w:t>
            </w:r>
          </w:p>
        </w:tc>
        <w:tc>
          <w:tcPr>
            <w:tcW w:w="0" w:type="dxa"/>
            <w:vAlign w:val="bottom"/>
          </w:tcPr>
          <w:p>
            <w:pPr>
              <w:spacing w:after="0"/>
              <w:rPr>
                <w:sz w:val="1"/>
                <w:szCs w:val="1"/>
                <w:color w:val="auto"/>
              </w:rPr>
            </w:pPr>
          </w:p>
        </w:tc>
      </w:tr>
      <w:tr>
        <w:trPr>
          <w:trHeight w:val="261"/>
        </w:trPr>
        <w:tc>
          <w:tcPr>
            <w:tcW w:w="2700" w:type="dxa"/>
            <w:vAlign w:val="bottom"/>
          </w:tcPr>
          <w:p>
            <w:pPr>
              <w:spacing w:after="0"/>
              <w:rPr>
                <w:sz w:val="20"/>
                <w:szCs w:val="20"/>
                <w:color w:val="auto"/>
              </w:rPr>
            </w:pPr>
            <w:r>
              <w:rPr>
                <w:rFonts w:ascii="Courier New" w:cs="Courier New" w:eastAsia="Courier New" w:hAnsi="Courier New"/>
                <w:sz w:val="16"/>
                <w:szCs w:val="16"/>
                <w:color w:val="auto"/>
              </w:rPr>
              <w:t>Other expense, net</w:t>
            </w:r>
          </w:p>
        </w:tc>
        <w:tc>
          <w:tcPr>
            <w:tcW w:w="280" w:type="dxa"/>
            <w:vAlign w:val="bottom"/>
          </w:tcPr>
          <w:p>
            <w:pPr>
              <w:spacing w:after="0"/>
              <w:rPr>
                <w:sz w:val="22"/>
                <w:szCs w:val="22"/>
                <w:color w:val="auto"/>
              </w:rPr>
            </w:pP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28</w:t>
            </w:r>
          </w:p>
        </w:tc>
        <w:tc>
          <w:tcPr>
            <w:tcW w:w="500" w:type="dxa"/>
            <w:vAlign w:val="bottom"/>
          </w:tcPr>
          <w:p>
            <w:pPr>
              <w:spacing w:after="0"/>
              <w:rPr>
                <w:sz w:val="22"/>
                <w:szCs w:val="22"/>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w:t>
            </w:r>
          </w:p>
        </w:tc>
        <w:tc>
          <w:tcPr>
            <w:tcW w:w="420" w:type="dxa"/>
            <w:vAlign w:val="bottom"/>
          </w:tcPr>
          <w:p>
            <w:pPr>
              <w:spacing w:after="0"/>
              <w:rPr>
                <w:sz w:val="22"/>
                <w:szCs w:val="22"/>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(4)</w:t>
            </w:r>
          </w:p>
        </w:tc>
        <w:tc>
          <w:tcPr>
            <w:tcW w:w="180" w:type="dxa"/>
            <w:vAlign w:val="bottom"/>
          </w:tcPr>
          <w:p>
            <w:pPr>
              <w:spacing w:after="0"/>
              <w:rPr>
                <w:sz w:val="22"/>
                <w:szCs w:val="22"/>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610</w:t>
            </w:r>
          </w:p>
        </w:tc>
        <w:tc>
          <w:tcPr>
            <w:tcW w:w="0" w:type="dxa"/>
            <w:vAlign w:val="bottom"/>
          </w:tcPr>
          <w:p>
            <w:pPr>
              <w:spacing w:after="0"/>
              <w:rPr>
                <w:sz w:val="1"/>
                <w:szCs w:val="1"/>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Loss before income taxes</w:t>
            </w:r>
          </w:p>
        </w:tc>
        <w:tc>
          <w:tcPr>
            <w:tcW w:w="280" w:type="dxa"/>
            <w:vAlign w:val="bottom"/>
          </w:tcPr>
          <w:p>
            <w:pPr>
              <w:spacing w:after="0"/>
              <w:rPr>
                <w:sz w:val="24"/>
                <w:szCs w:val="24"/>
                <w:color w:val="auto"/>
              </w:rPr>
            </w:pP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(2,617)</w:t>
            </w:r>
          </w:p>
        </w:tc>
        <w:tc>
          <w:tcPr>
            <w:tcW w:w="500" w:type="dxa"/>
            <w:vAlign w:val="bottom"/>
          </w:tcPr>
          <w:p>
            <w:pPr>
              <w:spacing w:after="0"/>
              <w:rPr>
                <w:sz w:val="24"/>
                <w:szCs w:val="24"/>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(1,846)</w:t>
            </w:r>
          </w:p>
        </w:tc>
        <w:tc>
          <w:tcPr>
            <w:tcW w:w="4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(4,666)</w:t>
            </w:r>
          </w:p>
        </w:tc>
        <w:tc>
          <w:tcPr>
            <w:tcW w:w="0" w:type="dxa"/>
            <w:vAlign w:val="bottom"/>
          </w:tcPr>
          <w:p>
            <w:pPr>
              <w:spacing w:after="0"/>
              <w:rPr>
                <w:sz w:val="1"/>
                <w:szCs w:val="1"/>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Income taxes (benefit)</w:t>
            </w:r>
          </w:p>
        </w:tc>
        <w:tc>
          <w:tcPr>
            <w:tcW w:w="280" w:type="dxa"/>
            <w:vAlign w:val="bottom"/>
          </w:tcPr>
          <w:p>
            <w:pPr>
              <w:spacing w:after="0"/>
              <w:rPr>
                <w:sz w:val="24"/>
                <w:szCs w:val="24"/>
                <w:color w:val="auto"/>
              </w:rPr>
            </w:pP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(1,060)</w:t>
            </w:r>
          </w:p>
        </w:tc>
        <w:tc>
          <w:tcPr>
            <w:tcW w:w="50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264</w:t>
            </w:r>
          </w:p>
        </w:tc>
        <w:tc>
          <w:tcPr>
            <w:tcW w:w="4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(1,229) (5)</w:t>
            </w:r>
          </w:p>
        </w:tc>
        <w:tc>
          <w:tcPr>
            <w:tcW w:w="1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(2,025)</w:t>
            </w:r>
          </w:p>
        </w:tc>
        <w:tc>
          <w:tcPr>
            <w:tcW w:w="0" w:type="dxa"/>
            <w:vAlign w:val="bottom"/>
          </w:tcPr>
          <w:p>
            <w:pPr>
              <w:spacing w:after="0"/>
              <w:rPr>
                <w:sz w:val="1"/>
                <w:szCs w:val="1"/>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(1,557)</w:t>
            </w:r>
          </w:p>
        </w:tc>
        <w:tc>
          <w:tcPr>
            <w:tcW w:w="5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(2,110)</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1,026</w:t>
            </w:r>
          </w:p>
        </w:tc>
        <w:tc>
          <w:tcPr>
            <w:tcW w:w="28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(2,641)</w:t>
            </w:r>
          </w:p>
        </w:tc>
        <w:tc>
          <w:tcPr>
            <w:tcW w:w="0" w:type="dxa"/>
            <w:vAlign w:val="bottom"/>
          </w:tcPr>
          <w:p>
            <w:pPr>
              <w:spacing w:after="0"/>
              <w:rPr>
                <w:sz w:val="1"/>
                <w:szCs w:val="1"/>
                <w:color w:val="auto"/>
              </w:rPr>
            </w:pPr>
          </w:p>
        </w:tc>
      </w:tr>
      <w:tr>
        <w:trPr>
          <w:trHeight w:val="537"/>
        </w:trPr>
        <w:tc>
          <w:tcPr>
            <w:tcW w:w="2700" w:type="dxa"/>
            <w:vAlign w:val="bottom"/>
          </w:tcPr>
          <w:p>
            <w:pPr>
              <w:spacing w:after="0"/>
              <w:rPr>
                <w:sz w:val="20"/>
                <w:szCs w:val="20"/>
                <w:color w:val="auto"/>
              </w:rPr>
            </w:pPr>
            <w:r>
              <w:rPr>
                <w:rFonts w:ascii="Courier New" w:cs="Courier New" w:eastAsia="Courier New" w:hAnsi="Courier New"/>
                <w:sz w:val="16"/>
                <w:szCs w:val="16"/>
                <w:color w:val="auto"/>
              </w:rPr>
              <w:t>Net loss per common share</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(.08)</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454"/>
        </w:trPr>
        <w:tc>
          <w:tcPr>
            <w:tcW w:w="2700" w:type="dxa"/>
            <w:vAlign w:val="bottom"/>
          </w:tcPr>
          <w:p>
            <w:pPr>
              <w:spacing w:after="0"/>
              <w:rPr>
                <w:sz w:val="20"/>
                <w:szCs w:val="20"/>
                <w:color w:val="auto"/>
              </w:rPr>
            </w:pPr>
            <w:r>
              <w:rPr>
                <w:rFonts w:ascii="Courier New" w:cs="Courier New" w:eastAsia="Courier New" w:hAnsi="Courier New"/>
                <w:sz w:val="16"/>
                <w:szCs w:val="16"/>
                <w:color w:val="auto"/>
              </w:rPr>
              <w:t>Weighted average common</w:t>
            </w:r>
          </w:p>
        </w:tc>
        <w:tc>
          <w:tcPr>
            <w:tcW w:w="1440" w:type="dxa"/>
            <w:vAlign w:val="bottom"/>
            <w:gridSpan w:val="2"/>
            <w:vMerge w:val="restart"/>
          </w:tcPr>
          <w:p>
            <w:pPr>
              <w:jc w:val="right"/>
              <w:ind w:right="342"/>
              <w:spacing w:after="0"/>
              <w:rPr>
                <w:sz w:val="20"/>
                <w:szCs w:val="20"/>
                <w:color w:val="auto"/>
              </w:rPr>
            </w:pPr>
            <w:r>
              <w:rPr>
                <w:rFonts w:ascii="Courier New" w:cs="Courier New" w:eastAsia="Courier New" w:hAnsi="Courier New"/>
                <w:sz w:val="16"/>
                <w:szCs w:val="16"/>
                <w:color w:val="auto"/>
              </w:rPr>
              <w:t>18,658,535</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vMerge w:val="restart"/>
          </w:tcPr>
          <w:p>
            <w:pPr>
              <w:jc w:val="right"/>
              <w:ind w:right="202"/>
              <w:spacing w:after="0"/>
              <w:rPr>
                <w:sz w:val="20"/>
                <w:szCs w:val="20"/>
                <w:color w:val="auto"/>
              </w:rPr>
            </w:pPr>
            <w:r>
              <w:rPr>
                <w:rFonts w:ascii="Courier New" w:cs="Courier New" w:eastAsia="Courier New" w:hAnsi="Courier New"/>
                <w:sz w:val="16"/>
                <w:szCs w:val="16"/>
                <w:color w:val="auto"/>
                <w:w w:val="93"/>
              </w:rPr>
              <w:t>18,658,535</w:t>
            </w:r>
          </w:p>
        </w:tc>
        <w:tc>
          <w:tcPr>
            <w:tcW w:w="0" w:type="dxa"/>
            <w:vAlign w:val="bottom"/>
          </w:tcPr>
          <w:p>
            <w:pPr>
              <w:spacing w:after="0"/>
              <w:rPr>
                <w:sz w:val="1"/>
                <w:szCs w:val="1"/>
                <w:color w:val="auto"/>
              </w:rPr>
            </w:pPr>
          </w:p>
        </w:tc>
      </w:tr>
      <w:tr>
        <w:trPr>
          <w:trHeight w:val="261"/>
        </w:trPr>
        <w:tc>
          <w:tcPr>
            <w:tcW w:w="2700" w:type="dxa"/>
            <w:vAlign w:val="bottom"/>
          </w:tcPr>
          <w:p>
            <w:pPr>
              <w:ind w:left="180"/>
              <w:spacing w:after="0"/>
              <w:rPr>
                <w:sz w:val="20"/>
                <w:szCs w:val="20"/>
                <w:color w:val="auto"/>
              </w:rPr>
            </w:pPr>
            <w:r>
              <w:rPr>
                <w:rFonts w:ascii="Courier New" w:cs="Courier New" w:eastAsia="Courier New" w:hAnsi="Courier New"/>
                <w:sz w:val="16"/>
                <w:szCs w:val="16"/>
                <w:color w:val="auto"/>
              </w:rPr>
              <w:t>shares outstanding</w:t>
            </w:r>
          </w:p>
        </w:tc>
        <w:tc>
          <w:tcPr>
            <w:tcW w:w="1440" w:type="dxa"/>
            <w:vAlign w:val="bottom"/>
            <w:gridSpan w:val="2"/>
            <w:vMerge w:val="continue"/>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24"/>
          </w:cols>
          <w:pgMar w:left="235" w:top="114" w:right="1440" w:bottom="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F-21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795"/>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77" w:lineRule="exact"/>
        <w:rPr>
          <w:sz w:val="20"/>
          <w:szCs w:val="20"/>
          <w:color w:val="auto"/>
        </w:rPr>
      </w:pPr>
    </w:p>
    <w:p>
      <w:pPr>
        <w:jc w:val="center"/>
        <w:ind w:right="3815"/>
        <w:spacing w:after="0" w:line="289" w:lineRule="auto"/>
        <w:rPr>
          <w:sz w:val="20"/>
          <w:szCs w:val="20"/>
          <w:color w:val="auto"/>
        </w:rPr>
      </w:pPr>
      <w:r>
        <w:rPr>
          <w:rFonts w:ascii="Courier New" w:cs="Courier New" w:eastAsia="Courier New" w:hAnsi="Courier New"/>
          <w:sz w:val="16"/>
          <w:szCs w:val="16"/>
          <w:color w:val="auto"/>
        </w:rPr>
        <w:t>Notes to the Pro Forma Consolidated Statement of Income For the Three Months Ended January 1, 1994 (Unaudited)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65" w:right="3899" w:hanging="465"/>
        <w:spacing w:after="0" w:line="289" w:lineRule="auto"/>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Grace-Sierra's historical statement of income to conform to The Scotts Company classifications.</w:t>
      </w:r>
    </w:p>
    <w:p>
      <w:pPr>
        <w:spacing w:after="0" w:line="240" w:lineRule="exact"/>
        <w:rPr>
          <w:sz w:val="20"/>
          <w:szCs w:val="20"/>
          <w:color w:val="auto"/>
        </w:rPr>
      </w:pPr>
    </w:p>
    <w:p>
      <w:pPr>
        <w:ind w:left="465" w:hanging="465"/>
        <w:spacing w:after="0"/>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the manufacturing profit of acquired inventories</w:t>
      </w:r>
    </w:p>
    <w:p>
      <w:pPr>
        <w:spacing w:after="0" w:line="25" w:lineRule="exact"/>
        <w:rPr>
          <w:rFonts w:ascii="Courier New" w:cs="Courier New" w:eastAsia="Courier New" w:hAnsi="Courier New"/>
          <w:sz w:val="16"/>
          <w:szCs w:val="16"/>
          <w:color w:val="auto"/>
        </w:rPr>
      </w:pPr>
    </w:p>
    <w:p>
      <w:pPr>
        <w:ind w:left="465" w:right="3899"/>
        <w:spacing w:after="0" w:line="308"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($163), depreciate the step-up to fair value of tangible assets acquired ($52), amortize the fair value of patents acquired ($8) and reflect a reduction in expense related to above market facilities leases assumed in the acquisition ($29).</w:t>
      </w:r>
    </w:p>
    <w:p>
      <w:pPr>
        <w:spacing w:after="0" w:line="231" w:lineRule="exact"/>
        <w:rPr>
          <w:rFonts w:ascii="Courier New" w:cs="Courier New" w:eastAsia="Courier New" w:hAnsi="Courier New"/>
          <w:sz w:val="16"/>
          <w:szCs w:val="16"/>
          <w:color w:val="auto"/>
        </w:rPr>
      </w:pPr>
    </w:p>
    <w:p>
      <w:pPr>
        <w:ind w:left="465" w:right="4359" w:hanging="465"/>
        <w:spacing w:after="0" w:line="342"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amortize organizational costs ($34) associated with the acquisition.</w:t>
      </w:r>
    </w:p>
    <w:p>
      <w:pPr>
        <w:spacing w:after="0" w:line="199" w:lineRule="exact"/>
        <w:rPr>
          <w:rFonts w:ascii="Courier New" w:cs="Courier New" w:eastAsia="Courier New" w:hAnsi="Courier New"/>
          <w:sz w:val="16"/>
          <w:szCs w:val="16"/>
          <w:color w:val="auto"/>
        </w:rPr>
      </w:pPr>
    </w:p>
    <w:p>
      <w:pPr>
        <w:ind w:left="465" w:right="3999" w:hanging="465"/>
        <w:spacing w:after="0" w:line="263"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interest on acquisition indebtedness ($1,387) and amortization of related deferred financing costs ($68); offset by the elimination of interest on Grace-Sierra's retired indebtedness ($1,708) and the elimination of related deferred financing costs ($21).</w:t>
      </w:r>
    </w:p>
    <w:p>
      <w:pPr>
        <w:spacing w:after="0" w:line="259"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amortize non-compete agreements ($250) and goodwill ($325).</w:t>
      </w:r>
    </w:p>
    <w:p>
      <w:pPr>
        <w:spacing w:after="0" w:line="355" w:lineRule="exact"/>
        <w:rPr>
          <w:rFonts w:ascii="Courier New" w:cs="Courier New" w:eastAsia="Courier New" w:hAnsi="Courier New"/>
          <w:sz w:val="16"/>
          <w:szCs w:val="16"/>
          <w:color w:val="auto"/>
        </w:rPr>
      </w:pPr>
    </w:p>
    <w:p>
      <w:pPr>
        <w:ind w:left="465" w:right="3899" w:hanging="465"/>
        <w:spacing w:after="0" w:line="258"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domestic income taxes not previously recorded by Grace-Sierra due to its net operating loss position, as well as income taxes or benefits resulting from changes in pro forma interest expense, patent amortization, adjusted lease expense and amortization of non-compete agreements at statutory federal and state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F-22</w:t>
      </w:r>
    </w:p>
    <w:p>
      <w:pPr>
        <w:spacing w:after="0" w:line="200" w:lineRule="exact"/>
        <w:rPr>
          <w:sz w:val="20"/>
          <w:szCs w:val="20"/>
          <w:color w:val="auto"/>
        </w:rPr>
      </w:pPr>
    </w:p>
    <w:p>
      <w:pPr>
        <w:spacing w:after="0" w:line="334"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77" w:lineRule="exact"/>
        <w:rPr>
          <w:sz w:val="20"/>
          <w:szCs w:val="20"/>
          <w:color w:val="auto"/>
        </w:rPr>
      </w:pPr>
    </w:p>
    <w:p>
      <w:pPr>
        <w:jc w:val="center"/>
        <w:ind w:right="1675"/>
        <w:spacing w:after="0"/>
        <w:rPr>
          <w:sz w:val="20"/>
          <w:szCs w:val="20"/>
          <w:color w:val="auto"/>
        </w:rPr>
      </w:pPr>
      <w:r>
        <w:rPr>
          <w:rFonts w:ascii="Courier New" w:cs="Courier New" w:eastAsia="Courier New" w:hAnsi="Courier New"/>
          <w:sz w:val="16"/>
          <w:szCs w:val="16"/>
          <w:color w:val="auto"/>
        </w:rPr>
        <w:t>Pro Forma Consolidated Balance Sheet</w:t>
      </w:r>
    </w:p>
    <w:p>
      <w:pPr>
        <w:spacing w:after="0" w:line="23" w:lineRule="exact"/>
        <w:rPr>
          <w:sz w:val="20"/>
          <w:szCs w:val="20"/>
          <w:color w:val="auto"/>
        </w:rPr>
      </w:pPr>
    </w:p>
    <w:p>
      <w:pPr>
        <w:jc w:val="center"/>
        <w:ind w:right="1755"/>
        <w:spacing w:after="0"/>
        <w:rPr>
          <w:sz w:val="20"/>
          <w:szCs w:val="20"/>
          <w:color w:val="auto"/>
        </w:rPr>
      </w:pPr>
      <w:r>
        <w:rPr>
          <w:rFonts w:ascii="Courier New" w:cs="Courier New" w:eastAsia="Courier New" w:hAnsi="Courier New"/>
          <w:sz w:val="16"/>
          <w:szCs w:val="16"/>
          <w:color w:val="auto"/>
        </w:rPr>
        <w:t>as of January 1, 1994</w:t>
      </w:r>
    </w:p>
    <w:p>
      <w:pPr>
        <w:jc w:val="center"/>
        <w:ind w:right="1755"/>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tbl>
      <w:tblPr>
        <w:tblLayout w:type="fixed"/>
        <w:tblInd w:w="2985" w:type="dxa"/>
        <w:tblCellMar>
          <w:top w:w="0" w:type="dxa"/>
          <w:left w:w="0" w:type="dxa"/>
          <w:bottom w:w="0" w:type="dxa"/>
          <w:right w:w="0" w:type="dxa"/>
        </w:tblCellMar>
      </w:tblPr>
      <w:tr>
        <w:trPr>
          <w:trHeight w:val="261"/>
        </w:trPr>
        <w:tc>
          <w:tcPr>
            <w:tcW w:w="282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(in thousands)</w:t>
            </w:r>
          </w:p>
        </w:tc>
        <w:tc>
          <w:tcPr>
            <w:tcW w:w="1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2"/>
        </w:trPr>
        <w:tc>
          <w:tcPr>
            <w:tcW w:w="1200" w:type="dxa"/>
            <w:vAlign w:val="bottom"/>
          </w:tcPr>
          <w:p>
            <w:pPr>
              <w:spacing w:after="0"/>
              <w:rPr>
                <w:sz w:val="20"/>
                <w:szCs w:val="20"/>
                <w:color w:val="auto"/>
              </w:rPr>
            </w:pPr>
            <w:r>
              <w:rPr>
                <w:rFonts w:ascii="Courier New" w:cs="Courier New" w:eastAsia="Courier New" w:hAnsi="Courier New"/>
                <w:sz w:val="16"/>
                <w:szCs w:val="16"/>
                <w:color w:val="auto"/>
              </w:rPr>
              <w:t>The Scotts</w:t>
            </w:r>
          </w:p>
        </w:tc>
        <w:tc>
          <w:tcPr>
            <w:tcW w:w="16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Grace-Sierra</w:t>
            </w: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Company</w:t>
            </w:r>
          </w:p>
        </w:tc>
        <w:tc>
          <w:tcPr>
            <w:tcW w:w="1620" w:type="dxa"/>
            <w:vAlign w:val="bottom"/>
            <w:vMerge w:val="continue"/>
          </w:tcPr>
          <w:p>
            <w:pPr>
              <w:spacing w:after="0"/>
              <w:rPr>
                <w:sz w:val="15"/>
                <w:szCs w:val="15"/>
                <w:color w:val="auto"/>
              </w:rPr>
            </w:pPr>
          </w:p>
        </w:tc>
        <w:tc>
          <w:tcPr>
            <w:tcW w:w="13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Pro Forma</w:t>
            </w:r>
          </w:p>
        </w:tc>
        <w:tc>
          <w:tcPr>
            <w:tcW w:w="1060" w:type="dxa"/>
            <w:vAlign w:val="bottom"/>
            <w:vMerge w:val="restart"/>
          </w:tcPr>
          <w:p>
            <w:pPr>
              <w:ind w:left="220"/>
              <w:spacing w:after="0"/>
              <w:rPr>
                <w:sz w:val="20"/>
                <w:szCs w:val="20"/>
                <w:color w:val="auto"/>
              </w:rPr>
            </w:pPr>
            <w:r>
              <w:rPr>
                <w:rFonts w:ascii="Courier New" w:cs="Courier New" w:eastAsia="Courier New" w:hAnsi="Courier New"/>
                <w:sz w:val="16"/>
                <w:szCs w:val="16"/>
                <w:color w:val="auto"/>
                <w:w w:val="94"/>
              </w:rPr>
              <w:t>Pro Forma</w:t>
            </w:r>
          </w:p>
        </w:tc>
        <w:tc>
          <w:tcPr>
            <w:tcW w:w="0" w:type="dxa"/>
            <w:vAlign w:val="bottom"/>
          </w:tcPr>
          <w:p>
            <w:pPr>
              <w:spacing w:after="0"/>
              <w:rPr>
                <w:sz w:val="1"/>
                <w:szCs w:val="1"/>
                <w:color w:val="auto"/>
              </w:rPr>
            </w:pPr>
          </w:p>
        </w:tc>
      </w:tr>
      <w:tr>
        <w:trPr>
          <w:trHeight w:val="261"/>
        </w:trPr>
        <w:tc>
          <w:tcPr>
            <w:tcW w:w="1200" w:type="dxa"/>
            <w:vAlign w:val="bottom"/>
          </w:tcPr>
          <w:p>
            <w:pPr>
              <w:spacing w:after="0"/>
              <w:rPr>
                <w:sz w:val="20"/>
                <w:szCs w:val="20"/>
                <w:color w:val="auto"/>
              </w:rPr>
            </w:pPr>
            <w:r>
              <w:rPr>
                <w:rFonts w:ascii="Courier New" w:cs="Courier New" w:eastAsia="Courier New" w:hAnsi="Courier New"/>
                <w:sz w:val="16"/>
                <w:szCs w:val="16"/>
                <w:color w:val="auto"/>
              </w:rPr>
              <w:t>Historical</w:t>
            </w:r>
          </w:p>
        </w:tc>
        <w:tc>
          <w:tcPr>
            <w:tcW w:w="1620" w:type="dxa"/>
            <w:vAlign w:val="bottom"/>
          </w:tcPr>
          <w:p>
            <w:pPr>
              <w:ind w:left="280"/>
              <w:spacing w:after="0"/>
              <w:rPr>
                <w:sz w:val="20"/>
                <w:szCs w:val="20"/>
                <w:color w:val="auto"/>
              </w:rPr>
            </w:pPr>
            <w:r>
              <w:rPr>
                <w:rFonts w:ascii="Courier New" w:cs="Courier New" w:eastAsia="Courier New" w:hAnsi="Courier New"/>
                <w:sz w:val="16"/>
                <w:szCs w:val="16"/>
                <w:color w:val="auto"/>
              </w:rPr>
              <w:t>Historical</w:t>
            </w:r>
          </w:p>
        </w:tc>
        <w:tc>
          <w:tcPr>
            <w:tcW w:w="13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54" w:orient="portrait"/>
          <w:cols w:equalWidth="0" w:num="1">
            <w:col w:w="10224"/>
          </w:cols>
          <w:pgMar w:left="235" w:top="1440" w:right="1440" w:bottom="0" w:gutter="0" w:footer="0" w:header="0"/>
        </w:sectPr>
      </w:pPr>
    </w:p>
    <w:bookmarkStart w:id="20" w:name="page21"/>
    <w:bookmarkEnd w:id="20"/>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1/1/94</w:t>
            </w:r>
          </w:p>
        </w:tc>
        <w:tc>
          <w:tcPr>
            <w:tcW w:w="460" w:type="dxa"/>
            <w:vAlign w:val="bottom"/>
          </w:tcPr>
          <w:p>
            <w:pPr>
              <w:spacing w:after="0"/>
              <w:rPr>
                <w:sz w:val="22"/>
                <w:szCs w:val="22"/>
                <w:color w:val="auto"/>
              </w:rPr>
            </w:pP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6"/>
              </w:rPr>
              <w:t>12/16/93</w:t>
            </w:r>
          </w:p>
        </w:tc>
        <w:tc>
          <w:tcPr>
            <w:tcW w:w="164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Adjustments</w:t>
            </w:r>
          </w:p>
        </w:tc>
        <w:tc>
          <w:tcPr>
            <w:tcW w:w="240" w:type="dxa"/>
            <w:vAlign w:val="bottom"/>
          </w:tcPr>
          <w:p>
            <w:pPr>
              <w:spacing w:after="0"/>
              <w:rPr>
                <w:sz w:val="22"/>
                <w:szCs w:val="22"/>
                <w:color w:val="auto"/>
              </w:rPr>
            </w:pPr>
          </w:p>
        </w:tc>
        <w:tc>
          <w:tcPr>
            <w:tcW w:w="7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0"/>
              </w:rPr>
              <w:t>1/1/94</w:t>
            </w:r>
          </w:p>
        </w:tc>
        <w:tc>
          <w:tcPr>
            <w:tcW w:w="0" w:type="dxa"/>
            <w:vAlign w:val="bottom"/>
          </w:tcPr>
          <w:p>
            <w:pPr>
              <w:spacing w:after="0"/>
              <w:rPr>
                <w:sz w:val="1"/>
                <w:szCs w:val="1"/>
                <w:color w:val="auto"/>
              </w:rPr>
            </w:pP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9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1,133</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rPr>
              <w:t>4,114</w:t>
            </w:r>
          </w:p>
        </w:tc>
        <w:tc>
          <w:tcPr>
            <w:tcW w:w="4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3"/>
                <w:szCs w:val="23"/>
                <w:color w:val="auto"/>
              </w:rPr>
            </w:pP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5,247</w:t>
            </w:r>
          </w:p>
        </w:tc>
        <w:tc>
          <w:tcPr>
            <w:tcW w:w="0" w:type="dxa"/>
            <w:vAlign w:val="bottom"/>
          </w:tcPr>
          <w:p>
            <w:pPr>
              <w:spacing w:after="0"/>
              <w:rPr>
                <w:sz w:val="1"/>
                <w:szCs w:val="1"/>
                <w:color w:val="auto"/>
              </w:rPr>
            </w:pPr>
          </w:p>
        </w:tc>
      </w:tr>
      <w:tr>
        <w:trPr>
          <w:trHeight w:val="179"/>
        </w:trPr>
        <w:tc>
          <w:tcPr>
            <w:tcW w:w="2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w:t>
            </w:r>
          </w:p>
        </w:tc>
        <w:tc>
          <w:tcPr>
            <w:tcW w:w="2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5"/>
                <w:szCs w:val="15"/>
                <w:color w:val="auto"/>
              </w:rPr>
            </w:pPr>
          </w:p>
        </w:tc>
        <w:tc>
          <w:tcPr>
            <w:tcW w:w="1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72,582</w:t>
            </w:r>
          </w:p>
        </w:tc>
        <w:tc>
          <w:tcPr>
            <w:tcW w:w="460" w:type="dxa"/>
            <w:vAlign w:val="bottom"/>
          </w:tcPr>
          <w:p>
            <w:pPr>
              <w:spacing w:after="0"/>
              <w:rPr>
                <w:sz w:val="15"/>
                <w:szCs w:val="15"/>
                <w:color w:val="auto"/>
              </w:rPr>
            </w:pP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23,409</w:t>
            </w:r>
          </w:p>
        </w:tc>
        <w:tc>
          <w:tcPr>
            <w:tcW w:w="4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0"/>
              </w:rPr>
              <w:t>(2)</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95,991</w:t>
            </w:r>
          </w:p>
        </w:tc>
        <w:tc>
          <w:tcPr>
            <w:tcW w:w="0" w:type="dxa"/>
            <w:vAlign w:val="bottom"/>
          </w:tcPr>
          <w:p>
            <w:pPr>
              <w:spacing w:after="0"/>
              <w:rPr>
                <w:sz w:val="1"/>
                <w:szCs w:val="1"/>
                <w:color w:val="auto"/>
              </w:rPr>
            </w:pPr>
          </w:p>
        </w:tc>
      </w:tr>
      <w:tr>
        <w:trPr>
          <w:trHeight w:val="179"/>
        </w:trPr>
        <w:tc>
          <w:tcPr>
            <w:tcW w:w="2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Inventories</w:t>
            </w:r>
          </w:p>
        </w:tc>
        <w:tc>
          <w:tcPr>
            <w:tcW w:w="200" w:type="dxa"/>
            <w:vAlign w:val="bottom"/>
          </w:tcPr>
          <w:p>
            <w:pPr>
              <w:spacing w:after="0"/>
              <w:rPr>
                <w:sz w:val="15"/>
                <w:szCs w:val="15"/>
                <w:color w:val="auto"/>
              </w:rPr>
            </w:pPr>
          </w:p>
        </w:tc>
        <w:tc>
          <w:tcPr>
            <w:tcW w:w="1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110,022</w:t>
            </w:r>
          </w:p>
        </w:tc>
        <w:tc>
          <w:tcPr>
            <w:tcW w:w="460" w:type="dxa"/>
            <w:vAlign w:val="bottom"/>
          </w:tcPr>
          <w:p>
            <w:pPr>
              <w:spacing w:after="0"/>
              <w:rPr>
                <w:sz w:val="15"/>
                <w:szCs w:val="15"/>
                <w:color w:val="auto"/>
              </w:rPr>
            </w:pPr>
          </w:p>
        </w:tc>
        <w:tc>
          <w:tcPr>
            <w:tcW w:w="102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18,205</w:t>
            </w:r>
          </w:p>
        </w:tc>
        <w:tc>
          <w:tcPr>
            <w:tcW w:w="4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1,917</w:t>
            </w: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130,144</w:t>
            </w:r>
          </w:p>
        </w:tc>
        <w:tc>
          <w:tcPr>
            <w:tcW w:w="0" w:type="dxa"/>
            <w:vAlign w:val="bottom"/>
          </w:tcPr>
          <w:p>
            <w:pPr>
              <w:spacing w:after="0"/>
              <w:rPr>
                <w:sz w:val="1"/>
                <w:szCs w:val="1"/>
                <w:color w:val="auto"/>
              </w:rPr>
            </w:pPr>
          </w:p>
        </w:tc>
      </w:tr>
      <w:tr>
        <w:trPr>
          <w:trHeight w:val="261"/>
        </w:trPr>
        <w:tc>
          <w:tcPr>
            <w:tcW w:w="2920" w:type="dxa"/>
            <w:vAlign w:val="bottom"/>
          </w:tcPr>
          <w:p>
            <w:pPr>
              <w:ind w:left="180"/>
              <w:spacing w:after="0"/>
              <w:rPr>
                <w:sz w:val="20"/>
                <w:szCs w:val="20"/>
                <w:color w:val="auto"/>
              </w:rPr>
            </w:pPr>
            <w:r>
              <w:rPr>
                <w:rFonts w:ascii="Courier New" w:cs="Courier New" w:eastAsia="Courier New" w:hAnsi="Courier New"/>
                <w:sz w:val="16"/>
                <w:szCs w:val="16"/>
                <w:color w:val="auto"/>
              </w:rPr>
              <w:t>Prepaids and other assets</w:t>
            </w:r>
          </w:p>
        </w:tc>
        <w:tc>
          <w:tcPr>
            <w:tcW w:w="200" w:type="dxa"/>
            <w:vAlign w:val="bottom"/>
          </w:tcPr>
          <w:p>
            <w:pPr>
              <w:spacing w:after="0"/>
              <w:rPr>
                <w:sz w:val="22"/>
                <w:szCs w:val="22"/>
                <w:color w:val="auto"/>
              </w:rPr>
            </w:pPr>
          </w:p>
        </w:tc>
        <w:tc>
          <w:tcPr>
            <w:tcW w:w="10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5,753</w:t>
            </w:r>
          </w:p>
        </w:tc>
        <w:tc>
          <w:tcPr>
            <w:tcW w:w="460" w:type="dxa"/>
            <w:vAlign w:val="bottom"/>
          </w:tcPr>
          <w:p>
            <w:pPr>
              <w:spacing w:after="0"/>
              <w:rPr>
                <w:sz w:val="22"/>
                <w:szCs w:val="22"/>
                <w:color w:val="auto"/>
              </w:rPr>
            </w:pP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1,050</w:t>
            </w:r>
          </w:p>
        </w:tc>
        <w:tc>
          <w:tcPr>
            <w:tcW w:w="420" w:type="dxa"/>
            <w:vAlign w:val="bottom"/>
          </w:tcPr>
          <w:p>
            <w:pPr>
              <w:spacing w:after="0"/>
              <w:rPr>
                <w:sz w:val="22"/>
                <w:szCs w:val="22"/>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6,803</w:t>
            </w:r>
          </w:p>
        </w:tc>
        <w:tc>
          <w:tcPr>
            <w:tcW w:w="0" w:type="dxa"/>
            <w:vAlign w:val="bottom"/>
          </w:tcPr>
          <w:p>
            <w:pPr>
              <w:spacing w:after="0"/>
              <w:rPr>
                <w:sz w:val="1"/>
                <w:szCs w:val="1"/>
                <w:color w:val="auto"/>
              </w:rPr>
            </w:pPr>
          </w:p>
        </w:tc>
      </w:tr>
      <w:tr>
        <w:trPr>
          <w:trHeight w:val="358"/>
        </w:trPr>
        <w:tc>
          <w:tcPr>
            <w:tcW w:w="2920" w:type="dxa"/>
            <w:vAlign w:val="bottom"/>
          </w:tcPr>
          <w:p>
            <w:pPr>
              <w:ind w:left="36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24"/>
                <w:szCs w:val="24"/>
                <w:color w:val="auto"/>
              </w:rPr>
            </w:pPr>
          </w:p>
        </w:tc>
        <w:tc>
          <w:tcPr>
            <w:tcW w:w="10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8"/>
              </w:rPr>
              <w:t>189,490</w:t>
            </w:r>
          </w:p>
        </w:tc>
        <w:tc>
          <w:tcPr>
            <w:tcW w:w="460" w:type="dxa"/>
            <w:vAlign w:val="bottom"/>
          </w:tcPr>
          <w:p>
            <w:pPr>
              <w:spacing w:after="0"/>
              <w:rPr>
                <w:sz w:val="24"/>
                <w:szCs w:val="24"/>
                <w:color w:val="auto"/>
              </w:rPr>
            </w:pP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46,778</w:t>
            </w:r>
          </w:p>
        </w:tc>
        <w:tc>
          <w:tcPr>
            <w:tcW w:w="4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1,917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238,185</w:t>
            </w:r>
          </w:p>
        </w:tc>
        <w:tc>
          <w:tcPr>
            <w:tcW w:w="0" w:type="dxa"/>
            <w:vAlign w:val="bottom"/>
          </w:tcPr>
          <w:p>
            <w:pPr>
              <w:spacing w:after="0"/>
              <w:rPr>
                <w:sz w:val="1"/>
                <w:szCs w:val="1"/>
                <w:color w:val="auto"/>
              </w:rPr>
            </w:pPr>
          </w:p>
        </w:tc>
      </w:tr>
      <w:tr>
        <w:trPr>
          <w:trHeight w:val="276"/>
        </w:trPr>
        <w:tc>
          <w:tcPr>
            <w:tcW w:w="29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200" w:type="dxa"/>
            <w:vAlign w:val="bottom"/>
          </w:tcPr>
          <w:p>
            <w:pPr>
              <w:spacing w:after="0"/>
              <w:rPr>
                <w:sz w:val="23"/>
                <w:szCs w:val="23"/>
                <w:color w:val="auto"/>
              </w:rPr>
            </w:pPr>
          </w:p>
        </w:tc>
        <w:tc>
          <w:tcPr>
            <w:tcW w:w="106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w w:val="98"/>
              </w:rPr>
              <w:t>158,609</w:t>
            </w:r>
          </w:p>
        </w:tc>
        <w:tc>
          <w:tcPr>
            <w:tcW w:w="460" w:type="dxa"/>
            <w:vAlign w:val="bottom"/>
          </w:tcPr>
          <w:p>
            <w:pPr>
              <w:spacing w:after="0"/>
              <w:rPr>
                <w:sz w:val="23"/>
                <w:szCs w:val="23"/>
                <w:color w:val="auto"/>
              </w:rPr>
            </w:pPr>
          </w:p>
        </w:tc>
        <w:tc>
          <w:tcPr>
            <w:tcW w:w="102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rPr>
              <w:t>37,704</w:t>
            </w:r>
          </w:p>
        </w:tc>
        <w:tc>
          <w:tcPr>
            <w:tcW w:w="4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(16,170)</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180,143</w:t>
            </w:r>
          </w:p>
        </w:tc>
        <w:tc>
          <w:tcPr>
            <w:tcW w:w="0" w:type="dxa"/>
            <w:vAlign w:val="bottom"/>
          </w:tcPr>
          <w:p>
            <w:pPr>
              <w:spacing w:after="0"/>
              <w:rPr>
                <w:sz w:val="1"/>
                <w:szCs w:val="1"/>
                <w:color w:val="auto"/>
              </w:rPr>
            </w:pPr>
          </w:p>
        </w:tc>
      </w:tr>
      <w:tr>
        <w:trPr>
          <w:trHeight w:val="179"/>
        </w:trPr>
        <w:tc>
          <w:tcPr>
            <w:tcW w:w="2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 cost</w:t>
            </w: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2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200" w:type="dxa"/>
            <w:vAlign w:val="bottom"/>
          </w:tcPr>
          <w:p>
            <w:pPr>
              <w:spacing w:after="0"/>
              <w:rPr>
                <w:sz w:val="22"/>
                <w:szCs w:val="22"/>
                <w:color w:val="auto"/>
              </w:rPr>
            </w:pPr>
          </w:p>
        </w:tc>
        <w:tc>
          <w:tcPr>
            <w:tcW w:w="10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57,809</w:t>
            </w:r>
          </w:p>
        </w:tc>
        <w:tc>
          <w:tcPr>
            <w:tcW w:w="460" w:type="dxa"/>
            <w:vAlign w:val="bottom"/>
          </w:tcPr>
          <w:p>
            <w:pPr>
              <w:spacing w:after="0"/>
              <w:rPr>
                <w:sz w:val="22"/>
                <w:szCs w:val="22"/>
                <w:color w:val="auto"/>
              </w:rPr>
            </w:pP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17,882</w:t>
            </w:r>
          </w:p>
        </w:tc>
        <w:tc>
          <w:tcPr>
            <w:tcW w:w="4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(17,882)</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57,809</w:t>
            </w:r>
          </w:p>
        </w:tc>
        <w:tc>
          <w:tcPr>
            <w:tcW w:w="0" w:type="dxa"/>
            <w:vAlign w:val="bottom"/>
          </w:tcPr>
          <w:p>
            <w:pPr>
              <w:spacing w:after="0"/>
              <w:rPr>
                <w:sz w:val="1"/>
                <w:szCs w:val="1"/>
                <w:color w:val="auto"/>
              </w:rPr>
            </w:pPr>
          </w:p>
        </w:tc>
      </w:tr>
      <w:tr>
        <w:trPr>
          <w:trHeight w:val="358"/>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8"/>
              </w:rPr>
              <w:t>100,800</w:t>
            </w:r>
          </w:p>
        </w:tc>
        <w:tc>
          <w:tcPr>
            <w:tcW w:w="460" w:type="dxa"/>
            <w:vAlign w:val="bottom"/>
          </w:tcPr>
          <w:p>
            <w:pPr>
              <w:spacing w:after="0"/>
              <w:rPr>
                <w:sz w:val="24"/>
                <w:szCs w:val="24"/>
                <w:color w:val="auto"/>
              </w:rPr>
            </w:pP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19,822</w:t>
            </w:r>
          </w:p>
        </w:tc>
        <w:tc>
          <w:tcPr>
            <w:tcW w:w="4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1,712</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(3)</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122,334</w:t>
            </w:r>
          </w:p>
        </w:tc>
        <w:tc>
          <w:tcPr>
            <w:tcW w:w="0" w:type="dxa"/>
            <w:vAlign w:val="bottom"/>
          </w:tcPr>
          <w:p>
            <w:pPr>
              <w:spacing w:after="0"/>
              <w:rPr>
                <w:sz w:val="1"/>
                <w:szCs w:val="1"/>
                <w:color w:val="auto"/>
              </w:rPr>
            </w:pPr>
          </w:p>
        </w:tc>
      </w:tr>
      <w:tr>
        <w:trPr>
          <w:trHeight w:val="276"/>
        </w:trPr>
        <w:tc>
          <w:tcPr>
            <w:tcW w:w="2920" w:type="dxa"/>
            <w:vAlign w:val="bottom"/>
          </w:tcPr>
          <w:p>
            <w:pPr>
              <w:spacing w:after="0"/>
              <w:rPr>
                <w:sz w:val="20"/>
                <w:szCs w:val="20"/>
                <w:color w:val="auto"/>
              </w:rPr>
            </w:pPr>
            <w:r>
              <w:rPr>
                <w:rFonts w:ascii="Courier New" w:cs="Courier New" w:eastAsia="Courier New" w:hAnsi="Courier New"/>
                <w:sz w:val="16"/>
                <w:szCs w:val="16"/>
                <w:color w:val="auto"/>
              </w:rPr>
              <w:t>Patents and other</w:t>
            </w:r>
          </w:p>
        </w:tc>
        <w:tc>
          <w:tcPr>
            <w:tcW w:w="200" w:type="dxa"/>
            <w:vAlign w:val="bottom"/>
          </w:tcPr>
          <w:p>
            <w:pPr>
              <w:spacing w:after="0"/>
              <w:rPr>
                <w:sz w:val="23"/>
                <w:szCs w:val="23"/>
                <w:color w:val="auto"/>
              </w:rPr>
            </w:pPr>
          </w:p>
        </w:tc>
        <w:tc>
          <w:tcPr>
            <w:tcW w:w="106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19,063</w:t>
            </w:r>
          </w:p>
        </w:tc>
        <w:tc>
          <w:tcPr>
            <w:tcW w:w="460" w:type="dxa"/>
            <w:vAlign w:val="bottom"/>
          </w:tcPr>
          <w:p>
            <w:pPr>
              <w:spacing w:after="0"/>
              <w:rPr>
                <w:sz w:val="23"/>
                <w:szCs w:val="23"/>
                <w:color w:val="auto"/>
              </w:rPr>
            </w:pPr>
          </w:p>
        </w:tc>
        <w:tc>
          <w:tcPr>
            <w:tcW w:w="102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3"/>
                <w:szCs w:val="23"/>
                <w:color w:val="auto"/>
              </w:rPr>
            </w:pP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6,298</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0"/>
              </w:rPr>
              <w:t>(4)</w:t>
            </w:r>
          </w:p>
        </w:tc>
        <w:tc>
          <w:tcPr>
            <w:tcW w:w="24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25,361</w:t>
            </w:r>
          </w:p>
        </w:tc>
        <w:tc>
          <w:tcPr>
            <w:tcW w:w="0" w:type="dxa"/>
            <w:vAlign w:val="bottom"/>
          </w:tcPr>
          <w:p>
            <w:pPr>
              <w:spacing w:after="0"/>
              <w:rPr>
                <w:sz w:val="1"/>
                <w:szCs w:val="1"/>
                <w:color w:val="auto"/>
              </w:rPr>
            </w:pPr>
          </w:p>
        </w:tc>
      </w:tr>
      <w:tr>
        <w:trPr>
          <w:trHeight w:val="179"/>
        </w:trPr>
        <w:tc>
          <w:tcPr>
            <w:tcW w:w="2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intangibles, net</w:t>
            </w: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financing and</w:t>
            </w:r>
          </w:p>
        </w:tc>
        <w:tc>
          <w:tcPr>
            <w:tcW w:w="200" w:type="dxa"/>
            <w:vAlign w:val="bottom"/>
          </w:tcPr>
          <w:p>
            <w:pPr>
              <w:spacing w:after="0"/>
              <w:rPr>
                <w:sz w:val="15"/>
                <w:szCs w:val="15"/>
                <w:color w:val="auto"/>
              </w:rPr>
            </w:pPr>
          </w:p>
        </w:tc>
        <w:tc>
          <w:tcPr>
            <w:tcW w:w="106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3,223</w:t>
            </w:r>
          </w:p>
        </w:tc>
        <w:tc>
          <w:tcPr>
            <w:tcW w:w="460" w:type="dxa"/>
            <w:vAlign w:val="bottom"/>
          </w:tcPr>
          <w:p>
            <w:pPr>
              <w:spacing w:after="0"/>
              <w:rPr>
                <w:sz w:val="15"/>
                <w:szCs w:val="15"/>
                <w:color w:val="auto"/>
              </w:rPr>
            </w:pPr>
          </w:p>
        </w:tc>
        <w:tc>
          <w:tcPr>
            <w:tcW w:w="102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rPr>
              <w:t>705</w:t>
            </w:r>
          </w:p>
        </w:tc>
        <w:tc>
          <w:tcPr>
            <w:tcW w:w="420" w:type="dxa"/>
            <w:vAlign w:val="bottom"/>
          </w:tcPr>
          <w:p>
            <w:pPr>
              <w:spacing w:after="0"/>
              <w:rPr>
                <w:sz w:val="15"/>
                <w:szCs w:val="15"/>
                <w:color w:val="auto"/>
              </w:rPr>
            </w:pP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2,375</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0"/>
              </w:rPr>
              <w:t>(5)</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6,303</w:t>
            </w:r>
          </w:p>
        </w:tc>
        <w:tc>
          <w:tcPr>
            <w:tcW w:w="0" w:type="dxa"/>
            <w:vAlign w:val="bottom"/>
          </w:tcPr>
          <w:p>
            <w:pPr>
              <w:spacing w:after="0"/>
              <w:rPr>
                <w:sz w:val="1"/>
                <w:szCs w:val="1"/>
                <w:color w:val="auto"/>
              </w:rPr>
            </w:pPr>
          </w:p>
        </w:tc>
      </w:tr>
      <w:tr>
        <w:trPr>
          <w:trHeight w:val="179"/>
        </w:trPr>
        <w:tc>
          <w:tcPr>
            <w:tcW w:w="2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organizational costs, net</w:t>
            </w: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Excess of costs over underlying</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value of net assets acquired</w:t>
            </w:r>
          </w:p>
        </w:tc>
        <w:tc>
          <w:tcPr>
            <w:tcW w:w="200" w:type="dxa"/>
            <w:vAlign w:val="bottom"/>
          </w:tcPr>
          <w:p>
            <w:pPr>
              <w:spacing w:after="0"/>
              <w:rPr>
                <w:sz w:val="15"/>
                <w:szCs w:val="15"/>
                <w:color w:val="auto"/>
              </w:rPr>
            </w:pPr>
          </w:p>
        </w:tc>
        <w:tc>
          <w:tcPr>
            <w:tcW w:w="106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41,048</w:t>
            </w:r>
          </w:p>
        </w:tc>
        <w:tc>
          <w:tcPr>
            <w:tcW w:w="460" w:type="dxa"/>
            <w:vAlign w:val="bottom"/>
          </w:tcPr>
          <w:p>
            <w:pPr>
              <w:spacing w:after="0"/>
              <w:rPr>
                <w:sz w:val="15"/>
                <w:szCs w:val="15"/>
                <w:color w:val="auto"/>
              </w:rPr>
            </w:pPr>
          </w:p>
        </w:tc>
        <w:tc>
          <w:tcPr>
            <w:tcW w:w="102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66,126</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0"/>
              </w:rPr>
              <w:t>(6)</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107,174</w:t>
            </w:r>
          </w:p>
        </w:tc>
        <w:tc>
          <w:tcPr>
            <w:tcW w:w="0" w:type="dxa"/>
            <w:vAlign w:val="bottom"/>
          </w:tcPr>
          <w:p>
            <w:pPr>
              <w:spacing w:after="0"/>
              <w:rPr>
                <w:sz w:val="1"/>
                <w:szCs w:val="1"/>
                <w:color w:val="auto"/>
              </w:rPr>
            </w:pPr>
          </w:p>
        </w:tc>
      </w:tr>
      <w:tr>
        <w:trPr>
          <w:trHeight w:val="179"/>
        </w:trPr>
        <w:tc>
          <w:tcPr>
            <w:tcW w:w="2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(goodwill), net</w:t>
            </w: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9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00" w:type="dxa"/>
            <w:vAlign w:val="bottom"/>
          </w:tcPr>
          <w:p>
            <w:pPr>
              <w:spacing w:after="0"/>
              <w:rPr>
                <w:sz w:val="22"/>
                <w:szCs w:val="22"/>
                <w:color w:val="auto"/>
              </w:rPr>
            </w:pPr>
          </w:p>
        </w:tc>
        <w:tc>
          <w:tcPr>
            <w:tcW w:w="10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14,146</w:t>
            </w:r>
          </w:p>
        </w:tc>
        <w:tc>
          <w:tcPr>
            <w:tcW w:w="460" w:type="dxa"/>
            <w:vAlign w:val="bottom"/>
          </w:tcPr>
          <w:p>
            <w:pPr>
              <w:spacing w:after="0"/>
              <w:rPr>
                <w:sz w:val="22"/>
                <w:szCs w:val="22"/>
                <w:color w:val="auto"/>
              </w:rPr>
            </w:pP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312</w:t>
            </w:r>
          </w:p>
        </w:tc>
        <w:tc>
          <w:tcPr>
            <w:tcW w:w="420" w:type="dxa"/>
            <w:vAlign w:val="bottom"/>
          </w:tcPr>
          <w:p>
            <w:pPr>
              <w:spacing w:after="0"/>
              <w:rPr>
                <w:sz w:val="22"/>
                <w:szCs w:val="22"/>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2,570</w:t>
            </w:r>
          </w:p>
        </w:tc>
        <w:tc>
          <w:tcPr>
            <w:tcW w:w="4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0"/>
              </w:rPr>
              <w:t>(7)</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17,028</w:t>
            </w:r>
          </w:p>
        </w:tc>
        <w:tc>
          <w:tcPr>
            <w:tcW w:w="0" w:type="dxa"/>
            <w:vAlign w:val="bottom"/>
          </w:tcPr>
          <w:p>
            <w:pPr>
              <w:spacing w:after="0"/>
              <w:rPr>
                <w:sz w:val="1"/>
                <w:szCs w:val="1"/>
                <w:color w:val="auto"/>
              </w:rPr>
            </w:pP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8"/>
              </w:rPr>
              <w:t>367,770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67,617</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80,998</w:t>
            </w:r>
          </w:p>
        </w:tc>
        <w:tc>
          <w:tcPr>
            <w:tcW w:w="4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516,385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F-23</w:t>
      </w:r>
    </w:p>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7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Pro Forma Consolidated Balance Sheet</w:t>
      </w:r>
    </w:p>
    <w:p>
      <w:pPr>
        <w:spacing w:after="0" w:line="2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as of January 1, 1994</w:t>
      </w:r>
    </w:p>
    <w:p>
      <w:pPr>
        <w:jc w:val="center"/>
        <w:ind w:right="1759"/>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60" w:type="dxa"/>
            <w:vAlign w:val="bottom"/>
            <w:gridSpan w:val="3"/>
          </w:tcPr>
          <w:p>
            <w:pPr>
              <w:jc w:val="right"/>
              <w:ind w:right="722"/>
              <w:spacing w:after="0"/>
              <w:rPr>
                <w:sz w:val="20"/>
                <w:szCs w:val="20"/>
                <w:color w:val="auto"/>
              </w:rPr>
            </w:pPr>
            <w:r>
              <w:rPr>
                <w:rFonts w:ascii="Courier New" w:cs="Courier New" w:eastAsia="Courier New" w:hAnsi="Courier New"/>
                <w:sz w:val="16"/>
                <w:szCs w:val="16"/>
                <w:color w:val="auto"/>
              </w:rPr>
              <w:t>(in thousands)</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2"/>
        </w:trPr>
        <w:tc>
          <w:tcPr>
            <w:tcW w:w="28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Scotts</w:t>
            </w:r>
          </w:p>
        </w:tc>
        <w:tc>
          <w:tcPr>
            <w:tcW w:w="1580" w:type="dxa"/>
            <w:vAlign w:val="bottom"/>
            <w:gridSpan w:val="2"/>
            <w:vMerge w:val="restart"/>
          </w:tcPr>
          <w:p>
            <w:pPr>
              <w:jc w:val="right"/>
              <w:ind w:right="162"/>
              <w:spacing w:after="0"/>
              <w:rPr>
                <w:sz w:val="20"/>
                <w:szCs w:val="20"/>
                <w:color w:val="auto"/>
              </w:rPr>
            </w:pPr>
            <w:r>
              <w:rPr>
                <w:rFonts w:ascii="Courier New" w:cs="Courier New" w:eastAsia="Courier New" w:hAnsi="Courier New"/>
                <w:sz w:val="16"/>
                <w:szCs w:val="16"/>
                <w:color w:val="auto"/>
              </w:rPr>
              <w:t>Grace-Sierra</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Company</w:t>
            </w:r>
          </w:p>
        </w:tc>
        <w:tc>
          <w:tcPr>
            <w:tcW w:w="1580" w:type="dxa"/>
            <w:vAlign w:val="bottom"/>
            <w:gridSpan w:val="2"/>
            <w:vMerge w:val="continue"/>
          </w:tcPr>
          <w:p>
            <w:pPr>
              <w:spacing w:after="0"/>
              <w:rPr>
                <w:sz w:val="15"/>
                <w:szCs w:val="15"/>
                <w:color w:val="auto"/>
              </w:rPr>
            </w:pPr>
          </w:p>
        </w:tc>
        <w:tc>
          <w:tcPr>
            <w:tcW w:w="1260" w:type="dxa"/>
            <w:vAlign w:val="bottom"/>
            <w:gridSpan w:val="2"/>
            <w:vMerge w:val="restart"/>
          </w:tcPr>
          <w:p>
            <w:pPr>
              <w:ind w:left="320"/>
              <w:spacing w:after="0"/>
              <w:rPr>
                <w:sz w:val="20"/>
                <w:szCs w:val="20"/>
                <w:color w:val="auto"/>
              </w:rPr>
            </w:pPr>
            <w:r>
              <w:rPr>
                <w:rFonts w:ascii="Courier New" w:cs="Courier New" w:eastAsia="Courier New" w:hAnsi="Courier New"/>
                <w:sz w:val="16"/>
                <w:szCs w:val="16"/>
                <w:color w:val="auto"/>
              </w:rPr>
              <w:t>Pro Forma</w:t>
            </w: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Pro Forma</w:t>
            </w:r>
          </w:p>
        </w:tc>
        <w:tc>
          <w:tcPr>
            <w:tcW w:w="0" w:type="dxa"/>
            <w:vAlign w:val="bottom"/>
          </w:tcPr>
          <w:p>
            <w:pPr>
              <w:spacing w:after="0"/>
              <w:rPr>
                <w:sz w:val="1"/>
                <w:szCs w:val="1"/>
                <w:color w:val="auto"/>
              </w:rPr>
            </w:pPr>
          </w:p>
        </w:tc>
      </w:tr>
      <w:tr>
        <w:trPr>
          <w:trHeight w:val="179"/>
        </w:trPr>
        <w:tc>
          <w:tcPr>
            <w:tcW w:w="2880" w:type="dxa"/>
            <w:vAlign w:val="bottom"/>
          </w:tcPr>
          <w:p>
            <w:pPr>
              <w:spacing w:after="0"/>
              <w:rPr>
                <w:sz w:val="15"/>
                <w:szCs w:val="15"/>
                <w:color w:val="auto"/>
              </w:rPr>
            </w:pPr>
          </w:p>
        </w:tc>
        <w:tc>
          <w:tcPr>
            <w:tcW w:w="12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Historical</w:t>
            </w:r>
          </w:p>
        </w:tc>
        <w:tc>
          <w:tcPr>
            <w:tcW w:w="15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Historical</w:t>
            </w:r>
          </w:p>
        </w:tc>
        <w:tc>
          <w:tcPr>
            <w:tcW w:w="12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1/1/94</w:t>
            </w:r>
          </w:p>
        </w:tc>
        <w:tc>
          <w:tcPr>
            <w:tcW w:w="15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12/16/93</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420" w:type="dxa"/>
            <w:vAlign w:val="bottom"/>
          </w:tcPr>
          <w:p>
            <w:pPr>
              <w:spacing w:after="0"/>
              <w:rPr>
                <w:sz w:val="22"/>
                <w:szCs w:val="22"/>
                <w:color w:val="auto"/>
              </w:rPr>
            </w:pPr>
          </w:p>
        </w:tc>
        <w:tc>
          <w:tcPr>
            <w:tcW w:w="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1/1/94</w:t>
            </w:r>
          </w:p>
        </w:tc>
        <w:tc>
          <w:tcPr>
            <w:tcW w:w="0" w:type="dxa"/>
            <w:vAlign w:val="bottom"/>
          </w:tcPr>
          <w:p>
            <w:pPr>
              <w:spacing w:after="0"/>
              <w:rPr>
                <w:sz w:val="1"/>
                <w:szCs w:val="1"/>
                <w:color w:val="auto"/>
              </w:rPr>
            </w:pPr>
          </w:p>
        </w:tc>
      </w:tr>
      <w:tr>
        <w:trPr>
          <w:trHeight w:val="276"/>
        </w:trPr>
        <w:tc>
          <w:tcPr>
            <w:tcW w:w="2880" w:type="dxa"/>
            <w:vAlign w:val="bottom"/>
          </w:tcPr>
          <w:p>
            <w:pPr>
              <w:spacing w:after="0"/>
              <w:rPr>
                <w:sz w:val="20"/>
                <w:szCs w:val="20"/>
                <w:color w:val="auto"/>
              </w:rPr>
            </w:pPr>
            <w:r>
              <w:rPr>
                <w:rFonts w:ascii="Courier New" w:cs="Courier New" w:eastAsia="Courier New" w:hAnsi="Courier New"/>
                <w:sz w:val="16"/>
                <w:szCs w:val="16"/>
                <w:color w:val="auto"/>
              </w:rPr>
              <w:t>LIABILITIES AND</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SHAREHOLDERS' EQUITY</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8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44,000</w:t>
            </w:r>
          </w:p>
        </w:tc>
        <w:tc>
          <w:tcPr>
            <w:tcW w:w="60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60" w:type="dxa"/>
            <w:vAlign w:val="bottom"/>
            <w:vMerge w:val="restart"/>
          </w:tcPr>
          <w:p>
            <w:pPr>
              <w:ind w:left="320"/>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  44,000</w:t>
            </w:r>
          </w:p>
        </w:tc>
        <w:tc>
          <w:tcPr>
            <w:tcW w:w="0" w:type="dxa"/>
            <w:vAlign w:val="bottom"/>
          </w:tcPr>
          <w:p>
            <w:pPr>
              <w:spacing w:after="0"/>
              <w:rPr>
                <w:sz w:val="1"/>
                <w:szCs w:val="1"/>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Revolving credit</w:t>
            </w:r>
          </w:p>
        </w:tc>
        <w:tc>
          <w:tcPr>
            <w:tcW w:w="1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Bank line of credit</w:t>
            </w:r>
          </w:p>
        </w:tc>
        <w:tc>
          <w:tcPr>
            <w:tcW w:w="18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1,303</w:t>
            </w:r>
          </w:p>
        </w:tc>
        <w:tc>
          <w:tcPr>
            <w:tcW w:w="6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0"/>
              </w:rPr>
              <w:t>(1)</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1,303</w:t>
            </w:r>
          </w:p>
        </w:tc>
        <w:tc>
          <w:tcPr>
            <w:tcW w:w="0" w:type="dxa"/>
            <w:vAlign w:val="bottom"/>
          </w:tcPr>
          <w:p>
            <w:pPr>
              <w:spacing w:after="0"/>
              <w:rPr>
                <w:sz w:val="1"/>
                <w:szCs w:val="1"/>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Current portion of term debt</w:t>
            </w:r>
          </w:p>
        </w:tc>
        <w:tc>
          <w:tcPr>
            <w:tcW w:w="18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5,444</w:t>
            </w:r>
          </w:p>
        </w:tc>
        <w:tc>
          <w:tcPr>
            <w:tcW w:w="6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4,149</w:t>
            </w:r>
          </w:p>
        </w:tc>
        <w:tc>
          <w:tcPr>
            <w:tcW w:w="4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10,851</w:t>
            </w:r>
          </w:p>
        </w:tc>
        <w:tc>
          <w:tcPr>
            <w:tcW w:w="420" w:type="dxa"/>
            <w:vAlign w:val="bottom"/>
            <w:vMerge w:val="continue"/>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20,444</w:t>
            </w:r>
          </w:p>
        </w:tc>
        <w:tc>
          <w:tcPr>
            <w:tcW w:w="0" w:type="dxa"/>
            <w:vAlign w:val="bottom"/>
          </w:tcPr>
          <w:p>
            <w:pPr>
              <w:spacing w:after="0"/>
              <w:rPr>
                <w:sz w:val="1"/>
                <w:szCs w:val="1"/>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payable, trade</w:t>
            </w:r>
          </w:p>
        </w:tc>
        <w:tc>
          <w:tcPr>
            <w:tcW w:w="18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31,446</w:t>
            </w:r>
          </w:p>
        </w:tc>
        <w:tc>
          <w:tcPr>
            <w:tcW w:w="6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8,385</w:t>
            </w:r>
          </w:p>
        </w:tc>
        <w:tc>
          <w:tcPr>
            <w:tcW w:w="4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0"/>
              </w:rPr>
              <w:t>(8)</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39,831</w:t>
            </w:r>
          </w:p>
        </w:tc>
        <w:tc>
          <w:tcPr>
            <w:tcW w:w="0" w:type="dxa"/>
            <w:vAlign w:val="bottom"/>
          </w:tcPr>
          <w:p>
            <w:pPr>
              <w:spacing w:after="0"/>
              <w:rPr>
                <w:sz w:val="1"/>
                <w:szCs w:val="1"/>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18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5,552</w:t>
            </w:r>
          </w:p>
        </w:tc>
        <w:tc>
          <w:tcPr>
            <w:tcW w:w="6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869</w:t>
            </w:r>
          </w:p>
        </w:tc>
        <w:tc>
          <w:tcPr>
            <w:tcW w:w="4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4,858</w:t>
            </w:r>
          </w:p>
        </w:tc>
        <w:tc>
          <w:tcPr>
            <w:tcW w:w="420" w:type="dxa"/>
            <w:vAlign w:val="bottom"/>
            <w:vMerge w:val="continue"/>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11,279</w:t>
            </w:r>
          </w:p>
        </w:tc>
        <w:tc>
          <w:tcPr>
            <w:tcW w:w="0" w:type="dxa"/>
            <w:vAlign w:val="bottom"/>
          </w:tcPr>
          <w:p>
            <w:pPr>
              <w:spacing w:after="0"/>
              <w:rPr>
                <w:sz w:val="1"/>
                <w:szCs w:val="1"/>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payroll and</w:t>
            </w:r>
          </w:p>
        </w:tc>
        <w:tc>
          <w:tcPr>
            <w:tcW w:w="180" w:type="dxa"/>
            <w:vAlign w:val="bottom"/>
          </w:tcPr>
          <w:p>
            <w:pPr>
              <w:spacing w:after="0"/>
              <w:rPr>
                <w:sz w:val="15"/>
                <w:szCs w:val="15"/>
                <w:color w:val="auto"/>
              </w:rPr>
            </w:pP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9,052</w:t>
            </w:r>
          </w:p>
        </w:tc>
        <w:tc>
          <w:tcPr>
            <w:tcW w:w="600" w:type="dxa"/>
            <w:vAlign w:val="bottom"/>
          </w:tcPr>
          <w:p>
            <w:pPr>
              <w:spacing w:after="0"/>
              <w:rPr>
                <w:sz w:val="15"/>
                <w:szCs w:val="15"/>
                <w:color w:val="auto"/>
              </w:rPr>
            </w:pPr>
          </w:p>
        </w:tc>
        <w:tc>
          <w:tcPr>
            <w:tcW w:w="98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3,822</w:t>
            </w:r>
          </w:p>
        </w:tc>
        <w:tc>
          <w:tcPr>
            <w:tcW w:w="460" w:type="dxa"/>
            <w:vAlign w:val="bottom"/>
          </w:tcPr>
          <w:p>
            <w:pPr>
              <w:spacing w:after="0"/>
              <w:rPr>
                <w:sz w:val="15"/>
                <w:szCs w:val="15"/>
                <w:color w:val="auto"/>
              </w:rPr>
            </w:pP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12,874</w:t>
            </w:r>
          </w:p>
        </w:tc>
        <w:tc>
          <w:tcPr>
            <w:tcW w:w="0" w:type="dxa"/>
            <w:vAlign w:val="bottom"/>
          </w:tcPr>
          <w:p>
            <w:pPr>
              <w:spacing w:after="0"/>
              <w:rPr>
                <w:sz w:val="1"/>
                <w:szCs w:val="1"/>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fringe benefits</w:t>
            </w: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Accrued taxes</w:t>
            </w:r>
          </w:p>
        </w:tc>
        <w:tc>
          <w:tcPr>
            <w:tcW w:w="180" w:type="dxa"/>
            <w:vAlign w:val="bottom"/>
          </w:tcPr>
          <w:p>
            <w:pPr>
              <w:spacing w:after="0"/>
              <w:rPr>
                <w:sz w:val="22"/>
                <w:szCs w:val="22"/>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5,338</w:t>
            </w:r>
          </w:p>
        </w:tc>
        <w:tc>
          <w:tcPr>
            <w:tcW w:w="600" w:type="dxa"/>
            <w:vAlign w:val="bottom"/>
          </w:tcPr>
          <w:p>
            <w:pPr>
              <w:spacing w:after="0"/>
              <w:rPr>
                <w:sz w:val="22"/>
                <w:szCs w:val="22"/>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412</w:t>
            </w:r>
          </w:p>
        </w:tc>
        <w:tc>
          <w:tcPr>
            <w:tcW w:w="460" w:type="dxa"/>
            <w:vAlign w:val="bottom"/>
          </w:tcPr>
          <w:p>
            <w:pPr>
              <w:spacing w:after="0"/>
              <w:rPr>
                <w:sz w:val="22"/>
                <w:szCs w:val="22"/>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7,750</w:t>
            </w:r>
          </w:p>
        </w:tc>
        <w:tc>
          <w:tcPr>
            <w:tcW w:w="0" w:type="dxa"/>
            <w:vAlign w:val="bottom"/>
          </w:tcPr>
          <w:p>
            <w:pPr>
              <w:spacing w:after="0"/>
              <w:rPr>
                <w:sz w:val="1"/>
                <w:szCs w:val="1"/>
                <w:color w:val="auto"/>
              </w:rPr>
            </w:pPr>
          </w:p>
        </w:tc>
      </w:tr>
      <w:tr>
        <w:trPr>
          <w:trHeight w:val="358"/>
        </w:trPr>
        <w:tc>
          <w:tcPr>
            <w:tcW w:w="2880" w:type="dxa"/>
            <w:vAlign w:val="bottom"/>
          </w:tcPr>
          <w:p>
            <w:pPr>
              <w:ind w:left="360"/>
              <w:spacing w:after="0"/>
              <w:rPr>
                <w:sz w:val="20"/>
                <w:szCs w:val="20"/>
                <w:color w:val="auto"/>
              </w:rPr>
            </w:pPr>
            <w:r>
              <w:rPr>
                <w:rFonts w:ascii="Courier New" w:cs="Courier New" w:eastAsia="Courier New" w:hAnsi="Courier New"/>
                <w:sz w:val="16"/>
                <w:szCs w:val="16"/>
                <w:color w:val="auto"/>
              </w:rPr>
              <w:t>Total current liabilities</w:t>
            </w:r>
          </w:p>
        </w:tc>
        <w:tc>
          <w:tcPr>
            <w:tcW w:w="180" w:type="dxa"/>
            <w:vAlign w:val="bottom"/>
          </w:tcPr>
          <w:p>
            <w:pPr>
              <w:spacing w:after="0"/>
              <w:rPr>
                <w:sz w:val="24"/>
                <w:szCs w:val="24"/>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102,135</w:t>
            </w:r>
          </w:p>
        </w:tc>
        <w:tc>
          <w:tcPr>
            <w:tcW w:w="60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17,637</w:t>
            </w:r>
          </w:p>
        </w:tc>
        <w:tc>
          <w:tcPr>
            <w:tcW w:w="4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17,709</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137,481</w:t>
            </w:r>
          </w:p>
        </w:tc>
        <w:tc>
          <w:tcPr>
            <w:tcW w:w="0" w:type="dxa"/>
            <w:vAlign w:val="bottom"/>
          </w:tcPr>
          <w:p>
            <w:pPr>
              <w:spacing w:after="0"/>
              <w:rPr>
                <w:sz w:val="1"/>
                <w:szCs w:val="1"/>
                <w:color w:val="auto"/>
              </w:rPr>
            </w:pPr>
          </w:p>
        </w:tc>
      </w:tr>
      <w:tr>
        <w:trPr>
          <w:trHeight w:val="276"/>
        </w:trPr>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Long-term debt, less</w:t>
            </w:r>
          </w:p>
        </w:tc>
        <w:tc>
          <w:tcPr>
            <w:tcW w:w="180" w:type="dxa"/>
            <w:vAlign w:val="bottom"/>
          </w:tcPr>
          <w:p>
            <w:pPr>
              <w:spacing w:after="0"/>
              <w:rPr>
                <w:sz w:val="23"/>
                <w:szCs w:val="23"/>
                <w:color w:val="auto"/>
              </w:rPr>
            </w:pP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97,825</w:t>
            </w:r>
          </w:p>
        </w:tc>
        <w:tc>
          <w:tcPr>
            <w:tcW w:w="600" w:type="dxa"/>
            <w:vAlign w:val="bottom"/>
          </w:tcPr>
          <w:p>
            <w:pPr>
              <w:spacing w:after="0"/>
              <w:rPr>
                <w:sz w:val="23"/>
                <w:szCs w:val="23"/>
                <w:color w:val="auto"/>
              </w:rPr>
            </w:pPr>
          </w:p>
        </w:tc>
        <w:tc>
          <w:tcPr>
            <w:tcW w:w="98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76,395</w:t>
            </w:r>
          </w:p>
        </w:tc>
        <w:tc>
          <w:tcPr>
            <w:tcW w:w="460" w:type="dxa"/>
            <w:vAlign w:val="bottom"/>
          </w:tcPr>
          <w:p>
            <w:pPr>
              <w:spacing w:after="0"/>
              <w:rPr>
                <w:sz w:val="23"/>
                <w:szCs w:val="23"/>
                <w:color w:val="auto"/>
              </w:rPr>
            </w:pP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31,835</w:t>
            </w: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0"/>
              </w:rPr>
              <w:t>(1)</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206,055</w:t>
            </w:r>
          </w:p>
        </w:tc>
        <w:tc>
          <w:tcPr>
            <w:tcW w:w="0" w:type="dxa"/>
            <w:vAlign w:val="bottom"/>
          </w:tcPr>
          <w:p>
            <w:pPr>
              <w:spacing w:after="0"/>
              <w:rPr>
                <w:sz w:val="1"/>
                <w:szCs w:val="1"/>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current portion</w:t>
            </w: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Postretirement benefits</w:t>
            </w:r>
          </w:p>
        </w:tc>
        <w:tc>
          <w:tcPr>
            <w:tcW w:w="180" w:type="dxa"/>
            <w:vAlign w:val="bottom"/>
          </w:tcPr>
          <w:p>
            <w:pPr>
              <w:spacing w:after="0"/>
              <w:rPr>
                <w:sz w:val="15"/>
                <w:szCs w:val="15"/>
                <w:color w:val="auto"/>
              </w:rPr>
            </w:pP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26,678</w:t>
            </w:r>
          </w:p>
        </w:tc>
        <w:tc>
          <w:tcPr>
            <w:tcW w:w="600" w:type="dxa"/>
            <w:vAlign w:val="bottom"/>
          </w:tcPr>
          <w:p>
            <w:pPr>
              <w:spacing w:after="0"/>
              <w:rPr>
                <w:sz w:val="15"/>
                <w:szCs w:val="15"/>
                <w:color w:val="auto"/>
              </w:rPr>
            </w:pPr>
          </w:p>
        </w:tc>
        <w:tc>
          <w:tcPr>
            <w:tcW w:w="98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26,678</w:t>
            </w:r>
          </w:p>
        </w:tc>
        <w:tc>
          <w:tcPr>
            <w:tcW w:w="0" w:type="dxa"/>
            <w:vAlign w:val="bottom"/>
          </w:tcPr>
          <w:p>
            <w:pPr>
              <w:spacing w:after="0"/>
              <w:rPr>
                <w:sz w:val="1"/>
                <w:szCs w:val="1"/>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other than pensions</w:t>
            </w: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0"/>
              </w:rPr>
              <w:t>(9)</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22"/>
                <w:szCs w:val="22"/>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2"/>
                <w:szCs w:val="22"/>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507</w:t>
            </w:r>
          </w:p>
        </w:tc>
        <w:tc>
          <w:tcPr>
            <w:tcW w:w="460" w:type="dxa"/>
            <w:vAlign w:val="bottom"/>
          </w:tcPr>
          <w:p>
            <w:pPr>
              <w:spacing w:after="0"/>
              <w:rPr>
                <w:sz w:val="22"/>
                <w:szCs w:val="22"/>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4,532</w:t>
            </w:r>
          </w:p>
        </w:tc>
        <w:tc>
          <w:tcPr>
            <w:tcW w:w="420" w:type="dxa"/>
            <w:vAlign w:val="bottom"/>
            <w:vMerge w:val="continue"/>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5,039</w:t>
            </w:r>
          </w:p>
        </w:tc>
        <w:tc>
          <w:tcPr>
            <w:tcW w:w="0" w:type="dxa"/>
            <w:vAlign w:val="bottom"/>
          </w:tcPr>
          <w:p>
            <w:pPr>
              <w:spacing w:after="0"/>
              <w:rPr>
                <w:sz w:val="1"/>
                <w:szCs w:val="1"/>
                <w:color w:val="auto"/>
              </w:rPr>
            </w:pPr>
          </w:p>
        </w:tc>
      </w:tr>
      <w:tr>
        <w:trPr>
          <w:trHeight w:val="358"/>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226,638</w:t>
            </w:r>
          </w:p>
        </w:tc>
        <w:tc>
          <w:tcPr>
            <w:tcW w:w="600" w:type="dxa"/>
            <w:vAlign w:val="bottom"/>
          </w:tcPr>
          <w:p>
            <w:pPr>
              <w:spacing w:after="0"/>
              <w:rPr>
                <w:sz w:val="24"/>
                <w:szCs w:val="24"/>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94,539</w:t>
            </w:r>
          </w:p>
        </w:tc>
        <w:tc>
          <w:tcPr>
            <w:tcW w:w="4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54,076</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375,253</w:t>
            </w:r>
          </w:p>
        </w:tc>
        <w:tc>
          <w:tcPr>
            <w:tcW w:w="0" w:type="dxa"/>
            <w:vAlign w:val="bottom"/>
          </w:tcPr>
          <w:p>
            <w:pPr>
              <w:spacing w:after="0"/>
              <w:rPr>
                <w:sz w:val="1"/>
                <w:szCs w:val="1"/>
                <w:color w:val="auto"/>
              </w:rPr>
            </w:pPr>
          </w:p>
        </w:tc>
      </w:tr>
      <w:tr>
        <w:trPr>
          <w:trHeight w:val="454"/>
        </w:trPr>
        <w:tc>
          <w:tcPr>
            <w:tcW w:w="2880" w:type="dxa"/>
            <w:vAlign w:val="bottom"/>
          </w:tcPr>
          <w:p>
            <w:pPr>
              <w:spacing w:after="0"/>
              <w:rPr>
                <w:sz w:val="20"/>
                <w:szCs w:val="20"/>
                <w:color w:val="auto"/>
              </w:rPr>
            </w:pPr>
            <w:r>
              <w:rPr>
                <w:rFonts w:ascii="Courier New" w:cs="Courier New" w:eastAsia="Courier New" w:hAnsi="Courier New"/>
                <w:sz w:val="16"/>
                <w:szCs w:val="16"/>
                <w:color w:val="auto"/>
              </w:rPr>
              <w:t>Mandatorily redeemable</w:t>
            </w:r>
          </w:p>
        </w:tc>
        <w:tc>
          <w:tcPr>
            <w:tcW w:w="180" w:type="dxa"/>
            <w:vAlign w:val="bottom"/>
          </w:tcPr>
          <w:p>
            <w:pPr>
              <w:spacing w:after="0"/>
              <w:rPr>
                <w:sz w:val="24"/>
                <w:szCs w:val="24"/>
                <w:color w:val="auto"/>
              </w:rPr>
            </w:pPr>
          </w:p>
        </w:tc>
        <w:tc>
          <w:tcPr>
            <w:tcW w:w="108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4"/>
                <w:szCs w:val="24"/>
                <w:color w:val="auto"/>
              </w:rPr>
            </w:pPr>
          </w:p>
        </w:tc>
        <w:tc>
          <w:tcPr>
            <w:tcW w:w="98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63,501</w:t>
            </w:r>
          </w:p>
        </w:tc>
        <w:tc>
          <w:tcPr>
            <w:tcW w:w="460" w:type="dxa"/>
            <w:vAlign w:val="bottom"/>
          </w:tcPr>
          <w:p>
            <w:pPr>
              <w:spacing w:after="0"/>
              <w:rPr>
                <w:sz w:val="24"/>
                <w:szCs w:val="24"/>
                <w:color w:val="auto"/>
              </w:rPr>
            </w:pP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8"/>
              </w:rPr>
              <w:t>(63,501) (1)</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preferred stock</w:t>
            </w: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060" w:type="dxa"/>
            <w:vAlign w:val="bottom"/>
            <w:gridSpan w:val="2"/>
          </w:tcPr>
          <w:p>
            <w:pPr>
              <w:spacing w:after="0"/>
              <w:rPr>
                <w:sz w:val="20"/>
                <w:szCs w:val="20"/>
                <w:color w:val="auto"/>
              </w:rPr>
            </w:pPr>
            <w:r>
              <w:rPr>
                <w:rFonts w:ascii="Courier New" w:cs="Courier New" w:eastAsia="Courier New" w:hAnsi="Courier New"/>
                <w:sz w:val="16"/>
                <w:szCs w:val="16"/>
                <w:color w:val="auto"/>
                <w:w w:val="95"/>
              </w:rPr>
              <w:t>Preferred stock dividends payable</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2"/>
                <w:szCs w:val="22"/>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7,620</w:t>
            </w:r>
          </w:p>
        </w:tc>
        <w:tc>
          <w:tcPr>
            <w:tcW w:w="4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(7,620) (1)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54" w:orient="portrait"/>
          <w:cols w:equalWidth="0" w:num="1">
            <w:col w:w="10219"/>
          </w:cols>
          <w:pgMar w:left="240" w:top="114"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80" w:type="dxa"/>
            <w:vAlign w:val="bottom"/>
          </w:tcPr>
          <w:p>
            <w:pPr>
              <w:spacing w:after="0"/>
              <w:rPr>
                <w:sz w:val="22"/>
                <w:szCs w:val="22"/>
                <w:color w:val="auto"/>
              </w:rPr>
            </w:pP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71,121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(71,121)</w:t>
            </w:r>
          </w:p>
        </w:tc>
        <w:tc>
          <w:tcPr>
            <w:tcW w:w="380" w:type="dxa"/>
            <w:vAlign w:val="bottom"/>
          </w:tcPr>
          <w:p>
            <w:pPr>
              <w:spacing w:after="0"/>
              <w:rPr>
                <w:sz w:val="22"/>
                <w:szCs w:val="22"/>
                <w:color w:val="auto"/>
              </w:rPr>
            </w:pPr>
          </w:p>
        </w:tc>
        <w:tc>
          <w:tcPr>
            <w:tcW w:w="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29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211</w:t>
            </w:r>
          </w:p>
        </w:tc>
        <w:tc>
          <w:tcPr>
            <w:tcW w:w="176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1,000</w:t>
            </w:r>
          </w:p>
        </w:tc>
        <w:tc>
          <w:tcPr>
            <w:tcW w:w="16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(1,000) (1)</w:t>
            </w:r>
          </w:p>
        </w:tc>
        <w:tc>
          <w:tcPr>
            <w:tcW w:w="9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211</w:t>
            </w:r>
          </w:p>
        </w:tc>
        <w:tc>
          <w:tcPr>
            <w:tcW w:w="0" w:type="dxa"/>
            <w:vAlign w:val="bottom"/>
          </w:tcPr>
          <w:p>
            <w:pPr>
              <w:spacing w:after="0"/>
              <w:rPr>
                <w:sz w:val="1"/>
                <w:szCs w:val="1"/>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Class A Common stock</w:t>
            </w:r>
          </w:p>
        </w:tc>
        <w:tc>
          <w:tcPr>
            <w:tcW w:w="10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Capital in excess of par value</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193,353</w:t>
            </w:r>
          </w:p>
        </w:tc>
        <w:tc>
          <w:tcPr>
            <w:tcW w:w="17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193,353</w:t>
            </w:r>
          </w:p>
        </w:tc>
        <w:tc>
          <w:tcPr>
            <w:tcW w:w="0" w:type="dxa"/>
            <w:vAlign w:val="bottom"/>
          </w:tcPr>
          <w:p>
            <w:pPr>
              <w:spacing w:after="0"/>
              <w:rPr>
                <w:sz w:val="1"/>
                <w:szCs w:val="1"/>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Initial capital deficit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(98,517)</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98,517</w:t>
            </w:r>
          </w:p>
        </w:tc>
        <w:tc>
          <w:tcPr>
            <w:tcW w:w="380" w:type="dxa"/>
            <w:vAlign w:val="bottom"/>
            <w:vMerge w:val="continue"/>
          </w:tcPr>
          <w:p>
            <w:pPr>
              <w:spacing w:after="0"/>
              <w:rPr>
                <w:sz w:val="15"/>
                <w:szCs w:val="15"/>
                <w:color w:val="auto"/>
              </w:rPr>
            </w:pPr>
          </w:p>
        </w:tc>
        <w:tc>
          <w:tcPr>
            <w:tcW w:w="9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Deficit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(10,975)</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(2,555)</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2,555</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(10,975)</w:t>
            </w:r>
          </w:p>
        </w:tc>
        <w:tc>
          <w:tcPr>
            <w:tcW w:w="0" w:type="dxa"/>
            <w:vAlign w:val="bottom"/>
          </w:tcPr>
          <w:p>
            <w:pPr>
              <w:spacing w:after="0"/>
              <w:rPr>
                <w:sz w:val="1"/>
                <w:szCs w:val="1"/>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Foreign currency adjustment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w:t>
            </w:r>
          </w:p>
        </w:tc>
        <w:tc>
          <w:tcPr>
            <w:tcW w:w="17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2,029</w:t>
            </w:r>
          </w:p>
        </w:tc>
        <w:tc>
          <w:tcPr>
            <w:tcW w:w="1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(2,029) (1)</w:t>
            </w: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261"/>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Treasury stock, at cost</w:t>
            </w: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(41,441)</w:t>
            </w:r>
          </w:p>
        </w:tc>
        <w:tc>
          <w:tcPr>
            <w:tcW w:w="17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(41,441)</w:t>
            </w:r>
          </w:p>
        </w:tc>
        <w:tc>
          <w:tcPr>
            <w:tcW w:w="0" w:type="dxa"/>
            <w:vAlign w:val="bottom"/>
          </w:tcPr>
          <w:p>
            <w:pPr>
              <w:spacing w:after="0"/>
              <w:rPr>
                <w:sz w:val="1"/>
                <w:szCs w:val="1"/>
                <w:color w:val="auto"/>
              </w:rPr>
            </w:pPr>
          </w:p>
        </w:tc>
      </w:tr>
      <w:tr>
        <w:trPr>
          <w:trHeight w:val="358"/>
        </w:trPr>
        <w:tc>
          <w:tcPr>
            <w:tcW w:w="2980" w:type="dxa"/>
            <w:vAlign w:val="bottom"/>
          </w:tcPr>
          <w:p>
            <w:pPr>
              <w:ind w:left="360"/>
              <w:spacing w:after="0"/>
              <w:rPr>
                <w:sz w:val="20"/>
                <w:szCs w:val="20"/>
                <w:color w:val="auto"/>
              </w:rPr>
            </w:pPr>
            <w:r>
              <w:rPr>
                <w:rFonts w:ascii="Courier New" w:cs="Courier New" w:eastAsia="Courier New" w:hAnsi="Courier New"/>
                <w:sz w:val="16"/>
                <w:szCs w:val="16"/>
                <w:color w:val="auto"/>
              </w:rPr>
              <w:t>Total Shareholders' Equity</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141,132</w:t>
            </w:r>
          </w:p>
        </w:tc>
        <w:tc>
          <w:tcPr>
            <w:tcW w:w="1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(98,043)</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98,043</w:t>
            </w:r>
          </w:p>
        </w:tc>
        <w:tc>
          <w:tcPr>
            <w:tcW w:w="3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141,132</w:t>
            </w:r>
          </w:p>
        </w:tc>
        <w:tc>
          <w:tcPr>
            <w:tcW w:w="0" w:type="dxa"/>
            <w:vAlign w:val="bottom"/>
          </w:tcPr>
          <w:p>
            <w:pPr>
              <w:spacing w:after="0"/>
              <w:rPr>
                <w:sz w:val="1"/>
                <w:szCs w:val="1"/>
                <w:color w:val="auto"/>
              </w:rPr>
            </w:pPr>
          </w:p>
        </w:tc>
      </w:tr>
      <w:tr>
        <w:trPr>
          <w:trHeight w:val="358"/>
        </w:trPr>
        <w:tc>
          <w:tcPr>
            <w:tcW w:w="2980" w:type="dxa"/>
            <w:vAlign w:val="bottom"/>
          </w:tcPr>
          <w:p>
            <w:pPr>
              <w:spacing w:after="0"/>
              <w:rPr>
                <w:sz w:val="24"/>
                <w:szCs w:val="24"/>
                <w:color w:val="auto"/>
              </w:rPr>
            </w:pP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$ 367,770</w:t>
            </w:r>
          </w:p>
        </w:tc>
        <w:tc>
          <w:tcPr>
            <w:tcW w:w="17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67,617</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80,998</w:t>
            </w:r>
          </w:p>
        </w:tc>
        <w:tc>
          <w:tcPr>
            <w:tcW w:w="38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9"/>
              </w:rPr>
              <w:t>$ 516,385</w:t>
            </w:r>
          </w:p>
        </w:tc>
        <w:tc>
          <w:tcPr>
            <w:tcW w:w="0" w:type="dxa"/>
            <w:vAlign w:val="bottom"/>
          </w:tcPr>
          <w:p>
            <w:pPr>
              <w:spacing w:after="0"/>
              <w:rPr>
                <w:sz w:val="1"/>
                <w:szCs w:val="1"/>
                <w:color w:val="auto"/>
              </w:rPr>
            </w:pPr>
          </w:p>
        </w:tc>
      </w:tr>
      <w:tr>
        <w:trPr>
          <w:trHeight w:val="537"/>
        </w:trPr>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F-24</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77"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Notes to Pro Forma Consolidated Balance Sheet</w:t>
      </w:r>
    </w:p>
    <w:p>
      <w:pPr>
        <w:spacing w:after="0" w:line="23"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as of January 1, 1994</w:t>
      </w:r>
    </w:p>
    <w:p>
      <w:pPr>
        <w:jc w:val="center"/>
        <w:ind w:right="3799"/>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34" w:lineRule="exact"/>
        <w:rPr>
          <w:sz w:val="20"/>
          <w:szCs w:val="20"/>
          <w:color w:val="auto"/>
        </w:rPr>
      </w:pPr>
    </w:p>
    <w:p>
      <w:pPr>
        <w:ind w:left="560" w:right="3999" w:hanging="472"/>
        <w:spacing w:after="0" w:line="322" w:lineRule="auto"/>
        <w:tabs>
          <w:tab w:leader="none" w:pos="5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additional borrowings to finance the redemption of preferred shares, consideration paid for a non-competition agreement and payments made to retire certain indebtedness of Grace-Sierra; and to eliminate Grace-Sierra's equity.</w:t>
      </w:r>
    </w:p>
    <w:p>
      <w:pPr>
        <w:spacing w:after="0" w:line="43" w:lineRule="exact"/>
        <w:rPr>
          <w:rFonts w:ascii="Courier New" w:cs="Courier New" w:eastAsia="Courier New" w:hAnsi="Courier New"/>
          <w:sz w:val="14"/>
          <w:szCs w:val="14"/>
          <w:color w:val="auto"/>
        </w:rPr>
      </w:pPr>
    </w:p>
    <w:p>
      <w:pPr>
        <w:ind w:left="560" w:right="3999" w:hanging="472"/>
        <w:spacing w:after="0" w:line="342" w:lineRule="auto"/>
        <w:tabs>
          <w:tab w:leader="none" w:pos="5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at fair market value and conform inventory costing methods to Scotts'.</w:t>
      </w:r>
    </w:p>
    <w:p>
      <w:pPr>
        <w:spacing w:after="0" w:line="20" w:lineRule="exact"/>
        <w:rPr>
          <w:rFonts w:ascii="Courier New" w:cs="Courier New" w:eastAsia="Courier New" w:hAnsi="Courier New"/>
          <w:sz w:val="16"/>
          <w:szCs w:val="16"/>
          <w:color w:val="auto"/>
        </w:rPr>
      </w:pPr>
    </w:p>
    <w:p>
      <w:pPr>
        <w:ind w:left="560" w:right="4359" w:hanging="472"/>
        <w:spacing w:after="0" w:line="342" w:lineRule="auto"/>
        <w:tabs>
          <w:tab w:leader="none" w:pos="5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step-up in the historical cost basis of plant, property and equipment to fair market value.</w:t>
      </w:r>
    </w:p>
    <w:p>
      <w:pPr>
        <w:spacing w:after="0" w:line="20" w:lineRule="exact"/>
        <w:rPr>
          <w:rFonts w:ascii="Courier New" w:cs="Courier New" w:eastAsia="Courier New" w:hAnsi="Courier New"/>
          <w:sz w:val="16"/>
          <w:szCs w:val="16"/>
          <w:color w:val="auto"/>
        </w:rPr>
      </w:pPr>
    </w:p>
    <w:p>
      <w:pPr>
        <w:ind w:left="560" w:right="4179" w:hanging="472"/>
        <w:spacing w:after="0" w:line="342" w:lineRule="auto"/>
        <w:tabs>
          <w:tab w:leader="none" w:pos="5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fair value of identifiable intangible assets acquired:</w:t>
      </w:r>
    </w:p>
    <w:p>
      <w:pPr>
        <w:spacing w:after="0" w:line="18" w:lineRule="exact"/>
        <w:rPr>
          <w:sz w:val="20"/>
          <w:szCs w:val="20"/>
          <w:color w:val="auto"/>
        </w:rPr>
      </w:pPr>
    </w:p>
    <w:tbl>
      <w:tblPr>
        <w:tblLayout w:type="fixed"/>
        <w:tblInd w:w="1660" w:type="dxa"/>
        <w:tblCellMar>
          <w:top w:w="0" w:type="dxa"/>
          <w:left w:w="0" w:type="dxa"/>
          <w:bottom w:w="0" w:type="dxa"/>
          <w:right w:w="0" w:type="dxa"/>
        </w:tblCellMar>
      </w:tblPr>
      <w:tr>
        <w:trPr>
          <w:trHeight w:val="181"/>
        </w:trPr>
        <w:tc>
          <w:tcPr>
            <w:tcW w:w="2560" w:type="dxa"/>
            <w:vAlign w:val="bottom"/>
          </w:tcPr>
          <w:p>
            <w:pPr>
              <w:spacing w:after="0"/>
              <w:rPr>
                <w:sz w:val="20"/>
                <w:szCs w:val="20"/>
                <w:color w:val="auto"/>
              </w:rPr>
            </w:pPr>
            <w:r>
              <w:rPr>
                <w:rFonts w:ascii="Courier New" w:cs="Courier New" w:eastAsia="Courier New" w:hAnsi="Courier New"/>
                <w:sz w:val="16"/>
                <w:szCs w:val="16"/>
                <w:color w:val="auto"/>
              </w:rPr>
              <w:t>Non-compete agreements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$ 6,000</w:t>
            </w:r>
          </w:p>
        </w:tc>
      </w:tr>
      <w:tr>
        <w:trPr>
          <w:trHeight w:val="261"/>
        </w:trPr>
        <w:tc>
          <w:tcPr>
            <w:tcW w:w="2560" w:type="dxa"/>
            <w:vAlign w:val="bottom"/>
          </w:tcPr>
          <w:p>
            <w:pPr>
              <w:spacing w:after="0"/>
              <w:rPr>
                <w:sz w:val="20"/>
                <w:szCs w:val="20"/>
                <w:color w:val="auto"/>
              </w:rPr>
            </w:pPr>
            <w:r>
              <w:rPr>
                <w:rFonts w:ascii="Courier New" w:cs="Courier New" w:eastAsia="Courier New" w:hAnsi="Courier New"/>
                <w:sz w:val="16"/>
                <w:szCs w:val="16"/>
                <w:color w:val="auto"/>
              </w:rPr>
              <w:t>Patents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298</w:t>
            </w:r>
          </w:p>
        </w:tc>
      </w:tr>
      <w:tr>
        <w:trPr>
          <w:trHeight w:val="358"/>
        </w:trPr>
        <w:tc>
          <w:tcPr>
            <w:tcW w:w="2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$ 6,298</w:t>
            </w:r>
          </w:p>
        </w:tc>
      </w:tr>
    </w:tbl>
    <w:p>
      <w:pPr>
        <w:spacing w:after="0" w:line="97" w:lineRule="exact"/>
        <w:rPr>
          <w:sz w:val="20"/>
          <w:szCs w:val="20"/>
          <w:color w:val="auto"/>
        </w:rPr>
      </w:pPr>
    </w:p>
    <w:p>
      <w:pPr>
        <w:ind w:left="560" w:right="3899" w:hanging="472"/>
        <w:spacing w:after="0" w:line="289" w:lineRule="auto"/>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deferred financing costs of $2,281 and organization costs of $819 associated with the financing and consummation of the acquisition.</w:t>
      </w:r>
    </w:p>
    <w:p>
      <w:pPr>
        <w:spacing w:after="0" w:line="60" w:lineRule="exact"/>
        <w:rPr>
          <w:rFonts w:ascii="Courier New" w:cs="Courier New" w:eastAsia="Courier New" w:hAnsi="Courier New"/>
          <w:sz w:val="16"/>
          <w:szCs w:val="16"/>
          <w:color w:val="auto"/>
        </w:rPr>
      </w:pPr>
    </w:p>
    <w:p>
      <w:pPr>
        <w:ind w:left="560" w:right="4179" w:hanging="472"/>
        <w:spacing w:after="0" w:line="342" w:lineRule="auto"/>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excess of purchase price over the underlying value of net assets acquired (goodwill).</w:t>
      </w:r>
    </w:p>
    <w:p>
      <w:pPr>
        <w:spacing w:after="0" w:line="20" w:lineRule="exact"/>
        <w:rPr>
          <w:rFonts w:ascii="Courier New" w:cs="Courier New" w:eastAsia="Courier New" w:hAnsi="Courier New"/>
          <w:sz w:val="16"/>
          <w:szCs w:val="16"/>
          <w:color w:val="auto"/>
        </w:rPr>
      </w:pPr>
    </w:p>
    <w:p>
      <w:pPr>
        <w:ind w:left="560" w:right="3899" w:hanging="472"/>
        <w:spacing w:after="0" w:line="348" w:lineRule="auto"/>
        <w:tabs>
          <w:tab w:leader="none" w:pos="5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a net deferred tax asset for the financial reporting and tax basis differences in certain acquired assets and liabilities, and an accrued tax liability of $2,000.</w:t>
      </w:r>
    </w:p>
    <w:p>
      <w:pPr>
        <w:spacing w:after="0" w:line="25" w:lineRule="exact"/>
        <w:rPr>
          <w:rFonts w:ascii="Courier New" w:cs="Courier New" w:eastAsia="Courier New" w:hAnsi="Courier New"/>
          <w:sz w:val="14"/>
          <w:szCs w:val="14"/>
          <w:color w:val="auto"/>
        </w:rPr>
      </w:pPr>
    </w:p>
    <w:p>
      <w:pPr>
        <w:ind w:left="560" w:right="4559" w:hanging="472"/>
        <w:spacing w:after="0" w:line="342" w:lineRule="auto"/>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liability for estimated costs of closing certain Grace-Sierra facilities.</w:t>
      </w:r>
    </w:p>
    <w:p>
      <w:pPr>
        <w:spacing w:after="0" w:line="20" w:lineRule="exact"/>
        <w:rPr>
          <w:rFonts w:ascii="Courier New" w:cs="Courier New" w:eastAsia="Courier New" w:hAnsi="Courier New"/>
          <w:sz w:val="16"/>
          <w:szCs w:val="16"/>
          <w:color w:val="auto"/>
        </w:rPr>
      </w:pPr>
    </w:p>
    <w:p>
      <w:pPr>
        <w:ind w:left="560" w:hanging="472"/>
        <w:spacing w:after="0"/>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liabilities for an unfavorable lease commitment</w:t>
      </w:r>
    </w:p>
    <w:p>
      <w:pPr>
        <w:spacing w:after="0" w:line="25" w:lineRule="exact"/>
        <w:rPr>
          <w:rFonts w:ascii="Courier New" w:cs="Courier New" w:eastAsia="Courier New" w:hAnsi="Courier New"/>
          <w:sz w:val="16"/>
          <w:szCs w:val="16"/>
          <w:color w:val="auto"/>
        </w:rPr>
      </w:pPr>
    </w:p>
    <w:p>
      <w:pPr>
        <w:ind w:left="560" w:right="40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($852), estimated environmental contingencies assumed in the acquisition ($350) and accrue a deferred tax liability of $3,330.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F-25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INDEX TO EXHIBITS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SCOTTS COMPANY</w:t>
      </w:r>
    </w:p>
    <w:p>
      <w:pPr>
        <w:spacing w:after="0" w:line="23"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Current Report on Form 8-K/A</w:t>
      </w:r>
    </w:p>
    <w:p>
      <w:pPr>
        <w:ind w:left="2600"/>
        <w:spacing w:after="0"/>
        <w:rPr>
          <w:sz w:val="20"/>
          <w:szCs w:val="20"/>
          <w:color w:val="auto"/>
        </w:rPr>
      </w:pPr>
      <w:r>
        <w:rPr>
          <w:rFonts w:ascii="Courier New" w:cs="Courier New" w:eastAsia="Courier New" w:hAnsi="Courier New"/>
          <w:sz w:val="16"/>
          <w:szCs w:val="16"/>
          <w:color w:val="auto"/>
        </w:rPr>
        <w:t>Dated February 28, 1994</w:t>
      </w:r>
    </w:p>
    <w:p>
      <w:pPr>
        <w:spacing w:after="0" w:line="327" w:lineRule="exact"/>
        <w:rPr>
          <w:sz w:val="20"/>
          <w:szCs w:val="20"/>
          <w:color w:val="auto"/>
        </w:rPr>
      </w:pPr>
    </w:p>
    <w:p>
      <w:pPr>
        <w:spacing w:after="0"/>
        <w:tabs>
          <w:tab w:leader="none" w:pos="2200" w:val="left"/>
          <w:tab w:leader="none" w:pos="5100"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4"/>
          <w:szCs w:val="14"/>
          <w:color w:val="auto"/>
        </w:rPr>
        <w:t>Location</w:t>
      </w:r>
    </w:p>
    <w:p>
      <w:pPr>
        <w:sectPr>
          <w:pgSz w:w="11900" w:h="16838" w:orient="portrait"/>
          <w:cols w:equalWidth="0" w:num="1">
            <w:col w:w="10219"/>
          </w:cols>
          <w:pgMar w:left="240" w:top="292" w:right="1440" w:bottom="0" w:gutter="0" w:footer="0" w:header="0"/>
        </w:sectPr>
      </w:pPr>
    </w:p>
    <w:bookmarkStart w:id="22" w:name="page23"/>
    <w:bookmarkEnd w:id="22"/>
    <w:tbl>
      <w:tblPr>
        <w:tblLayout w:type="fixed"/>
        <w:tblInd w:w="280"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2(a)</w:t>
            </w: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Plan of Merger of ZXY</w:t>
            </w:r>
          </w:p>
        </w:tc>
      </w:tr>
      <w:tr>
        <w:trPr>
          <w:trHeight w:val="179"/>
        </w:trPr>
        <w:tc>
          <w:tcPr>
            <w:tcW w:w="36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Corp. into Grace-Sierra</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Horticulutral Products</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Company, dated</w:t>
            </w:r>
          </w:p>
        </w:tc>
      </w:tr>
      <w:tr>
        <w:trPr>
          <w:trHeight w:val="261"/>
        </w:trPr>
        <w:tc>
          <w:tcPr>
            <w:tcW w:w="920" w:type="dxa"/>
            <w:vAlign w:val="bottom"/>
          </w:tcPr>
          <w:p>
            <w:pPr>
              <w:spacing w:after="0"/>
              <w:rPr>
                <w:sz w:val="22"/>
                <w:szCs w:val="22"/>
                <w:color w:val="auto"/>
              </w:rPr>
            </w:pP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October 24, 1993</w:t>
            </w:r>
          </w:p>
        </w:tc>
      </w:tr>
      <w:tr>
        <w:trPr>
          <w:trHeight w:val="812"/>
        </w:trPr>
        <w:tc>
          <w:tcPr>
            <w:tcW w:w="920" w:type="dxa"/>
            <w:vAlign w:val="bottom"/>
          </w:tcPr>
          <w:p>
            <w:pPr>
              <w:spacing w:after="0"/>
              <w:rPr>
                <w:sz w:val="20"/>
                <w:szCs w:val="20"/>
                <w:color w:val="auto"/>
              </w:rPr>
            </w:pPr>
            <w:r>
              <w:rPr>
                <w:rFonts w:ascii="Courier New" w:cs="Courier New" w:eastAsia="Courier New" w:hAnsi="Courier New"/>
                <w:sz w:val="16"/>
                <w:szCs w:val="16"/>
                <w:color w:val="auto"/>
              </w:rPr>
              <w:t>2(b)</w:t>
            </w: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w w:val="95"/>
              </w:rPr>
              <w:t>First Amendment to Plan</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of Merger of ZXY Corp.</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into Grace-Sierra</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Horticultural Products</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Company, dated</w:t>
            </w:r>
          </w:p>
        </w:tc>
      </w:tr>
      <w:tr>
        <w:trPr>
          <w:trHeight w:val="261"/>
        </w:trPr>
        <w:tc>
          <w:tcPr>
            <w:tcW w:w="920" w:type="dxa"/>
            <w:vAlign w:val="bottom"/>
          </w:tcPr>
          <w:p>
            <w:pPr>
              <w:spacing w:after="0"/>
              <w:rPr>
                <w:sz w:val="22"/>
                <w:szCs w:val="22"/>
                <w:color w:val="auto"/>
              </w:rPr>
            </w:pP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November 22, 1993</w:t>
            </w:r>
          </w:p>
        </w:tc>
      </w:tr>
      <w:tr>
        <w:trPr>
          <w:trHeight w:val="276"/>
        </w:trPr>
        <w:tc>
          <w:tcPr>
            <w:tcW w:w="920" w:type="dxa"/>
            <w:vAlign w:val="bottom"/>
          </w:tcPr>
          <w:p>
            <w:pPr>
              <w:spacing w:after="0"/>
              <w:rPr>
                <w:sz w:val="20"/>
                <w:szCs w:val="20"/>
                <w:color w:val="auto"/>
              </w:rPr>
            </w:pPr>
            <w:r>
              <w:rPr>
                <w:rFonts w:ascii="Courier New" w:cs="Courier New" w:eastAsia="Courier New" w:hAnsi="Courier New"/>
                <w:sz w:val="16"/>
                <w:szCs w:val="16"/>
                <w:color w:val="auto"/>
              </w:rPr>
              <w:t>2(c)</w:t>
            </w: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Second Amendment to</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Plan of Merger of ZXY</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Corp. into Grace-Sierra</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Horticultural Products</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Company, dated</w:t>
            </w:r>
          </w:p>
        </w:tc>
      </w:tr>
      <w:tr>
        <w:trPr>
          <w:trHeight w:val="261"/>
        </w:trPr>
        <w:tc>
          <w:tcPr>
            <w:tcW w:w="920" w:type="dxa"/>
            <w:vAlign w:val="bottom"/>
          </w:tcPr>
          <w:p>
            <w:pPr>
              <w:spacing w:after="0"/>
              <w:rPr>
                <w:sz w:val="22"/>
                <w:szCs w:val="22"/>
                <w:color w:val="auto"/>
              </w:rPr>
            </w:pP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December 15, 1993</w:t>
            </w:r>
          </w:p>
        </w:tc>
      </w:tr>
      <w:tr>
        <w:trPr>
          <w:trHeight w:val="276"/>
        </w:trPr>
        <w:tc>
          <w:tcPr>
            <w:tcW w:w="920" w:type="dxa"/>
            <w:vAlign w:val="bottom"/>
          </w:tcPr>
          <w:p>
            <w:pPr>
              <w:spacing w:after="0"/>
              <w:rPr>
                <w:sz w:val="20"/>
                <w:szCs w:val="20"/>
                <w:color w:val="auto"/>
              </w:rPr>
            </w:pPr>
            <w:r>
              <w:rPr>
                <w:rFonts w:ascii="Courier New" w:cs="Courier New" w:eastAsia="Courier New" w:hAnsi="Courier New"/>
                <w:sz w:val="16"/>
                <w:szCs w:val="16"/>
                <w:color w:val="auto"/>
              </w:rPr>
              <w:t>2(d)</w:t>
            </w: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w w:val="95"/>
              </w:rPr>
              <w:t>Letter Agreement, dated</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October 24, 1993,</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between the Registrant</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and W. R. Grace &amp; Co. -</w:t>
            </w:r>
          </w:p>
        </w:tc>
      </w:tr>
      <w:tr>
        <w:trPr>
          <w:trHeight w:val="261"/>
        </w:trPr>
        <w:tc>
          <w:tcPr>
            <w:tcW w:w="920" w:type="dxa"/>
            <w:vAlign w:val="bottom"/>
          </w:tcPr>
          <w:p>
            <w:pPr>
              <w:spacing w:after="0"/>
              <w:rPr>
                <w:sz w:val="22"/>
                <w:szCs w:val="22"/>
                <w:color w:val="auto"/>
              </w:rPr>
            </w:pP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Conn.</w:t>
            </w:r>
          </w:p>
        </w:tc>
      </w:tr>
      <w:tr>
        <w:trPr>
          <w:trHeight w:val="276"/>
        </w:trPr>
        <w:tc>
          <w:tcPr>
            <w:tcW w:w="920" w:type="dxa"/>
            <w:vAlign w:val="bottom"/>
          </w:tcPr>
          <w:p>
            <w:pPr>
              <w:spacing w:after="0"/>
              <w:rPr>
                <w:sz w:val="20"/>
                <w:szCs w:val="20"/>
                <w:color w:val="auto"/>
              </w:rPr>
            </w:pPr>
            <w:r>
              <w:rPr>
                <w:rFonts w:ascii="Courier New" w:cs="Courier New" w:eastAsia="Courier New" w:hAnsi="Courier New"/>
                <w:sz w:val="16"/>
                <w:szCs w:val="16"/>
                <w:color w:val="auto"/>
              </w:rPr>
              <w:t>2(e)</w:t>
            </w: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Amendment to Letter</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Agreement, dated</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November 22, 1993,</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between the Registrant</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and W. R. Grace &amp; Co. -</w:t>
            </w:r>
          </w:p>
        </w:tc>
      </w:tr>
      <w:tr>
        <w:trPr>
          <w:trHeight w:val="261"/>
        </w:trPr>
        <w:tc>
          <w:tcPr>
            <w:tcW w:w="920" w:type="dxa"/>
            <w:vAlign w:val="bottom"/>
          </w:tcPr>
          <w:p>
            <w:pPr>
              <w:spacing w:after="0"/>
              <w:rPr>
                <w:sz w:val="22"/>
                <w:szCs w:val="22"/>
                <w:color w:val="auto"/>
              </w:rPr>
            </w:pP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Conn.</w:t>
            </w:r>
          </w:p>
        </w:tc>
      </w:tr>
      <w:tr>
        <w:trPr>
          <w:trHeight w:val="276"/>
        </w:trPr>
        <w:tc>
          <w:tcPr>
            <w:tcW w:w="920" w:type="dxa"/>
            <w:vAlign w:val="bottom"/>
          </w:tcPr>
          <w:p>
            <w:pPr>
              <w:spacing w:after="0"/>
              <w:rPr>
                <w:sz w:val="20"/>
                <w:szCs w:val="20"/>
                <w:color w:val="auto"/>
              </w:rPr>
            </w:pPr>
            <w:r>
              <w:rPr>
                <w:rFonts w:ascii="Courier New" w:cs="Courier New" w:eastAsia="Courier New" w:hAnsi="Courier New"/>
                <w:sz w:val="16"/>
                <w:szCs w:val="16"/>
                <w:color w:val="auto"/>
              </w:rPr>
              <w:t>2(f)</w:t>
            </w: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Second Amendment to</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Letter Agreement, dated</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December 15, 1993,</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between the Registrant</w:t>
            </w:r>
          </w:p>
        </w:tc>
      </w:tr>
      <w:tr>
        <w:trPr>
          <w:trHeight w:val="179"/>
        </w:trPr>
        <w:tc>
          <w:tcPr>
            <w:tcW w:w="920" w:type="dxa"/>
            <w:vAlign w:val="bottom"/>
          </w:tcPr>
          <w:p>
            <w:pPr>
              <w:spacing w:after="0"/>
              <w:rPr>
                <w:sz w:val="15"/>
                <w:szCs w:val="15"/>
                <w:color w:val="auto"/>
              </w:rPr>
            </w:pPr>
          </w:p>
        </w:tc>
        <w:tc>
          <w:tcPr>
            <w:tcW w:w="27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and W. R. Grace &amp; Co. -</w:t>
            </w:r>
          </w:p>
        </w:tc>
      </w:tr>
      <w:tr>
        <w:trPr>
          <w:trHeight w:val="261"/>
        </w:trPr>
        <w:tc>
          <w:tcPr>
            <w:tcW w:w="920" w:type="dxa"/>
            <w:vAlign w:val="bottom"/>
          </w:tcPr>
          <w:p>
            <w:pPr>
              <w:spacing w:after="0"/>
              <w:rPr>
                <w:sz w:val="22"/>
                <w:szCs w:val="22"/>
                <w:color w:val="auto"/>
              </w:rPr>
            </w:pPr>
          </w:p>
        </w:tc>
        <w:tc>
          <w:tcPr>
            <w:tcW w:w="2700" w:type="dxa"/>
            <w:vAlign w:val="bottom"/>
          </w:tcPr>
          <w:p>
            <w:pPr>
              <w:ind w:left="560"/>
              <w:spacing w:after="0"/>
              <w:rPr>
                <w:sz w:val="20"/>
                <w:szCs w:val="20"/>
                <w:color w:val="auto"/>
              </w:rPr>
            </w:pPr>
            <w:r>
              <w:rPr>
                <w:rFonts w:ascii="Courier New" w:cs="Courier New" w:eastAsia="Courier New" w:hAnsi="Courier New"/>
                <w:sz w:val="16"/>
                <w:szCs w:val="16"/>
                <w:color w:val="auto"/>
              </w:rPr>
              <w:t>Conn.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400" w:type="dxa"/>
            <w:vAlign w:val="bottom"/>
          </w:tcPr>
          <w:p>
            <w:pPr>
              <w:spacing w:after="0"/>
              <w:rPr>
                <w:sz w:val="22"/>
                <w:szCs w:val="22"/>
                <w:color w:val="auto"/>
              </w:rPr>
            </w:pPr>
          </w:p>
        </w:tc>
        <w:tc>
          <w:tcPr>
            <w:tcW w:w="2500" w:type="dxa"/>
            <w:vAlign w:val="bottom"/>
          </w:tcPr>
          <w:p>
            <w:pPr>
              <w:ind w:left="2140"/>
              <w:spacing w:after="0"/>
              <w:rPr>
                <w:sz w:val="20"/>
                <w:szCs w:val="20"/>
                <w:color w:val="auto"/>
              </w:rPr>
            </w:pPr>
            <w:r>
              <w:rPr>
                <w:rFonts w:ascii="Courier New" w:cs="Courier New" w:eastAsia="Courier New" w:hAnsi="Courier New"/>
                <w:sz w:val="16"/>
                <w:szCs w:val="16"/>
                <w:color w:val="auto"/>
              </w:rPr>
              <w:t>E-1</w:t>
            </w:r>
          </w:p>
        </w:tc>
      </w:tr>
      <w:tr>
        <w:trPr>
          <w:trHeight w:val="894"/>
        </w:trPr>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4"/>
              </w:rPr>
              <w:t>Exhibit No.</w:t>
            </w:r>
          </w:p>
        </w:tc>
        <w:tc>
          <w:tcPr>
            <w:tcW w:w="2500" w:type="dxa"/>
            <w:vAlign w:val="bottom"/>
          </w:tcPr>
          <w:p>
            <w:pPr>
              <w:ind w:left="820"/>
              <w:spacing w:after="0"/>
              <w:rPr>
                <w:sz w:val="20"/>
                <w:szCs w:val="20"/>
                <w:color w:val="auto"/>
              </w:rPr>
            </w:pPr>
            <w:r>
              <w:rPr>
                <w:rFonts w:ascii="Courier New" w:cs="Courier New" w:eastAsia="Courier New" w:hAnsi="Courier New"/>
                <w:sz w:val="16"/>
                <w:szCs w:val="16"/>
                <w:color w:val="auto"/>
              </w:rPr>
              <w:t>Description</w:t>
            </w:r>
          </w:p>
        </w:tc>
      </w:tr>
      <w:tr>
        <w:trPr>
          <w:trHeight w:val="276"/>
        </w:trPr>
        <w:tc>
          <w:tcPr>
            <w:tcW w:w="14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2(g)</w:t>
            </w: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Agreement of Merger of</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ZXY Corp. and Grace-</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Sierra Horticultural</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5"/>
              </w:rPr>
              <w:t>Products Company, dated</w:t>
            </w:r>
          </w:p>
        </w:tc>
      </w:tr>
      <w:tr>
        <w:trPr>
          <w:trHeight w:val="261"/>
        </w:trPr>
        <w:tc>
          <w:tcPr>
            <w:tcW w:w="1400" w:type="dxa"/>
            <w:vAlign w:val="bottom"/>
          </w:tcPr>
          <w:p>
            <w:pPr>
              <w:spacing w:after="0"/>
              <w:rPr>
                <w:sz w:val="22"/>
                <w:szCs w:val="22"/>
                <w:color w:val="auto"/>
              </w:rPr>
            </w:pP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December 16, 1993</w:t>
            </w:r>
          </w:p>
        </w:tc>
      </w:tr>
      <w:tr>
        <w:trPr>
          <w:trHeight w:val="276"/>
        </w:trPr>
        <w:tc>
          <w:tcPr>
            <w:tcW w:w="14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4(a)</w:t>
            </w: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Third Amendment to</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5"/>
              </w:rPr>
              <w:t>Credit Agreement, dated</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December 16, 1993,</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among the Registrant,</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The O. M. Scott &amp; Sons</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Company ("Scott"), the</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banks listed therein</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and Chemical Bank, as</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agent (the "Third</w:t>
            </w:r>
          </w:p>
        </w:tc>
      </w:tr>
      <w:tr>
        <w:trPr>
          <w:trHeight w:val="261"/>
        </w:trPr>
        <w:tc>
          <w:tcPr>
            <w:tcW w:w="1400" w:type="dxa"/>
            <w:vAlign w:val="bottom"/>
          </w:tcPr>
          <w:p>
            <w:pPr>
              <w:spacing w:after="0"/>
              <w:rPr>
                <w:sz w:val="22"/>
                <w:szCs w:val="22"/>
                <w:color w:val="auto"/>
              </w:rPr>
            </w:pP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Amendment")</w:t>
            </w:r>
          </w:p>
        </w:tc>
      </w:tr>
      <w:tr>
        <w:trPr>
          <w:trHeight w:val="276"/>
        </w:trPr>
        <w:tc>
          <w:tcPr>
            <w:tcW w:w="14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23(a)</w:t>
            </w: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Consent of Price</w:t>
            </w:r>
          </w:p>
        </w:tc>
      </w:tr>
      <w:tr>
        <w:trPr>
          <w:trHeight w:val="261"/>
        </w:trPr>
        <w:tc>
          <w:tcPr>
            <w:tcW w:w="1400" w:type="dxa"/>
            <w:vAlign w:val="bottom"/>
          </w:tcPr>
          <w:p>
            <w:pPr>
              <w:spacing w:after="0"/>
              <w:rPr>
                <w:sz w:val="22"/>
                <w:szCs w:val="22"/>
                <w:color w:val="auto"/>
              </w:rPr>
            </w:pP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Waterhouse</w:t>
            </w:r>
          </w:p>
        </w:tc>
      </w:tr>
      <w:tr>
        <w:trPr>
          <w:trHeight w:val="276"/>
        </w:trPr>
        <w:tc>
          <w:tcPr>
            <w:tcW w:w="14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23(b)</w:t>
            </w: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Consent of Coopers &amp;</w:t>
            </w:r>
          </w:p>
        </w:tc>
      </w:tr>
      <w:tr>
        <w:trPr>
          <w:trHeight w:val="261"/>
        </w:trPr>
        <w:tc>
          <w:tcPr>
            <w:tcW w:w="1400" w:type="dxa"/>
            <w:vAlign w:val="bottom"/>
          </w:tcPr>
          <w:p>
            <w:pPr>
              <w:spacing w:after="0"/>
              <w:rPr>
                <w:sz w:val="22"/>
                <w:szCs w:val="22"/>
                <w:color w:val="auto"/>
              </w:rPr>
            </w:pP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Lybrand</w:t>
            </w:r>
          </w:p>
        </w:tc>
      </w:tr>
      <w:tr>
        <w:trPr>
          <w:trHeight w:val="276"/>
        </w:trPr>
        <w:tc>
          <w:tcPr>
            <w:tcW w:w="14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99(a)</w:t>
            </w: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Separate Term Loan</w:t>
            </w:r>
          </w:p>
        </w:tc>
      </w:tr>
      <w:tr>
        <w:trPr>
          <w:trHeight w:val="179"/>
        </w:trPr>
        <w:tc>
          <w:tcPr>
            <w:tcW w:w="1400" w:type="dxa"/>
            <w:vAlign w:val="bottom"/>
          </w:tcPr>
          <w:p>
            <w:pPr>
              <w:spacing w:after="0"/>
              <w:rPr>
                <w:sz w:val="15"/>
                <w:szCs w:val="15"/>
                <w:color w:val="auto"/>
              </w:rPr>
            </w:pPr>
          </w:p>
        </w:tc>
        <w:tc>
          <w:tcPr>
            <w:tcW w:w="25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Notes, dated</w:t>
            </w:r>
          </w:p>
        </w:tc>
      </w:tr>
      <w:tr>
        <w:trPr>
          <w:trHeight w:val="207"/>
        </w:trPr>
        <w:tc>
          <w:tcPr>
            <w:tcW w:w="1400" w:type="dxa"/>
            <w:vAlign w:val="bottom"/>
          </w:tcPr>
          <w:p>
            <w:pPr>
              <w:spacing w:after="0"/>
              <w:rPr>
                <w:sz w:val="17"/>
                <w:szCs w:val="17"/>
                <w:color w:val="auto"/>
              </w:rPr>
            </w:pPr>
          </w:p>
        </w:tc>
        <w:tc>
          <w:tcPr>
            <w:tcW w:w="2500" w:type="dxa"/>
            <w:vAlign w:val="bottom"/>
          </w:tcPr>
          <w:p>
            <w:pPr>
              <w:ind w:left="360"/>
              <w:spacing w:after="0"/>
              <w:rPr>
                <w:sz w:val="20"/>
                <w:szCs w:val="20"/>
                <w:color w:val="auto"/>
              </w:rPr>
            </w:pPr>
            <w:r>
              <w:rPr>
                <w:rFonts w:ascii="Courier New" w:cs="Courier New" w:eastAsia="Courier New" w:hAnsi="Courier New"/>
                <w:sz w:val="16"/>
                <w:szCs w:val="16"/>
                <w:color w:val="auto"/>
              </w:rPr>
              <w:t>February 23, 1993,</w:t>
            </w:r>
          </w:p>
        </w:tc>
      </w:tr>
    </w:tbl>
    <w:p>
      <w:pPr>
        <w:ind w:left="1760"/>
        <w:spacing w:after="0" w:line="236" w:lineRule="auto"/>
        <w:rPr>
          <w:sz w:val="20"/>
          <w:szCs w:val="20"/>
          <w:color w:val="auto"/>
        </w:rPr>
      </w:pPr>
      <w:r>
        <w:rPr>
          <w:rFonts w:ascii="Courier New" w:cs="Courier New" w:eastAsia="Courier New" w:hAnsi="Courier New"/>
          <w:sz w:val="16"/>
          <w:szCs w:val="16"/>
          <w:color w:val="auto"/>
        </w:rPr>
        <w:t>executed by the</w:t>
      </w:r>
    </w:p>
    <w:p>
      <w:pPr>
        <w:ind w:left="1760"/>
        <w:spacing w:after="0" w:line="237" w:lineRule="auto"/>
        <w:rPr>
          <w:sz w:val="20"/>
          <w:szCs w:val="20"/>
          <w:color w:val="auto"/>
        </w:rPr>
      </w:pPr>
      <w:r>
        <w:rPr>
          <w:rFonts w:ascii="Courier New" w:cs="Courier New" w:eastAsia="Courier New" w:hAnsi="Courier New"/>
          <w:sz w:val="16"/>
          <w:szCs w:val="16"/>
          <w:color w:val="auto"/>
        </w:rPr>
        <w:t>Registrant and Scott,</w:t>
      </w:r>
    </w:p>
    <w:p>
      <w:pPr>
        <w:ind w:left="1760"/>
        <w:spacing w:after="0" w:line="237" w:lineRule="auto"/>
        <w:rPr>
          <w:sz w:val="20"/>
          <w:szCs w:val="20"/>
          <w:color w:val="auto"/>
        </w:rPr>
      </w:pPr>
      <w:r>
        <w:rPr>
          <w:rFonts w:ascii="Courier New" w:cs="Courier New" w:eastAsia="Courier New" w:hAnsi="Courier New"/>
          <w:sz w:val="16"/>
          <w:szCs w:val="16"/>
          <w:color w:val="auto"/>
        </w:rPr>
        <w:t>jointly and severally</w:t>
      </w:r>
    </w:p>
    <w:p>
      <w:pPr>
        <w:ind w:left="1760"/>
        <w:spacing w:after="0" w:line="237" w:lineRule="auto"/>
        <w:rPr>
          <w:sz w:val="20"/>
          <w:szCs w:val="20"/>
          <w:color w:val="auto"/>
        </w:rPr>
      </w:pPr>
      <w:r>
        <w:rPr>
          <w:rFonts w:ascii="Courier New" w:cs="Courier New" w:eastAsia="Courier New" w:hAnsi="Courier New"/>
          <w:sz w:val="16"/>
          <w:szCs w:val="16"/>
          <w:color w:val="auto"/>
        </w:rPr>
        <w:t>in favor of the banks</w:t>
      </w:r>
    </w:p>
    <w:p>
      <w:pPr>
        <w:ind w:left="1760"/>
        <w:spacing w:after="0" w:line="237" w:lineRule="auto"/>
        <w:rPr>
          <w:sz w:val="20"/>
          <w:szCs w:val="20"/>
          <w:color w:val="auto"/>
        </w:rPr>
      </w:pPr>
      <w:r>
        <w:rPr>
          <w:rFonts w:ascii="Courier New" w:cs="Courier New" w:eastAsia="Courier New" w:hAnsi="Courier New"/>
          <w:sz w:val="16"/>
          <w:szCs w:val="16"/>
          <w:color w:val="auto"/>
        </w:rPr>
        <w:t>identified therein, in</w:t>
      </w:r>
    </w:p>
    <w:p>
      <w:pPr>
        <w:ind w:left="1760"/>
        <w:spacing w:after="0" w:line="237" w:lineRule="auto"/>
        <w:rPr>
          <w:sz w:val="20"/>
          <w:szCs w:val="20"/>
          <w:color w:val="auto"/>
        </w:rPr>
      </w:pPr>
      <w:r>
        <w:rPr>
          <w:rFonts w:ascii="Courier New" w:cs="Courier New" w:eastAsia="Courier New" w:hAnsi="Courier New"/>
          <w:sz w:val="16"/>
          <w:szCs w:val="16"/>
          <w:color w:val="auto"/>
        </w:rPr>
        <w:t>connection with the</w:t>
      </w:r>
    </w:p>
    <w:p>
      <w:pPr>
        <w:ind w:left="1760"/>
        <w:spacing w:after="0"/>
        <w:rPr>
          <w:sz w:val="20"/>
          <w:szCs w:val="20"/>
          <w:color w:val="auto"/>
        </w:rPr>
      </w:pPr>
      <w:r>
        <w:rPr>
          <w:rFonts w:ascii="Courier New" w:cs="Courier New" w:eastAsia="Courier New" w:hAnsi="Courier New"/>
          <w:sz w:val="16"/>
          <w:szCs w:val="16"/>
          <w:color w:val="auto"/>
        </w:rPr>
        <w:t>Third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Scotts Company's</w:t>
      </w:r>
    </w:p>
    <w:p>
      <w:pPr>
        <w:spacing w:after="0" w:line="236" w:lineRule="auto"/>
        <w:rPr>
          <w:sz w:val="20"/>
          <w:szCs w:val="20"/>
          <w:color w:val="auto"/>
        </w:rPr>
      </w:pPr>
      <w:r>
        <w:rPr>
          <w:rFonts w:ascii="Courier New" w:cs="Courier New" w:eastAsia="Courier New" w:hAnsi="Courier New"/>
          <w:sz w:val="16"/>
          <w:szCs w:val="16"/>
          <w:color w:val="auto"/>
        </w:rPr>
        <w:t>("Registrant's") Annual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Form 10-K for the fiscal year</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September 30, 1993</w:t>
      </w:r>
    </w:p>
    <w:p>
      <w:pPr>
        <w:spacing w:after="0" w:line="236" w:lineRule="auto"/>
        <w:rPr>
          <w:sz w:val="20"/>
          <w:szCs w:val="20"/>
          <w:color w:val="auto"/>
        </w:rPr>
      </w:pPr>
      <w:r>
        <w:rPr>
          <w:rFonts w:ascii="Courier New" w:cs="Courier New" w:eastAsia="Courier New" w:hAnsi="Courier New"/>
          <w:sz w:val="16"/>
          <w:szCs w:val="16"/>
          <w:color w:val="auto"/>
        </w:rPr>
        <w:t>("Registrant's 1993 Form 10-K")</w:t>
      </w:r>
    </w:p>
    <w:p>
      <w:pPr>
        <w:spacing w:after="0" w:line="237" w:lineRule="auto"/>
        <w:rPr>
          <w:sz w:val="20"/>
          <w:szCs w:val="20"/>
          <w:color w:val="auto"/>
        </w:rPr>
      </w:pPr>
      <w:r>
        <w:rPr>
          <w:rFonts w:ascii="Courier New" w:cs="Courier New" w:eastAsia="Courier New" w:hAnsi="Courier New"/>
          <w:sz w:val="16"/>
          <w:szCs w:val="16"/>
          <w:color w:val="auto"/>
        </w:rPr>
        <w:t>(File No. 0-19768)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2(b))</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Registrant's</w:t>
      </w:r>
    </w:p>
    <w:p>
      <w:pPr>
        <w:spacing w:after="0"/>
        <w:rPr>
          <w:sz w:val="20"/>
          <w:szCs w:val="20"/>
          <w:color w:val="auto"/>
        </w:rPr>
      </w:pPr>
      <w:r>
        <w:rPr>
          <w:rFonts w:ascii="Courier New" w:cs="Courier New" w:eastAsia="Courier New" w:hAnsi="Courier New"/>
          <w:sz w:val="16"/>
          <w:szCs w:val="16"/>
          <w:color w:val="auto"/>
        </w:rPr>
        <w:t>1993 Form 10-K (Exhibit 2(c))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Registrant's</w:t>
      </w:r>
    </w:p>
    <w:p>
      <w:pPr>
        <w:spacing w:after="0" w:line="236" w:lineRule="auto"/>
        <w:rPr>
          <w:sz w:val="20"/>
          <w:szCs w:val="20"/>
          <w:color w:val="auto"/>
        </w:rPr>
      </w:pPr>
      <w:r>
        <w:rPr>
          <w:rFonts w:ascii="Courier New" w:cs="Courier New" w:eastAsia="Courier New" w:hAnsi="Courier New"/>
          <w:sz w:val="16"/>
          <w:szCs w:val="16"/>
          <w:color w:val="auto"/>
        </w:rPr>
        <w:t>1993 Form 10-K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Registrant's</w:t>
      </w:r>
    </w:p>
    <w:p>
      <w:pPr>
        <w:spacing w:after="0" w:line="236" w:lineRule="auto"/>
        <w:rPr>
          <w:sz w:val="20"/>
          <w:szCs w:val="20"/>
          <w:color w:val="auto"/>
        </w:rPr>
      </w:pPr>
      <w:r>
        <w:rPr>
          <w:rFonts w:ascii="Courier New" w:cs="Courier New" w:eastAsia="Courier New" w:hAnsi="Courier New"/>
          <w:sz w:val="16"/>
          <w:szCs w:val="16"/>
          <w:color w:val="auto"/>
        </w:rPr>
        <w:t>1993 Form 10-K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Registrant's</w:t>
      </w:r>
    </w:p>
    <w:p>
      <w:pPr>
        <w:spacing w:after="0" w:line="236" w:lineRule="auto"/>
        <w:rPr>
          <w:sz w:val="20"/>
          <w:szCs w:val="20"/>
          <w:color w:val="auto"/>
        </w:rPr>
      </w:pPr>
      <w:r>
        <w:rPr>
          <w:rFonts w:ascii="Courier New" w:cs="Courier New" w:eastAsia="Courier New" w:hAnsi="Courier New"/>
          <w:sz w:val="16"/>
          <w:szCs w:val="16"/>
          <w:color w:val="auto"/>
        </w:rPr>
        <w:t>1993 Form 10-K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2(f))</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Registrant's</w:t>
      </w:r>
    </w:p>
    <w:p>
      <w:pPr>
        <w:spacing w:after="0" w:line="236" w:lineRule="auto"/>
        <w:rPr>
          <w:sz w:val="20"/>
          <w:szCs w:val="20"/>
          <w:color w:val="auto"/>
        </w:rPr>
      </w:pPr>
      <w:r>
        <w:rPr>
          <w:rFonts w:ascii="Courier New" w:cs="Courier New" w:eastAsia="Courier New" w:hAnsi="Courier New"/>
          <w:sz w:val="16"/>
          <w:szCs w:val="16"/>
          <w:color w:val="auto"/>
        </w:rPr>
        <w:t>1993 Form 10-K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Location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2(h))</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E-5</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E-6</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10(zz))</w:t>
      </w:r>
    </w:p>
    <w:p>
      <w:pPr>
        <w:sectPr>
          <w:pgSz w:w="11900" w:h="16838" w:orient="portrait"/>
          <w:cols w:equalWidth="0" w:num="2">
            <w:col w:w="3900" w:space="380"/>
            <w:col w:w="5939"/>
          </w:cols>
          <w:pgMar w:left="240" w:top="290" w:right="1440"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1"/>
        </w:trPr>
        <w:tc>
          <w:tcPr>
            <w:tcW w:w="140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5"/>
              </w:rPr>
              <w:t>99(b)</w:t>
            </w: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Separate Revolving</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Credit Notes, dated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February 23, 1993, in</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favor of the banks</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identified therein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executed by the</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Registrant and Scott,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 connection with the</w:t>
            </w:r>
          </w:p>
        </w:tc>
      </w:tr>
      <w:tr>
        <w:trPr>
          <w:trHeight w:val="261"/>
        </w:trPr>
        <w:tc>
          <w:tcPr>
            <w:tcW w:w="1400" w:type="dxa"/>
            <w:vAlign w:val="bottom"/>
          </w:tcPr>
          <w:p>
            <w:pPr>
              <w:spacing w:after="0"/>
              <w:rPr>
                <w:sz w:val="22"/>
                <w:szCs w:val="22"/>
                <w:color w:val="auto"/>
              </w:rPr>
            </w:pP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Third Amendment</w:t>
            </w:r>
          </w:p>
        </w:tc>
      </w:tr>
      <w:tr>
        <w:trPr>
          <w:trHeight w:val="276"/>
        </w:trPr>
        <w:tc>
          <w:tcPr>
            <w:tcW w:w="140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5"/>
              </w:rPr>
              <w:t>99(c)</w:t>
            </w: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Swing Line Note, dated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December 16, 1993,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executed by Scott in</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favor of Chemical Bank,</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as agent, in connection</w:t>
            </w:r>
          </w:p>
        </w:tc>
      </w:tr>
      <w:tr>
        <w:trPr>
          <w:trHeight w:val="261"/>
        </w:trPr>
        <w:tc>
          <w:tcPr>
            <w:tcW w:w="1400" w:type="dxa"/>
            <w:vAlign w:val="bottom"/>
          </w:tcPr>
          <w:p>
            <w:pPr>
              <w:spacing w:after="0"/>
              <w:rPr>
                <w:sz w:val="22"/>
                <w:szCs w:val="22"/>
                <w:color w:val="auto"/>
              </w:rPr>
            </w:pP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w w:val="96"/>
              </w:rPr>
              <w:t>with the Third Amendment</w:t>
            </w:r>
          </w:p>
        </w:tc>
      </w:tr>
      <w:tr>
        <w:trPr>
          <w:trHeight w:val="1252"/>
        </w:trPr>
        <w:tc>
          <w:tcPr>
            <w:tcW w:w="1400" w:type="dxa"/>
            <w:vAlign w:val="bottom"/>
          </w:tcPr>
          <w:p>
            <w:pPr>
              <w:spacing w:after="0"/>
              <w:rPr>
                <w:sz w:val="24"/>
                <w:szCs w:val="24"/>
                <w:color w:val="auto"/>
              </w:rPr>
            </w:pPr>
          </w:p>
        </w:tc>
        <w:tc>
          <w:tcPr>
            <w:tcW w:w="2600" w:type="dxa"/>
            <w:vAlign w:val="bottom"/>
          </w:tcPr>
          <w:p>
            <w:pPr>
              <w:ind w:left="2140"/>
              <w:spacing w:after="0"/>
              <w:rPr>
                <w:sz w:val="20"/>
                <w:szCs w:val="20"/>
                <w:color w:val="auto"/>
              </w:rPr>
            </w:pPr>
            <w:r>
              <w:rPr>
                <w:rFonts w:ascii="Courier New" w:cs="Courier New" w:eastAsia="Courier New" w:hAnsi="Courier New"/>
                <w:sz w:val="16"/>
                <w:szCs w:val="16"/>
                <w:color w:val="auto"/>
              </w:rPr>
              <w:t>E-2</w:t>
            </w:r>
          </w:p>
        </w:tc>
      </w:tr>
      <w:tr>
        <w:trPr>
          <w:trHeight w:val="894"/>
        </w:trPr>
        <w:tc>
          <w:tcPr>
            <w:tcW w:w="140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6"/>
              </w:rPr>
              <w:t>Exhibit No.</w:t>
            </w:r>
          </w:p>
        </w:tc>
        <w:tc>
          <w:tcPr>
            <w:tcW w:w="2600" w:type="dxa"/>
            <w:vAlign w:val="bottom"/>
          </w:tcPr>
          <w:p>
            <w:pPr>
              <w:ind w:left="820"/>
              <w:spacing w:after="0"/>
              <w:rPr>
                <w:sz w:val="20"/>
                <w:szCs w:val="20"/>
                <w:color w:val="auto"/>
              </w:rPr>
            </w:pPr>
            <w:r>
              <w:rPr>
                <w:rFonts w:ascii="Courier New" w:cs="Courier New" w:eastAsia="Courier New" w:hAnsi="Courier New"/>
                <w:sz w:val="16"/>
                <w:szCs w:val="16"/>
                <w:color w:val="auto"/>
              </w:rPr>
              <w:t>Description</w:t>
            </w:r>
          </w:p>
        </w:tc>
      </w:tr>
      <w:tr>
        <w:trPr>
          <w:trHeight w:val="276"/>
        </w:trPr>
        <w:tc>
          <w:tcPr>
            <w:tcW w:w="1400" w:type="dxa"/>
            <w:vAlign w:val="bottom"/>
          </w:tcPr>
          <w:p>
            <w:pPr>
              <w:ind w:left="360"/>
              <w:spacing w:after="0"/>
              <w:rPr>
                <w:sz w:val="20"/>
                <w:szCs w:val="20"/>
                <w:color w:val="auto"/>
              </w:rPr>
            </w:pPr>
            <w:r>
              <w:rPr>
                <w:rFonts w:ascii="Courier New" w:cs="Courier New" w:eastAsia="Courier New" w:hAnsi="Courier New"/>
                <w:sz w:val="16"/>
                <w:szCs w:val="16"/>
                <w:color w:val="auto"/>
              </w:rPr>
              <w:t>99(d)</w:t>
            </w: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Scotts-Sierra</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Horticultural Products</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Company ("SSHPC")</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Security Agreement,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dated December 16, 1993,</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executed by SSHPC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Chemical Bank, as agent,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 connection with the</w:t>
            </w:r>
          </w:p>
        </w:tc>
      </w:tr>
      <w:tr>
        <w:trPr>
          <w:trHeight w:val="261"/>
        </w:trPr>
        <w:tc>
          <w:tcPr>
            <w:tcW w:w="1400" w:type="dxa"/>
            <w:vAlign w:val="bottom"/>
          </w:tcPr>
          <w:p>
            <w:pPr>
              <w:spacing w:after="0"/>
              <w:rPr>
                <w:sz w:val="22"/>
                <w:szCs w:val="22"/>
                <w:color w:val="auto"/>
              </w:rPr>
            </w:pP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Third Amendment</w:t>
            </w:r>
          </w:p>
        </w:tc>
      </w:tr>
      <w:tr>
        <w:trPr>
          <w:trHeight w:val="276"/>
        </w:trPr>
        <w:tc>
          <w:tcPr>
            <w:tcW w:w="1400" w:type="dxa"/>
            <w:vAlign w:val="bottom"/>
          </w:tcPr>
          <w:p>
            <w:pPr>
              <w:ind w:left="360"/>
              <w:spacing w:after="0"/>
              <w:rPr>
                <w:sz w:val="20"/>
                <w:szCs w:val="20"/>
                <w:color w:val="auto"/>
              </w:rPr>
            </w:pPr>
            <w:r>
              <w:rPr>
                <w:rFonts w:ascii="Courier New" w:cs="Courier New" w:eastAsia="Courier New" w:hAnsi="Courier New"/>
                <w:sz w:val="16"/>
                <w:szCs w:val="16"/>
                <w:color w:val="auto"/>
              </w:rPr>
              <w:t>99(e)</w:t>
            </w: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Scotts-Sierra Company</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Protection Company</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("SSCPC") Security</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Agreement, dated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December 16, 1993,</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executed by SSCPC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Chemical Bank, as agent,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 connection with the</w:t>
            </w:r>
          </w:p>
        </w:tc>
      </w:tr>
      <w:tr>
        <w:trPr>
          <w:trHeight w:val="261"/>
        </w:trPr>
        <w:tc>
          <w:tcPr>
            <w:tcW w:w="1400" w:type="dxa"/>
            <w:vAlign w:val="bottom"/>
          </w:tcPr>
          <w:p>
            <w:pPr>
              <w:spacing w:after="0"/>
              <w:rPr>
                <w:sz w:val="22"/>
                <w:szCs w:val="22"/>
                <w:color w:val="auto"/>
              </w:rPr>
            </w:pP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Third Amendment</w:t>
            </w:r>
          </w:p>
        </w:tc>
      </w:tr>
      <w:tr>
        <w:trPr>
          <w:trHeight w:val="276"/>
        </w:trPr>
        <w:tc>
          <w:tcPr>
            <w:tcW w:w="1400" w:type="dxa"/>
            <w:vAlign w:val="bottom"/>
          </w:tcPr>
          <w:p>
            <w:pPr>
              <w:ind w:left="360"/>
              <w:spacing w:after="0"/>
              <w:rPr>
                <w:sz w:val="20"/>
                <w:szCs w:val="20"/>
                <w:color w:val="auto"/>
              </w:rPr>
            </w:pPr>
            <w:r>
              <w:rPr>
                <w:rFonts w:ascii="Courier New" w:cs="Courier New" w:eastAsia="Courier New" w:hAnsi="Courier New"/>
                <w:sz w:val="16"/>
                <w:szCs w:val="16"/>
                <w:color w:val="auto"/>
              </w:rPr>
              <w:t>99(f)</w:t>
            </w: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SSHPC Patent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Trademark Assignment,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dated December 16, 1993,</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executed by SSHPC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Chemical Bank, as agent,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 connection with the</w:t>
            </w:r>
          </w:p>
        </w:tc>
      </w:tr>
      <w:tr>
        <w:trPr>
          <w:trHeight w:val="261"/>
        </w:trPr>
        <w:tc>
          <w:tcPr>
            <w:tcW w:w="1400" w:type="dxa"/>
            <w:vAlign w:val="bottom"/>
          </w:tcPr>
          <w:p>
            <w:pPr>
              <w:spacing w:after="0"/>
              <w:rPr>
                <w:sz w:val="22"/>
                <w:szCs w:val="22"/>
                <w:color w:val="auto"/>
              </w:rPr>
            </w:pP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Third Amendment</w:t>
            </w:r>
          </w:p>
        </w:tc>
      </w:tr>
      <w:tr>
        <w:trPr>
          <w:trHeight w:val="276"/>
        </w:trPr>
        <w:tc>
          <w:tcPr>
            <w:tcW w:w="1400" w:type="dxa"/>
            <w:vAlign w:val="bottom"/>
          </w:tcPr>
          <w:p>
            <w:pPr>
              <w:ind w:left="360"/>
              <w:spacing w:after="0"/>
              <w:rPr>
                <w:sz w:val="20"/>
                <w:szCs w:val="20"/>
                <w:color w:val="auto"/>
              </w:rPr>
            </w:pPr>
            <w:r>
              <w:rPr>
                <w:rFonts w:ascii="Courier New" w:cs="Courier New" w:eastAsia="Courier New" w:hAnsi="Courier New"/>
                <w:sz w:val="16"/>
                <w:szCs w:val="16"/>
                <w:color w:val="auto"/>
              </w:rPr>
              <w:t>99(g)</w:t>
            </w: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SSCPC Patent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Trademark Assignment,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dated December 16, 1993,</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executed by SSCPC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Chemical Bank, as agent,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 connection with the</w:t>
            </w:r>
          </w:p>
        </w:tc>
      </w:tr>
      <w:tr>
        <w:trPr>
          <w:trHeight w:val="261"/>
        </w:trPr>
        <w:tc>
          <w:tcPr>
            <w:tcW w:w="1400" w:type="dxa"/>
            <w:vAlign w:val="bottom"/>
          </w:tcPr>
          <w:p>
            <w:pPr>
              <w:spacing w:after="0"/>
              <w:rPr>
                <w:sz w:val="22"/>
                <w:szCs w:val="22"/>
                <w:color w:val="auto"/>
              </w:rPr>
            </w:pP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Third Amendment</w:t>
            </w:r>
          </w:p>
        </w:tc>
      </w:tr>
      <w:tr>
        <w:trPr>
          <w:trHeight w:val="276"/>
        </w:trPr>
        <w:tc>
          <w:tcPr>
            <w:tcW w:w="1400" w:type="dxa"/>
            <w:vAlign w:val="bottom"/>
          </w:tcPr>
          <w:p>
            <w:pPr>
              <w:ind w:left="360"/>
              <w:spacing w:after="0"/>
              <w:rPr>
                <w:sz w:val="20"/>
                <w:szCs w:val="20"/>
                <w:color w:val="auto"/>
              </w:rPr>
            </w:pPr>
            <w:r>
              <w:rPr>
                <w:rFonts w:ascii="Courier New" w:cs="Courier New" w:eastAsia="Courier New" w:hAnsi="Courier New"/>
                <w:sz w:val="16"/>
                <w:szCs w:val="16"/>
                <w:color w:val="auto"/>
              </w:rPr>
              <w:t>99(h)</w:t>
            </w: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Subsidiary Pledge</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Agreement, dated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December 16, 1993,</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executed by SSHPC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Chemical Bank, as agent,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 connection with the</w:t>
            </w:r>
          </w:p>
        </w:tc>
      </w:tr>
      <w:tr>
        <w:trPr>
          <w:trHeight w:val="261"/>
        </w:trPr>
        <w:tc>
          <w:tcPr>
            <w:tcW w:w="1400" w:type="dxa"/>
            <w:vAlign w:val="bottom"/>
          </w:tcPr>
          <w:p>
            <w:pPr>
              <w:spacing w:after="0"/>
              <w:rPr>
                <w:sz w:val="22"/>
                <w:szCs w:val="22"/>
                <w:color w:val="auto"/>
              </w:rPr>
            </w:pP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Third Amendment</w:t>
            </w:r>
          </w:p>
        </w:tc>
      </w:tr>
      <w:tr>
        <w:trPr>
          <w:trHeight w:val="276"/>
        </w:trPr>
        <w:tc>
          <w:tcPr>
            <w:tcW w:w="1400" w:type="dxa"/>
            <w:vAlign w:val="bottom"/>
          </w:tcPr>
          <w:p>
            <w:pPr>
              <w:ind w:left="360"/>
              <w:spacing w:after="0"/>
              <w:rPr>
                <w:sz w:val="20"/>
                <w:szCs w:val="20"/>
                <w:color w:val="auto"/>
              </w:rPr>
            </w:pPr>
            <w:r>
              <w:rPr>
                <w:rFonts w:ascii="Courier New" w:cs="Courier New" w:eastAsia="Courier New" w:hAnsi="Courier New"/>
                <w:sz w:val="16"/>
                <w:szCs w:val="16"/>
                <w:color w:val="auto"/>
              </w:rPr>
              <w:t>99(i)</w:t>
            </w: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Netherlands Pledge</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Agreement, dated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December 16,1993,</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executed by SSHPC and</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6"/>
              </w:rPr>
              <w:t>Chemical Bank, as agent,</w:t>
            </w:r>
          </w:p>
        </w:tc>
      </w:tr>
      <w:tr>
        <w:trPr>
          <w:trHeight w:val="179"/>
        </w:trPr>
        <w:tc>
          <w:tcPr>
            <w:tcW w:w="1400" w:type="dxa"/>
            <w:vAlign w:val="bottom"/>
          </w:tcPr>
          <w:p>
            <w:pPr>
              <w:spacing w:after="0"/>
              <w:rPr>
                <w:sz w:val="15"/>
                <w:szCs w:val="15"/>
                <w:color w:val="auto"/>
              </w:rPr>
            </w:pPr>
          </w:p>
        </w:tc>
        <w:tc>
          <w:tcPr>
            <w:tcW w:w="26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 connection with the</w:t>
            </w:r>
          </w:p>
        </w:tc>
      </w:tr>
      <w:tr>
        <w:trPr>
          <w:trHeight w:val="261"/>
        </w:trPr>
        <w:tc>
          <w:tcPr>
            <w:tcW w:w="1400" w:type="dxa"/>
            <w:vAlign w:val="bottom"/>
          </w:tcPr>
          <w:p>
            <w:pPr>
              <w:spacing w:after="0"/>
              <w:rPr>
                <w:sz w:val="22"/>
                <w:szCs w:val="22"/>
                <w:color w:val="auto"/>
              </w:rPr>
            </w:pPr>
          </w:p>
        </w:tc>
        <w:tc>
          <w:tcPr>
            <w:tcW w:w="2600" w:type="dxa"/>
            <w:vAlign w:val="bottom"/>
          </w:tcPr>
          <w:p>
            <w:pPr>
              <w:ind w:left="360"/>
              <w:spacing w:after="0"/>
              <w:rPr>
                <w:sz w:val="20"/>
                <w:szCs w:val="20"/>
                <w:color w:val="auto"/>
              </w:rPr>
            </w:pPr>
            <w:r>
              <w:rPr>
                <w:rFonts w:ascii="Courier New" w:cs="Courier New" w:eastAsia="Courier New" w:hAnsi="Courier New"/>
                <w:sz w:val="16"/>
                <w:szCs w:val="16"/>
                <w:color w:val="auto"/>
              </w:rPr>
              <w:t>Third Agreement</w:t>
            </w:r>
          </w:p>
        </w:tc>
      </w:tr>
      <w:tr>
        <w:trPr>
          <w:trHeight w:val="1073"/>
        </w:trPr>
        <w:tc>
          <w:tcPr>
            <w:tcW w:w="1400" w:type="dxa"/>
            <w:vAlign w:val="bottom"/>
          </w:tcPr>
          <w:p>
            <w:pPr>
              <w:spacing w:after="0"/>
              <w:rPr>
                <w:sz w:val="24"/>
                <w:szCs w:val="24"/>
                <w:color w:val="auto"/>
              </w:rPr>
            </w:pPr>
          </w:p>
        </w:tc>
        <w:tc>
          <w:tcPr>
            <w:tcW w:w="2600" w:type="dxa"/>
            <w:vAlign w:val="bottom"/>
          </w:tcPr>
          <w:p>
            <w:pPr>
              <w:ind w:left="2140"/>
              <w:spacing w:after="0"/>
              <w:rPr>
                <w:sz w:val="20"/>
                <w:szCs w:val="20"/>
                <w:color w:val="auto"/>
              </w:rPr>
            </w:pPr>
            <w:r>
              <w:rPr>
                <w:rFonts w:ascii="Courier New" w:cs="Courier New" w:eastAsia="Courier New" w:hAnsi="Courier New"/>
                <w:sz w:val="16"/>
                <w:szCs w:val="16"/>
                <w:color w:val="auto"/>
              </w:rPr>
              <w:t>E-3</w:t>
            </w:r>
          </w:p>
        </w:tc>
      </w:tr>
      <w:tr>
        <w:trPr>
          <w:trHeight w:val="894"/>
        </w:trPr>
        <w:tc>
          <w:tcPr>
            <w:tcW w:w="140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6"/>
              </w:rPr>
              <w:t>Exhibit No.</w:t>
            </w:r>
          </w:p>
        </w:tc>
        <w:tc>
          <w:tcPr>
            <w:tcW w:w="2600" w:type="dxa"/>
            <w:vAlign w:val="bottom"/>
          </w:tcPr>
          <w:p>
            <w:pPr>
              <w:ind w:left="820"/>
              <w:spacing w:after="0"/>
              <w:rPr>
                <w:sz w:val="20"/>
                <w:szCs w:val="20"/>
                <w:color w:val="auto"/>
              </w:rPr>
            </w:pPr>
            <w:r>
              <w:rPr>
                <w:rFonts w:ascii="Courier New" w:cs="Courier New" w:eastAsia="Courier New" w:hAnsi="Courier New"/>
                <w:sz w:val="16"/>
                <w:szCs w:val="16"/>
                <w:color w:val="auto"/>
              </w:rPr>
              <w:t>Description</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10(aaa))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10(bbb))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Location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10(ccc))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10(ddd))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10(eee))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10(fff))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10(ggg))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10(hhh))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Location</w:t>
      </w:r>
    </w:p>
    <w:p>
      <w:pPr>
        <w:sectPr>
          <w:pgSz w:w="11900" w:h="16838" w:orient="portrait"/>
          <w:cols w:equalWidth="0" w:num="2">
            <w:col w:w="4000" w:space="280"/>
            <w:col w:w="5939"/>
          </w:cols>
          <w:pgMar w:left="240" w:top="111" w:right="1440" w:bottom="0" w:gutter="0" w:footer="0" w:header="0"/>
        </w:sectPr>
      </w:pPr>
    </w:p>
    <w:bookmarkStart w:id="24" w:name="page25"/>
    <w:bookmarkEnd w:id="24"/>
    <w:p>
      <w:pPr>
        <w:ind w:left="360"/>
        <w:spacing w:after="0"/>
        <w:tabs>
          <w:tab w:leader="none" w:pos="1740" w:val="left"/>
        </w:tabs>
        <w:rPr>
          <w:sz w:val="20"/>
          <w:szCs w:val="20"/>
          <w:color w:val="auto"/>
        </w:rPr>
      </w:pPr>
      <w:r>
        <w:rPr>
          <w:rFonts w:ascii="Courier New" w:cs="Courier New" w:eastAsia="Courier New" w:hAnsi="Courier New"/>
          <w:sz w:val="16"/>
          <w:szCs w:val="16"/>
          <w:color w:val="auto"/>
        </w:rPr>
        <w:t>99(j)</w:t>
      </w:r>
      <w:r>
        <w:rPr>
          <w:sz w:val="20"/>
          <w:szCs w:val="20"/>
          <w:color w:val="auto"/>
        </w:rPr>
        <w:tab/>
      </w:r>
      <w:r>
        <w:rPr>
          <w:rFonts w:ascii="Courier New" w:cs="Courier New" w:eastAsia="Courier New" w:hAnsi="Courier New"/>
          <w:sz w:val="16"/>
          <w:szCs w:val="16"/>
          <w:color w:val="auto"/>
        </w:rPr>
        <w:t>Second Amended and</w:t>
      </w:r>
    </w:p>
    <w:p>
      <w:pPr>
        <w:spacing w:after="0" w:line="2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Restated Subsidiaries</w:t>
      </w:r>
    </w:p>
    <w:p>
      <w:pPr>
        <w:ind w:left="1760"/>
        <w:spacing w:after="0" w:line="236" w:lineRule="auto"/>
        <w:rPr>
          <w:sz w:val="20"/>
          <w:szCs w:val="20"/>
          <w:color w:val="auto"/>
        </w:rPr>
      </w:pPr>
      <w:r>
        <w:rPr>
          <w:rFonts w:ascii="Courier New" w:cs="Courier New" w:eastAsia="Courier New" w:hAnsi="Courier New"/>
          <w:sz w:val="16"/>
          <w:szCs w:val="16"/>
          <w:color w:val="auto"/>
        </w:rPr>
        <w:t>Guarantee, dated</w:t>
      </w:r>
    </w:p>
    <w:p>
      <w:pPr>
        <w:ind w:left="1760"/>
        <w:spacing w:after="0" w:line="237" w:lineRule="auto"/>
        <w:rPr>
          <w:sz w:val="20"/>
          <w:szCs w:val="20"/>
          <w:color w:val="auto"/>
        </w:rPr>
      </w:pPr>
      <w:r>
        <w:rPr>
          <w:rFonts w:ascii="Courier New" w:cs="Courier New" w:eastAsia="Courier New" w:hAnsi="Courier New"/>
          <w:sz w:val="16"/>
          <w:szCs w:val="16"/>
          <w:color w:val="auto"/>
        </w:rPr>
        <w:t>December 16, 1993,</w:t>
      </w:r>
    </w:p>
    <w:p>
      <w:pPr>
        <w:ind w:left="1760"/>
        <w:spacing w:after="0" w:line="237" w:lineRule="auto"/>
        <w:rPr>
          <w:sz w:val="20"/>
          <w:szCs w:val="20"/>
          <w:color w:val="auto"/>
        </w:rPr>
      </w:pPr>
      <w:r>
        <w:rPr>
          <w:rFonts w:ascii="Courier New" w:cs="Courier New" w:eastAsia="Courier New" w:hAnsi="Courier New"/>
          <w:sz w:val="16"/>
          <w:szCs w:val="16"/>
          <w:color w:val="auto"/>
        </w:rPr>
        <w:t>executed by related</w:t>
      </w:r>
    </w:p>
    <w:p>
      <w:pPr>
        <w:ind w:left="1760"/>
        <w:spacing w:after="0" w:line="237" w:lineRule="auto"/>
        <w:rPr>
          <w:sz w:val="20"/>
          <w:szCs w:val="20"/>
          <w:color w:val="auto"/>
        </w:rPr>
      </w:pPr>
      <w:r>
        <w:rPr>
          <w:rFonts w:ascii="Courier New" w:cs="Courier New" w:eastAsia="Courier New" w:hAnsi="Courier New"/>
          <w:sz w:val="16"/>
          <w:szCs w:val="16"/>
          <w:color w:val="auto"/>
        </w:rPr>
        <w:t>entities of the</w:t>
      </w:r>
    </w:p>
    <w:p>
      <w:pPr>
        <w:ind w:left="1760"/>
        <w:spacing w:after="0" w:line="237" w:lineRule="auto"/>
        <w:rPr>
          <w:sz w:val="20"/>
          <w:szCs w:val="20"/>
          <w:color w:val="auto"/>
        </w:rPr>
      </w:pPr>
      <w:r>
        <w:rPr>
          <w:rFonts w:ascii="Courier New" w:cs="Courier New" w:eastAsia="Courier New" w:hAnsi="Courier New"/>
          <w:sz w:val="16"/>
          <w:szCs w:val="16"/>
          <w:color w:val="auto"/>
        </w:rPr>
        <w:t>Registrant and Scott as</w:t>
      </w:r>
    </w:p>
    <w:p>
      <w:pPr>
        <w:ind w:left="1760"/>
        <w:spacing w:after="0" w:line="237" w:lineRule="auto"/>
        <w:rPr>
          <w:sz w:val="20"/>
          <w:szCs w:val="20"/>
          <w:color w:val="auto"/>
        </w:rPr>
      </w:pPr>
      <w:r>
        <w:rPr>
          <w:rFonts w:ascii="Courier New" w:cs="Courier New" w:eastAsia="Courier New" w:hAnsi="Courier New"/>
          <w:sz w:val="16"/>
          <w:szCs w:val="16"/>
          <w:color w:val="auto"/>
        </w:rPr>
        <w:t>listed therein, SSHPC</w:t>
      </w:r>
    </w:p>
    <w:p>
      <w:pPr>
        <w:ind w:left="1760"/>
        <w:spacing w:after="0"/>
        <w:rPr>
          <w:sz w:val="20"/>
          <w:szCs w:val="20"/>
          <w:color w:val="auto"/>
        </w:rPr>
      </w:pPr>
      <w:r>
        <w:rPr>
          <w:rFonts w:ascii="Courier New" w:cs="Courier New" w:eastAsia="Courier New" w:hAnsi="Courier New"/>
          <w:sz w:val="14"/>
          <w:szCs w:val="14"/>
          <w:color w:val="auto"/>
        </w:rPr>
        <w:t>and SSCPC, in connection</w:t>
      </w:r>
    </w:p>
    <w:p>
      <w:pPr>
        <w:spacing w:after="0" w:line="20"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with the Third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E-4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Registrant's 1993 Form 10-K</w:t>
      </w:r>
    </w:p>
    <w:p>
      <w:pPr>
        <w:spacing w:after="0"/>
        <w:rPr>
          <w:sz w:val="20"/>
          <w:szCs w:val="20"/>
          <w:color w:val="auto"/>
        </w:rPr>
      </w:pPr>
      <w:r>
        <w:rPr>
          <w:rFonts w:ascii="Courier New" w:cs="Courier New" w:eastAsia="Courier New" w:hAnsi="Courier New"/>
          <w:sz w:val="16"/>
          <w:szCs w:val="16"/>
          <w:color w:val="auto"/>
        </w:rPr>
        <w:t>(Exhibit 10(iii))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EXHIBIT 23(a)</w:t>
      </w:r>
    </w:p>
    <w:p>
      <w:pPr>
        <w:spacing w:after="0" w:line="200" w:lineRule="exact"/>
        <w:rPr>
          <w:sz w:val="20"/>
          <w:szCs w:val="20"/>
          <w:color w:val="auto"/>
        </w:rPr>
      </w:pPr>
    </w:p>
    <w:p>
      <w:pPr>
        <w:sectPr>
          <w:pgSz w:w="11900" w:h="16838" w:orient="portrait"/>
          <w:cols w:equalWidth="0" w:num="2">
            <w:col w:w="4000" w:space="280"/>
            <w:col w:w="5939"/>
          </w:cols>
          <w:pgMar w:left="240" w:top="114" w:right="1440"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The Scotts Company on Form S-8 (File Nos. 33-47073 and 33-60056) of our report dated February 17, 1993 on our audit of the consolidated financial statements of Grace-Sierra Horticultural Products Company as of December 31, 1992 and for the year then ended, which report is included in this Form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Waterhouse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w:t>
      </w:r>
    </w:p>
    <w:p>
      <w:pPr>
        <w:spacing w:after="0"/>
        <w:rPr>
          <w:sz w:val="20"/>
          <w:szCs w:val="20"/>
          <w:color w:val="auto"/>
        </w:rPr>
      </w:pPr>
      <w:r>
        <w:rPr>
          <w:rFonts w:ascii="Courier New" w:cs="Courier New" w:eastAsia="Courier New" w:hAnsi="Courier New"/>
          <w:sz w:val="16"/>
          <w:szCs w:val="16"/>
          <w:color w:val="auto"/>
        </w:rPr>
        <w:t>February 27, 1994</w:t>
      </w:r>
    </w:p>
    <w:p>
      <w:pPr>
        <w:sectPr>
          <w:pgSz w:w="11900" w:h="16838" w:orient="portrait"/>
          <w:cols w:equalWidth="0" w:num="1">
            <w:col w:w="10219"/>
          </w:cols>
          <w:pgMar w:left="240" w:top="114" w:right="1440" w:bottom="208"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E-5</w:t>
      </w:r>
    </w:p>
    <w:p>
      <w:pPr>
        <w:spacing w:after="0" w:line="17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EXHIBIT 23(b)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The Scotts Company on Form S-8 (File Nos. 33-47073 and 33-60056) of our report dated February 11, 1994 on our audit of the consolidated financial statements of Grace-Sierra Horticultural Products Company as of December 16, 1993 and for the period from January 1, 1993 to December 16, 1993, which report is included in this Form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rPr>
          <w:sz w:val="20"/>
          <w:szCs w:val="20"/>
          <w:color w:val="auto"/>
        </w:rPr>
      </w:pPr>
      <w:r>
        <w:rPr>
          <w:rFonts w:ascii="Courier New" w:cs="Courier New" w:eastAsia="Courier New" w:hAnsi="Courier New"/>
          <w:sz w:val="16"/>
          <w:szCs w:val="16"/>
          <w:color w:val="auto"/>
        </w:rPr>
        <w:t>February 28,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E-6</w:t>
      </w:r>
    </w:p>
    <w:p>
      <w:pPr>
        <w:sectPr>
          <w:pgSz w:w="11900" w:h="16838" w:orient="portrait"/>
          <w:cols w:equalWidth="0" w:num="1">
            <w:col w:w="10219"/>
          </w:cols>
          <w:pgMar w:left="240" w:top="1440" w:right="1440" w:bottom="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upperLetter"/>
      <w:start w:val="2"/>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2019-12-19T23:47:22Z</dcterms:created>
  <dcterms:modified xsi:type="dcterms:W3CDTF">2019-12-19T23:47:22Z</dcterms:modified>
</cp:coreProperties>
</file>