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8" w:lineRule="exact"/>
        <w:rPr>
          <w:sz w:val="24"/>
          <w:szCs w:val="24"/>
          <w:color w:val="auto"/>
        </w:rPr>
      </w:pPr>
    </w:p>
    <w:p>
      <w:pPr>
        <w:jc w:val="center"/>
        <w:ind w:right="2759"/>
        <w:spacing w:after="0"/>
        <w:rPr>
          <w:sz w:val="20"/>
          <w:szCs w:val="20"/>
          <w:color w:val="auto"/>
        </w:rPr>
      </w:pPr>
      <w:r>
        <w:rPr>
          <w:rFonts w:ascii="Courier New" w:cs="Courier New" w:eastAsia="Courier New" w:hAnsi="Courier New"/>
          <w:sz w:val="17"/>
          <w:szCs w:val="17"/>
          <w:color w:val="auto"/>
        </w:rPr>
        <w:t>FORM 10-Q</w:t>
      </w:r>
    </w:p>
    <w:p>
      <w:pPr>
        <w:spacing w:after="0" w:line="200" w:lineRule="exact"/>
        <w:rPr>
          <w:sz w:val="24"/>
          <w:szCs w:val="24"/>
          <w:color w:val="auto"/>
        </w:rPr>
      </w:pPr>
    </w:p>
    <w:p>
      <w:pPr>
        <w:jc w:val="center"/>
        <w:ind w:right="2659"/>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4" w:lineRule="exact"/>
        <w:rPr>
          <w:sz w:val="24"/>
          <w:szCs w:val="24"/>
          <w:color w:val="auto"/>
        </w:rPr>
      </w:pPr>
    </w:p>
    <w:p>
      <w:pPr>
        <w:jc w:val="center"/>
        <w:ind w:right="2659"/>
        <w:spacing w:after="0"/>
        <w:tabs>
          <w:tab w:leader="none" w:pos="200" w:val="left"/>
        </w:tabs>
        <w:rPr>
          <w:sz w:val="20"/>
          <w:szCs w:val="20"/>
          <w:color w:val="auto"/>
        </w:rPr>
      </w:pPr>
      <w:r>
        <w:rPr>
          <w:rFonts w:ascii="Courier New" w:cs="Courier New" w:eastAsia="Courier New" w:hAnsi="Courier New"/>
          <w:sz w:val="17"/>
          <w:szCs w:val="17"/>
          <w:color w:val="auto"/>
        </w:rPr>
        <w:t>Washington, D. C.</w:t>
      </w:r>
      <w:r>
        <w:rPr>
          <w:sz w:val="20"/>
          <w:szCs w:val="20"/>
          <w:color w:val="auto"/>
        </w:rPr>
        <w:tab/>
      </w:r>
      <w:r>
        <w:rPr>
          <w:rFonts w:ascii="Courier New" w:cs="Courier New" w:eastAsia="Courier New" w:hAnsi="Courier New"/>
          <w:sz w:val="16"/>
          <w:szCs w:val="16"/>
          <w:color w:val="auto"/>
        </w:rPr>
        <w:t>20549</w:t>
      </w:r>
    </w:p>
    <w:p>
      <w:pPr>
        <w:sectPr>
          <w:pgSz w:w="11900" w:h="16886" w:orient="portrait"/>
          <w:cols w:equalWidth="0" w:num="1">
            <w:col w:w="10219"/>
          </w:cols>
          <w:pgMar w:left="240" w:top="442" w:right="1440" w:bottom="0" w:gutter="0" w:footer="0" w:header="0"/>
        </w:sectPr>
      </w:pPr>
    </w:p>
    <w:p>
      <w:pPr>
        <w:spacing w:after="0" w:line="201" w:lineRule="exact"/>
        <w:rPr>
          <w:sz w:val="24"/>
          <w:szCs w:val="24"/>
          <w:color w:val="auto"/>
        </w:rPr>
      </w:pPr>
    </w:p>
    <w:p>
      <w:pPr>
        <w:ind w:left="520"/>
        <w:spacing w:after="0"/>
        <w:rPr>
          <w:sz w:val="20"/>
          <w:szCs w:val="20"/>
          <w:color w:val="auto"/>
        </w:rPr>
      </w:pPr>
      <w:r>
        <w:rPr>
          <w:rFonts w:ascii="Courier New" w:cs="Courier New" w:eastAsia="Courier New" w:hAnsi="Courier New"/>
          <w:sz w:val="16"/>
          <w:szCs w:val="16"/>
          <w:color w:val="auto"/>
        </w:rPr>
        <w:t>]X]</w:t>
      </w:r>
    </w:p>
    <w:p>
      <w:pPr>
        <w:spacing w:after="0" w:line="20" w:lineRule="exact"/>
        <w:rPr>
          <w:sz w:val="24"/>
          <w:szCs w:val="24"/>
          <w:color w:val="auto"/>
        </w:rPr>
      </w:pPr>
      <w:r>
        <w:rPr>
          <w:sz w:val="24"/>
          <w:szCs w:val="24"/>
          <w:color w:val="auto"/>
        </w:rPr>
        <w:br w:type="column"/>
      </w:r>
    </w:p>
    <w:p>
      <w:pPr>
        <w:spacing w:after="0" w:line="18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QUARTERLY REPORT PURSUANT TO SECTION 13 OR 15(d)</w:t>
      </w:r>
    </w:p>
    <w:p>
      <w:pPr>
        <w:spacing w:after="0" w:line="4" w:lineRule="exact"/>
        <w:rPr>
          <w:sz w:val="24"/>
          <w:szCs w:val="24"/>
          <w:color w:val="auto"/>
        </w:rPr>
      </w:pPr>
    </w:p>
    <w:p>
      <w:pPr>
        <w:ind w:left="200"/>
        <w:spacing w:after="0"/>
        <w:rPr>
          <w:sz w:val="20"/>
          <w:szCs w:val="20"/>
          <w:color w:val="auto"/>
        </w:rPr>
      </w:pPr>
      <w:r>
        <w:rPr>
          <w:rFonts w:ascii="Courier New" w:cs="Courier New" w:eastAsia="Courier New" w:hAnsi="Courier New"/>
          <w:sz w:val="17"/>
          <w:szCs w:val="17"/>
          <w:color w:val="auto"/>
        </w:rPr>
        <w:t>OF THE SECURITIES EXCHANGE ACT OF 1934</w:t>
      </w:r>
    </w:p>
    <w:p>
      <w:pPr>
        <w:spacing w:after="0" w:line="200" w:lineRule="exact"/>
        <w:rPr>
          <w:sz w:val="24"/>
          <w:szCs w:val="24"/>
          <w:color w:val="auto"/>
        </w:rPr>
      </w:pPr>
    </w:p>
    <w:p>
      <w:pPr>
        <w:sectPr>
          <w:pgSz w:w="11900" w:h="16886" w:orient="portrait"/>
          <w:cols w:equalWidth="0" w:num="2">
            <w:col w:w="1320" w:space="720"/>
            <w:col w:w="8179"/>
          </w:cols>
          <w:pgMar w:left="240" w:top="442" w:right="1440" w:bottom="0" w:gutter="0" w:footer="0" w:header="0"/>
          <w:type w:val="continuous"/>
        </w:sectPr>
      </w:pPr>
    </w:p>
    <w:p>
      <w:pPr>
        <w:spacing w:after="0" w:line="1" w:lineRule="exact"/>
        <w:rPr>
          <w:sz w:val="24"/>
          <w:szCs w:val="24"/>
          <w:color w:val="auto"/>
        </w:rPr>
      </w:pPr>
    </w:p>
    <w:p>
      <w:pPr>
        <w:jc w:val="center"/>
        <w:ind w:right="2659"/>
        <w:spacing w:after="0"/>
        <w:rPr>
          <w:sz w:val="20"/>
          <w:szCs w:val="20"/>
          <w:color w:val="auto"/>
        </w:rPr>
      </w:pPr>
      <w:r>
        <w:rPr>
          <w:rFonts w:ascii="Courier New" w:cs="Courier New" w:eastAsia="Courier New" w:hAnsi="Courier New"/>
          <w:sz w:val="16"/>
          <w:szCs w:val="16"/>
          <w:color w:val="auto"/>
        </w:rPr>
        <w:t>For the quarterly period ended January 1, 1994</w:t>
      </w:r>
    </w:p>
    <w:p>
      <w:pPr>
        <w:spacing w:after="0" w:line="210" w:lineRule="exact"/>
        <w:rPr>
          <w:sz w:val="24"/>
          <w:szCs w:val="24"/>
          <w:color w:val="auto"/>
        </w:rPr>
      </w:pPr>
    </w:p>
    <w:p>
      <w:pPr>
        <w:ind w:left="3680"/>
        <w:spacing w:after="0"/>
        <w:rPr>
          <w:sz w:val="20"/>
          <w:szCs w:val="20"/>
          <w:color w:val="auto"/>
        </w:rPr>
      </w:pPr>
      <w:r>
        <w:rPr>
          <w:rFonts w:ascii="Courier New" w:cs="Courier New" w:eastAsia="Courier New" w:hAnsi="Courier New"/>
          <w:sz w:val="17"/>
          <w:szCs w:val="17"/>
          <w:color w:val="auto"/>
        </w:rPr>
        <w:t>OR</w:t>
      </w:r>
    </w:p>
    <w:p>
      <w:pPr>
        <w:sectPr>
          <w:pgSz w:w="11900" w:h="16886" w:orient="portrait"/>
          <w:cols w:equalWidth="0" w:num="1">
            <w:col w:w="10219"/>
          </w:cols>
          <w:pgMar w:left="240" w:top="442" w:right="1440" w:bottom="0" w:gutter="0" w:footer="0" w:header="0"/>
          <w:type w:val="continuous"/>
        </w:sectPr>
      </w:pPr>
    </w:p>
    <w:p>
      <w:pPr>
        <w:spacing w:after="0" w:line="201" w:lineRule="exact"/>
        <w:rPr>
          <w:sz w:val="24"/>
          <w:szCs w:val="24"/>
          <w:color w:val="auto"/>
        </w:rPr>
      </w:pPr>
    </w:p>
    <w:p>
      <w:pPr>
        <w:ind w:left="520"/>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4"/>
          <w:szCs w:val="24"/>
          <w:color w:val="auto"/>
        </w:rPr>
      </w:pPr>
      <w:r>
        <w:rPr>
          <w:sz w:val="24"/>
          <w:szCs w:val="24"/>
          <w:color w:val="auto"/>
        </w:rPr>
        <w:br w:type="column"/>
      </w:r>
    </w:p>
    <w:p>
      <w:pPr>
        <w:spacing w:after="0" w:line="18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TRANSITION REPORT PURSUANT TO SECTION 13 OR 15(d)</w:t>
      </w:r>
    </w:p>
    <w:p>
      <w:pPr>
        <w:spacing w:after="0" w:line="4" w:lineRule="exact"/>
        <w:rPr>
          <w:sz w:val="24"/>
          <w:szCs w:val="24"/>
          <w:color w:val="auto"/>
        </w:rPr>
      </w:pPr>
    </w:p>
    <w:p>
      <w:pPr>
        <w:ind w:left="300"/>
        <w:spacing w:after="0"/>
        <w:rPr>
          <w:sz w:val="20"/>
          <w:szCs w:val="20"/>
          <w:color w:val="auto"/>
        </w:rPr>
      </w:pPr>
      <w:r>
        <w:rPr>
          <w:rFonts w:ascii="Courier New" w:cs="Courier New" w:eastAsia="Courier New" w:hAnsi="Courier New"/>
          <w:sz w:val="17"/>
          <w:szCs w:val="17"/>
          <w:color w:val="auto"/>
        </w:rPr>
        <w:t>OF THE SECURITIES EXCHANGE ACT OF 1934</w:t>
      </w:r>
    </w:p>
    <w:p>
      <w:pPr>
        <w:spacing w:after="0" w:line="200" w:lineRule="exact"/>
        <w:rPr>
          <w:sz w:val="24"/>
          <w:szCs w:val="24"/>
          <w:color w:val="auto"/>
        </w:rPr>
      </w:pPr>
    </w:p>
    <w:p>
      <w:pPr>
        <w:sectPr>
          <w:pgSz w:w="11900" w:h="16886" w:orient="portrait"/>
          <w:cols w:equalWidth="0" w:num="2">
            <w:col w:w="1220" w:space="720"/>
            <w:col w:w="8279"/>
          </w:cols>
          <w:pgMar w:left="240" w:top="442" w:right="1440" w:bottom="0" w:gutter="0" w:footer="0" w:header="0"/>
          <w:type w:val="continuous"/>
        </w:sectPr>
      </w:pPr>
    </w:p>
    <w:p>
      <w:pPr>
        <w:spacing w:after="0" w:line="1" w:lineRule="exact"/>
        <w:rPr>
          <w:sz w:val="24"/>
          <w:szCs w:val="24"/>
          <w:color w:val="auto"/>
        </w:rPr>
      </w:pPr>
    </w:p>
    <w:p>
      <w:pPr>
        <w:ind w:left="720"/>
        <w:spacing w:after="0"/>
        <w:rPr>
          <w:sz w:val="20"/>
          <w:szCs w:val="20"/>
          <w:color w:val="auto"/>
        </w:rPr>
      </w:pPr>
      <w:r>
        <w:rPr>
          <w:rFonts w:ascii="Courier New" w:cs="Courier New" w:eastAsia="Courier New" w:hAnsi="Courier New"/>
          <w:sz w:val="16"/>
          <w:szCs w:val="16"/>
          <w:color w:val="auto"/>
        </w:rPr>
        <w:t>For the transition period from</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7"/>
          <w:szCs w:val="17"/>
          <w:color w:val="auto"/>
        </w:rPr>
        <w:t>to</w:t>
      </w:r>
    </w:p>
    <w:p>
      <w:pPr>
        <w:spacing w:after="0" w:line="200" w:lineRule="exact"/>
        <w:rPr>
          <w:sz w:val="24"/>
          <w:szCs w:val="24"/>
          <w:color w:val="auto"/>
        </w:rPr>
      </w:pPr>
    </w:p>
    <w:p>
      <w:pPr>
        <w:sectPr>
          <w:pgSz w:w="11900" w:h="16886" w:orient="portrait"/>
          <w:cols w:equalWidth="0" w:num="2">
            <w:col w:w="4480" w:space="720"/>
            <w:col w:w="5019"/>
          </w:cols>
          <w:pgMar w:left="240" w:top="442" w:right="1440" w:bottom="0" w:gutter="0" w:footer="0" w:header="0"/>
          <w:type w:val="continuous"/>
        </w:sectPr>
      </w:pPr>
    </w:p>
    <w:p>
      <w:pPr>
        <w:spacing w:after="0" w:line="196" w:lineRule="exact"/>
        <w:rPr>
          <w:sz w:val="24"/>
          <w:szCs w:val="24"/>
          <w:color w:val="auto"/>
        </w:rPr>
      </w:pPr>
    </w:p>
    <w:p>
      <w:pPr>
        <w:ind w:left="2240"/>
        <w:spacing w:after="0"/>
        <w:rPr>
          <w:sz w:val="20"/>
          <w:szCs w:val="20"/>
          <w:color w:val="auto"/>
        </w:rPr>
      </w:pPr>
      <w:r>
        <w:rPr>
          <w:rFonts w:ascii="Courier New" w:cs="Courier New" w:eastAsia="Courier New" w:hAnsi="Courier New"/>
          <w:sz w:val="17"/>
          <w:szCs w:val="17"/>
          <w:color w:val="auto"/>
        </w:rPr>
        <w:t>Commission file number 0-19768</w:t>
      </w:r>
    </w:p>
    <w:p>
      <w:pPr>
        <w:spacing w:after="0" w:line="396" w:lineRule="exact"/>
        <w:rPr>
          <w:sz w:val="24"/>
          <w:szCs w:val="24"/>
          <w:color w:val="auto"/>
        </w:rPr>
      </w:pPr>
    </w:p>
    <w:p>
      <w:pPr>
        <w:jc w:val="center"/>
        <w:ind w:right="2659"/>
        <w:spacing w:after="0"/>
        <w:rPr>
          <w:sz w:val="20"/>
          <w:szCs w:val="20"/>
          <w:color w:val="auto"/>
        </w:rPr>
      </w:pPr>
      <w:r>
        <w:rPr>
          <w:rFonts w:ascii="Courier New" w:cs="Courier New" w:eastAsia="Courier New" w:hAnsi="Courier New"/>
          <w:sz w:val="17"/>
          <w:szCs w:val="17"/>
          <w:color w:val="auto"/>
        </w:rPr>
        <w:t>THE SCOTTS COMPANY</w:t>
      </w:r>
    </w:p>
    <w:p>
      <w:pPr>
        <w:spacing w:after="0" w:line="4" w:lineRule="exact"/>
        <w:rPr>
          <w:sz w:val="24"/>
          <w:szCs w:val="24"/>
          <w:color w:val="auto"/>
        </w:rPr>
      </w:pPr>
    </w:p>
    <w:p>
      <w:pPr>
        <w:jc w:val="center"/>
        <w:ind w:right="2659"/>
        <w:spacing w:after="0"/>
        <w:rPr>
          <w:sz w:val="20"/>
          <w:szCs w:val="20"/>
          <w:color w:val="auto"/>
        </w:rPr>
      </w:pPr>
      <w:r>
        <w:rPr>
          <w:rFonts w:ascii="Courier New" w:cs="Courier New" w:eastAsia="Courier New" w:hAnsi="Courier New"/>
          <w:sz w:val="17"/>
          <w:szCs w:val="17"/>
          <w:color w:val="auto"/>
        </w:rPr>
        <w:t>(Exact name of registrant as specified in its charter)</w:t>
      </w:r>
    </w:p>
    <w:p>
      <w:pPr>
        <w:sectPr>
          <w:pgSz w:w="11900" w:h="16886" w:orient="portrait"/>
          <w:cols w:equalWidth="0" w:num="1">
            <w:col w:w="10219"/>
          </w:cols>
          <w:pgMar w:left="240" w:top="442" w:right="1440" w:bottom="0" w:gutter="0" w:footer="0" w:header="0"/>
          <w:type w:val="continuous"/>
        </w:sectPr>
      </w:pPr>
    </w:p>
    <w:p>
      <w:pPr>
        <w:spacing w:after="0" w:line="200" w:lineRule="exact"/>
        <w:rPr>
          <w:sz w:val="24"/>
          <w:szCs w:val="24"/>
          <w:color w:val="auto"/>
        </w:rPr>
      </w:pPr>
    </w:p>
    <w:p>
      <w:pPr>
        <w:ind w:left="1120"/>
        <w:spacing w:after="0"/>
        <w:rPr>
          <w:sz w:val="20"/>
          <w:szCs w:val="20"/>
          <w:color w:val="auto"/>
        </w:rPr>
      </w:pPr>
      <w:r>
        <w:rPr>
          <w:rFonts w:ascii="Courier New" w:cs="Courier New" w:eastAsia="Courier New" w:hAnsi="Courier New"/>
          <w:sz w:val="17"/>
          <w:szCs w:val="17"/>
          <w:color w:val="auto"/>
        </w:rPr>
        <w:t>Delaware</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 of</w:t>
      </w:r>
    </w:p>
    <w:p>
      <w:pPr>
        <w:spacing w:after="0" w:line="15"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80" w:lineRule="exact"/>
        <w:rPr>
          <w:sz w:val="24"/>
          <w:szCs w:val="24"/>
          <w:color w:val="auto"/>
        </w:rPr>
      </w:pPr>
    </w:p>
    <w:p>
      <w:pPr>
        <w:ind w:left="420"/>
        <w:spacing w:after="0"/>
        <w:rPr>
          <w:sz w:val="20"/>
          <w:szCs w:val="20"/>
          <w:color w:val="auto"/>
        </w:rPr>
      </w:pPr>
      <w:r>
        <w:rPr>
          <w:rFonts w:ascii="Courier New" w:cs="Courier New" w:eastAsia="Courier New" w:hAnsi="Courier New"/>
          <w:sz w:val="17"/>
          <w:szCs w:val="17"/>
          <w:color w:val="auto"/>
        </w:rPr>
        <w:t>31-1199481</w:t>
      </w:r>
    </w:p>
    <w:p>
      <w:pPr>
        <w:spacing w:after="0" w:line="4" w:lineRule="exact"/>
        <w:rPr>
          <w:sz w:val="24"/>
          <w:szCs w:val="24"/>
          <w:color w:val="auto"/>
        </w:rPr>
      </w:pPr>
    </w:p>
    <w:p>
      <w:pPr>
        <w:ind w:left="120"/>
        <w:spacing w:after="0"/>
        <w:rPr>
          <w:sz w:val="20"/>
          <w:szCs w:val="20"/>
          <w:color w:val="auto"/>
        </w:rPr>
      </w:pPr>
      <w:r>
        <w:rPr>
          <w:rFonts w:ascii="Courier New" w:cs="Courier New" w:eastAsia="Courier New" w:hAnsi="Courier New"/>
          <w:sz w:val="17"/>
          <w:szCs w:val="17"/>
          <w:color w:val="auto"/>
        </w:rPr>
        <w:t>(I.R.S. Employer</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Identification No.)</w:t>
      </w:r>
    </w:p>
    <w:p>
      <w:pPr>
        <w:spacing w:after="0" w:line="200" w:lineRule="exact"/>
        <w:rPr>
          <w:sz w:val="24"/>
          <w:szCs w:val="24"/>
          <w:color w:val="auto"/>
        </w:rPr>
      </w:pPr>
    </w:p>
    <w:p>
      <w:pPr>
        <w:sectPr>
          <w:pgSz w:w="11900" w:h="16886" w:orient="portrait"/>
          <w:cols w:equalWidth="0" w:num="2">
            <w:col w:w="4580" w:space="720"/>
            <w:col w:w="4919"/>
          </w:cols>
          <w:pgMar w:left="240" w:top="442" w:right="1440" w:bottom="0" w:gutter="0" w:footer="0" w:header="0"/>
          <w:type w:val="continuous"/>
        </w:sectPr>
      </w:pPr>
    </w:p>
    <w:p>
      <w:pPr>
        <w:ind w:left="2660"/>
        <w:spacing w:after="0"/>
        <w:rPr>
          <w:sz w:val="20"/>
          <w:szCs w:val="20"/>
          <w:color w:val="auto"/>
        </w:rPr>
      </w:pPr>
      <w:r>
        <w:rPr>
          <w:rFonts w:ascii="Courier New" w:cs="Courier New" w:eastAsia="Courier New" w:hAnsi="Courier New"/>
          <w:sz w:val="17"/>
          <w:szCs w:val="17"/>
          <w:color w:val="auto"/>
        </w:rPr>
        <w:t>14111 Scottslawn Road</w:t>
      </w:r>
    </w:p>
    <w:p>
      <w:pPr>
        <w:spacing w:after="0" w:line="4" w:lineRule="exact"/>
        <w:rPr>
          <w:sz w:val="24"/>
          <w:szCs w:val="24"/>
          <w:color w:val="auto"/>
        </w:rPr>
      </w:pPr>
    </w:p>
    <w:p>
      <w:pPr>
        <w:ind w:left="2660"/>
        <w:spacing w:after="0"/>
        <w:rPr>
          <w:sz w:val="20"/>
          <w:szCs w:val="20"/>
          <w:color w:val="auto"/>
        </w:rPr>
      </w:pPr>
      <w:r>
        <w:rPr>
          <w:rFonts w:ascii="Courier New" w:cs="Courier New" w:eastAsia="Courier New" w:hAnsi="Courier New"/>
          <w:sz w:val="17"/>
          <w:szCs w:val="17"/>
          <w:color w:val="auto"/>
        </w:rPr>
        <w:t>Marysville, Ohio 43041</w:t>
      </w:r>
    </w:p>
    <w:p>
      <w:pPr>
        <w:spacing w:after="0" w:line="4" w:lineRule="exact"/>
        <w:rPr>
          <w:sz w:val="24"/>
          <w:szCs w:val="24"/>
          <w:color w:val="auto"/>
        </w:rPr>
      </w:pPr>
    </w:p>
    <w:p>
      <w:pPr>
        <w:ind w:left="1740"/>
        <w:spacing w:after="0"/>
        <w:rPr>
          <w:sz w:val="20"/>
          <w:szCs w:val="20"/>
          <w:color w:val="auto"/>
        </w:rPr>
      </w:pPr>
      <w:r>
        <w:rPr>
          <w:rFonts w:ascii="Courier New" w:cs="Courier New" w:eastAsia="Courier New" w:hAnsi="Courier New"/>
          <w:sz w:val="17"/>
          <w:szCs w:val="17"/>
          <w:color w:val="auto"/>
        </w:rPr>
        <w:t>(Address of principal executive offices)</w:t>
      </w:r>
    </w:p>
    <w:p>
      <w:pPr>
        <w:spacing w:after="0" w:line="4" w:lineRule="exact"/>
        <w:rPr>
          <w:sz w:val="24"/>
          <w:szCs w:val="24"/>
          <w:color w:val="auto"/>
        </w:rPr>
      </w:pPr>
    </w:p>
    <w:p>
      <w:pPr>
        <w:ind w:left="3260"/>
        <w:spacing w:after="0"/>
        <w:rPr>
          <w:sz w:val="20"/>
          <w:szCs w:val="20"/>
          <w:color w:val="auto"/>
        </w:rPr>
      </w:pPr>
      <w:r>
        <w:rPr>
          <w:rFonts w:ascii="Courier New" w:cs="Courier New" w:eastAsia="Courier New" w:hAnsi="Courier New"/>
          <w:sz w:val="17"/>
          <w:szCs w:val="17"/>
          <w:color w:val="auto"/>
        </w:rPr>
        <w:t>(Zip Code)</w:t>
      </w:r>
    </w:p>
    <w:p>
      <w:pPr>
        <w:spacing w:after="0" w:line="200" w:lineRule="exact"/>
        <w:rPr>
          <w:sz w:val="24"/>
          <w:szCs w:val="24"/>
          <w:color w:val="auto"/>
        </w:rPr>
      </w:pPr>
    </w:p>
    <w:p>
      <w:pPr>
        <w:jc w:val="center"/>
        <w:ind w:right="2759"/>
        <w:spacing w:after="0"/>
        <w:rPr>
          <w:sz w:val="20"/>
          <w:szCs w:val="20"/>
          <w:color w:val="auto"/>
        </w:rPr>
      </w:pPr>
      <w:r>
        <w:rPr>
          <w:rFonts w:ascii="Courier New" w:cs="Courier New" w:eastAsia="Courier New" w:hAnsi="Courier New"/>
          <w:sz w:val="17"/>
          <w:szCs w:val="17"/>
          <w:color w:val="auto"/>
        </w:rPr>
        <w:t>(513)644-0011</w:t>
      </w:r>
    </w:p>
    <w:p>
      <w:pPr>
        <w:spacing w:after="0" w:line="4" w:lineRule="exact"/>
        <w:rPr>
          <w:sz w:val="24"/>
          <w:szCs w:val="24"/>
          <w:color w:val="auto"/>
        </w:rPr>
      </w:pPr>
    </w:p>
    <w:p>
      <w:pPr>
        <w:jc w:val="center"/>
        <w:ind w:right="2659"/>
        <w:spacing w:after="0"/>
        <w:rPr>
          <w:sz w:val="20"/>
          <w:szCs w:val="20"/>
          <w:color w:val="auto"/>
        </w:rPr>
      </w:pPr>
      <w:r>
        <w:rPr>
          <w:rFonts w:ascii="Courier New" w:cs="Courier New" w:eastAsia="Courier New" w:hAnsi="Courier New"/>
          <w:sz w:val="17"/>
          <w:szCs w:val="17"/>
          <w:color w:val="auto"/>
        </w:rPr>
        <w:t>(Registrant's telephone number, including area code)</w:t>
      </w:r>
    </w:p>
    <w:p>
      <w:pPr>
        <w:spacing w:after="0" w:line="200" w:lineRule="exact"/>
        <w:rPr>
          <w:sz w:val="24"/>
          <w:szCs w:val="24"/>
          <w:color w:val="auto"/>
        </w:rPr>
      </w:pPr>
    </w:p>
    <w:p>
      <w:pPr>
        <w:jc w:val="center"/>
        <w:ind w:right="2979"/>
        <w:spacing w:after="0"/>
        <w:rPr>
          <w:sz w:val="20"/>
          <w:szCs w:val="20"/>
          <w:color w:val="auto"/>
        </w:rPr>
      </w:pPr>
      <w:r>
        <w:rPr>
          <w:rFonts w:ascii="Courier New" w:cs="Courier New" w:eastAsia="Courier New" w:hAnsi="Courier New"/>
          <w:sz w:val="17"/>
          <w:szCs w:val="17"/>
          <w:color w:val="auto"/>
        </w:rPr>
        <w:t>(No change)</w:t>
      </w:r>
    </w:p>
    <w:p>
      <w:pPr>
        <w:spacing w:after="0" w:line="5" w:lineRule="exact"/>
        <w:rPr>
          <w:sz w:val="24"/>
          <w:szCs w:val="24"/>
          <w:color w:val="auto"/>
        </w:rPr>
      </w:pPr>
    </w:p>
    <w:p>
      <w:pPr>
        <w:ind w:left="100" w:right="2659" w:hanging="101"/>
        <w:spacing w:after="0" w:line="243" w:lineRule="auto"/>
        <w:rPr>
          <w:sz w:val="20"/>
          <w:szCs w:val="20"/>
          <w:color w:val="auto"/>
        </w:rPr>
      </w:pPr>
      <w:r>
        <w:rPr>
          <w:rFonts w:ascii="Courier New" w:cs="Courier New" w:eastAsia="Courier New" w:hAnsi="Courier New"/>
          <w:sz w:val="17"/>
          <w:szCs w:val="17"/>
          <w:color w:val="auto"/>
        </w:rPr>
        <w:t>(Former name, former address and former fiscal year, if changed since last report.)</w:t>
      </w:r>
    </w:p>
    <w:p>
      <w:pPr>
        <w:spacing w:after="0" w:line="395" w:lineRule="exact"/>
        <w:rPr>
          <w:sz w:val="24"/>
          <w:szCs w:val="24"/>
          <w:color w:val="auto"/>
        </w:rPr>
      </w:pPr>
    </w:p>
    <w:p>
      <w:pPr>
        <w:ind w:right="2659"/>
        <w:spacing w:after="0" w:line="244" w:lineRule="auto"/>
        <w:rPr>
          <w:sz w:val="20"/>
          <w:szCs w:val="20"/>
          <w:color w:val="auto"/>
        </w:rPr>
      </w:pPr>
      <w:r>
        <w:rPr>
          <w:rFonts w:ascii="Courier New" w:cs="Courier New" w:eastAsia="Courier New" w:hAnsi="Courier New"/>
          <w:sz w:val="17"/>
          <w:szCs w:val="17"/>
          <w:color w:val="auto"/>
        </w:rPr>
        <w:t>Indicate by check mark whether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97" w:lineRule="exact"/>
        <w:rPr>
          <w:sz w:val="24"/>
          <w:szCs w:val="24"/>
          <w:color w:val="auto"/>
        </w:rPr>
      </w:pPr>
    </w:p>
    <w:p>
      <w:pPr>
        <w:ind w:left="5200"/>
        <w:spacing w:after="0"/>
        <w:tabs>
          <w:tab w:leader="none" w:pos="5700" w:val="left"/>
          <w:tab w:leader="none" w:pos="6420" w:val="left"/>
        </w:tabs>
        <w:rPr>
          <w:sz w:val="20"/>
          <w:szCs w:val="20"/>
          <w:color w:val="auto"/>
        </w:rPr>
      </w:pPr>
      <w:r>
        <w:rPr>
          <w:rFonts w:ascii="Courier New" w:cs="Courier New" w:eastAsia="Courier New" w:hAnsi="Courier New"/>
          <w:sz w:val="17"/>
          <w:szCs w:val="17"/>
          <w:color w:val="auto"/>
        </w:rPr>
        <w:t>Yes</w:t>
        <w:tab/>
        <w:t>X</w:t>
      </w:r>
      <w:r>
        <w:rPr>
          <w:sz w:val="20"/>
          <w:szCs w:val="20"/>
          <w:color w:val="auto"/>
        </w:rPr>
        <w:tab/>
      </w:r>
      <w:r>
        <w:rPr>
          <w:rFonts w:ascii="Courier New" w:cs="Courier New" w:eastAsia="Courier New" w:hAnsi="Courier New"/>
          <w:sz w:val="16"/>
          <w:szCs w:val="16"/>
          <w:color w:val="auto"/>
        </w:rPr>
        <w:t>No</w:t>
      </w:r>
    </w:p>
    <w:p>
      <w:pPr>
        <w:spacing w:after="0" w:line="397" w:lineRule="exact"/>
        <w:rPr>
          <w:sz w:val="24"/>
          <w:szCs w:val="24"/>
          <w:color w:val="auto"/>
        </w:rPr>
      </w:pPr>
    </w:p>
    <w:p>
      <w:pPr>
        <w:ind w:right="2759"/>
        <w:spacing w:after="0" w:line="243" w:lineRule="auto"/>
        <w:rPr>
          <w:sz w:val="20"/>
          <w:szCs w:val="20"/>
          <w:color w:val="auto"/>
        </w:rPr>
      </w:pPr>
      <w:r>
        <w:rPr>
          <w:rFonts w:ascii="Courier New" w:cs="Courier New" w:eastAsia="Courier New" w:hAnsi="Courier New"/>
          <w:sz w:val="17"/>
          <w:szCs w:val="17"/>
          <w:color w:val="auto"/>
        </w:rPr>
        <w:t>Indicate the number of shares outstanding of each of the issuer's classes of common stock as of the latest practicable date.</w:t>
      </w:r>
    </w:p>
    <w:p>
      <w:pPr>
        <w:sectPr>
          <w:pgSz w:w="11900" w:h="16886" w:orient="portrait"/>
          <w:cols w:equalWidth="0" w:num="1">
            <w:col w:w="10219"/>
          </w:cols>
          <w:pgMar w:left="240" w:top="442" w:right="1440" w:bottom="0" w:gutter="0" w:footer="0" w:header="0"/>
          <w:type w:val="continuous"/>
        </w:sectPr>
      </w:pPr>
    </w:p>
    <w:p>
      <w:pPr>
        <w:spacing w:after="0" w:line="394" w:lineRule="exact"/>
        <w:rPr>
          <w:sz w:val="24"/>
          <w:szCs w:val="24"/>
          <w:color w:val="auto"/>
        </w:rPr>
      </w:pPr>
    </w:p>
    <w:p>
      <w:pPr>
        <w:ind w:left="1440"/>
        <w:spacing w:after="0"/>
        <w:rPr>
          <w:sz w:val="20"/>
          <w:szCs w:val="20"/>
          <w:color w:val="auto"/>
        </w:rPr>
      </w:pPr>
      <w:r>
        <w:rPr>
          <w:rFonts w:ascii="Courier New" w:cs="Courier New" w:eastAsia="Courier New" w:hAnsi="Courier New"/>
          <w:sz w:val="17"/>
          <w:szCs w:val="17"/>
          <w:color w:val="auto"/>
        </w:rPr>
        <w:t>Class A</w:t>
      </w:r>
    </w:p>
    <w:p>
      <w:pPr>
        <w:spacing w:after="0" w:line="4" w:lineRule="exact"/>
        <w:rPr>
          <w:sz w:val="24"/>
          <w:szCs w:val="24"/>
          <w:color w:val="auto"/>
        </w:rPr>
      </w:pPr>
    </w:p>
    <w:p>
      <w:pPr>
        <w:ind w:left="200"/>
        <w:spacing w:after="0"/>
        <w:rPr>
          <w:sz w:val="20"/>
          <w:szCs w:val="20"/>
          <w:color w:val="auto"/>
        </w:rPr>
      </w:pPr>
      <w:r>
        <w:rPr>
          <w:rFonts w:ascii="Courier New" w:cs="Courier New" w:eastAsia="Courier New" w:hAnsi="Courier New"/>
          <w:sz w:val="17"/>
          <w:szCs w:val="17"/>
          <w:color w:val="auto"/>
        </w:rPr>
        <w:t>Common Stock, voting, $.01 par value</w:t>
      </w:r>
    </w:p>
    <w:p>
      <w:pPr>
        <w:spacing w:after="0" w:line="20" w:lineRule="exact"/>
        <w:rPr>
          <w:sz w:val="24"/>
          <w:szCs w:val="24"/>
          <w:color w:val="auto"/>
        </w:rPr>
      </w:pPr>
      <w:r>
        <w:rPr>
          <w:sz w:val="24"/>
          <w:szCs w:val="24"/>
          <w:color w:val="auto"/>
        </w:rPr>
        <w:br w:type="column"/>
      </w:r>
    </w:p>
    <w:p>
      <w:pPr>
        <w:spacing w:after="0" w:line="375" w:lineRule="exact"/>
        <w:rPr>
          <w:sz w:val="24"/>
          <w:szCs w:val="24"/>
          <w:color w:val="auto"/>
        </w:rPr>
      </w:pPr>
    </w:p>
    <w:p>
      <w:pPr>
        <w:jc w:val="center"/>
        <w:ind w:right="2559"/>
        <w:spacing w:after="0"/>
        <w:rPr>
          <w:sz w:val="20"/>
          <w:szCs w:val="20"/>
          <w:color w:val="auto"/>
        </w:rPr>
      </w:pPr>
      <w:r>
        <w:rPr>
          <w:rFonts w:ascii="Courier New" w:cs="Courier New" w:eastAsia="Courier New" w:hAnsi="Courier New"/>
          <w:sz w:val="16"/>
          <w:szCs w:val="16"/>
          <w:color w:val="auto"/>
        </w:rPr>
        <w:t>Outstanding at February 4, 1994</w:t>
      </w:r>
    </w:p>
    <w:p>
      <w:pPr>
        <w:spacing w:after="0" w:line="14" w:lineRule="exact"/>
        <w:rPr>
          <w:sz w:val="24"/>
          <w:szCs w:val="24"/>
          <w:color w:val="auto"/>
        </w:rPr>
      </w:pPr>
    </w:p>
    <w:p>
      <w:pPr>
        <w:jc w:val="center"/>
        <w:ind w:right="2559"/>
        <w:spacing w:after="0"/>
        <w:rPr>
          <w:sz w:val="20"/>
          <w:szCs w:val="20"/>
          <w:color w:val="auto"/>
        </w:rPr>
      </w:pPr>
      <w:r>
        <w:rPr>
          <w:rFonts w:ascii="Courier New" w:cs="Courier New" w:eastAsia="Courier New" w:hAnsi="Courier New"/>
          <w:sz w:val="17"/>
          <w:szCs w:val="17"/>
          <w:color w:val="auto"/>
        </w:rPr>
        <w:t>18,658,535 shares</w:t>
      </w:r>
    </w:p>
    <w:p>
      <w:pPr>
        <w:spacing w:after="0" w:line="200" w:lineRule="exact"/>
        <w:rPr>
          <w:sz w:val="24"/>
          <w:szCs w:val="24"/>
          <w:color w:val="auto"/>
        </w:rPr>
      </w:pPr>
    </w:p>
    <w:p>
      <w:pPr>
        <w:sectPr>
          <w:pgSz w:w="11900" w:h="16886" w:orient="portrait"/>
          <w:cols w:equalWidth="0" w:num="2">
            <w:col w:w="3880" w:space="620"/>
            <w:col w:w="5719"/>
          </w:cols>
          <w:pgMar w:left="240" w:top="442" w:right="1440" w:bottom="0" w:gutter="0" w:footer="0" w:header="0"/>
          <w:type w:val="continuous"/>
        </w:sectPr>
      </w:pPr>
    </w:p>
    <w:p>
      <w:pPr>
        <w:spacing w:after="0" w:line="392"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7"/>
          <w:szCs w:val="17"/>
          <w:color w:val="auto"/>
        </w:rPr>
        <w:t>Page 1 of 17 pages</w:t>
      </w:r>
    </w:p>
    <w:p>
      <w:pPr>
        <w:spacing w:after="0" w:line="200" w:lineRule="exact"/>
        <w:rPr>
          <w:sz w:val="24"/>
          <w:szCs w:val="24"/>
          <w:color w:val="auto"/>
        </w:rPr>
      </w:pPr>
    </w:p>
    <w:p>
      <w:pPr>
        <w:ind w:left="2660"/>
        <w:spacing w:after="0"/>
        <w:rPr>
          <w:sz w:val="20"/>
          <w:szCs w:val="20"/>
          <w:color w:val="auto"/>
        </w:rPr>
      </w:pPr>
      <w:r>
        <w:rPr>
          <w:rFonts w:ascii="Courier New" w:cs="Courier New" w:eastAsia="Courier New" w:hAnsi="Courier New"/>
          <w:sz w:val="17"/>
          <w:szCs w:val="17"/>
          <w:color w:val="auto"/>
        </w:rPr>
        <w:t>Exhibit Index at page 16</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5" w:lineRule="exact"/>
        <w:rPr>
          <w:sz w:val="24"/>
          <w:szCs w:val="24"/>
          <w:color w:val="auto"/>
        </w:rPr>
      </w:pPr>
    </w:p>
    <w:p>
      <w:pPr>
        <w:ind w:left="2240"/>
        <w:spacing w:after="0"/>
        <w:rPr>
          <w:sz w:val="20"/>
          <w:szCs w:val="20"/>
          <w:color w:val="auto"/>
        </w:rPr>
      </w:pPr>
      <w:r>
        <w:rPr>
          <w:rFonts w:ascii="Courier New" w:cs="Courier New" w:eastAsia="Courier New" w:hAnsi="Courier New"/>
          <w:sz w:val="17"/>
          <w:szCs w:val="17"/>
          <w:color w:val="auto"/>
        </w:rPr>
        <w:t>THE SCOTTS COMPANY AND SUBSIDIARIES</w:t>
      </w:r>
    </w:p>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p>
      <w:pPr>
        <w:ind w:left="3780"/>
        <w:spacing w:after="0"/>
        <w:rPr>
          <w:sz w:val="20"/>
          <w:szCs w:val="20"/>
          <w:color w:val="auto"/>
        </w:rPr>
      </w:pPr>
      <w:r>
        <w:rPr>
          <w:rFonts w:ascii="Courier New" w:cs="Courier New" w:eastAsia="Courier New" w:hAnsi="Courier New"/>
          <w:sz w:val="17"/>
          <w:szCs w:val="17"/>
          <w:color w:val="auto"/>
        </w:rPr>
        <w:t>INDEX</w:t>
      </w:r>
    </w:p>
    <w:p>
      <w:pPr>
        <w:sectPr>
          <w:pgSz w:w="11900" w:h="16886" w:orient="portrait"/>
          <w:cols w:equalWidth="0" w:num="1">
            <w:col w:w="10219"/>
          </w:cols>
          <w:pgMar w:left="240" w:top="442"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Part I.</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6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Financial Information: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Page No.</w:t>
      </w:r>
    </w:p>
    <w:p>
      <w:pPr>
        <w:spacing w:after="0" w:line="200" w:lineRule="exact"/>
        <w:rPr>
          <w:sz w:val="24"/>
          <w:szCs w:val="24"/>
          <w:color w:val="auto"/>
        </w:rPr>
      </w:pPr>
    </w:p>
    <w:p>
      <w:pPr>
        <w:sectPr>
          <w:pgSz w:w="11900" w:h="16886" w:orient="portrait"/>
          <w:cols w:equalWidth="0" w:num="3">
            <w:col w:w="720" w:space="200"/>
            <w:col w:w="5500" w:space="720"/>
            <w:col w:w="3079"/>
          </w:cols>
          <w:pgMar w:left="240" w:top="442" w:right="1440" w:bottom="0" w:gutter="0" w:footer="0" w:header="0"/>
          <w:type w:val="continuous"/>
        </w:sectPr>
      </w:pPr>
    </w:p>
    <w:p>
      <w:pPr>
        <w:ind w:left="200"/>
        <w:spacing w:after="0"/>
        <w:tabs>
          <w:tab w:leader="none" w:pos="1100" w:val="left"/>
        </w:tabs>
        <w:rPr>
          <w:sz w:val="20"/>
          <w:szCs w:val="20"/>
          <w:color w:val="auto"/>
        </w:rPr>
      </w:pPr>
      <w:r>
        <w:rPr>
          <w:rFonts w:ascii="Courier New" w:cs="Courier New" w:eastAsia="Courier New" w:hAnsi="Courier New"/>
          <w:sz w:val="17"/>
          <w:szCs w:val="17"/>
          <w:color w:val="auto"/>
        </w:rPr>
        <w:t>Item 1.</w:t>
      </w:r>
      <w:r>
        <w:rPr>
          <w:sz w:val="20"/>
          <w:szCs w:val="20"/>
          <w:color w:val="auto"/>
        </w:rPr>
        <w:tab/>
      </w:r>
      <w:r>
        <w:rPr>
          <w:rFonts w:ascii="Courier New" w:cs="Courier New" w:eastAsia="Courier New" w:hAnsi="Courier New"/>
          <w:sz w:val="16"/>
          <w:szCs w:val="16"/>
          <w:color w:val="auto"/>
        </w:rPr>
        <w:t>Financial Statements</w:t>
      </w:r>
    </w:p>
    <w:p>
      <w:pPr>
        <w:spacing w:after="0" w:line="4" w:lineRule="exact"/>
        <w:rPr>
          <w:sz w:val="24"/>
          <w:szCs w:val="24"/>
          <w:color w:val="auto"/>
        </w:rPr>
      </w:pPr>
    </w:p>
    <w:p>
      <w:pPr>
        <w:ind w:left="420"/>
        <w:spacing w:after="0"/>
        <w:rPr>
          <w:sz w:val="20"/>
          <w:szCs w:val="20"/>
          <w:color w:val="auto"/>
        </w:rPr>
      </w:pPr>
      <w:r>
        <w:rPr>
          <w:rFonts w:ascii="Courier New" w:cs="Courier New" w:eastAsia="Courier New" w:hAnsi="Courier New"/>
          <w:sz w:val="17"/>
          <w:szCs w:val="17"/>
          <w:color w:val="auto"/>
        </w:rPr>
        <w:t>Consolidated Balance Sheets -</w:t>
      </w:r>
    </w:p>
    <w:p>
      <w:pPr>
        <w:spacing w:after="0" w:line="5" w:lineRule="exact"/>
        <w:rPr>
          <w:sz w:val="24"/>
          <w:szCs w:val="24"/>
          <w:color w:val="auto"/>
        </w:rPr>
      </w:pPr>
    </w:p>
    <w:p>
      <w:pPr>
        <w:ind w:left="620"/>
        <w:spacing w:after="0"/>
        <w:rPr>
          <w:sz w:val="20"/>
          <w:szCs w:val="20"/>
          <w:color w:val="auto"/>
        </w:rPr>
      </w:pPr>
      <w:r>
        <w:rPr>
          <w:rFonts w:ascii="Courier New" w:cs="Courier New" w:eastAsia="Courier New" w:hAnsi="Courier New"/>
          <w:sz w:val="16"/>
          <w:szCs w:val="16"/>
          <w:color w:val="auto"/>
        </w:rPr>
        <w:t>January 2, 1993, January 1, 1994 and September 30, 1993</w:t>
      </w:r>
    </w:p>
    <w:p>
      <w:pPr>
        <w:spacing w:after="0" w:line="20" w:lineRule="exact"/>
        <w:rPr>
          <w:sz w:val="24"/>
          <w:szCs w:val="24"/>
          <w:color w:val="auto"/>
        </w:rPr>
      </w:pPr>
      <w:r>
        <w:rPr>
          <w:sz w:val="24"/>
          <w:szCs w:val="24"/>
          <w:color w:val="auto"/>
        </w:rPr>
        <w:br w:type="column"/>
      </w:r>
    </w:p>
    <w:p>
      <w:pPr>
        <w:spacing w:after="0" w:line="37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3-4</w:t>
      </w:r>
    </w:p>
    <w:p>
      <w:pPr>
        <w:sectPr>
          <w:pgSz w:w="11900" w:h="16886" w:orient="portrait"/>
          <w:cols w:equalWidth="0" w:num="2">
            <w:col w:w="6640" w:space="720"/>
            <w:col w:w="2859"/>
          </w:cols>
          <w:pgMar w:left="240" w:top="442" w:right="1440"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93"/>
        </w:trPr>
        <w:tc>
          <w:tcPr>
            <w:tcW w:w="6180" w:type="dxa"/>
            <w:vAlign w:val="bottom"/>
            <w:gridSpan w:val="3"/>
          </w:tcPr>
          <w:p>
            <w:pPr>
              <w:ind w:left="420"/>
              <w:spacing w:after="0"/>
              <w:rPr>
                <w:sz w:val="20"/>
                <w:szCs w:val="20"/>
                <w:color w:val="auto"/>
              </w:rPr>
            </w:pPr>
            <w:r>
              <w:rPr>
                <w:rFonts w:ascii="Courier New" w:cs="Courier New" w:eastAsia="Courier New" w:hAnsi="Courier New"/>
                <w:sz w:val="17"/>
                <w:szCs w:val="17"/>
                <w:color w:val="auto"/>
              </w:rPr>
              <w:t>Consolidated Statements of Income -</w:t>
            </w:r>
          </w:p>
        </w:tc>
        <w:tc>
          <w:tcPr>
            <w:tcW w:w="1480" w:type="dxa"/>
            <w:vAlign w:val="bottom"/>
          </w:tcPr>
          <w:p>
            <w:pPr>
              <w:spacing w:after="0"/>
              <w:rPr>
                <w:sz w:val="16"/>
                <w:szCs w:val="16"/>
                <w:color w:val="auto"/>
              </w:rPr>
            </w:pPr>
          </w:p>
        </w:tc>
      </w:tr>
      <w:tr>
        <w:trPr>
          <w:trHeight w:val="196"/>
        </w:trPr>
        <w:tc>
          <w:tcPr>
            <w:tcW w:w="36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Three Months ended January 2,</w:t>
            </w:r>
          </w:p>
        </w:tc>
        <w:tc>
          <w:tcPr>
            <w:tcW w:w="2560" w:type="dxa"/>
            <w:vAlign w:val="bottom"/>
          </w:tcPr>
          <w:p>
            <w:pPr>
              <w:ind w:left="60"/>
              <w:spacing w:after="0"/>
              <w:rPr>
                <w:sz w:val="20"/>
                <w:szCs w:val="20"/>
                <w:color w:val="auto"/>
              </w:rPr>
            </w:pPr>
            <w:r>
              <w:rPr>
                <w:rFonts w:ascii="Courier New" w:cs="Courier New" w:eastAsia="Courier New" w:hAnsi="Courier New"/>
                <w:sz w:val="17"/>
                <w:szCs w:val="17"/>
                <w:color w:val="auto"/>
              </w:rPr>
              <w:t>1993 and</w:t>
            </w:r>
          </w:p>
        </w:tc>
        <w:tc>
          <w:tcPr>
            <w:tcW w:w="1480" w:type="dxa"/>
            <w:vAlign w:val="bottom"/>
          </w:tcPr>
          <w:p>
            <w:pPr>
              <w:spacing w:after="0"/>
              <w:rPr>
                <w:sz w:val="17"/>
                <w:szCs w:val="17"/>
                <w:color w:val="auto"/>
              </w:rPr>
            </w:pPr>
          </w:p>
        </w:tc>
      </w:tr>
      <w:tr>
        <w:trPr>
          <w:trHeight w:val="196"/>
        </w:trPr>
        <w:tc>
          <w:tcPr>
            <w:tcW w:w="36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Three Months ended January 1,</w:t>
            </w:r>
          </w:p>
        </w:tc>
        <w:tc>
          <w:tcPr>
            <w:tcW w:w="2560" w:type="dxa"/>
            <w:vAlign w:val="bottom"/>
          </w:tcPr>
          <w:p>
            <w:pPr>
              <w:ind w:left="60"/>
              <w:spacing w:after="0"/>
              <w:rPr>
                <w:sz w:val="20"/>
                <w:szCs w:val="20"/>
                <w:color w:val="auto"/>
              </w:rPr>
            </w:pPr>
            <w:r>
              <w:rPr>
                <w:rFonts w:ascii="Courier New" w:cs="Courier New" w:eastAsia="Courier New" w:hAnsi="Courier New"/>
                <w:sz w:val="17"/>
                <w:szCs w:val="17"/>
                <w:color w:val="auto"/>
              </w:rPr>
              <w:t>1994</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5</w:t>
            </w:r>
          </w:p>
        </w:tc>
      </w:tr>
      <w:tr>
        <w:trPr>
          <w:trHeight w:val="392"/>
        </w:trPr>
        <w:tc>
          <w:tcPr>
            <w:tcW w:w="36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Consolidated Statements of Cash</w:t>
            </w:r>
          </w:p>
        </w:tc>
        <w:tc>
          <w:tcPr>
            <w:tcW w:w="2560" w:type="dxa"/>
            <w:vAlign w:val="bottom"/>
          </w:tcPr>
          <w:p>
            <w:pPr>
              <w:ind w:left="60"/>
              <w:spacing w:after="0"/>
              <w:rPr>
                <w:sz w:val="20"/>
                <w:szCs w:val="20"/>
                <w:color w:val="auto"/>
              </w:rPr>
            </w:pPr>
            <w:r>
              <w:rPr>
                <w:rFonts w:ascii="Courier New" w:cs="Courier New" w:eastAsia="Courier New" w:hAnsi="Courier New"/>
                <w:sz w:val="17"/>
                <w:szCs w:val="17"/>
                <w:color w:val="auto"/>
              </w:rPr>
              <w:t>Flows -</w:t>
            </w:r>
          </w:p>
        </w:tc>
        <w:tc>
          <w:tcPr>
            <w:tcW w:w="1480" w:type="dxa"/>
            <w:vAlign w:val="bottom"/>
          </w:tcPr>
          <w:p>
            <w:pPr>
              <w:spacing w:after="0"/>
              <w:rPr>
                <w:sz w:val="24"/>
                <w:szCs w:val="24"/>
                <w:color w:val="auto"/>
              </w:rPr>
            </w:pPr>
          </w:p>
        </w:tc>
      </w:tr>
      <w:tr>
        <w:trPr>
          <w:trHeight w:val="196"/>
        </w:trPr>
        <w:tc>
          <w:tcPr>
            <w:tcW w:w="36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Three Months ended January 2,</w:t>
            </w:r>
          </w:p>
        </w:tc>
        <w:tc>
          <w:tcPr>
            <w:tcW w:w="2560" w:type="dxa"/>
            <w:vAlign w:val="bottom"/>
          </w:tcPr>
          <w:p>
            <w:pPr>
              <w:ind w:left="60"/>
              <w:spacing w:after="0"/>
              <w:rPr>
                <w:sz w:val="20"/>
                <w:szCs w:val="20"/>
                <w:color w:val="auto"/>
              </w:rPr>
            </w:pPr>
            <w:r>
              <w:rPr>
                <w:rFonts w:ascii="Courier New" w:cs="Courier New" w:eastAsia="Courier New" w:hAnsi="Courier New"/>
                <w:sz w:val="17"/>
                <w:szCs w:val="17"/>
                <w:color w:val="auto"/>
              </w:rPr>
              <w:t>1993 and</w:t>
            </w:r>
          </w:p>
        </w:tc>
        <w:tc>
          <w:tcPr>
            <w:tcW w:w="1480" w:type="dxa"/>
            <w:vAlign w:val="bottom"/>
          </w:tcPr>
          <w:p>
            <w:pPr>
              <w:spacing w:after="0"/>
              <w:rPr>
                <w:sz w:val="17"/>
                <w:szCs w:val="17"/>
                <w:color w:val="auto"/>
              </w:rPr>
            </w:pPr>
          </w:p>
        </w:tc>
      </w:tr>
      <w:tr>
        <w:trPr>
          <w:trHeight w:val="196"/>
        </w:trPr>
        <w:tc>
          <w:tcPr>
            <w:tcW w:w="36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Three Months ended January 1,</w:t>
            </w:r>
          </w:p>
        </w:tc>
        <w:tc>
          <w:tcPr>
            <w:tcW w:w="2560" w:type="dxa"/>
            <w:vAlign w:val="bottom"/>
          </w:tcPr>
          <w:p>
            <w:pPr>
              <w:ind w:left="60"/>
              <w:spacing w:after="0"/>
              <w:rPr>
                <w:sz w:val="20"/>
                <w:szCs w:val="20"/>
                <w:color w:val="auto"/>
              </w:rPr>
            </w:pPr>
            <w:r>
              <w:rPr>
                <w:rFonts w:ascii="Courier New" w:cs="Courier New" w:eastAsia="Courier New" w:hAnsi="Courier New"/>
                <w:sz w:val="17"/>
                <w:szCs w:val="17"/>
                <w:color w:val="auto"/>
              </w:rPr>
              <w:t>1994</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6</w:t>
            </w:r>
          </w:p>
        </w:tc>
      </w:tr>
      <w:tr>
        <w:trPr>
          <w:trHeight w:val="392"/>
        </w:trPr>
        <w:tc>
          <w:tcPr>
            <w:tcW w:w="36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Notes to Consolidated Financial</w:t>
            </w:r>
          </w:p>
        </w:tc>
        <w:tc>
          <w:tcPr>
            <w:tcW w:w="2560" w:type="dxa"/>
            <w:vAlign w:val="bottom"/>
          </w:tcPr>
          <w:p>
            <w:pPr>
              <w:ind w:left="60"/>
              <w:spacing w:after="0"/>
              <w:rPr>
                <w:sz w:val="20"/>
                <w:szCs w:val="20"/>
                <w:color w:val="auto"/>
              </w:rPr>
            </w:pPr>
            <w:r>
              <w:rPr>
                <w:rFonts w:ascii="Courier New" w:cs="Courier New" w:eastAsia="Courier New" w:hAnsi="Courier New"/>
                <w:sz w:val="17"/>
                <w:szCs w:val="17"/>
                <w:color w:val="auto"/>
              </w:rPr>
              <w:t>Statements</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7-10</w:t>
            </w:r>
          </w:p>
        </w:tc>
      </w:tr>
      <w:tr>
        <w:trPr>
          <w:trHeight w:val="392"/>
        </w:trPr>
        <w:tc>
          <w:tcPr>
            <w:tcW w:w="6180" w:type="dxa"/>
            <w:vAlign w:val="bottom"/>
            <w:gridSpan w:val="3"/>
          </w:tcPr>
          <w:p>
            <w:pPr>
              <w:ind w:left="200"/>
              <w:spacing w:after="0"/>
              <w:rPr>
                <w:sz w:val="20"/>
                <w:szCs w:val="20"/>
                <w:color w:val="auto"/>
              </w:rPr>
            </w:pPr>
            <w:r>
              <w:rPr>
                <w:rFonts w:ascii="Courier New" w:cs="Courier New" w:eastAsia="Courier New" w:hAnsi="Courier New"/>
                <w:sz w:val="17"/>
                <w:szCs w:val="17"/>
                <w:color w:val="auto"/>
              </w:rPr>
              <w:t>Item 2.  Management's Discussion and Analysis of</w:t>
            </w:r>
          </w:p>
        </w:tc>
        <w:tc>
          <w:tcPr>
            <w:tcW w:w="1480" w:type="dxa"/>
            <w:vAlign w:val="bottom"/>
          </w:tcPr>
          <w:p>
            <w:pPr>
              <w:spacing w:after="0"/>
              <w:rPr>
                <w:sz w:val="24"/>
                <w:szCs w:val="24"/>
                <w:color w:val="auto"/>
              </w:rPr>
            </w:pPr>
          </w:p>
        </w:tc>
      </w:tr>
      <w:tr>
        <w:trPr>
          <w:trHeight w:val="196"/>
        </w:trPr>
        <w:tc>
          <w:tcPr>
            <w:tcW w:w="6180" w:type="dxa"/>
            <w:vAlign w:val="bottom"/>
            <w:gridSpan w:val="3"/>
          </w:tcPr>
          <w:p>
            <w:pPr>
              <w:ind w:left="620"/>
              <w:spacing w:after="0"/>
              <w:rPr>
                <w:sz w:val="20"/>
                <w:szCs w:val="20"/>
                <w:color w:val="auto"/>
              </w:rPr>
            </w:pPr>
            <w:r>
              <w:rPr>
                <w:rFonts w:ascii="Courier New" w:cs="Courier New" w:eastAsia="Courier New" w:hAnsi="Courier New"/>
                <w:sz w:val="17"/>
                <w:szCs w:val="17"/>
                <w:color w:val="auto"/>
              </w:rPr>
              <w:t>Financial Condition and Results of Operations</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11-13</w:t>
            </w:r>
          </w:p>
        </w:tc>
      </w:tr>
      <w:tr>
        <w:trPr>
          <w:trHeight w:val="589"/>
        </w:trPr>
        <w:tc>
          <w:tcPr>
            <w:tcW w:w="1020" w:type="dxa"/>
            <w:vAlign w:val="bottom"/>
          </w:tcPr>
          <w:p>
            <w:pPr>
              <w:spacing w:after="0"/>
              <w:rPr>
                <w:sz w:val="20"/>
                <w:szCs w:val="20"/>
                <w:color w:val="auto"/>
              </w:rPr>
            </w:pPr>
            <w:r>
              <w:rPr>
                <w:rFonts w:ascii="Courier New" w:cs="Courier New" w:eastAsia="Courier New" w:hAnsi="Courier New"/>
                <w:sz w:val="17"/>
                <w:szCs w:val="17"/>
                <w:color w:val="auto"/>
              </w:rPr>
              <w:t>Part II.</w:t>
            </w:r>
          </w:p>
        </w:tc>
        <w:tc>
          <w:tcPr>
            <w:tcW w:w="2600" w:type="dxa"/>
            <w:vAlign w:val="bottom"/>
          </w:tcPr>
          <w:p>
            <w:pPr>
              <w:jc w:val="right"/>
              <w:ind w:right="775"/>
              <w:spacing w:after="0"/>
              <w:rPr>
                <w:sz w:val="20"/>
                <w:szCs w:val="20"/>
                <w:color w:val="auto"/>
              </w:rPr>
            </w:pPr>
            <w:r>
              <w:rPr>
                <w:rFonts w:ascii="Courier New" w:cs="Courier New" w:eastAsia="Courier New" w:hAnsi="Courier New"/>
                <w:sz w:val="17"/>
                <w:szCs w:val="17"/>
                <w:color w:val="auto"/>
                <w:w w:val="99"/>
              </w:rPr>
              <w:t>Other Information</w:t>
            </w:r>
          </w:p>
        </w:tc>
        <w:tc>
          <w:tcPr>
            <w:tcW w:w="25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92"/>
        </w:trPr>
        <w:tc>
          <w:tcPr>
            <w:tcW w:w="1020" w:type="dxa"/>
            <w:vAlign w:val="bottom"/>
          </w:tcPr>
          <w:p>
            <w:pPr>
              <w:ind w:left="200"/>
              <w:spacing w:after="0"/>
              <w:rPr>
                <w:sz w:val="20"/>
                <w:szCs w:val="20"/>
                <w:color w:val="auto"/>
              </w:rPr>
            </w:pPr>
            <w:r>
              <w:rPr>
                <w:rFonts w:ascii="Courier New" w:cs="Courier New" w:eastAsia="Courier New" w:hAnsi="Courier New"/>
                <w:sz w:val="17"/>
                <w:szCs w:val="17"/>
                <w:color w:val="auto"/>
              </w:rPr>
              <w:t>Item 6.</w:t>
            </w:r>
          </w:p>
        </w:tc>
        <w:tc>
          <w:tcPr>
            <w:tcW w:w="516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Exhibits and Reports on Form 8-K</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14</w:t>
            </w:r>
          </w:p>
        </w:tc>
      </w:tr>
      <w:tr>
        <w:trPr>
          <w:trHeight w:val="589"/>
        </w:trPr>
        <w:tc>
          <w:tcPr>
            <w:tcW w:w="1020" w:type="dxa"/>
            <w:vAlign w:val="bottom"/>
          </w:tcPr>
          <w:p>
            <w:pPr>
              <w:spacing w:after="0"/>
              <w:rPr>
                <w:sz w:val="20"/>
                <w:szCs w:val="20"/>
                <w:color w:val="auto"/>
              </w:rPr>
            </w:pPr>
            <w:r>
              <w:rPr>
                <w:rFonts w:ascii="Courier New" w:cs="Courier New" w:eastAsia="Courier New" w:hAnsi="Courier New"/>
                <w:sz w:val="17"/>
                <w:szCs w:val="17"/>
                <w:color w:val="auto"/>
                <w:w w:val="97"/>
              </w:rPr>
              <w:t>Signatures</w:t>
            </w:r>
          </w:p>
        </w:tc>
        <w:tc>
          <w:tcPr>
            <w:tcW w:w="26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15</w:t>
            </w:r>
          </w:p>
        </w:tc>
      </w:tr>
      <w:tr>
        <w:trPr>
          <w:trHeight w:val="589"/>
        </w:trPr>
        <w:tc>
          <w:tcPr>
            <w:tcW w:w="3620" w:type="dxa"/>
            <w:vAlign w:val="bottom"/>
            <w:gridSpan w:val="2"/>
          </w:tcPr>
          <w:p>
            <w:pPr>
              <w:spacing w:after="0"/>
              <w:rPr>
                <w:sz w:val="20"/>
                <w:szCs w:val="20"/>
                <w:color w:val="auto"/>
              </w:rPr>
            </w:pPr>
            <w:r>
              <w:rPr>
                <w:rFonts w:ascii="Courier New" w:cs="Courier New" w:eastAsia="Courier New" w:hAnsi="Courier New"/>
                <w:sz w:val="17"/>
                <w:szCs w:val="17"/>
                <w:color w:val="auto"/>
              </w:rPr>
              <w:t>Exhibit Index</w:t>
            </w:r>
          </w:p>
        </w:tc>
        <w:tc>
          <w:tcPr>
            <w:tcW w:w="256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16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Page 2</w:t>
      </w:r>
    </w:p>
    <w:p>
      <w:pPr>
        <w:sectPr>
          <w:pgSz w:w="11900" w:h="16838" w:orient="portrait"/>
          <w:cols w:equalWidth="0" w:num="1">
            <w:col w:w="10219"/>
          </w:cols>
          <w:pgMar w:left="240" w:top="337" w:right="1440" w:bottom="1440" w:gutter="0" w:footer="0" w:header="0"/>
        </w:sectPr>
      </w:pPr>
    </w:p>
    <w:bookmarkStart w:id="2" w:name="page3"/>
    <w:bookmarkEnd w:id="2"/>
    <w:p>
      <w:pPr>
        <w:jc w:val="center"/>
        <w:ind w:right="819"/>
        <w:spacing w:after="0"/>
        <w:rPr>
          <w:sz w:val="20"/>
          <w:szCs w:val="20"/>
          <w:color w:val="auto"/>
        </w:rPr>
      </w:pPr>
      <w:r>
        <w:rPr>
          <w:rFonts w:ascii="Courier New" w:cs="Courier New" w:eastAsia="Courier New" w:hAnsi="Courier New"/>
          <w:sz w:val="17"/>
          <w:szCs w:val="17"/>
          <w:color w:val="auto"/>
        </w:rPr>
        <w:t>PART I - FINANCIAL INFORMATION</w:t>
      </w:r>
    </w:p>
    <w:p>
      <w:pPr>
        <w:spacing w:after="0" w:line="4" w:lineRule="exact"/>
        <w:rPr>
          <w:sz w:val="20"/>
          <w:szCs w:val="20"/>
          <w:color w:val="auto"/>
        </w:rPr>
      </w:pPr>
    </w:p>
    <w:p>
      <w:pPr>
        <w:jc w:val="center"/>
        <w:ind w:right="819"/>
        <w:spacing w:after="0"/>
        <w:rPr>
          <w:sz w:val="20"/>
          <w:szCs w:val="20"/>
          <w:color w:val="auto"/>
        </w:rPr>
      </w:pPr>
      <w:r>
        <w:rPr>
          <w:rFonts w:ascii="Courier New" w:cs="Courier New" w:eastAsia="Courier New" w:hAnsi="Courier New"/>
          <w:sz w:val="17"/>
          <w:szCs w:val="17"/>
          <w:color w:val="auto"/>
        </w:rPr>
        <w:t>ITEM 1. FINANCIAL STATEMENTS</w:t>
      </w:r>
    </w:p>
    <w:p>
      <w:pPr>
        <w:spacing w:after="0" w:line="396" w:lineRule="exact"/>
        <w:rPr>
          <w:sz w:val="20"/>
          <w:szCs w:val="20"/>
          <w:color w:val="auto"/>
        </w:rPr>
      </w:pPr>
    </w:p>
    <w:p>
      <w:pPr>
        <w:jc w:val="center"/>
        <w:ind w:right="919"/>
        <w:spacing w:after="0"/>
        <w:rPr>
          <w:sz w:val="20"/>
          <w:szCs w:val="20"/>
          <w:color w:val="auto"/>
        </w:rPr>
      </w:pPr>
      <w:r>
        <w:rPr>
          <w:rFonts w:ascii="Courier New" w:cs="Courier New" w:eastAsia="Courier New" w:hAnsi="Courier New"/>
          <w:sz w:val="17"/>
          <w:szCs w:val="17"/>
          <w:color w:val="auto"/>
        </w:rPr>
        <w:t>THE SCOTTS COMPANY AND SUBSIDIARIES</w:t>
      </w:r>
    </w:p>
    <w:p>
      <w:pPr>
        <w:spacing w:after="0" w:line="4" w:lineRule="exact"/>
        <w:rPr>
          <w:sz w:val="20"/>
          <w:szCs w:val="20"/>
          <w:color w:val="auto"/>
        </w:rPr>
      </w:pPr>
    </w:p>
    <w:p>
      <w:pPr>
        <w:jc w:val="center"/>
        <w:ind w:right="919"/>
        <w:spacing w:after="0"/>
        <w:rPr>
          <w:sz w:val="20"/>
          <w:szCs w:val="20"/>
          <w:color w:val="auto"/>
        </w:rPr>
      </w:pPr>
      <w:r>
        <w:rPr>
          <w:rFonts w:ascii="Courier New" w:cs="Courier New" w:eastAsia="Courier New" w:hAnsi="Courier New"/>
          <w:sz w:val="17"/>
          <w:szCs w:val="17"/>
          <w:color w:val="auto"/>
        </w:rPr>
        <w:t>CONSOLIDATED BALANCE SHEETS</w:t>
      </w:r>
    </w:p>
    <w:p>
      <w:pPr>
        <w:spacing w:after="0" w:line="4" w:lineRule="exact"/>
        <w:rPr>
          <w:sz w:val="20"/>
          <w:szCs w:val="20"/>
          <w:color w:val="auto"/>
        </w:rPr>
      </w:pPr>
    </w:p>
    <w:p>
      <w:pPr>
        <w:ind w:left="4080"/>
        <w:spacing w:after="0"/>
        <w:rPr>
          <w:sz w:val="20"/>
          <w:szCs w:val="20"/>
          <w:color w:val="auto"/>
        </w:rPr>
      </w:pPr>
      <w:r>
        <w:rPr>
          <w:rFonts w:ascii="Courier New" w:cs="Courier New" w:eastAsia="Courier New" w:hAnsi="Courier New"/>
          <w:sz w:val="17"/>
          <w:szCs w:val="17"/>
          <w:color w:val="auto"/>
        </w:rPr>
        <w:t>(Unaudited)</w:t>
      </w:r>
    </w:p>
    <w:p>
      <w:pPr>
        <w:spacing w:after="0" w:line="4"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000" w:type="dxa"/>
            <w:vAlign w:val="bottom"/>
          </w:tcPr>
          <w:p>
            <w:pPr>
              <w:ind w:left="920"/>
              <w:spacing w:after="0"/>
              <w:rPr>
                <w:sz w:val="20"/>
                <w:szCs w:val="20"/>
                <w:color w:val="auto"/>
              </w:rPr>
            </w:pPr>
            <w:r>
              <w:rPr>
                <w:rFonts w:ascii="Courier New" w:cs="Courier New" w:eastAsia="Courier New" w:hAnsi="Courier New"/>
                <w:sz w:val="17"/>
                <w:szCs w:val="17"/>
                <w:color w:val="auto"/>
              </w:rPr>
              <w:t>ASSETS</w:t>
            </w:r>
          </w:p>
        </w:tc>
        <w:tc>
          <w:tcPr>
            <w:tcW w:w="5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392"/>
        </w:trPr>
        <w:tc>
          <w:tcPr>
            <w:tcW w:w="5000" w:type="dxa"/>
            <w:vAlign w:val="bottom"/>
          </w:tcPr>
          <w:p>
            <w:pPr>
              <w:spacing w:after="0"/>
              <w:rPr>
                <w:sz w:val="24"/>
                <w:szCs w:val="24"/>
                <w:color w:val="auto"/>
              </w:rPr>
            </w:pPr>
          </w:p>
        </w:tc>
        <w:tc>
          <w:tcPr>
            <w:tcW w:w="1540" w:type="dxa"/>
            <w:vAlign w:val="bottom"/>
            <w:gridSpan w:val="2"/>
          </w:tcPr>
          <w:p>
            <w:pPr>
              <w:jc w:val="right"/>
              <w:ind w:right="235"/>
              <w:spacing w:after="0"/>
              <w:rPr>
                <w:sz w:val="20"/>
                <w:szCs w:val="20"/>
                <w:color w:val="auto"/>
              </w:rPr>
            </w:pPr>
            <w:r>
              <w:rPr>
                <w:rFonts w:ascii="Courier New" w:cs="Courier New" w:eastAsia="Courier New" w:hAnsi="Courier New"/>
                <w:sz w:val="17"/>
                <w:szCs w:val="17"/>
                <w:color w:val="auto"/>
              </w:rPr>
              <w:t>January 2</w:t>
            </w:r>
          </w:p>
        </w:tc>
        <w:tc>
          <w:tcPr>
            <w:tcW w:w="132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January 1</w:t>
            </w:r>
          </w:p>
        </w:tc>
        <w:tc>
          <w:tcPr>
            <w:tcW w:w="14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September 30</w:t>
            </w:r>
          </w:p>
        </w:tc>
      </w:tr>
      <w:tr>
        <w:trPr>
          <w:trHeight w:val="196"/>
        </w:trPr>
        <w:tc>
          <w:tcPr>
            <w:tcW w:w="50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1993</w:t>
            </w:r>
          </w:p>
        </w:tc>
        <w:tc>
          <w:tcPr>
            <w:tcW w:w="360" w:type="dxa"/>
            <w:vAlign w:val="bottom"/>
          </w:tcPr>
          <w:p>
            <w:pPr>
              <w:spacing w:after="0"/>
              <w:rPr>
                <w:sz w:val="17"/>
                <w:szCs w:val="17"/>
                <w:color w:val="auto"/>
              </w:rPr>
            </w:pPr>
          </w:p>
        </w:tc>
        <w:tc>
          <w:tcPr>
            <w:tcW w:w="96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1994</w:t>
            </w:r>
          </w:p>
        </w:tc>
        <w:tc>
          <w:tcPr>
            <w:tcW w:w="460" w:type="dxa"/>
            <w:vAlign w:val="bottom"/>
          </w:tcPr>
          <w:p>
            <w:pPr>
              <w:spacing w:after="0"/>
              <w:rPr>
                <w:sz w:val="17"/>
                <w:szCs w:val="17"/>
                <w:color w:val="auto"/>
              </w:rPr>
            </w:pPr>
          </w:p>
        </w:tc>
        <w:tc>
          <w:tcPr>
            <w:tcW w:w="96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1993</w:t>
            </w:r>
          </w:p>
        </w:tc>
      </w:tr>
      <w:tr>
        <w:trPr>
          <w:trHeight w:val="392"/>
        </w:trPr>
        <w:tc>
          <w:tcPr>
            <w:tcW w:w="5000" w:type="dxa"/>
            <w:vAlign w:val="bottom"/>
          </w:tcPr>
          <w:p>
            <w:pPr>
              <w:spacing w:after="0"/>
              <w:rPr>
                <w:sz w:val="20"/>
                <w:szCs w:val="20"/>
                <w:color w:val="auto"/>
              </w:rPr>
            </w:pPr>
            <w:r>
              <w:rPr>
                <w:rFonts w:ascii="Courier New" w:cs="Courier New" w:eastAsia="Courier New" w:hAnsi="Courier New"/>
                <w:sz w:val="17"/>
                <w:szCs w:val="17"/>
                <w:color w:val="auto"/>
              </w:rPr>
              <w:t>Current Assets:</w:t>
            </w: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96"/>
        </w:trPr>
        <w:tc>
          <w:tcPr>
            <w:tcW w:w="5000" w:type="dxa"/>
            <w:vAlign w:val="bottom"/>
          </w:tcPr>
          <w:p>
            <w:pPr>
              <w:ind w:left="200"/>
              <w:spacing w:after="0"/>
              <w:rPr>
                <w:sz w:val="20"/>
                <w:szCs w:val="20"/>
                <w:color w:val="auto"/>
              </w:rPr>
            </w:pPr>
            <w:r>
              <w:rPr>
                <w:rFonts w:ascii="Courier New" w:cs="Courier New" w:eastAsia="Courier New" w:hAnsi="Courier New"/>
                <w:sz w:val="17"/>
                <w:szCs w:val="17"/>
                <w:color w:val="auto"/>
              </w:rPr>
              <w:t>Cash and cash equivalents</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787</w:t>
            </w:r>
          </w:p>
        </w:tc>
        <w:tc>
          <w:tcPr>
            <w:tcW w:w="36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6,247</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2,323</w:t>
            </w:r>
          </w:p>
        </w:tc>
      </w:tr>
      <w:tr>
        <w:trPr>
          <w:trHeight w:val="196"/>
        </w:trPr>
        <w:tc>
          <w:tcPr>
            <w:tcW w:w="5000" w:type="dxa"/>
            <w:vAlign w:val="bottom"/>
          </w:tcPr>
          <w:p>
            <w:pPr>
              <w:ind w:left="200"/>
              <w:spacing w:after="0"/>
              <w:rPr>
                <w:sz w:val="20"/>
                <w:szCs w:val="20"/>
                <w:color w:val="auto"/>
              </w:rPr>
            </w:pPr>
            <w:r>
              <w:rPr>
                <w:rFonts w:ascii="Courier New" w:cs="Courier New" w:eastAsia="Courier New" w:hAnsi="Courier New"/>
                <w:sz w:val="17"/>
                <w:szCs w:val="17"/>
                <w:color w:val="auto"/>
              </w:rPr>
              <w:t>Accounts receivable, less allowances</w:t>
            </w:r>
          </w:p>
        </w:tc>
        <w:tc>
          <w:tcPr>
            <w:tcW w:w="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96"/>
        </w:trPr>
        <w:tc>
          <w:tcPr>
            <w:tcW w:w="5000" w:type="dxa"/>
            <w:vAlign w:val="bottom"/>
          </w:tcPr>
          <w:p>
            <w:pPr>
              <w:ind w:left="420"/>
              <w:spacing w:after="0"/>
              <w:rPr>
                <w:sz w:val="20"/>
                <w:szCs w:val="20"/>
                <w:color w:val="auto"/>
              </w:rPr>
            </w:pPr>
            <w:r>
              <w:rPr>
                <w:rFonts w:ascii="Courier New" w:cs="Courier New" w:eastAsia="Courier New" w:hAnsi="Courier New"/>
                <w:sz w:val="17"/>
                <w:szCs w:val="17"/>
                <w:color w:val="auto"/>
              </w:rPr>
              <w:t>of $2,278, $3,056 and $2,511, respectively</w:t>
            </w:r>
          </w:p>
        </w:tc>
        <w:tc>
          <w:tcPr>
            <w:tcW w:w="560" w:type="dxa"/>
            <w:vAlign w:val="bottom"/>
          </w:tcPr>
          <w:p>
            <w:pPr>
              <w:spacing w:after="0"/>
              <w:rPr>
                <w:sz w:val="17"/>
                <w:szCs w:val="17"/>
                <w:color w:val="auto"/>
              </w:rPr>
            </w:pPr>
          </w:p>
        </w:tc>
        <w:tc>
          <w:tcPr>
            <w:tcW w:w="9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70,909</w:t>
            </w:r>
          </w:p>
        </w:tc>
        <w:tc>
          <w:tcPr>
            <w:tcW w:w="360" w:type="dxa"/>
            <w:vAlign w:val="bottom"/>
          </w:tcPr>
          <w:p>
            <w:pPr>
              <w:spacing w:after="0"/>
              <w:rPr>
                <w:sz w:val="17"/>
                <w:szCs w:val="17"/>
                <w:color w:val="auto"/>
              </w:rPr>
            </w:pPr>
          </w:p>
        </w:tc>
        <w:tc>
          <w:tcPr>
            <w:tcW w:w="9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93,964</w:t>
            </w:r>
          </w:p>
        </w:tc>
        <w:tc>
          <w:tcPr>
            <w:tcW w:w="460" w:type="dxa"/>
            <w:vAlign w:val="bottom"/>
          </w:tcPr>
          <w:p>
            <w:pPr>
              <w:spacing w:after="0"/>
              <w:rPr>
                <w:sz w:val="17"/>
                <w:szCs w:val="17"/>
                <w:color w:val="auto"/>
              </w:rPr>
            </w:pPr>
          </w:p>
        </w:tc>
        <w:tc>
          <w:tcPr>
            <w:tcW w:w="9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60,848</w:t>
            </w:r>
          </w:p>
        </w:tc>
      </w:tr>
      <w:tr>
        <w:trPr>
          <w:trHeight w:val="392"/>
        </w:trPr>
        <w:tc>
          <w:tcPr>
            <w:tcW w:w="5000" w:type="dxa"/>
            <w:vAlign w:val="bottom"/>
          </w:tcPr>
          <w:p>
            <w:pPr>
              <w:ind w:left="200"/>
              <w:spacing w:after="0"/>
              <w:rPr>
                <w:sz w:val="20"/>
                <w:szCs w:val="20"/>
                <w:color w:val="auto"/>
              </w:rPr>
            </w:pPr>
            <w:r>
              <w:rPr>
                <w:rFonts w:ascii="Courier New" w:cs="Courier New" w:eastAsia="Courier New" w:hAnsi="Courier New"/>
                <w:sz w:val="17"/>
                <w:szCs w:val="17"/>
                <w:color w:val="auto"/>
              </w:rPr>
              <w:t>Inventories:</w:t>
            </w: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96"/>
        </w:trPr>
        <w:tc>
          <w:tcPr>
            <w:tcW w:w="5000" w:type="dxa"/>
            <w:vAlign w:val="bottom"/>
          </w:tcPr>
          <w:p>
            <w:pPr>
              <w:ind w:left="420"/>
              <w:spacing w:after="0"/>
              <w:rPr>
                <w:sz w:val="20"/>
                <w:szCs w:val="20"/>
                <w:color w:val="auto"/>
              </w:rPr>
            </w:pPr>
            <w:r>
              <w:rPr>
                <w:rFonts w:ascii="Courier New" w:cs="Courier New" w:eastAsia="Courier New" w:hAnsi="Courier New"/>
                <w:sz w:val="17"/>
                <w:szCs w:val="17"/>
                <w:color w:val="auto"/>
              </w:rPr>
              <w:t>Raw materials</w:t>
            </w:r>
          </w:p>
        </w:tc>
        <w:tc>
          <w:tcPr>
            <w:tcW w:w="560" w:type="dxa"/>
            <w:vAlign w:val="bottom"/>
          </w:tcPr>
          <w:p>
            <w:pPr>
              <w:spacing w:after="0"/>
              <w:rPr>
                <w:sz w:val="17"/>
                <w:szCs w:val="17"/>
                <w:color w:val="auto"/>
              </w:rPr>
            </w:pPr>
          </w:p>
        </w:tc>
        <w:tc>
          <w:tcPr>
            <w:tcW w:w="9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36,263</w:t>
            </w:r>
          </w:p>
        </w:tc>
        <w:tc>
          <w:tcPr>
            <w:tcW w:w="360" w:type="dxa"/>
            <w:vAlign w:val="bottom"/>
          </w:tcPr>
          <w:p>
            <w:pPr>
              <w:spacing w:after="0"/>
              <w:rPr>
                <w:sz w:val="17"/>
                <w:szCs w:val="17"/>
                <w:color w:val="auto"/>
              </w:rPr>
            </w:pPr>
          </w:p>
        </w:tc>
        <w:tc>
          <w:tcPr>
            <w:tcW w:w="9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49,247</w:t>
            </w:r>
          </w:p>
        </w:tc>
        <w:tc>
          <w:tcPr>
            <w:tcW w:w="460" w:type="dxa"/>
            <w:vAlign w:val="bottom"/>
          </w:tcPr>
          <w:p>
            <w:pPr>
              <w:spacing w:after="0"/>
              <w:rPr>
                <w:sz w:val="17"/>
                <w:szCs w:val="17"/>
                <w:color w:val="auto"/>
              </w:rPr>
            </w:pPr>
          </w:p>
        </w:tc>
        <w:tc>
          <w:tcPr>
            <w:tcW w:w="9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31,905</w:t>
            </w:r>
          </w:p>
        </w:tc>
      </w:tr>
      <w:tr>
        <w:trPr>
          <w:trHeight w:val="196"/>
        </w:trPr>
        <w:tc>
          <w:tcPr>
            <w:tcW w:w="5000" w:type="dxa"/>
            <w:vAlign w:val="bottom"/>
          </w:tcPr>
          <w:p>
            <w:pPr>
              <w:ind w:left="420"/>
              <w:spacing w:after="0"/>
              <w:rPr>
                <w:sz w:val="20"/>
                <w:szCs w:val="20"/>
                <w:color w:val="auto"/>
              </w:rPr>
            </w:pPr>
            <w:r>
              <w:rPr>
                <w:rFonts w:ascii="Courier New" w:cs="Courier New" w:eastAsia="Courier New" w:hAnsi="Courier New"/>
                <w:sz w:val="17"/>
                <w:szCs w:val="17"/>
                <w:color w:val="auto"/>
              </w:rPr>
              <w:t>Finished products</w:t>
            </w:r>
          </w:p>
        </w:tc>
        <w:tc>
          <w:tcPr>
            <w:tcW w:w="560" w:type="dxa"/>
            <w:vAlign w:val="bottom"/>
          </w:tcPr>
          <w:p>
            <w:pPr>
              <w:spacing w:after="0"/>
              <w:rPr>
                <w:sz w:val="17"/>
                <w:szCs w:val="17"/>
                <w:color w:val="auto"/>
              </w:rPr>
            </w:pPr>
          </w:p>
        </w:tc>
        <w:tc>
          <w:tcPr>
            <w:tcW w:w="9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61,117</w:t>
            </w:r>
          </w:p>
        </w:tc>
        <w:tc>
          <w:tcPr>
            <w:tcW w:w="360" w:type="dxa"/>
            <w:vAlign w:val="bottom"/>
          </w:tcPr>
          <w:p>
            <w:pPr>
              <w:spacing w:after="0"/>
              <w:rPr>
                <w:sz w:val="17"/>
                <w:szCs w:val="17"/>
                <w:color w:val="auto"/>
              </w:rPr>
            </w:pPr>
          </w:p>
        </w:tc>
        <w:tc>
          <w:tcPr>
            <w:tcW w:w="9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80,174</w:t>
            </w:r>
          </w:p>
        </w:tc>
        <w:tc>
          <w:tcPr>
            <w:tcW w:w="460" w:type="dxa"/>
            <w:vAlign w:val="bottom"/>
          </w:tcPr>
          <w:p>
            <w:pPr>
              <w:spacing w:after="0"/>
              <w:rPr>
                <w:sz w:val="17"/>
                <w:szCs w:val="17"/>
                <w:color w:val="auto"/>
              </w:rPr>
            </w:pPr>
          </w:p>
        </w:tc>
        <w:tc>
          <w:tcPr>
            <w:tcW w:w="9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44,749</w:t>
            </w:r>
          </w:p>
        </w:tc>
      </w:tr>
      <w:tr>
        <w:trPr>
          <w:trHeight w:val="196"/>
        </w:trPr>
        <w:tc>
          <w:tcPr>
            <w:tcW w:w="5000" w:type="dxa"/>
            <w:vAlign w:val="bottom"/>
          </w:tcPr>
          <w:p>
            <w:pPr>
              <w:ind w:left="420"/>
              <w:spacing w:after="0"/>
              <w:rPr>
                <w:sz w:val="20"/>
                <w:szCs w:val="20"/>
                <w:color w:val="auto"/>
              </w:rPr>
            </w:pPr>
            <w:r>
              <w:rPr>
                <w:rFonts w:ascii="Courier New" w:cs="Courier New" w:eastAsia="Courier New" w:hAnsi="Courier New"/>
                <w:sz w:val="17"/>
                <w:szCs w:val="17"/>
                <w:color w:val="auto"/>
              </w:rPr>
              <w:t>Total inventories</w:t>
            </w:r>
          </w:p>
        </w:tc>
        <w:tc>
          <w:tcPr>
            <w:tcW w:w="560" w:type="dxa"/>
            <w:vAlign w:val="bottom"/>
          </w:tcPr>
          <w:p>
            <w:pPr>
              <w:spacing w:after="0"/>
              <w:rPr>
                <w:sz w:val="17"/>
                <w:szCs w:val="17"/>
                <w:color w:val="auto"/>
              </w:rPr>
            </w:pPr>
          </w:p>
        </w:tc>
        <w:tc>
          <w:tcPr>
            <w:tcW w:w="9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97,380</w:t>
            </w:r>
          </w:p>
        </w:tc>
        <w:tc>
          <w:tcPr>
            <w:tcW w:w="360" w:type="dxa"/>
            <w:vAlign w:val="bottom"/>
          </w:tcPr>
          <w:p>
            <w:pPr>
              <w:spacing w:after="0"/>
              <w:rPr>
                <w:sz w:val="17"/>
                <w:szCs w:val="17"/>
                <w:color w:val="auto"/>
              </w:rPr>
            </w:pPr>
          </w:p>
        </w:tc>
        <w:tc>
          <w:tcPr>
            <w:tcW w:w="9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129,421</w:t>
            </w:r>
          </w:p>
        </w:tc>
        <w:tc>
          <w:tcPr>
            <w:tcW w:w="460" w:type="dxa"/>
            <w:vAlign w:val="bottom"/>
          </w:tcPr>
          <w:p>
            <w:pPr>
              <w:spacing w:after="0"/>
              <w:rPr>
                <w:sz w:val="17"/>
                <w:szCs w:val="17"/>
                <w:color w:val="auto"/>
              </w:rPr>
            </w:pPr>
          </w:p>
        </w:tc>
        <w:tc>
          <w:tcPr>
            <w:tcW w:w="9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76,654</w:t>
            </w:r>
          </w:p>
        </w:tc>
      </w:tr>
      <w:tr>
        <w:trPr>
          <w:trHeight w:val="392"/>
        </w:trPr>
        <w:tc>
          <w:tcPr>
            <w:tcW w:w="5000" w:type="dxa"/>
            <w:vAlign w:val="bottom"/>
          </w:tcPr>
          <w:p>
            <w:pPr>
              <w:ind w:left="200"/>
              <w:spacing w:after="0"/>
              <w:rPr>
                <w:sz w:val="20"/>
                <w:szCs w:val="20"/>
                <w:color w:val="auto"/>
              </w:rPr>
            </w:pPr>
            <w:r>
              <w:rPr>
                <w:rFonts w:ascii="Courier New" w:cs="Courier New" w:eastAsia="Courier New" w:hAnsi="Courier New"/>
                <w:sz w:val="17"/>
                <w:szCs w:val="17"/>
                <w:color w:val="auto"/>
              </w:rPr>
              <w:t>Other current assets</w:t>
            </w:r>
          </w:p>
        </w:tc>
        <w:tc>
          <w:tcPr>
            <w:tcW w:w="560" w:type="dxa"/>
            <w:vAlign w:val="bottom"/>
          </w:tcPr>
          <w:p>
            <w:pPr>
              <w:spacing w:after="0"/>
              <w:rPr>
                <w:sz w:val="24"/>
                <w:szCs w:val="24"/>
                <w:color w:val="auto"/>
              </w:rPr>
            </w:pPr>
          </w:p>
        </w:tc>
        <w:tc>
          <w:tcPr>
            <w:tcW w:w="9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5,378</w:t>
            </w:r>
          </w:p>
        </w:tc>
        <w:tc>
          <w:tcPr>
            <w:tcW w:w="360" w:type="dxa"/>
            <w:vAlign w:val="bottom"/>
          </w:tcPr>
          <w:p>
            <w:pPr>
              <w:spacing w:after="0"/>
              <w:rPr>
                <w:sz w:val="24"/>
                <w:szCs w:val="24"/>
                <w:color w:val="auto"/>
              </w:rPr>
            </w:pPr>
          </w:p>
        </w:tc>
        <w:tc>
          <w:tcPr>
            <w:tcW w:w="9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6,517</w:t>
            </w:r>
          </w:p>
        </w:tc>
        <w:tc>
          <w:tcPr>
            <w:tcW w:w="460" w:type="dxa"/>
            <w:vAlign w:val="bottom"/>
          </w:tcPr>
          <w:p>
            <w:pPr>
              <w:spacing w:after="0"/>
              <w:rPr>
                <w:sz w:val="24"/>
                <w:szCs w:val="24"/>
                <w:color w:val="auto"/>
              </w:rPr>
            </w:pPr>
          </w:p>
        </w:tc>
        <w:tc>
          <w:tcPr>
            <w:tcW w:w="9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3,917</w:t>
            </w:r>
          </w:p>
        </w:tc>
      </w:tr>
      <w:tr>
        <w:trPr>
          <w:trHeight w:val="196"/>
        </w:trPr>
        <w:tc>
          <w:tcPr>
            <w:tcW w:w="5000" w:type="dxa"/>
            <w:vAlign w:val="bottom"/>
          </w:tcPr>
          <w:p>
            <w:pPr>
              <w:ind w:left="420"/>
              <w:spacing w:after="0"/>
              <w:rPr>
                <w:sz w:val="20"/>
                <w:szCs w:val="20"/>
                <w:color w:val="auto"/>
              </w:rPr>
            </w:pPr>
            <w:r>
              <w:rPr>
                <w:rFonts w:ascii="Courier New" w:cs="Courier New" w:eastAsia="Courier New" w:hAnsi="Courier New"/>
                <w:sz w:val="17"/>
                <w:szCs w:val="17"/>
                <w:color w:val="auto"/>
              </w:rPr>
              <w:t>Total current assets</w:t>
            </w:r>
          </w:p>
        </w:tc>
        <w:tc>
          <w:tcPr>
            <w:tcW w:w="560" w:type="dxa"/>
            <w:vAlign w:val="bottom"/>
          </w:tcPr>
          <w:p>
            <w:pPr>
              <w:spacing w:after="0"/>
              <w:rPr>
                <w:sz w:val="17"/>
                <w:szCs w:val="17"/>
                <w:color w:val="auto"/>
              </w:rPr>
            </w:pPr>
          </w:p>
        </w:tc>
        <w:tc>
          <w:tcPr>
            <w:tcW w:w="9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174,454</w:t>
            </w:r>
          </w:p>
        </w:tc>
        <w:tc>
          <w:tcPr>
            <w:tcW w:w="360" w:type="dxa"/>
            <w:vAlign w:val="bottom"/>
          </w:tcPr>
          <w:p>
            <w:pPr>
              <w:spacing w:after="0"/>
              <w:rPr>
                <w:sz w:val="17"/>
                <w:szCs w:val="17"/>
                <w:color w:val="auto"/>
              </w:rPr>
            </w:pPr>
          </w:p>
        </w:tc>
        <w:tc>
          <w:tcPr>
            <w:tcW w:w="9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236,149</w:t>
            </w:r>
          </w:p>
        </w:tc>
        <w:tc>
          <w:tcPr>
            <w:tcW w:w="460" w:type="dxa"/>
            <w:vAlign w:val="bottom"/>
          </w:tcPr>
          <w:p>
            <w:pPr>
              <w:spacing w:after="0"/>
              <w:rPr>
                <w:sz w:val="17"/>
                <w:szCs w:val="17"/>
                <w:color w:val="auto"/>
              </w:rPr>
            </w:pPr>
          </w:p>
        </w:tc>
        <w:tc>
          <w:tcPr>
            <w:tcW w:w="9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143,742</w:t>
            </w:r>
          </w:p>
        </w:tc>
      </w:tr>
      <w:tr>
        <w:trPr>
          <w:trHeight w:val="392"/>
        </w:trPr>
        <w:tc>
          <w:tcPr>
            <w:tcW w:w="5000" w:type="dxa"/>
            <w:vAlign w:val="bottom"/>
          </w:tcPr>
          <w:p>
            <w:pPr>
              <w:spacing w:after="0"/>
              <w:rPr>
                <w:sz w:val="20"/>
                <w:szCs w:val="20"/>
                <w:color w:val="auto"/>
              </w:rPr>
            </w:pPr>
            <w:r>
              <w:rPr>
                <w:rFonts w:ascii="Courier New" w:cs="Courier New" w:eastAsia="Courier New" w:hAnsi="Courier New"/>
                <w:sz w:val="17"/>
                <w:szCs w:val="17"/>
                <w:color w:val="auto"/>
              </w:rPr>
              <w:t>Property, plant and equipment, at cost:</w:t>
            </w: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96"/>
        </w:trPr>
        <w:tc>
          <w:tcPr>
            <w:tcW w:w="5000" w:type="dxa"/>
            <w:vAlign w:val="bottom"/>
          </w:tcPr>
          <w:p>
            <w:pPr>
              <w:ind w:left="200"/>
              <w:spacing w:after="0"/>
              <w:rPr>
                <w:sz w:val="20"/>
                <w:szCs w:val="20"/>
                <w:color w:val="auto"/>
              </w:rPr>
            </w:pPr>
            <w:r>
              <w:rPr>
                <w:rFonts w:ascii="Courier New" w:cs="Courier New" w:eastAsia="Courier New" w:hAnsi="Courier New"/>
                <w:sz w:val="17"/>
                <w:szCs w:val="17"/>
                <w:color w:val="auto"/>
              </w:rPr>
              <w:t>Land and land improvements</w:t>
            </w:r>
          </w:p>
        </w:tc>
        <w:tc>
          <w:tcPr>
            <w:tcW w:w="560" w:type="dxa"/>
            <w:vAlign w:val="bottom"/>
          </w:tcPr>
          <w:p>
            <w:pPr>
              <w:spacing w:after="0"/>
              <w:rPr>
                <w:sz w:val="17"/>
                <w:szCs w:val="17"/>
                <w:color w:val="auto"/>
              </w:rPr>
            </w:pPr>
          </w:p>
        </w:tc>
        <w:tc>
          <w:tcPr>
            <w:tcW w:w="9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19,275</w:t>
            </w:r>
          </w:p>
        </w:tc>
        <w:tc>
          <w:tcPr>
            <w:tcW w:w="360" w:type="dxa"/>
            <w:vAlign w:val="bottom"/>
          </w:tcPr>
          <w:p>
            <w:pPr>
              <w:spacing w:after="0"/>
              <w:rPr>
                <w:sz w:val="17"/>
                <w:szCs w:val="17"/>
                <w:color w:val="auto"/>
              </w:rPr>
            </w:pPr>
          </w:p>
        </w:tc>
        <w:tc>
          <w:tcPr>
            <w:tcW w:w="9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21,904</w:t>
            </w:r>
          </w:p>
        </w:tc>
        <w:tc>
          <w:tcPr>
            <w:tcW w:w="460" w:type="dxa"/>
            <w:vAlign w:val="bottom"/>
          </w:tcPr>
          <w:p>
            <w:pPr>
              <w:spacing w:after="0"/>
              <w:rPr>
                <w:sz w:val="17"/>
                <w:szCs w:val="17"/>
                <w:color w:val="auto"/>
              </w:rPr>
            </w:pPr>
          </w:p>
        </w:tc>
        <w:tc>
          <w:tcPr>
            <w:tcW w:w="9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19,817</w:t>
            </w:r>
          </w:p>
        </w:tc>
      </w:tr>
      <w:tr>
        <w:trPr>
          <w:trHeight w:val="196"/>
        </w:trPr>
        <w:tc>
          <w:tcPr>
            <w:tcW w:w="5000" w:type="dxa"/>
            <w:vAlign w:val="bottom"/>
          </w:tcPr>
          <w:p>
            <w:pPr>
              <w:ind w:left="200"/>
              <w:spacing w:after="0"/>
              <w:rPr>
                <w:sz w:val="20"/>
                <w:szCs w:val="20"/>
                <w:color w:val="auto"/>
              </w:rPr>
            </w:pPr>
            <w:r>
              <w:rPr>
                <w:rFonts w:ascii="Courier New" w:cs="Courier New" w:eastAsia="Courier New" w:hAnsi="Courier New"/>
                <w:sz w:val="17"/>
                <w:szCs w:val="17"/>
                <w:color w:val="auto"/>
              </w:rPr>
              <w:t>Buildings</w:t>
            </w:r>
          </w:p>
        </w:tc>
        <w:tc>
          <w:tcPr>
            <w:tcW w:w="560" w:type="dxa"/>
            <w:vAlign w:val="bottom"/>
          </w:tcPr>
          <w:p>
            <w:pPr>
              <w:spacing w:after="0"/>
              <w:rPr>
                <w:sz w:val="17"/>
                <w:szCs w:val="17"/>
                <w:color w:val="auto"/>
              </w:rPr>
            </w:pPr>
          </w:p>
        </w:tc>
        <w:tc>
          <w:tcPr>
            <w:tcW w:w="9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33,669</w:t>
            </w:r>
          </w:p>
        </w:tc>
        <w:tc>
          <w:tcPr>
            <w:tcW w:w="360" w:type="dxa"/>
            <w:vAlign w:val="bottom"/>
          </w:tcPr>
          <w:p>
            <w:pPr>
              <w:spacing w:after="0"/>
              <w:rPr>
                <w:sz w:val="17"/>
                <w:szCs w:val="17"/>
                <w:color w:val="auto"/>
              </w:rPr>
            </w:pPr>
          </w:p>
        </w:tc>
        <w:tc>
          <w:tcPr>
            <w:tcW w:w="9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40,496</w:t>
            </w:r>
          </w:p>
        </w:tc>
        <w:tc>
          <w:tcPr>
            <w:tcW w:w="460" w:type="dxa"/>
            <w:vAlign w:val="bottom"/>
          </w:tcPr>
          <w:p>
            <w:pPr>
              <w:spacing w:after="0"/>
              <w:rPr>
                <w:sz w:val="17"/>
                <w:szCs w:val="17"/>
                <w:color w:val="auto"/>
              </w:rPr>
            </w:pPr>
          </w:p>
        </w:tc>
        <w:tc>
          <w:tcPr>
            <w:tcW w:w="9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36,300</w:t>
            </w:r>
          </w:p>
        </w:tc>
      </w:tr>
      <w:tr>
        <w:trPr>
          <w:trHeight w:val="196"/>
        </w:trPr>
        <w:tc>
          <w:tcPr>
            <w:tcW w:w="5000" w:type="dxa"/>
            <w:vAlign w:val="bottom"/>
          </w:tcPr>
          <w:p>
            <w:pPr>
              <w:ind w:left="200"/>
              <w:spacing w:after="0"/>
              <w:rPr>
                <w:sz w:val="20"/>
                <w:szCs w:val="20"/>
                <w:color w:val="auto"/>
              </w:rPr>
            </w:pPr>
            <w:r>
              <w:rPr>
                <w:rFonts w:ascii="Courier New" w:cs="Courier New" w:eastAsia="Courier New" w:hAnsi="Courier New"/>
                <w:sz w:val="17"/>
                <w:szCs w:val="17"/>
                <w:color w:val="auto"/>
              </w:rPr>
              <w:t>Machinery and equipment</w:t>
            </w:r>
          </w:p>
        </w:tc>
        <w:tc>
          <w:tcPr>
            <w:tcW w:w="560" w:type="dxa"/>
            <w:vAlign w:val="bottom"/>
          </w:tcPr>
          <w:p>
            <w:pPr>
              <w:spacing w:after="0"/>
              <w:rPr>
                <w:sz w:val="17"/>
                <w:szCs w:val="17"/>
                <w:color w:val="auto"/>
              </w:rPr>
            </w:pPr>
          </w:p>
        </w:tc>
        <w:tc>
          <w:tcPr>
            <w:tcW w:w="9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73,962</w:t>
            </w:r>
          </w:p>
        </w:tc>
        <w:tc>
          <w:tcPr>
            <w:tcW w:w="360" w:type="dxa"/>
            <w:vAlign w:val="bottom"/>
          </w:tcPr>
          <w:p>
            <w:pPr>
              <w:spacing w:after="0"/>
              <w:rPr>
                <w:sz w:val="17"/>
                <w:szCs w:val="17"/>
                <w:color w:val="auto"/>
              </w:rPr>
            </w:pPr>
          </w:p>
        </w:tc>
        <w:tc>
          <w:tcPr>
            <w:tcW w:w="9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104,923</w:t>
            </w:r>
          </w:p>
        </w:tc>
        <w:tc>
          <w:tcPr>
            <w:tcW w:w="460" w:type="dxa"/>
            <w:vAlign w:val="bottom"/>
          </w:tcPr>
          <w:p>
            <w:pPr>
              <w:spacing w:after="0"/>
              <w:rPr>
                <w:sz w:val="17"/>
                <w:szCs w:val="17"/>
                <w:color w:val="auto"/>
              </w:rPr>
            </w:pPr>
          </w:p>
        </w:tc>
        <w:tc>
          <w:tcPr>
            <w:tcW w:w="9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87,250</w:t>
            </w:r>
          </w:p>
        </w:tc>
      </w:tr>
      <w:tr>
        <w:trPr>
          <w:trHeight w:val="196"/>
        </w:trPr>
        <w:tc>
          <w:tcPr>
            <w:tcW w:w="5000" w:type="dxa"/>
            <w:vAlign w:val="bottom"/>
          </w:tcPr>
          <w:p>
            <w:pPr>
              <w:ind w:left="200"/>
              <w:spacing w:after="0"/>
              <w:rPr>
                <w:sz w:val="20"/>
                <w:szCs w:val="20"/>
                <w:color w:val="auto"/>
              </w:rPr>
            </w:pPr>
            <w:r>
              <w:rPr>
                <w:rFonts w:ascii="Courier New" w:cs="Courier New" w:eastAsia="Courier New" w:hAnsi="Courier New"/>
                <w:sz w:val="17"/>
                <w:szCs w:val="17"/>
                <w:color w:val="auto"/>
              </w:rPr>
              <w:t>Furniture and fixtures</w:t>
            </w:r>
          </w:p>
        </w:tc>
        <w:tc>
          <w:tcPr>
            <w:tcW w:w="560" w:type="dxa"/>
            <w:vAlign w:val="bottom"/>
          </w:tcPr>
          <w:p>
            <w:pPr>
              <w:spacing w:after="0"/>
              <w:rPr>
                <w:sz w:val="17"/>
                <w:szCs w:val="17"/>
                <w:color w:val="auto"/>
              </w:rPr>
            </w:pPr>
          </w:p>
        </w:tc>
        <w:tc>
          <w:tcPr>
            <w:tcW w:w="9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4,276</w:t>
            </w:r>
          </w:p>
        </w:tc>
        <w:tc>
          <w:tcPr>
            <w:tcW w:w="360" w:type="dxa"/>
            <w:vAlign w:val="bottom"/>
          </w:tcPr>
          <w:p>
            <w:pPr>
              <w:spacing w:after="0"/>
              <w:rPr>
                <w:sz w:val="17"/>
                <w:szCs w:val="17"/>
                <w:color w:val="auto"/>
              </w:rPr>
            </w:pPr>
          </w:p>
        </w:tc>
        <w:tc>
          <w:tcPr>
            <w:tcW w:w="9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6,054</w:t>
            </w:r>
          </w:p>
        </w:tc>
        <w:tc>
          <w:tcPr>
            <w:tcW w:w="460" w:type="dxa"/>
            <w:vAlign w:val="bottom"/>
          </w:tcPr>
          <w:p>
            <w:pPr>
              <w:spacing w:after="0"/>
              <w:rPr>
                <w:sz w:val="17"/>
                <w:szCs w:val="17"/>
                <w:color w:val="auto"/>
              </w:rPr>
            </w:pPr>
          </w:p>
        </w:tc>
        <w:tc>
          <w:tcPr>
            <w:tcW w:w="9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5,952</w:t>
            </w:r>
          </w:p>
        </w:tc>
      </w:tr>
      <w:tr>
        <w:trPr>
          <w:trHeight w:val="196"/>
        </w:trPr>
        <w:tc>
          <w:tcPr>
            <w:tcW w:w="5000" w:type="dxa"/>
            <w:vAlign w:val="bottom"/>
          </w:tcPr>
          <w:p>
            <w:pPr>
              <w:ind w:left="200"/>
              <w:spacing w:after="0"/>
              <w:rPr>
                <w:sz w:val="20"/>
                <w:szCs w:val="20"/>
                <w:color w:val="auto"/>
              </w:rPr>
            </w:pPr>
            <w:r>
              <w:rPr>
                <w:rFonts w:ascii="Courier New" w:cs="Courier New" w:eastAsia="Courier New" w:hAnsi="Courier New"/>
                <w:sz w:val="17"/>
                <w:szCs w:val="17"/>
                <w:color w:val="auto"/>
              </w:rPr>
              <w:t>Construction in progress</w:t>
            </w:r>
          </w:p>
        </w:tc>
        <w:tc>
          <w:tcPr>
            <w:tcW w:w="560" w:type="dxa"/>
            <w:vAlign w:val="bottom"/>
          </w:tcPr>
          <w:p>
            <w:pPr>
              <w:spacing w:after="0"/>
              <w:rPr>
                <w:sz w:val="17"/>
                <w:szCs w:val="17"/>
                <w:color w:val="auto"/>
              </w:rPr>
            </w:pPr>
          </w:p>
        </w:tc>
        <w:tc>
          <w:tcPr>
            <w:tcW w:w="9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12,117</w:t>
            </w:r>
          </w:p>
        </w:tc>
        <w:tc>
          <w:tcPr>
            <w:tcW w:w="360" w:type="dxa"/>
            <w:vAlign w:val="bottom"/>
          </w:tcPr>
          <w:p>
            <w:pPr>
              <w:spacing w:after="0"/>
              <w:rPr>
                <w:sz w:val="17"/>
                <w:szCs w:val="17"/>
                <w:color w:val="auto"/>
              </w:rPr>
            </w:pPr>
          </w:p>
        </w:tc>
        <w:tc>
          <w:tcPr>
            <w:tcW w:w="9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6,796</w:t>
            </w:r>
          </w:p>
        </w:tc>
        <w:tc>
          <w:tcPr>
            <w:tcW w:w="460" w:type="dxa"/>
            <w:vAlign w:val="bottom"/>
          </w:tcPr>
          <w:p>
            <w:pPr>
              <w:spacing w:after="0"/>
              <w:rPr>
                <w:sz w:val="17"/>
                <w:szCs w:val="17"/>
                <w:color w:val="auto"/>
              </w:rPr>
            </w:pPr>
          </w:p>
        </w:tc>
        <w:tc>
          <w:tcPr>
            <w:tcW w:w="9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4,687</w:t>
            </w:r>
          </w:p>
        </w:tc>
      </w:tr>
      <w:tr>
        <w:trPr>
          <w:trHeight w:val="196"/>
        </w:trPr>
        <w:tc>
          <w:tcPr>
            <w:tcW w:w="50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143,299</w:t>
            </w:r>
          </w:p>
        </w:tc>
        <w:tc>
          <w:tcPr>
            <w:tcW w:w="360" w:type="dxa"/>
            <w:vAlign w:val="bottom"/>
          </w:tcPr>
          <w:p>
            <w:pPr>
              <w:spacing w:after="0"/>
              <w:rPr>
                <w:sz w:val="17"/>
                <w:szCs w:val="17"/>
                <w:color w:val="auto"/>
              </w:rPr>
            </w:pPr>
          </w:p>
        </w:tc>
        <w:tc>
          <w:tcPr>
            <w:tcW w:w="9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180,173</w:t>
            </w:r>
          </w:p>
        </w:tc>
        <w:tc>
          <w:tcPr>
            <w:tcW w:w="460" w:type="dxa"/>
            <w:vAlign w:val="bottom"/>
          </w:tcPr>
          <w:p>
            <w:pPr>
              <w:spacing w:after="0"/>
              <w:rPr>
                <w:sz w:val="17"/>
                <w:szCs w:val="17"/>
                <w:color w:val="auto"/>
              </w:rPr>
            </w:pPr>
          </w:p>
        </w:tc>
        <w:tc>
          <w:tcPr>
            <w:tcW w:w="9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154,006</w:t>
            </w:r>
          </w:p>
        </w:tc>
      </w:tr>
      <w:tr>
        <w:trPr>
          <w:trHeight w:val="196"/>
        </w:trPr>
        <w:tc>
          <w:tcPr>
            <w:tcW w:w="5000" w:type="dxa"/>
            <w:vAlign w:val="bottom"/>
          </w:tcPr>
          <w:p>
            <w:pPr>
              <w:ind w:left="200"/>
              <w:spacing w:after="0"/>
              <w:rPr>
                <w:sz w:val="20"/>
                <w:szCs w:val="20"/>
                <w:color w:val="auto"/>
              </w:rPr>
            </w:pPr>
            <w:r>
              <w:rPr>
                <w:rFonts w:ascii="Courier New" w:cs="Courier New" w:eastAsia="Courier New" w:hAnsi="Courier New"/>
                <w:sz w:val="17"/>
                <w:szCs w:val="17"/>
                <w:color w:val="auto"/>
              </w:rPr>
              <w:t>Less accumulated depreciation</w:t>
            </w:r>
          </w:p>
        </w:tc>
        <w:tc>
          <w:tcPr>
            <w:tcW w:w="560" w:type="dxa"/>
            <w:vAlign w:val="bottom"/>
          </w:tcPr>
          <w:p>
            <w:pPr>
              <w:spacing w:after="0"/>
              <w:rPr>
                <w:sz w:val="17"/>
                <w:szCs w:val="17"/>
                <w:color w:val="auto"/>
              </w:rPr>
            </w:pPr>
          </w:p>
        </w:tc>
        <w:tc>
          <w:tcPr>
            <w:tcW w:w="9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47,992</w:t>
            </w:r>
          </w:p>
        </w:tc>
        <w:tc>
          <w:tcPr>
            <w:tcW w:w="360" w:type="dxa"/>
            <w:vAlign w:val="bottom"/>
          </w:tcPr>
          <w:p>
            <w:pPr>
              <w:spacing w:after="0"/>
              <w:rPr>
                <w:sz w:val="17"/>
                <w:szCs w:val="17"/>
                <w:color w:val="auto"/>
              </w:rPr>
            </w:pPr>
          </w:p>
        </w:tc>
        <w:tc>
          <w:tcPr>
            <w:tcW w:w="9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57,853</w:t>
            </w:r>
          </w:p>
        </w:tc>
        <w:tc>
          <w:tcPr>
            <w:tcW w:w="460" w:type="dxa"/>
            <w:vAlign w:val="bottom"/>
          </w:tcPr>
          <w:p>
            <w:pPr>
              <w:spacing w:after="0"/>
              <w:rPr>
                <w:sz w:val="17"/>
                <w:szCs w:val="17"/>
                <w:color w:val="auto"/>
              </w:rPr>
            </w:pPr>
          </w:p>
        </w:tc>
        <w:tc>
          <w:tcPr>
            <w:tcW w:w="9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55,215</w:t>
            </w:r>
          </w:p>
        </w:tc>
      </w:tr>
      <w:tr>
        <w:trPr>
          <w:trHeight w:val="196"/>
        </w:trPr>
        <w:tc>
          <w:tcPr>
            <w:tcW w:w="5000" w:type="dxa"/>
            <w:vAlign w:val="bottom"/>
          </w:tcPr>
          <w:p>
            <w:pPr>
              <w:ind w:left="200"/>
              <w:spacing w:after="0"/>
              <w:rPr>
                <w:sz w:val="20"/>
                <w:szCs w:val="20"/>
                <w:color w:val="auto"/>
              </w:rPr>
            </w:pPr>
            <w:r>
              <w:rPr>
                <w:rFonts w:ascii="Courier New" w:cs="Courier New" w:eastAsia="Courier New" w:hAnsi="Courier New"/>
                <w:sz w:val="17"/>
                <w:szCs w:val="17"/>
                <w:color w:val="auto"/>
              </w:rPr>
              <w:t>Net property, plant and equipment</w:t>
            </w:r>
          </w:p>
        </w:tc>
        <w:tc>
          <w:tcPr>
            <w:tcW w:w="560" w:type="dxa"/>
            <w:vAlign w:val="bottom"/>
          </w:tcPr>
          <w:p>
            <w:pPr>
              <w:spacing w:after="0"/>
              <w:rPr>
                <w:sz w:val="17"/>
                <w:szCs w:val="17"/>
                <w:color w:val="auto"/>
              </w:rPr>
            </w:pPr>
          </w:p>
        </w:tc>
        <w:tc>
          <w:tcPr>
            <w:tcW w:w="9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95,307</w:t>
            </w:r>
          </w:p>
        </w:tc>
        <w:tc>
          <w:tcPr>
            <w:tcW w:w="360" w:type="dxa"/>
            <w:vAlign w:val="bottom"/>
          </w:tcPr>
          <w:p>
            <w:pPr>
              <w:spacing w:after="0"/>
              <w:rPr>
                <w:sz w:val="17"/>
                <w:szCs w:val="17"/>
                <w:color w:val="auto"/>
              </w:rPr>
            </w:pPr>
          </w:p>
        </w:tc>
        <w:tc>
          <w:tcPr>
            <w:tcW w:w="9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122,320</w:t>
            </w:r>
          </w:p>
        </w:tc>
        <w:tc>
          <w:tcPr>
            <w:tcW w:w="460" w:type="dxa"/>
            <w:vAlign w:val="bottom"/>
          </w:tcPr>
          <w:p>
            <w:pPr>
              <w:spacing w:after="0"/>
              <w:rPr>
                <w:sz w:val="17"/>
                <w:szCs w:val="17"/>
                <w:color w:val="auto"/>
              </w:rPr>
            </w:pPr>
          </w:p>
        </w:tc>
        <w:tc>
          <w:tcPr>
            <w:tcW w:w="9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98,791</w:t>
            </w:r>
          </w:p>
        </w:tc>
      </w:tr>
      <w:tr>
        <w:trPr>
          <w:trHeight w:val="392"/>
        </w:trPr>
        <w:tc>
          <w:tcPr>
            <w:tcW w:w="5000" w:type="dxa"/>
            <w:vAlign w:val="bottom"/>
          </w:tcPr>
          <w:p>
            <w:pPr>
              <w:spacing w:after="0"/>
              <w:rPr>
                <w:sz w:val="20"/>
                <w:szCs w:val="20"/>
                <w:color w:val="auto"/>
              </w:rPr>
            </w:pPr>
            <w:r>
              <w:rPr>
                <w:rFonts w:ascii="Courier New" w:cs="Courier New" w:eastAsia="Courier New" w:hAnsi="Courier New"/>
                <w:sz w:val="17"/>
                <w:szCs w:val="17"/>
                <w:color w:val="auto"/>
              </w:rPr>
              <w:t>Intangible assets, net of accumulated</w:t>
            </w: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96"/>
        </w:trPr>
        <w:tc>
          <w:tcPr>
            <w:tcW w:w="5000" w:type="dxa"/>
            <w:vAlign w:val="bottom"/>
          </w:tcPr>
          <w:p>
            <w:pPr>
              <w:ind w:left="200"/>
              <w:spacing w:after="0"/>
              <w:rPr>
                <w:sz w:val="20"/>
                <w:szCs w:val="20"/>
                <w:color w:val="auto"/>
              </w:rPr>
            </w:pPr>
            <w:r>
              <w:rPr>
                <w:rFonts w:ascii="Courier New" w:cs="Courier New" w:eastAsia="Courier New" w:hAnsi="Courier New"/>
                <w:sz w:val="17"/>
                <w:szCs w:val="17"/>
                <w:color w:val="auto"/>
              </w:rPr>
              <w:t>amortization of $18,758, $22,014, and</w:t>
            </w:r>
          </w:p>
        </w:tc>
        <w:tc>
          <w:tcPr>
            <w:tcW w:w="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96"/>
        </w:trPr>
        <w:tc>
          <w:tcPr>
            <w:tcW w:w="5000" w:type="dxa"/>
            <w:vAlign w:val="bottom"/>
          </w:tcPr>
          <w:p>
            <w:pPr>
              <w:ind w:left="200"/>
              <w:spacing w:after="0"/>
              <w:rPr>
                <w:sz w:val="20"/>
                <w:szCs w:val="20"/>
                <w:color w:val="auto"/>
              </w:rPr>
            </w:pPr>
            <w:r>
              <w:rPr>
                <w:rFonts w:ascii="Courier New" w:cs="Courier New" w:eastAsia="Courier New" w:hAnsi="Courier New"/>
                <w:sz w:val="17"/>
                <w:szCs w:val="17"/>
                <w:color w:val="auto"/>
              </w:rPr>
              <w:t>$21,053, respectively</w:t>
            </w:r>
          </w:p>
        </w:tc>
        <w:tc>
          <w:tcPr>
            <w:tcW w:w="560" w:type="dxa"/>
            <w:vAlign w:val="bottom"/>
          </w:tcPr>
          <w:p>
            <w:pPr>
              <w:spacing w:after="0"/>
              <w:rPr>
                <w:sz w:val="17"/>
                <w:szCs w:val="17"/>
                <w:color w:val="auto"/>
              </w:rPr>
            </w:pPr>
          </w:p>
        </w:tc>
        <w:tc>
          <w:tcPr>
            <w:tcW w:w="9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22,768</w:t>
            </w:r>
          </w:p>
        </w:tc>
        <w:tc>
          <w:tcPr>
            <w:tcW w:w="360" w:type="dxa"/>
            <w:vAlign w:val="bottom"/>
          </w:tcPr>
          <w:p>
            <w:pPr>
              <w:spacing w:after="0"/>
              <w:rPr>
                <w:sz w:val="17"/>
                <w:szCs w:val="17"/>
                <w:color w:val="auto"/>
              </w:rPr>
            </w:pPr>
          </w:p>
        </w:tc>
        <w:tc>
          <w:tcPr>
            <w:tcW w:w="9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25,309</w:t>
            </w:r>
          </w:p>
        </w:tc>
        <w:tc>
          <w:tcPr>
            <w:tcW w:w="460" w:type="dxa"/>
            <w:vAlign w:val="bottom"/>
          </w:tcPr>
          <w:p>
            <w:pPr>
              <w:spacing w:after="0"/>
              <w:rPr>
                <w:sz w:val="17"/>
                <w:szCs w:val="17"/>
                <w:color w:val="auto"/>
              </w:rPr>
            </w:pPr>
          </w:p>
        </w:tc>
        <w:tc>
          <w:tcPr>
            <w:tcW w:w="9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19,972</w:t>
            </w:r>
          </w:p>
        </w:tc>
      </w:tr>
      <w:tr>
        <w:trPr>
          <w:trHeight w:val="196"/>
        </w:trPr>
        <w:tc>
          <w:tcPr>
            <w:tcW w:w="5000" w:type="dxa"/>
            <w:vAlign w:val="bottom"/>
          </w:tcPr>
          <w:p>
            <w:pPr>
              <w:spacing w:after="0"/>
              <w:rPr>
                <w:sz w:val="20"/>
                <w:szCs w:val="20"/>
                <w:color w:val="auto"/>
              </w:rPr>
            </w:pPr>
            <w:r>
              <w:rPr>
                <w:rFonts w:ascii="Courier New" w:cs="Courier New" w:eastAsia="Courier New" w:hAnsi="Courier New"/>
                <w:sz w:val="17"/>
                <w:szCs w:val="17"/>
                <w:color w:val="auto"/>
              </w:rPr>
              <w:t>Deferred costs and other assets, net</w:t>
            </w:r>
          </w:p>
        </w:tc>
        <w:tc>
          <w:tcPr>
            <w:tcW w:w="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96"/>
        </w:trPr>
        <w:tc>
          <w:tcPr>
            <w:tcW w:w="5000" w:type="dxa"/>
            <w:vAlign w:val="bottom"/>
          </w:tcPr>
          <w:p>
            <w:pPr>
              <w:ind w:left="200"/>
              <w:spacing w:after="0"/>
              <w:rPr>
                <w:sz w:val="20"/>
                <w:szCs w:val="20"/>
                <w:color w:val="auto"/>
              </w:rPr>
            </w:pPr>
            <w:r>
              <w:rPr>
                <w:rFonts w:ascii="Courier New" w:cs="Courier New" w:eastAsia="Courier New" w:hAnsi="Courier New"/>
                <w:sz w:val="17"/>
                <w:szCs w:val="17"/>
                <w:color w:val="auto"/>
              </w:rPr>
              <w:t>of accumulated amortization of</w:t>
            </w:r>
          </w:p>
        </w:tc>
        <w:tc>
          <w:tcPr>
            <w:tcW w:w="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96"/>
        </w:trPr>
        <w:tc>
          <w:tcPr>
            <w:tcW w:w="5000" w:type="dxa"/>
            <w:vAlign w:val="bottom"/>
          </w:tcPr>
          <w:p>
            <w:pPr>
              <w:ind w:left="200"/>
              <w:spacing w:after="0"/>
              <w:rPr>
                <w:sz w:val="20"/>
                <w:szCs w:val="20"/>
                <w:color w:val="auto"/>
              </w:rPr>
            </w:pPr>
            <w:r>
              <w:rPr>
                <w:rFonts w:ascii="Courier New" w:cs="Courier New" w:eastAsia="Courier New" w:hAnsi="Courier New"/>
                <w:sz w:val="17"/>
                <w:szCs w:val="17"/>
                <w:color w:val="auto"/>
              </w:rPr>
              <w:t>$6,944, $8,179 and $7,770, respectively</w:t>
            </w:r>
          </w:p>
        </w:tc>
        <w:tc>
          <w:tcPr>
            <w:tcW w:w="560" w:type="dxa"/>
            <w:vAlign w:val="bottom"/>
          </w:tcPr>
          <w:p>
            <w:pPr>
              <w:spacing w:after="0"/>
              <w:rPr>
                <w:sz w:val="17"/>
                <w:szCs w:val="17"/>
                <w:color w:val="auto"/>
              </w:rPr>
            </w:pPr>
          </w:p>
        </w:tc>
        <w:tc>
          <w:tcPr>
            <w:tcW w:w="9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19,017</w:t>
            </w:r>
          </w:p>
        </w:tc>
        <w:tc>
          <w:tcPr>
            <w:tcW w:w="360" w:type="dxa"/>
            <w:vAlign w:val="bottom"/>
          </w:tcPr>
          <w:p>
            <w:pPr>
              <w:spacing w:after="0"/>
              <w:rPr>
                <w:sz w:val="17"/>
                <w:szCs w:val="17"/>
                <w:color w:val="auto"/>
              </w:rPr>
            </w:pPr>
          </w:p>
        </w:tc>
        <w:tc>
          <w:tcPr>
            <w:tcW w:w="9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21,476</w:t>
            </w:r>
          </w:p>
        </w:tc>
        <w:tc>
          <w:tcPr>
            <w:tcW w:w="460" w:type="dxa"/>
            <w:vAlign w:val="bottom"/>
          </w:tcPr>
          <w:p>
            <w:pPr>
              <w:spacing w:after="0"/>
              <w:rPr>
                <w:sz w:val="17"/>
                <w:szCs w:val="17"/>
                <w:color w:val="auto"/>
              </w:rPr>
            </w:pPr>
          </w:p>
        </w:tc>
        <w:tc>
          <w:tcPr>
            <w:tcW w:w="9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17,745</w:t>
            </w:r>
          </w:p>
        </w:tc>
      </w:tr>
      <w:tr>
        <w:trPr>
          <w:trHeight w:val="196"/>
        </w:trPr>
        <w:tc>
          <w:tcPr>
            <w:tcW w:w="5000" w:type="dxa"/>
            <w:vAlign w:val="bottom"/>
          </w:tcPr>
          <w:p>
            <w:pPr>
              <w:spacing w:after="0"/>
              <w:rPr>
                <w:sz w:val="20"/>
                <w:szCs w:val="20"/>
                <w:color w:val="auto"/>
              </w:rPr>
            </w:pPr>
            <w:r>
              <w:rPr>
                <w:rFonts w:ascii="Courier New" w:cs="Courier New" w:eastAsia="Courier New" w:hAnsi="Courier New"/>
                <w:sz w:val="17"/>
                <w:szCs w:val="17"/>
                <w:color w:val="auto"/>
              </w:rPr>
              <w:t>Excess of costs over underlying value</w:t>
            </w:r>
          </w:p>
        </w:tc>
        <w:tc>
          <w:tcPr>
            <w:tcW w:w="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96"/>
        </w:trPr>
        <w:tc>
          <w:tcPr>
            <w:tcW w:w="5000" w:type="dxa"/>
            <w:vAlign w:val="bottom"/>
          </w:tcPr>
          <w:p>
            <w:pPr>
              <w:ind w:left="200"/>
              <w:spacing w:after="0"/>
              <w:rPr>
                <w:sz w:val="20"/>
                <w:szCs w:val="20"/>
                <w:color w:val="auto"/>
              </w:rPr>
            </w:pPr>
            <w:r>
              <w:rPr>
                <w:rFonts w:ascii="Courier New" w:cs="Courier New" w:eastAsia="Courier New" w:hAnsi="Courier New"/>
                <w:sz w:val="17"/>
                <w:szCs w:val="17"/>
                <w:color w:val="auto"/>
              </w:rPr>
              <w:t>of net assets acquired (goodwill),</w:t>
            </w:r>
          </w:p>
        </w:tc>
        <w:tc>
          <w:tcPr>
            <w:tcW w:w="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96"/>
        </w:trPr>
        <w:tc>
          <w:tcPr>
            <w:tcW w:w="5000" w:type="dxa"/>
            <w:vAlign w:val="bottom"/>
          </w:tcPr>
          <w:p>
            <w:pPr>
              <w:ind w:left="200"/>
              <w:spacing w:after="0"/>
              <w:rPr>
                <w:sz w:val="20"/>
                <w:szCs w:val="20"/>
                <w:color w:val="auto"/>
              </w:rPr>
            </w:pPr>
            <w:r>
              <w:rPr>
                <w:rFonts w:ascii="Courier New" w:cs="Courier New" w:eastAsia="Courier New" w:hAnsi="Courier New"/>
                <w:sz w:val="17"/>
                <w:szCs w:val="17"/>
                <w:color w:val="auto"/>
              </w:rPr>
              <w:t>net of accumulated amortization</w:t>
            </w:r>
          </w:p>
        </w:tc>
        <w:tc>
          <w:tcPr>
            <w:tcW w:w="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96"/>
        </w:trPr>
        <w:tc>
          <w:tcPr>
            <w:tcW w:w="5000" w:type="dxa"/>
            <w:vAlign w:val="bottom"/>
          </w:tcPr>
          <w:p>
            <w:pPr>
              <w:ind w:left="200"/>
              <w:spacing w:after="0"/>
              <w:rPr>
                <w:sz w:val="20"/>
                <w:szCs w:val="20"/>
                <w:color w:val="auto"/>
              </w:rPr>
            </w:pPr>
            <w:r>
              <w:rPr>
                <w:rFonts w:ascii="Courier New" w:cs="Courier New" w:eastAsia="Courier New" w:hAnsi="Courier New"/>
                <w:sz w:val="17"/>
                <w:szCs w:val="17"/>
                <w:color w:val="auto"/>
              </w:rPr>
              <w:t>of $4,383, $5,600 and $5,123, respectively</w:t>
            </w:r>
          </w:p>
        </w:tc>
        <w:tc>
          <w:tcPr>
            <w:tcW w:w="560" w:type="dxa"/>
            <w:vAlign w:val="bottom"/>
          </w:tcPr>
          <w:p>
            <w:pPr>
              <w:spacing w:after="0"/>
              <w:rPr>
                <w:sz w:val="17"/>
                <w:szCs w:val="17"/>
                <w:color w:val="auto"/>
              </w:rPr>
            </w:pPr>
          </w:p>
        </w:tc>
        <w:tc>
          <w:tcPr>
            <w:tcW w:w="9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41,519</w:t>
            </w:r>
          </w:p>
        </w:tc>
        <w:tc>
          <w:tcPr>
            <w:tcW w:w="360" w:type="dxa"/>
            <w:vAlign w:val="bottom"/>
          </w:tcPr>
          <w:p>
            <w:pPr>
              <w:spacing w:after="0"/>
              <w:rPr>
                <w:sz w:val="17"/>
                <w:szCs w:val="17"/>
                <w:color w:val="auto"/>
              </w:rPr>
            </w:pPr>
          </w:p>
        </w:tc>
        <w:tc>
          <w:tcPr>
            <w:tcW w:w="9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103,488</w:t>
            </w:r>
          </w:p>
        </w:tc>
        <w:tc>
          <w:tcPr>
            <w:tcW w:w="460" w:type="dxa"/>
            <w:vAlign w:val="bottom"/>
          </w:tcPr>
          <w:p>
            <w:pPr>
              <w:spacing w:after="0"/>
              <w:rPr>
                <w:sz w:val="17"/>
                <w:szCs w:val="17"/>
                <w:color w:val="auto"/>
              </w:rPr>
            </w:pPr>
          </w:p>
        </w:tc>
        <w:tc>
          <w:tcPr>
            <w:tcW w:w="9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41,340</w:t>
            </w:r>
          </w:p>
        </w:tc>
      </w:tr>
      <w:tr>
        <w:trPr>
          <w:trHeight w:val="589"/>
        </w:trPr>
        <w:tc>
          <w:tcPr>
            <w:tcW w:w="5000" w:type="dxa"/>
            <w:vAlign w:val="bottom"/>
          </w:tcPr>
          <w:p>
            <w:pPr>
              <w:ind w:left="520"/>
              <w:spacing w:after="0"/>
              <w:rPr>
                <w:sz w:val="20"/>
                <w:szCs w:val="20"/>
                <w:color w:val="auto"/>
              </w:rPr>
            </w:pPr>
            <w:r>
              <w:rPr>
                <w:rFonts w:ascii="Courier New" w:cs="Courier New" w:eastAsia="Courier New" w:hAnsi="Courier New"/>
                <w:sz w:val="17"/>
                <w:szCs w:val="17"/>
                <w:color w:val="auto"/>
              </w:rPr>
              <w:t>Total Assets</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353,065</w:t>
            </w:r>
          </w:p>
        </w:tc>
        <w:tc>
          <w:tcPr>
            <w:tcW w:w="36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508,742</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321,590</w:t>
            </w:r>
          </w:p>
        </w:tc>
      </w:tr>
    </w:tbl>
    <w:p>
      <w:pPr>
        <w:spacing w:after="0" w:line="200" w:lineRule="exact"/>
        <w:rPr>
          <w:sz w:val="20"/>
          <w:szCs w:val="20"/>
          <w:color w:val="auto"/>
        </w:rPr>
      </w:pPr>
    </w:p>
    <w:p>
      <w:pPr>
        <w:spacing w:after="0" w:line="393" w:lineRule="exact"/>
        <w:rPr>
          <w:sz w:val="20"/>
          <w:szCs w:val="20"/>
          <w:color w:val="auto"/>
        </w:rPr>
      </w:pPr>
    </w:p>
    <w:p>
      <w:pPr>
        <w:ind w:left="2140" w:right="2759"/>
        <w:spacing w:after="0" w:line="243" w:lineRule="auto"/>
        <w:rPr>
          <w:sz w:val="20"/>
          <w:szCs w:val="20"/>
          <w:color w:val="auto"/>
        </w:rPr>
      </w:pPr>
      <w:r>
        <w:rPr>
          <w:rFonts w:ascii="Courier New" w:cs="Courier New" w:eastAsia="Courier New" w:hAnsi="Courier New"/>
          <w:sz w:val="17"/>
          <w:szCs w:val="17"/>
          <w:color w:val="auto"/>
        </w:rPr>
        <w:t>The accompanying notes to consolidated financial statements are an integral part of these statements.</w:t>
      </w:r>
    </w:p>
    <w:p>
      <w:pPr>
        <w:spacing w:after="0" w:line="394" w:lineRule="exact"/>
        <w:rPr>
          <w:sz w:val="20"/>
          <w:szCs w:val="20"/>
          <w:color w:val="auto"/>
        </w:rPr>
      </w:pPr>
    </w:p>
    <w:p>
      <w:pPr>
        <w:ind w:left="4400"/>
        <w:spacing w:after="0"/>
        <w:rPr>
          <w:sz w:val="20"/>
          <w:szCs w:val="20"/>
          <w:color w:val="auto"/>
        </w:rPr>
      </w:pPr>
      <w:r>
        <w:rPr>
          <w:rFonts w:ascii="Courier New" w:cs="Courier New" w:eastAsia="Courier New" w:hAnsi="Courier New"/>
          <w:sz w:val="17"/>
          <w:szCs w:val="17"/>
          <w:color w:val="auto"/>
        </w:rPr>
        <w:t>Page 3</w:t>
      </w:r>
    </w:p>
    <w:p>
      <w:pPr>
        <w:sectPr>
          <w:pgSz w:w="11900" w:h="16838" w:orient="portrait"/>
          <w:cols w:equalWidth="0" w:num="1">
            <w:col w:w="10219"/>
          </w:cols>
          <w:pgMar w:left="240" w:top="703" w:right="1440" w:bottom="1440" w:gutter="0" w:footer="0" w:header="0"/>
        </w:sectPr>
      </w:pPr>
    </w:p>
    <w:bookmarkStart w:id="3" w:name="page4"/>
    <w:bookmarkEnd w:id="3"/>
    <w:p>
      <w:pPr>
        <w:jc w:val="center"/>
        <w:ind w:right="719"/>
        <w:spacing w:after="0"/>
        <w:rPr>
          <w:sz w:val="20"/>
          <w:szCs w:val="20"/>
          <w:color w:val="auto"/>
        </w:rPr>
      </w:pPr>
      <w:r>
        <w:rPr>
          <w:rFonts w:ascii="Courier New" w:cs="Courier New" w:eastAsia="Courier New" w:hAnsi="Courier New"/>
          <w:sz w:val="17"/>
          <w:szCs w:val="17"/>
          <w:color w:val="auto"/>
        </w:rPr>
        <w:t>THE SCOTTS COMPANY AND SUBSIDIARIES</w:t>
      </w:r>
    </w:p>
    <w:p>
      <w:pPr>
        <w:spacing w:after="0" w:line="4" w:lineRule="exact"/>
        <w:rPr>
          <w:sz w:val="20"/>
          <w:szCs w:val="20"/>
          <w:color w:val="auto"/>
        </w:rPr>
      </w:pPr>
    </w:p>
    <w:p>
      <w:pPr>
        <w:jc w:val="center"/>
        <w:ind w:right="719"/>
        <w:spacing w:after="0"/>
        <w:rPr>
          <w:sz w:val="20"/>
          <w:szCs w:val="20"/>
          <w:color w:val="auto"/>
        </w:rPr>
      </w:pPr>
      <w:r>
        <w:rPr>
          <w:rFonts w:ascii="Courier New" w:cs="Courier New" w:eastAsia="Courier New" w:hAnsi="Courier New"/>
          <w:sz w:val="17"/>
          <w:szCs w:val="17"/>
          <w:color w:val="auto"/>
        </w:rPr>
        <w:t>CONSOLIDATED BALANCE SHEETS</w:t>
      </w:r>
    </w:p>
    <w:p>
      <w:pPr>
        <w:spacing w:after="0" w:line="4" w:lineRule="exact"/>
        <w:rPr>
          <w:sz w:val="20"/>
          <w:szCs w:val="20"/>
          <w:color w:val="auto"/>
        </w:rPr>
      </w:pPr>
    </w:p>
    <w:p>
      <w:pPr>
        <w:jc w:val="center"/>
        <w:ind w:right="719"/>
        <w:spacing w:after="0"/>
        <w:rPr>
          <w:sz w:val="20"/>
          <w:szCs w:val="20"/>
          <w:color w:val="auto"/>
        </w:rPr>
      </w:pPr>
      <w:r>
        <w:rPr>
          <w:rFonts w:ascii="Courier New" w:cs="Courier New" w:eastAsia="Courier New" w:hAnsi="Courier New"/>
          <w:sz w:val="17"/>
          <w:szCs w:val="17"/>
          <w:color w:val="auto"/>
        </w:rPr>
        <w:t>(Unaudited)</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640" w:type="dxa"/>
            <w:vAlign w:val="bottom"/>
            <w:gridSpan w:val="3"/>
          </w:tcPr>
          <w:p>
            <w:pPr>
              <w:ind w:left="3160"/>
              <w:spacing w:after="0"/>
              <w:rPr>
                <w:sz w:val="20"/>
                <w:szCs w:val="20"/>
                <w:color w:val="auto"/>
              </w:rPr>
            </w:pPr>
            <w:r>
              <w:rPr>
                <w:rFonts w:ascii="Courier New" w:cs="Courier New" w:eastAsia="Courier New" w:hAnsi="Courier New"/>
                <w:sz w:val="17"/>
                <w:szCs w:val="17"/>
                <w:color w:val="auto"/>
              </w:rPr>
              <w:t>(in thousands except share data)</w:t>
            </w: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785"/>
        </w:trPr>
        <w:tc>
          <w:tcPr>
            <w:tcW w:w="5300" w:type="dxa"/>
            <w:vAlign w:val="bottom"/>
          </w:tcPr>
          <w:p>
            <w:pPr>
              <w:ind w:left="520"/>
              <w:spacing w:after="0"/>
              <w:rPr>
                <w:sz w:val="20"/>
                <w:szCs w:val="20"/>
                <w:color w:val="auto"/>
              </w:rPr>
            </w:pPr>
            <w:r>
              <w:rPr>
                <w:rFonts w:ascii="Courier New" w:cs="Courier New" w:eastAsia="Courier New" w:hAnsi="Courier New"/>
                <w:sz w:val="17"/>
                <w:szCs w:val="17"/>
                <w:color w:val="auto"/>
              </w:rPr>
              <w:t>LIABILITIES AND SHAREHOLDERS' EQUITY</w:t>
            </w: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92"/>
        </w:trPr>
        <w:tc>
          <w:tcPr>
            <w:tcW w:w="5300" w:type="dxa"/>
            <w:vAlign w:val="bottom"/>
          </w:tcPr>
          <w:p>
            <w:pPr>
              <w:spacing w:after="0"/>
              <w:rPr>
                <w:sz w:val="24"/>
                <w:szCs w:val="24"/>
                <w:color w:val="auto"/>
              </w:rPr>
            </w:pPr>
          </w:p>
        </w:tc>
        <w:tc>
          <w:tcPr>
            <w:tcW w:w="1340" w:type="dxa"/>
            <w:vAlign w:val="bottom"/>
            <w:gridSpan w:val="2"/>
          </w:tcPr>
          <w:p>
            <w:pPr>
              <w:spacing w:after="0"/>
              <w:rPr>
                <w:sz w:val="20"/>
                <w:szCs w:val="20"/>
                <w:color w:val="auto"/>
              </w:rPr>
            </w:pPr>
            <w:r>
              <w:rPr>
                <w:rFonts w:ascii="Courier New" w:cs="Courier New" w:eastAsia="Courier New" w:hAnsi="Courier New"/>
                <w:sz w:val="17"/>
                <w:szCs w:val="17"/>
                <w:color w:val="auto"/>
              </w:rPr>
              <w:t>January 2</w:t>
            </w:r>
          </w:p>
        </w:tc>
        <w:tc>
          <w:tcPr>
            <w:tcW w:w="300" w:type="dxa"/>
            <w:vAlign w:val="bottom"/>
          </w:tcPr>
          <w:p>
            <w:pPr>
              <w:spacing w:after="0"/>
              <w:rPr>
                <w:sz w:val="24"/>
                <w:szCs w:val="24"/>
                <w:color w:val="auto"/>
              </w:rPr>
            </w:pPr>
          </w:p>
        </w:tc>
        <w:tc>
          <w:tcPr>
            <w:tcW w:w="1180" w:type="dxa"/>
            <w:vAlign w:val="bottom"/>
          </w:tcPr>
          <w:p>
            <w:pPr>
              <w:jc w:val="right"/>
              <w:ind w:right="175"/>
              <w:spacing w:after="0"/>
              <w:rPr>
                <w:sz w:val="20"/>
                <w:szCs w:val="20"/>
                <w:color w:val="auto"/>
              </w:rPr>
            </w:pPr>
            <w:r>
              <w:rPr>
                <w:rFonts w:ascii="Courier New" w:cs="Courier New" w:eastAsia="Courier New" w:hAnsi="Courier New"/>
                <w:sz w:val="17"/>
                <w:szCs w:val="17"/>
                <w:color w:val="auto"/>
                <w:w w:val="97"/>
              </w:rPr>
              <w:t>January 1</w:t>
            </w:r>
          </w:p>
        </w:tc>
        <w:tc>
          <w:tcPr>
            <w:tcW w:w="14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September 30</w:t>
            </w:r>
          </w:p>
        </w:tc>
      </w:tr>
      <w:tr>
        <w:trPr>
          <w:trHeight w:val="196"/>
        </w:trPr>
        <w:tc>
          <w:tcPr>
            <w:tcW w:w="5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ind w:right="535"/>
              <w:spacing w:after="0"/>
              <w:rPr>
                <w:sz w:val="20"/>
                <w:szCs w:val="20"/>
                <w:color w:val="auto"/>
              </w:rPr>
            </w:pPr>
            <w:r>
              <w:rPr>
                <w:rFonts w:ascii="Courier New" w:cs="Courier New" w:eastAsia="Courier New" w:hAnsi="Courier New"/>
                <w:sz w:val="17"/>
                <w:szCs w:val="17"/>
                <w:color w:val="auto"/>
              </w:rPr>
              <w:t>1993</w:t>
            </w:r>
          </w:p>
        </w:tc>
        <w:tc>
          <w:tcPr>
            <w:tcW w:w="300" w:type="dxa"/>
            <w:vAlign w:val="bottom"/>
          </w:tcPr>
          <w:p>
            <w:pPr>
              <w:spacing w:after="0"/>
              <w:rPr>
                <w:sz w:val="17"/>
                <w:szCs w:val="17"/>
                <w:color w:val="auto"/>
              </w:rPr>
            </w:pPr>
          </w:p>
        </w:tc>
        <w:tc>
          <w:tcPr>
            <w:tcW w:w="118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1994</w:t>
            </w:r>
          </w:p>
        </w:tc>
        <w:tc>
          <w:tcPr>
            <w:tcW w:w="500" w:type="dxa"/>
            <w:vAlign w:val="bottom"/>
          </w:tcPr>
          <w:p>
            <w:pPr>
              <w:spacing w:after="0"/>
              <w:rPr>
                <w:sz w:val="17"/>
                <w:szCs w:val="17"/>
                <w:color w:val="auto"/>
              </w:rPr>
            </w:pPr>
          </w:p>
        </w:tc>
        <w:tc>
          <w:tcPr>
            <w:tcW w:w="98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1993</w:t>
            </w:r>
          </w:p>
        </w:tc>
      </w:tr>
      <w:tr>
        <w:trPr>
          <w:trHeight w:val="392"/>
        </w:trPr>
        <w:tc>
          <w:tcPr>
            <w:tcW w:w="5300" w:type="dxa"/>
            <w:vAlign w:val="bottom"/>
          </w:tcPr>
          <w:p>
            <w:pPr>
              <w:spacing w:after="0"/>
              <w:rPr>
                <w:sz w:val="20"/>
                <w:szCs w:val="20"/>
                <w:color w:val="auto"/>
              </w:rPr>
            </w:pPr>
            <w:r>
              <w:rPr>
                <w:rFonts w:ascii="Courier New" w:cs="Courier New" w:eastAsia="Courier New" w:hAnsi="Courier New"/>
                <w:sz w:val="17"/>
                <w:szCs w:val="17"/>
                <w:color w:val="auto"/>
              </w:rPr>
              <w:t>Current Liabilities:</w:t>
            </w: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96"/>
        </w:trPr>
        <w:tc>
          <w:tcPr>
            <w:tcW w:w="5300" w:type="dxa"/>
            <w:vAlign w:val="bottom"/>
          </w:tcPr>
          <w:p>
            <w:pPr>
              <w:ind w:left="200"/>
              <w:spacing w:after="0"/>
              <w:rPr>
                <w:sz w:val="20"/>
                <w:szCs w:val="20"/>
                <w:color w:val="auto"/>
              </w:rPr>
            </w:pPr>
            <w:r>
              <w:rPr>
                <w:rFonts w:ascii="Courier New" w:cs="Courier New" w:eastAsia="Courier New" w:hAnsi="Courier New"/>
                <w:sz w:val="17"/>
                <w:szCs w:val="17"/>
                <w:color w:val="auto"/>
              </w:rPr>
              <w:t>Revolving credit and bank line of credit</w:t>
            </w:r>
          </w:p>
        </w:tc>
        <w:tc>
          <w:tcPr>
            <w:tcW w:w="16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53,182</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45,303</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705</w:t>
            </w:r>
          </w:p>
        </w:tc>
      </w:tr>
      <w:tr>
        <w:trPr>
          <w:trHeight w:val="196"/>
        </w:trPr>
        <w:tc>
          <w:tcPr>
            <w:tcW w:w="5300" w:type="dxa"/>
            <w:vAlign w:val="bottom"/>
          </w:tcPr>
          <w:p>
            <w:pPr>
              <w:ind w:left="200"/>
              <w:spacing w:after="0"/>
              <w:rPr>
                <w:sz w:val="20"/>
                <w:szCs w:val="20"/>
                <w:color w:val="auto"/>
              </w:rPr>
            </w:pPr>
            <w:r>
              <w:rPr>
                <w:rFonts w:ascii="Courier New" w:cs="Courier New" w:eastAsia="Courier New" w:hAnsi="Courier New"/>
                <w:sz w:val="17"/>
                <w:szCs w:val="17"/>
                <w:color w:val="auto"/>
              </w:rPr>
              <w:t>Current portion of term debt</w:t>
            </w:r>
          </w:p>
        </w:tc>
        <w:tc>
          <w:tcPr>
            <w:tcW w:w="160" w:type="dxa"/>
            <w:vAlign w:val="bottom"/>
          </w:tcPr>
          <w:p>
            <w:pPr>
              <w:spacing w:after="0"/>
              <w:rPr>
                <w:sz w:val="17"/>
                <w:szCs w:val="17"/>
                <w:color w:val="auto"/>
              </w:rPr>
            </w:pPr>
          </w:p>
        </w:tc>
        <w:tc>
          <w:tcPr>
            <w:tcW w:w="118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419</w:t>
            </w:r>
          </w:p>
        </w:tc>
        <w:tc>
          <w:tcPr>
            <w:tcW w:w="300" w:type="dxa"/>
            <w:vAlign w:val="bottom"/>
          </w:tcPr>
          <w:p>
            <w:pPr>
              <w:spacing w:after="0"/>
              <w:rPr>
                <w:sz w:val="17"/>
                <w:szCs w:val="17"/>
                <w:color w:val="auto"/>
              </w:rPr>
            </w:pPr>
          </w:p>
        </w:tc>
        <w:tc>
          <w:tcPr>
            <w:tcW w:w="11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20,444</w:t>
            </w:r>
          </w:p>
        </w:tc>
        <w:tc>
          <w:tcPr>
            <w:tcW w:w="500" w:type="dxa"/>
            <w:vAlign w:val="bottom"/>
          </w:tcPr>
          <w:p>
            <w:pPr>
              <w:spacing w:after="0"/>
              <w:rPr>
                <w:sz w:val="17"/>
                <w:szCs w:val="17"/>
                <w:color w:val="auto"/>
              </w:rPr>
            </w:pPr>
          </w:p>
        </w:tc>
        <w:tc>
          <w:tcPr>
            <w:tcW w:w="9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5,444</w:t>
            </w:r>
          </w:p>
        </w:tc>
      </w:tr>
      <w:tr>
        <w:trPr>
          <w:trHeight w:val="196"/>
        </w:trPr>
        <w:tc>
          <w:tcPr>
            <w:tcW w:w="5300" w:type="dxa"/>
            <w:vAlign w:val="bottom"/>
          </w:tcPr>
          <w:p>
            <w:pPr>
              <w:ind w:left="200"/>
              <w:spacing w:after="0"/>
              <w:rPr>
                <w:sz w:val="20"/>
                <w:szCs w:val="20"/>
                <w:color w:val="auto"/>
              </w:rPr>
            </w:pPr>
            <w:r>
              <w:rPr>
                <w:rFonts w:ascii="Courier New" w:cs="Courier New" w:eastAsia="Courier New" w:hAnsi="Courier New"/>
                <w:sz w:val="17"/>
                <w:szCs w:val="17"/>
                <w:color w:val="auto"/>
              </w:rPr>
              <w:t>Accounts payable</w:t>
            </w:r>
          </w:p>
        </w:tc>
        <w:tc>
          <w:tcPr>
            <w:tcW w:w="160" w:type="dxa"/>
            <w:vAlign w:val="bottom"/>
          </w:tcPr>
          <w:p>
            <w:pPr>
              <w:spacing w:after="0"/>
              <w:rPr>
                <w:sz w:val="17"/>
                <w:szCs w:val="17"/>
                <w:color w:val="auto"/>
              </w:rPr>
            </w:pPr>
          </w:p>
        </w:tc>
        <w:tc>
          <w:tcPr>
            <w:tcW w:w="118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38,665</w:t>
            </w:r>
          </w:p>
        </w:tc>
        <w:tc>
          <w:tcPr>
            <w:tcW w:w="300" w:type="dxa"/>
            <w:vAlign w:val="bottom"/>
          </w:tcPr>
          <w:p>
            <w:pPr>
              <w:spacing w:after="0"/>
              <w:rPr>
                <w:sz w:val="17"/>
                <w:szCs w:val="17"/>
                <w:color w:val="auto"/>
              </w:rPr>
            </w:pPr>
          </w:p>
        </w:tc>
        <w:tc>
          <w:tcPr>
            <w:tcW w:w="11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39,434</w:t>
            </w:r>
          </w:p>
        </w:tc>
        <w:tc>
          <w:tcPr>
            <w:tcW w:w="500" w:type="dxa"/>
            <w:vAlign w:val="bottom"/>
          </w:tcPr>
          <w:p>
            <w:pPr>
              <w:spacing w:after="0"/>
              <w:rPr>
                <w:sz w:val="17"/>
                <w:szCs w:val="17"/>
                <w:color w:val="auto"/>
              </w:rPr>
            </w:pPr>
          </w:p>
        </w:tc>
        <w:tc>
          <w:tcPr>
            <w:tcW w:w="9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28,279</w:t>
            </w:r>
          </w:p>
        </w:tc>
      </w:tr>
      <w:tr>
        <w:trPr>
          <w:trHeight w:val="196"/>
        </w:trPr>
        <w:tc>
          <w:tcPr>
            <w:tcW w:w="5300" w:type="dxa"/>
            <w:vAlign w:val="bottom"/>
          </w:tcPr>
          <w:p>
            <w:pPr>
              <w:ind w:left="200"/>
              <w:spacing w:after="0"/>
              <w:rPr>
                <w:sz w:val="20"/>
                <w:szCs w:val="20"/>
                <w:color w:val="auto"/>
              </w:rPr>
            </w:pPr>
            <w:r>
              <w:rPr>
                <w:rFonts w:ascii="Courier New" w:cs="Courier New" w:eastAsia="Courier New" w:hAnsi="Courier New"/>
                <w:sz w:val="17"/>
                <w:szCs w:val="17"/>
                <w:color w:val="auto"/>
              </w:rPr>
              <w:t>Accrued liabilities</w:t>
            </w:r>
          </w:p>
        </w:tc>
        <w:tc>
          <w:tcPr>
            <w:tcW w:w="160" w:type="dxa"/>
            <w:vAlign w:val="bottom"/>
          </w:tcPr>
          <w:p>
            <w:pPr>
              <w:spacing w:after="0"/>
              <w:rPr>
                <w:sz w:val="17"/>
                <w:szCs w:val="17"/>
                <w:color w:val="auto"/>
              </w:rPr>
            </w:pPr>
          </w:p>
        </w:tc>
        <w:tc>
          <w:tcPr>
            <w:tcW w:w="118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6,847</w:t>
            </w:r>
          </w:p>
        </w:tc>
        <w:tc>
          <w:tcPr>
            <w:tcW w:w="300" w:type="dxa"/>
            <w:vAlign w:val="bottom"/>
          </w:tcPr>
          <w:p>
            <w:pPr>
              <w:spacing w:after="0"/>
              <w:rPr>
                <w:sz w:val="17"/>
                <w:szCs w:val="17"/>
                <w:color w:val="auto"/>
              </w:rPr>
            </w:pPr>
          </w:p>
        </w:tc>
        <w:tc>
          <w:tcPr>
            <w:tcW w:w="11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10,050</w:t>
            </w:r>
          </w:p>
        </w:tc>
        <w:tc>
          <w:tcPr>
            <w:tcW w:w="500" w:type="dxa"/>
            <w:vAlign w:val="bottom"/>
          </w:tcPr>
          <w:p>
            <w:pPr>
              <w:spacing w:after="0"/>
              <w:rPr>
                <w:sz w:val="17"/>
                <w:szCs w:val="17"/>
                <w:color w:val="auto"/>
              </w:rPr>
            </w:pPr>
          </w:p>
        </w:tc>
        <w:tc>
          <w:tcPr>
            <w:tcW w:w="9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9,135</w:t>
            </w:r>
          </w:p>
        </w:tc>
      </w:tr>
      <w:tr>
        <w:trPr>
          <w:trHeight w:val="196"/>
        </w:trPr>
        <w:tc>
          <w:tcPr>
            <w:tcW w:w="5300" w:type="dxa"/>
            <w:vAlign w:val="bottom"/>
          </w:tcPr>
          <w:p>
            <w:pPr>
              <w:ind w:left="200"/>
              <w:spacing w:after="0"/>
              <w:rPr>
                <w:sz w:val="20"/>
                <w:szCs w:val="20"/>
                <w:color w:val="auto"/>
              </w:rPr>
            </w:pPr>
            <w:r>
              <w:rPr>
                <w:rFonts w:ascii="Courier New" w:cs="Courier New" w:eastAsia="Courier New" w:hAnsi="Courier New"/>
                <w:sz w:val="17"/>
                <w:szCs w:val="17"/>
                <w:color w:val="auto"/>
              </w:rPr>
              <w:t>Accrued payroll and fringe benefits</w:t>
            </w:r>
          </w:p>
        </w:tc>
        <w:tc>
          <w:tcPr>
            <w:tcW w:w="160" w:type="dxa"/>
            <w:vAlign w:val="bottom"/>
          </w:tcPr>
          <w:p>
            <w:pPr>
              <w:spacing w:after="0"/>
              <w:rPr>
                <w:sz w:val="17"/>
                <w:szCs w:val="17"/>
                <w:color w:val="auto"/>
              </w:rPr>
            </w:pPr>
          </w:p>
        </w:tc>
        <w:tc>
          <w:tcPr>
            <w:tcW w:w="118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8,742</w:t>
            </w:r>
          </w:p>
        </w:tc>
        <w:tc>
          <w:tcPr>
            <w:tcW w:w="300" w:type="dxa"/>
            <w:vAlign w:val="bottom"/>
          </w:tcPr>
          <w:p>
            <w:pPr>
              <w:spacing w:after="0"/>
              <w:rPr>
                <w:sz w:val="17"/>
                <w:szCs w:val="17"/>
                <w:color w:val="auto"/>
              </w:rPr>
            </w:pPr>
          </w:p>
        </w:tc>
        <w:tc>
          <w:tcPr>
            <w:tcW w:w="11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12,111</w:t>
            </w:r>
          </w:p>
        </w:tc>
        <w:tc>
          <w:tcPr>
            <w:tcW w:w="500" w:type="dxa"/>
            <w:vAlign w:val="bottom"/>
          </w:tcPr>
          <w:p>
            <w:pPr>
              <w:spacing w:after="0"/>
              <w:rPr>
                <w:sz w:val="17"/>
                <w:szCs w:val="17"/>
                <w:color w:val="auto"/>
              </w:rPr>
            </w:pPr>
          </w:p>
        </w:tc>
        <w:tc>
          <w:tcPr>
            <w:tcW w:w="9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12,035</w:t>
            </w:r>
          </w:p>
        </w:tc>
      </w:tr>
      <w:tr>
        <w:trPr>
          <w:trHeight w:val="196"/>
        </w:trPr>
        <w:tc>
          <w:tcPr>
            <w:tcW w:w="5300" w:type="dxa"/>
            <w:vAlign w:val="bottom"/>
          </w:tcPr>
          <w:p>
            <w:pPr>
              <w:ind w:left="200"/>
              <w:spacing w:after="0"/>
              <w:rPr>
                <w:sz w:val="20"/>
                <w:szCs w:val="20"/>
                <w:color w:val="auto"/>
              </w:rPr>
            </w:pPr>
            <w:r>
              <w:rPr>
                <w:rFonts w:ascii="Courier New" w:cs="Courier New" w:eastAsia="Courier New" w:hAnsi="Courier New"/>
                <w:sz w:val="17"/>
                <w:szCs w:val="17"/>
                <w:color w:val="auto"/>
              </w:rPr>
              <w:t>Accrued taxes</w:t>
            </w:r>
          </w:p>
        </w:tc>
        <w:tc>
          <w:tcPr>
            <w:tcW w:w="160" w:type="dxa"/>
            <w:vAlign w:val="bottom"/>
          </w:tcPr>
          <w:p>
            <w:pPr>
              <w:spacing w:after="0"/>
              <w:rPr>
                <w:sz w:val="17"/>
                <w:szCs w:val="17"/>
                <w:color w:val="auto"/>
              </w:rPr>
            </w:pPr>
          </w:p>
        </w:tc>
        <w:tc>
          <w:tcPr>
            <w:tcW w:w="118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5,916</w:t>
            </w:r>
          </w:p>
        </w:tc>
        <w:tc>
          <w:tcPr>
            <w:tcW w:w="300" w:type="dxa"/>
            <w:vAlign w:val="bottom"/>
          </w:tcPr>
          <w:p>
            <w:pPr>
              <w:spacing w:after="0"/>
              <w:rPr>
                <w:sz w:val="17"/>
                <w:szCs w:val="17"/>
                <w:color w:val="auto"/>
              </w:rPr>
            </w:pPr>
          </w:p>
        </w:tc>
        <w:tc>
          <w:tcPr>
            <w:tcW w:w="11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5,725</w:t>
            </w:r>
          </w:p>
        </w:tc>
        <w:tc>
          <w:tcPr>
            <w:tcW w:w="500" w:type="dxa"/>
            <w:vAlign w:val="bottom"/>
          </w:tcPr>
          <w:p>
            <w:pPr>
              <w:spacing w:after="0"/>
              <w:rPr>
                <w:sz w:val="17"/>
                <w:szCs w:val="17"/>
                <w:color w:val="auto"/>
              </w:rPr>
            </w:pPr>
          </w:p>
        </w:tc>
        <w:tc>
          <w:tcPr>
            <w:tcW w:w="9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9,253</w:t>
            </w:r>
          </w:p>
        </w:tc>
      </w:tr>
      <w:tr>
        <w:trPr>
          <w:trHeight w:val="392"/>
        </w:trPr>
        <w:tc>
          <w:tcPr>
            <w:tcW w:w="5300" w:type="dxa"/>
            <w:vAlign w:val="bottom"/>
          </w:tcPr>
          <w:p>
            <w:pPr>
              <w:ind w:left="420"/>
              <w:spacing w:after="0"/>
              <w:rPr>
                <w:sz w:val="20"/>
                <w:szCs w:val="20"/>
                <w:color w:val="auto"/>
              </w:rPr>
            </w:pPr>
            <w:r>
              <w:rPr>
                <w:rFonts w:ascii="Courier New" w:cs="Courier New" w:eastAsia="Courier New" w:hAnsi="Courier New"/>
                <w:sz w:val="17"/>
                <w:szCs w:val="17"/>
                <w:color w:val="auto"/>
              </w:rPr>
              <w:t>Total current liabilities</w:t>
            </w:r>
          </w:p>
        </w:tc>
        <w:tc>
          <w:tcPr>
            <w:tcW w:w="160" w:type="dxa"/>
            <w:vAlign w:val="bottom"/>
          </w:tcPr>
          <w:p>
            <w:pPr>
              <w:spacing w:after="0"/>
              <w:rPr>
                <w:sz w:val="24"/>
                <w:szCs w:val="24"/>
                <w:color w:val="auto"/>
              </w:rPr>
            </w:pPr>
          </w:p>
        </w:tc>
        <w:tc>
          <w:tcPr>
            <w:tcW w:w="118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113,771</w:t>
            </w:r>
          </w:p>
        </w:tc>
        <w:tc>
          <w:tcPr>
            <w:tcW w:w="300" w:type="dxa"/>
            <w:vAlign w:val="bottom"/>
          </w:tcPr>
          <w:p>
            <w:pPr>
              <w:spacing w:after="0"/>
              <w:rPr>
                <w:sz w:val="24"/>
                <w:szCs w:val="24"/>
                <w:color w:val="auto"/>
              </w:rPr>
            </w:pPr>
          </w:p>
        </w:tc>
        <w:tc>
          <w:tcPr>
            <w:tcW w:w="11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133,067</w:t>
            </w:r>
          </w:p>
        </w:tc>
        <w:tc>
          <w:tcPr>
            <w:tcW w:w="500" w:type="dxa"/>
            <w:vAlign w:val="bottom"/>
          </w:tcPr>
          <w:p>
            <w:pPr>
              <w:spacing w:after="0"/>
              <w:rPr>
                <w:sz w:val="24"/>
                <w:szCs w:val="24"/>
                <w:color w:val="auto"/>
              </w:rPr>
            </w:pPr>
          </w:p>
        </w:tc>
        <w:tc>
          <w:tcPr>
            <w:tcW w:w="9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64,851</w:t>
            </w:r>
          </w:p>
        </w:tc>
      </w:tr>
      <w:tr>
        <w:trPr>
          <w:trHeight w:val="392"/>
        </w:trPr>
        <w:tc>
          <w:tcPr>
            <w:tcW w:w="5300" w:type="dxa"/>
            <w:vAlign w:val="bottom"/>
          </w:tcPr>
          <w:p>
            <w:pPr>
              <w:ind w:left="200"/>
              <w:spacing w:after="0"/>
              <w:rPr>
                <w:sz w:val="20"/>
                <w:szCs w:val="20"/>
                <w:color w:val="auto"/>
              </w:rPr>
            </w:pPr>
            <w:r>
              <w:rPr>
                <w:rFonts w:ascii="Courier New" w:cs="Courier New" w:eastAsia="Courier New" w:hAnsi="Courier New"/>
                <w:sz w:val="17"/>
                <w:szCs w:val="17"/>
                <w:color w:val="auto"/>
              </w:rPr>
              <w:t>Long-term debt, less current portion</w:t>
            </w:r>
          </w:p>
        </w:tc>
        <w:tc>
          <w:tcPr>
            <w:tcW w:w="160" w:type="dxa"/>
            <w:vAlign w:val="bottom"/>
          </w:tcPr>
          <w:p>
            <w:pPr>
              <w:spacing w:after="0"/>
              <w:rPr>
                <w:sz w:val="24"/>
                <w:szCs w:val="24"/>
                <w:color w:val="auto"/>
              </w:rPr>
            </w:pPr>
          </w:p>
        </w:tc>
        <w:tc>
          <w:tcPr>
            <w:tcW w:w="118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51,946</w:t>
            </w:r>
          </w:p>
        </w:tc>
        <w:tc>
          <w:tcPr>
            <w:tcW w:w="300" w:type="dxa"/>
            <w:vAlign w:val="bottom"/>
          </w:tcPr>
          <w:p>
            <w:pPr>
              <w:spacing w:after="0"/>
              <w:rPr>
                <w:sz w:val="24"/>
                <w:szCs w:val="24"/>
                <w:color w:val="auto"/>
              </w:rPr>
            </w:pPr>
          </w:p>
        </w:tc>
        <w:tc>
          <w:tcPr>
            <w:tcW w:w="11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207,626</w:t>
            </w:r>
          </w:p>
        </w:tc>
        <w:tc>
          <w:tcPr>
            <w:tcW w:w="500" w:type="dxa"/>
            <w:vAlign w:val="bottom"/>
          </w:tcPr>
          <w:p>
            <w:pPr>
              <w:spacing w:after="0"/>
              <w:rPr>
                <w:sz w:val="24"/>
                <w:szCs w:val="24"/>
                <w:color w:val="auto"/>
              </w:rPr>
            </w:pPr>
          </w:p>
        </w:tc>
        <w:tc>
          <w:tcPr>
            <w:tcW w:w="9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87,080</w:t>
            </w:r>
          </w:p>
        </w:tc>
      </w:tr>
      <w:tr>
        <w:trPr>
          <w:trHeight w:val="196"/>
        </w:trPr>
        <w:tc>
          <w:tcPr>
            <w:tcW w:w="5300" w:type="dxa"/>
            <w:vAlign w:val="bottom"/>
          </w:tcPr>
          <w:p>
            <w:pPr>
              <w:ind w:left="200"/>
              <w:spacing w:after="0"/>
              <w:rPr>
                <w:sz w:val="20"/>
                <w:szCs w:val="20"/>
                <w:color w:val="auto"/>
              </w:rPr>
            </w:pPr>
            <w:r>
              <w:rPr>
                <w:rFonts w:ascii="Courier New" w:cs="Courier New" w:eastAsia="Courier New" w:hAnsi="Courier New"/>
                <w:sz w:val="17"/>
                <w:szCs w:val="17"/>
                <w:color w:val="auto"/>
              </w:rPr>
              <w:t>Postretirement benefits other than pensions</w:t>
            </w:r>
          </w:p>
        </w:tc>
        <w:tc>
          <w:tcPr>
            <w:tcW w:w="160" w:type="dxa"/>
            <w:vAlign w:val="bottom"/>
          </w:tcPr>
          <w:p>
            <w:pPr>
              <w:spacing w:after="0"/>
              <w:rPr>
                <w:sz w:val="17"/>
                <w:szCs w:val="17"/>
                <w:color w:val="auto"/>
              </w:rPr>
            </w:pPr>
          </w:p>
        </w:tc>
        <w:tc>
          <w:tcPr>
            <w:tcW w:w="118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25,041</w:t>
            </w:r>
          </w:p>
        </w:tc>
        <w:tc>
          <w:tcPr>
            <w:tcW w:w="300" w:type="dxa"/>
            <w:vAlign w:val="bottom"/>
          </w:tcPr>
          <w:p>
            <w:pPr>
              <w:spacing w:after="0"/>
              <w:rPr>
                <w:sz w:val="17"/>
                <w:szCs w:val="17"/>
                <w:color w:val="auto"/>
              </w:rPr>
            </w:pPr>
          </w:p>
        </w:tc>
        <w:tc>
          <w:tcPr>
            <w:tcW w:w="11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26,678</w:t>
            </w:r>
          </w:p>
        </w:tc>
        <w:tc>
          <w:tcPr>
            <w:tcW w:w="500" w:type="dxa"/>
            <w:vAlign w:val="bottom"/>
          </w:tcPr>
          <w:p>
            <w:pPr>
              <w:spacing w:after="0"/>
              <w:rPr>
                <w:sz w:val="17"/>
                <w:szCs w:val="17"/>
                <w:color w:val="auto"/>
              </w:rPr>
            </w:pPr>
          </w:p>
        </w:tc>
        <w:tc>
          <w:tcPr>
            <w:tcW w:w="9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26,646</w:t>
            </w:r>
          </w:p>
        </w:tc>
      </w:tr>
      <w:tr>
        <w:trPr>
          <w:trHeight w:val="392"/>
        </w:trPr>
        <w:tc>
          <w:tcPr>
            <w:tcW w:w="5300" w:type="dxa"/>
            <w:vAlign w:val="bottom"/>
          </w:tcPr>
          <w:p>
            <w:pPr>
              <w:ind w:left="420"/>
              <w:spacing w:after="0"/>
              <w:rPr>
                <w:sz w:val="20"/>
                <w:szCs w:val="20"/>
                <w:color w:val="auto"/>
              </w:rPr>
            </w:pPr>
            <w:r>
              <w:rPr>
                <w:rFonts w:ascii="Courier New" w:cs="Courier New" w:eastAsia="Courier New" w:hAnsi="Courier New"/>
                <w:sz w:val="17"/>
                <w:szCs w:val="17"/>
                <w:color w:val="auto"/>
              </w:rPr>
              <w:t>Total Liabilities</w:t>
            </w:r>
          </w:p>
        </w:tc>
        <w:tc>
          <w:tcPr>
            <w:tcW w:w="160" w:type="dxa"/>
            <w:vAlign w:val="bottom"/>
          </w:tcPr>
          <w:p>
            <w:pPr>
              <w:spacing w:after="0"/>
              <w:rPr>
                <w:sz w:val="24"/>
                <w:szCs w:val="24"/>
                <w:color w:val="auto"/>
              </w:rPr>
            </w:pPr>
          </w:p>
        </w:tc>
        <w:tc>
          <w:tcPr>
            <w:tcW w:w="118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190,758</w:t>
            </w:r>
          </w:p>
        </w:tc>
        <w:tc>
          <w:tcPr>
            <w:tcW w:w="300" w:type="dxa"/>
            <w:vAlign w:val="bottom"/>
          </w:tcPr>
          <w:p>
            <w:pPr>
              <w:spacing w:after="0"/>
              <w:rPr>
                <w:sz w:val="24"/>
                <w:szCs w:val="24"/>
                <w:color w:val="auto"/>
              </w:rPr>
            </w:pPr>
          </w:p>
        </w:tc>
        <w:tc>
          <w:tcPr>
            <w:tcW w:w="11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367,371</w:t>
            </w:r>
          </w:p>
        </w:tc>
        <w:tc>
          <w:tcPr>
            <w:tcW w:w="500" w:type="dxa"/>
            <w:vAlign w:val="bottom"/>
          </w:tcPr>
          <w:p>
            <w:pPr>
              <w:spacing w:after="0"/>
              <w:rPr>
                <w:sz w:val="24"/>
                <w:szCs w:val="24"/>
                <w:color w:val="auto"/>
              </w:rPr>
            </w:pPr>
          </w:p>
        </w:tc>
        <w:tc>
          <w:tcPr>
            <w:tcW w:w="9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178,577</w:t>
            </w:r>
          </w:p>
        </w:tc>
      </w:tr>
      <w:tr>
        <w:trPr>
          <w:trHeight w:val="392"/>
        </w:trPr>
        <w:tc>
          <w:tcPr>
            <w:tcW w:w="5300" w:type="dxa"/>
            <w:vAlign w:val="bottom"/>
          </w:tcPr>
          <w:p>
            <w:pPr>
              <w:spacing w:after="0"/>
              <w:rPr>
                <w:sz w:val="20"/>
                <w:szCs w:val="20"/>
                <w:color w:val="auto"/>
              </w:rPr>
            </w:pPr>
            <w:r>
              <w:rPr>
                <w:rFonts w:ascii="Courier New" w:cs="Courier New" w:eastAsia="Courier New" w:hAnsi="Courier New"/>
                <w:sz w:val="17"/>
                <w:szCs w:val="17"/>
                <w:color w:val="auto"/>
              </w:rPr>
              <w:t>Shareholders' Equity:</w:t>
            </w: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96"/>
        </w:trPr>
        <w:tc>
          <w:tcPr>
            <w:tcW w:w="5300" w:type="dxa"/>
            <w:vAlign w:val="bottom"/>
          </w:tcPr>
          <w:p>
            <w:pPr>
              <w:ind w:left="200"/>
              <w:spacing w:after="0"/>
              <w:rPr>
                <w:sz w:val="20"/>
                <w:szCs w:val="20"/>
                <w:color w:val="auto"/>
              </w:rPr>
            </w:pPr>
            <w:r>
              <w:rPr>
                <w:rFonts w:ascii="Courier New" w:cs="Courier New" w:eastAsia="Courier New" w:hAnsi="Courier New"/>
                <w:sz w:val="17"/>
                <w:szCs w:val="17"/>
                <w:color w:val="auto"/>
              </w:rPr>
              <w:t>Preferred Stock, $.01 par value, authorized</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6"/>
        </w:trPr>
        <w:tc>
          <w:tcPr>
            <w:tcW w:w="5300" w:type="dxa"/>
            <w:vAlign w:val="bottom"/>
          </w:tcPr>
          <w:p>
            <w:pPr>
              <w:ind w:left="420"/>
              <w:spacing w:after="0"/>
              <w:rPr>
                <w:sz w:val="20"/>
                <w:szCs w:val="20"/>
                <w:color w:val="auto"/>
              </w:rPr>
            </w:pPr>
            <w:r>
              <w:rPr>
                <w:rFonts w:ascii="Courier New" w:cs="Courier New" w:eastAsia="Courier New" w:hAnsi="Courier New"/>
                <w:sz w:val="17"/>
                <w:szCs w:val="17"/>
                <w:color w:val="auto"/>
              </w:rPr>
              <w:t>10,000,000 shares;  none issued</w:t>
            </w:r>
          </w:p>
        </w:tc>
        <w:tc>
          <w:tcPr>
            <w:tcW w:w="160" w:type="dxa"/>
            <w:vAlign w:val="bottom"/>
          </w:tcPr>
          <w:p>
            <w:pPr>
              <w:spacing w:after="0"/>
              <w:rPr>
                <w:sz w:val="17"/>
                <w:szCs w:val="17"/>
                <w:color w:val="auto"/>
              </w:rPr>
            </w:pPr>
          </w:p>
        </w:tc>
        <w:tc>
          <w:tcPr>
            <w:tcW w:w="118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7"/>
                <w:szCs w:val="17"/>
                <w:color w:val="auto"/>
              </w:rPr>
            </w:pPr>
          </w:p>
        </w:tc>
        <w:tc>
          <w:tcPr>
            <w:tcW w:w="11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500" w:type="dxa"/>
            <w:vAlign w:val="bottom"/>
          </w:tcPr>
          <w:p>
            <w:pPr>
              <w:spacing w:after="0"/>
              <w:rPr>
                <w:sz w:val="17"/>
                <w:szCs w:val="17"/>
                <w:color w:val="auto"/>
              </w:rPr>
            </w:pPr>
          </w:p>
        </w:tc>
        <w:tc>
          <w:tcPr>
            <w:tcW w:w="9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r>
      <w:tr>
        <w:trPr>
          <w:trHeight w:val="196"/>
        </w:trPr>
        <w:tc>
          <w:tcPr>
            <w:tcW w:w="5300" w:type="dxa"/>
            <w:vAlign w:val="bottom"/>
          </w:tcPr>
          <w:p>
            <w:pPr>
              <w:ind w:left="200"/>
              <w:spacing w:after="0"/>
              <w:rPr>
                <w:sz w:val="20"/>
                <w:szCs w:val="20"/>
                <w:color w:val="auto"/>
              </w:rPr>
            </w:pPr>
            <w:r>
              <w:rPr>
                <w:rFonts w:ascii="Courier New" w:cs="Courier New" w:eastAsia="Courier New" w:hAnsi="Courier New"/>
                <w:sz w:val="17"/>
                <w:szCs w:val="17"/>
                <w:color w:val="auto"/>
              </w:rPr>
              <w:t>Class A Common Stock, voting, par value $.01</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6"/>
        </w:trPr>
        <w:tc>
          <w:tcPr>
            <w:tcW w:w="5300" w:type="dxa"/>
            <w:vAlign w:val="bottom"/>
          </w:tcPr>
          <w:p>
            <w:pPr>
              <w:ind w:left="420"/>
              <w:spacing w:after="0"/>
              <w:rPr>
                <w:sz w:val="20"/>
                <w:szCs w:val="20"/>
                <w:color w:val="auto"/>
              </w:rPr>
            </w:pPr>
            <w:r>
              <w:rPr>
                <w:rFonts w:ascii="Courier New" w:cs="Courier New" w:eastAsia="Courier New" w:hAnsi="Courier New"/>
                <w:sz w:val="17"/>
                <w:szCs w:val="17"/>
                <w:color w:val="auto"/>
              </w:rPr>
              <w:t>per share; authorized 35,000,000 shares;</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6"/>
        </w:trPr>
        <w:tc>
          <w:tcPr>
            <w:tcW w:w="5300" w:type="dxa"/>
            <w:vAlign w:val="bottom"/>
          </w:tcPr>
          <w:p>
            <w:pPr>
              <w:ind w:left="420"/>
              <w:spacing w:after="0"/>
              <w:rPr>
                <w:sz w:val="20"/>
                <w:szCs w:val="20"/>
                <w:color w:val="auto"/>
              </w:rPr>
            </w:pPr>
            <w:r>
              <w:rPr>
                <w:rFonts w:ascii="Courier New" w:cs="Courier New" w:eastAsia="Courier New" w:hAnsi="Courier New"/>
                <w:sz w:val="17"/>
                <w:szCs w:val="17"/>
                <w:color w:val="auto"/>
              </w:rPr>
              <w:t>issued 21,073,430, 9,550,000, and</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6"/>
        </w:trPr>
        <w:tc>
          <w:tcPr>
            <w:tcW w:w="5300" w:type="dxa"/>
            <w:vAlign w:val="bottom"/>
          </w:tcPr>
          <w:p>
            <w:pPr>
              <w:ind w:left="420"/>
              <w:spacing w:after="0"/>
              <w:rPr>
                <w:sz w:val="20"/>
                <w:szCs w:val="20"/>
                <w:color w:val="auto"/>
              </w:rPr>
            </w:pPr>
            <w:r>
              <w:rPr>
                <w:rFonts w:ascii="Courier New" w:cs="Courier New" w:eastAsia="Courier New" w:hAnsi="Courier New"/>
                <w:sz w:val="17"/>
                <w:szCs w:val="17"/>
                <w:color w:val="auto"/>
              </w:rPr>
              <w:t>21,073,430 shares, respectively</w:t>
            </w:r>
          </w:p>
        </w:tc>
        <w:tc>
          <w:tcPr>
            <w:tcW w:w="160" w:type="dxa"/>
            <w:vAlign w:val="bottom"/>
          </w:tcPr>
          <w:p>
            <w:pPr>
              <w:spacing w:after="0"/>
              <w:rPr>
                <w:sz w:val="17"/>
                <w:szCs w:val="17"/>
                <w:color w:val="auto"/>
              </w:rPr>
            </w:pPr>
          </w:p>
        </w:tc>
        <w:tc>
          <w:tcPr>
            <w:tcW w:w="118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211</w:t>
            </w:r>
          </w:p>
        </w:tc>
        <w:tc>
          <w:tcPr>
            <w:tcW w:w="300" w:type="dxa"/>
            <w:vAlign w:val="bottom"/>
          </w:tcPr>
          <w:p>
            <w:pPr>
              <w:spacing w:after="0"/>
              <w:rPr>
                <w:sz w:val="17"/>
                <w:szCs w:val="17"/>
                <w:color w:val="auto"/>
              </w:rPr>
            </w:pPr>
          </w:p>
        </w:tc>
        <w:tc>
          <w:tcPr>
            <w:tcW w:w="11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211</w:t>
            </w:r>
          </w:p>
        </w:tc>
        <w:tc>
          <w:tcPr>
            <w:tcW w:w="500" w:type="dxa"/>
            <w:vAlign w:val="bottom"/>
          </w:tcPr>
          <w:p>
            <w:pPr>
              <w:spacing w:after="0"/>
              <w:rPr>
                <w:sz w:val="17"/>
                <w:szCs w:val="17"/>
                <w:color w:val="auto"/>
              </w:rPr>
            </w:pPr>
          </w:p>
        </w:tc>
        <w:tc>
          <w:tcPr>
            <w:tcW w:w="9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211</w:t>
            </w:r>
          </w:p>
        </w:tc>
      </w:tr>
      <w:tr>
        <w:trPr>
          <w:trHeight w:val="196"/>
        </w:trPr>
        <w:tc>
          <w:tcPr>
            <w:tcW w:w="5300" w:type="dxa"/>
            <w:vAlign w:val="bottom"/>
          </w:tcPr>
          <w:p>
            <w:pPr>
              <w:ind w:left="200"/>
              <w:spacing w:after="0"/>
              <w:rPr>
                <w:sz w:val="20"/>
                <w:szCs w:val="20"/>
                <w:color w:val="auto"/>
              </w:rPr>
            </w:pPr>
            <w:r>
              <w:rPr>
                <w:rFonts w:ascii="Courier New" w:cs="Courier New" w:eastAsia="Courier New" w:hAnsi="Courier New"/>
                <w:sz w:val="17"/>
                <w:szCs w:val="17"/>
                <w:color w:val="auto"/>
              </w:rPr>
              <w:t>Class B Common Stock, non-voting, par value</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6"/>
        </w:trPr>
        <w:tc>
          <w:tcPr>
            <w:tcW w:w="5300" w:type="dxa"/>
            <w:vAlign w:val="bottom"/>
          </w:tcPr>
          <w:p>
            <w:pPr>
              <w:ind w:left="420"/>
              <w:spacing w:after="0"/>
              <w:rPr>
                <w:sz w:val="20"/>
                <w:szCs w:val="20"/>
                <w:color w:val="auto"/>
              </w:rPr>
            </w:pPr>
            <w:r>
              <w:rPr>
                <w:rFonts w:ascii="Courier New" w:cs="Courier New" w:eastAsia="Courier New" w:hAnsi="Courier New"/>
                <w:sz w:val="17"/>
                <w:szCs w:val="17"/>
                <w:color w:val="auto"/>
              </w:rPr>
              <w:t>$.01 per share; authorized 35,000,000 shares;</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6"/>
        </w:trPr>
        <w:tc>
          <w:tcPr>
            <w:tcW w:w="5300" w:type="dxa"/>
            <w:vAlign w:val="bottom"/>
          </w:tcPr>
          <w:p>
            <w:pPr>
              <w:ind w:left="420"/>
              <w:spacing w:after="0"/>
              <w:rPr>
                <w:sz w:val="20"/>
                <w:szCs w:val="20"/>
                <w:color w:val="auto"/>
              </w:rPr>
            </w:pPr>
            <w:r>
              <w:rPr>
                <w:rFonts w:ascii="Courier New" w:cs="Courier New" w:eastAsia="Courier New" w:hAnsi="Courier New"/>
                <w:sz w:val="17"/>
                <w:szCs w:val="17"/>
                <w:color w:val="auto"/>
              </w:rPr>
              <w:t>none issued</w:t>
            </w:r>
          </w:p>
        </w:tc>
        <w:tc>
          <w:tcPr>
            <w:tcW w:w="160" w:type="dxa"/>
            <w:vAlign w:val="bottom"/>
          </w:tcPr>
          <w:p>
            <w:pPr>
              <w:spacing w:after="0"/>
              <w:rPr>
                <w:sz w:val="17"/>
                <w:szCs w:val="17"/>
                <w:color w:val="auto"/>
              </w:rPr>
            </w:pPr>
          </w:p>
        </w:tc>
        <w:tc>
          <w:tcPr>
            <w:tcW w:w="118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7"/>
                <w:szCs w:val="17"/>
                <w:color w:val="auto"/>
              </w:rPr>
            </w:pPr>
          </w:p>
        </w:tc>
        <w:tc>
          <w:tcPr>
            <w:tcW w:w="11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500" w:type="dxa"/>
            <w:vAlign w:val="bottom"/>
          </w:tcPr>
          <w:p>
            <w:pPr>
              <w:spacing w:after="0"/>
              <w:rPr>
                <w:sz w:val="17"/>
                <w:szCs w:val="17"/>
                <w:color w:val="auto"/>
              </w:rPr>
            </w:pPr>
          </w:p>
        </w:tc>
        <w:tc>
          <w:tcPr>
            <w:tcW w:w="9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r>
      <w:tr>
        <w:trPr>
          <w:trHeight w:val="196"/>
        </w:trPr>
        <w:tc>
          <w:tcPr>
            <w:tcW w:w="5300" w:type="dxa"/>
            <w:vAlign w:val="bottom"/>
          </w:tcPr>
          <w:p>
            <w:pPr>
              <w:ind w:left="200"/>
              <w:spacing w:after="0"/>
              <w:rPr>
                <w:sz w:val="20"/>
                <w:szCs w:val="20"/>
                <w:color w:val="auto"/>
              </w:rPr>
            </w:pPr>
            <w:r>
              <w:rPr>
                <w:rFonts w:ascii="Courier New" w:cs="Courier New" w:eastAsia="Courier New" w:hAnsi="Courier New"/>
                <w:sz w:val="17"/>
                <w:szCs w:val="17"/>
                <w:color w:val="auto"/>
              </w:rPr>
              <w:t>Capital in excess of par value</w:t>
            </w:r>
          </w:p>
        </w:tc>
        <w:tc>
          <w:tcPr>
            <w:tcW w:w="160" w:type="dxa"/>
            <w:vAlign w:val="bottom"/>
          </w:tcPr>
          <w:p>
            <w:pPr>
              <w:spacing w:after="0"/>
              <w:rPr>
                <w:sz w:val="17"/>
                <w:szCs w:val="17"/>
                <w:color w:val="auto"/>
              </w:rPr>
            </w:pPr>
          </w:p>
        </w:tc>
        <w:tc>
          <w:tcPr>
            <w:tcW w:w="118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192,654</w:t>
            </w:r>
          </w:p>
        </w:tc>
        <w:tc>
          <w:tcPr>
            <w:tcW w:w="300" w:type="dxa"/>
            <w:vAlign w:val="bottom"/>
          </w:tcPr>
          <w:p>
            <w:pPr>
              <w:spacing w:after="0"/>
              <w:rPr>
                <w:sz w:val="17"/>
                <w:szCs w:val="17"/>
                <w:color w:val="auto"/>
              </w:rPr>
            </w:pPr>
          </w:p>
        </w:tc>
        <w:tc>
          <w:tcPr>
            <w:tcW w:w="11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193,353</w:t>
            </w:r>
          </w:p>
        </w:tc>
        <w:tc>
          <w:tcPr>
            <w:tcW w:w="500" w:type="dxa"/>
            <w:vAlign w:val="bottom"/>
          </w:tcPr>
          <w:p>
            <w:pPr>
              <w:spacing w:after="0"/>
              <w:rPr>
                <w:sz w:val="17"/>
                <w:szCs w:val="17"/>
                <w:color w:val="auto"/>
              </w:rPr>
            </w:pPr>
          </w:p>
        </w:tc>
        <w:tc>
          <w:tcPr>
            <w:tcW w:w="9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193,263</w:t>
            </w:r>
          </w:p>
        </w:tc>
      </w:tr>
      <w:tr>
        <w:trPr>
          <w:trHeight w:val="196"/>
        </w:trPr>
        <w:tc>
          <w:tcPr>
            <w:tcW w:w="5300" w:type="dxa"/>
            <w:vAlign w:val="bottom"/>
          </w:tcPr>
          <w:p>
            <w:pPr>
              <w:ind w:left="200"/>
              <w:spacing w:after="0"/>
              <w:rPr>
                <w:sz w:val="20"/>
                <w:szCs w:val="20"/>
                <w:color w:val="auto"/>
              </w:rPr>
            </w:pPr>
            <w:r>
              <w:rPr>
                <w:rFonts w:ascii="Courier New" w:cs="Courier New" w:eastAsia="Courier New" w:hAnsi="Courier New"/>
                <w:sz w:val="17"/>
                <w:szCs w:val="17"/>
                <w:color w:val="auto"/>
              </w:rPr>
              <w:t>Deficit</w:t>
            </w:r>
          </w:p>
        </w:tc>
        <w:tc>
          <w:tcPr>
            <w:tcW w:w="160" w:type="dxa"/>
            <w:vAlign w:val="bottom"/>
          </w:tcPr>
          <w:p>
            <w:pPr>
              <w:spacing w:after="0"/>
              <w:rPr>
                <w:sz w:val="17"/>
                <w:szCs w:val="17"/>
                <w:color w:val="auto"/>
              </w:rPr>
            </w:pPr>
          </w:p>
        </w:tc>
        <w:tc>
          <w:tcPr>
            <w:tcW w:w="11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(30,527)</w:t>
            </w:r>
          </w:p>
        </w:tc>
        <w:tc>
          <w:tcPr>
            <w:tcW w:w="300" w:type="dxa"/>
            <w:vAlign w:val="bottom"/>
          </w:tcPr>
          <w:p>
            <w:pPr>
              <w:spacing w:after="0"/>
              <w:rPr>
                <w:sz w:val="17"/>
                <w:szCs w:val="17"/>
                <w:color w:val="auto"/>
              </w:rPr>
            </w:pPr>
          </w:p>
        </w:tc>
        <w:tc>
          <w:tcPr>
            <w:tcW w:w="11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(10,565)</w:t>
            </w:r>
          </w:p>
        </w:tc>
        <w:tc>
          <w:tcPr>
            <w:tcW w:w="500" w:type="dxa"/>
            <w:vAlign w:val="bottom"/>
          </w:tcPr>
          <w:p>
            <w:pPr>
              <w:spacing w:after="0"/>
              <w:rPr>
                <w:sz w:val="17"/>
                <w:szCs w:val="17"/>
                <w:color w:val="auto"/>
              </w:rPr>
            </w:pPr>
          </w:p>
        </w:tc>
        <w:tc>
          <w:tcPr>
            <w:tcW w:w="9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(9,008)</w:t>
            </w:r>
          </w:p>
        </w:tc>
      </w:tr>
      <w:tr>
        <w:trPr>
          <w:trHeight w:val="196"/>
        </w:trPr>
        <w:tc>
          <w:tcPr>
            <w:tcW w:w="5300" w:type="dxa"/>
            <w:vAlign w:val="bottom"/>
          </w:tcPr>
          <w:p>
            <w:pPr>
              <w:ind w:left="200"/>
              <w:spacing w:after="0"/>
              <w:rPr>
                <w:sz w:val="20"/>
                <w:szCs w:val="20"/>
                <w:color w:val="auto"/>
              </w:rPr>
            </w:pPr>
            <w:r>
              <w:rPr>
                <w:rFonts w:ascii="Courier New" w:cs="Courier New" w:eastAsia="Courier New" w:hAnsi="Courier New"/>
                <w:sz w:val="17"/>
                <w:szCs w:val="17"/>
                <w:color w:val="auto"/>
                <w:w w:val="99"/>
              </w:rPr>
              <w:t>Cumulative foreign currency translation adjustment</w:t>
            </w:r>
          </w:p>
        </w:tc>
        <w:tc>
          <w:tcPr>
            <w:tcW w:w="160" w:type="dxa"/>
            <w:vAlign w:val="bottom"/>
          </w:tcPr>
          <w:p>
            <w:pPr>
              <w:spacing w:after="0"/>
              <w:rPr>
                <w:sz w:val="17"/>
                <w:szCs w:val="17"/>
                <w:color w:val="auto"/>
              </w:rPr>
            </w:pPr>
          </w:p>
        </w:tc>
        <w:tc>
          <w:tcPr>
            <w:tcW w:w="11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(31)</w:t>
            </w:r>
          </w:p>
        </w:tc>
        <w:tc>
          <w:tcPr>
            <w:tcW w:w="300" w:type="dxa"/>
            <w:vAlign w:val="bottom"/>
          </w:tcPr>
          <w:p>
            <w:pPr>
              <w:spacing w:after="0"/>
              <w:rPr>
                <w:sz w:val="17"/>
                <w:szCs w:val="17"/>
                <w:color w:val="auto"/>
              </w:rPr>
            </w:pPr>
          </w:p>
        </w:tc>
        <w:tc>
          <w:tcPr>
            <w:tcW w:w="11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(187)</w:t>
            </w:r>
          </w:p>
        </w:tc>
        <w:tc>
          <w:tcPr>
            <w:tcW w:w="500" w:type="dxa"/>
            <w:vAlign w:val="bottom"/>
          </w:tcPr>
          <w:p>
            <w:pPr>
              <w:spacing w:after="0"/>
              <w:rPr>
                <w:sz w:val="17"/>
                <w:szCs w:val="17"/>
                <w:color w:val="auto"/>
              </w:rPr>
            </w:pPr>
          </w:p>
        </w:tc>
        <w:tc>
          <w:tcPr>
            <w:tcW w:w="9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(12)</w:t>
            </w:r>
          </w:p>
        </w:tc>
      </w:tr>
      <w:tr>
        <w:trPr>
          <w:trHeight w:val="196"/>
        </w:trPr>
        <w:tc>
          <w:tcPr>
            <w:tcW w:w="5300" w:type="dxa"/>
            <w:vAlign w:val="bottom"/>
          </w:tcPr>
          <w:p>
            <w:pPr>
              <w:ind w:left="200"/>
              <w:spacing w:after="0"/>
              <w:rPr>
                <w:sz w:val="20"/>
                <w:szCs w:val="20"/>
                <w:color w:val="auto"/>
              </w:rPr>
            </w:pPr>
            <w:r>
              <w:rPr>
                <w:rFonts w:ascii="Courier New" w:cs="Courier New" w:eastAsia="Courier New" w:hAnsi="Courier New"/>
                <w:sz w:val="17"/>
                <w:szCs w:val="17"/>
                <w:color w:val="auto"/>
              </w:rPr>
              <w:t>Treasury stock 2,414,895 shares at cost</w:t>
            </w:r>
          </w:p>
        </w:tc>
        <w:tc>
          <w:tcPr>
            <w:tcW w:w="160" w:type="dxa"/>
            <w:vAlign w:val="bottom"/>
          </w:tcPr>
          <w:p>
            <w:pPr>
              <w:spacing w:after="0"/>
              <w:rPr>
                <w:sz w:val="17"/>
                <w:szCs w:val="17"/>
                <w:color w:val="auto"/>
              </w:rPr>
            </w:pPr>
          </w:p>
        </w:tc>
        <w:tc>
          <w:tcPr>
            <w:tcW w:w="118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7"/>
                <w:szCs w:val="17"/>
                <w:color w:val="auto"/>
              </w:rPr>
            </w:pPr>
          </w:p>
        </w:tc>
        <w:tc>
          <w:tcPr>
            <w:tcW w:w="11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(41,441)</w:t>
            </w:r>
          </w:p>
        </w:tc>
        <w:tc>
          <w:tcPr>
            <w:tcW w:w="500" w:type="dxa"/>
            <w:vAlign w:val="bottom"/>
          </w:tcPr>
          <w:p>
            <w:pPr>
              <w:spacing w:after="0"/>
              <w:rPr>
                <w:sz w:val="17"/>
                <w:szCs w:val="17"/>
                <w:color w:val="auto"/>
              </w:rPr>
            </w:pPr>
          </w:p>
        </w:tc>
        <w:tc>
          <w:tcPr>
            <w:tcW w:w="9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(41,441)</w:t>
            </w:r>
          </w:p>
        </w:tc>
      </w:tr>
      <w:tr>
        <w:trPr>
          <w:trHeight w:val="392"/>
        </w:trPr>
        <w:tc>
          <w:tcPr>
            <w:tcW w:w="5300" w:type="dxa"/>
            <w:vAlign w:val="bottom"/>
          </w:tcPr>
          <w:p>
            <w:pPr>
              <w:ind w:left="420"/>
              <w:spacing w:after="0"/>
              <w:rPr>
                <w:sz w:val="20"/>
                <w:szCs w:val="20"/>
                <w:color w:val="auto"/>
              </w:rPr>
            </w:pPr>
            <w:r>
              <w:rPr>
                <w:rFonts w:ascii="Courier New" w:cs="Courier New" w:eastAsia="Courier New" w:hAnsi="Courier New"/>
                <w:sz w:val="17"/>
                <w:szCs w:val="17"/>
                <w:color w:val="auto"/>
              </w:rPr>
              <w:t>Total Shareholders' Equity</w:t>
            </w:r>
          </w:p>
        </w:tc>
        <w:tc>
          <w:tcPr>
            <w:tcW w:w="160" w:type="dxa"/>
            <w:vAlign w:val="bottom"/>
          </w:tcPr>
          <w:p>
            <w:pPr>
              <w:spacing w:after="0"/>
              <w:rPr>
                <w:sz w:val="24"/>
                <w:szCs w:val="24"/>
                <w:color w:val="auto"/>
              </w:rPr>
            </w:pPr>
          </w:p>
        </w:tc>
        <w:tc>
          <w:tcPr>
            <w:tcW w:w="118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162,307</w:t>
            </w:r>
          </w:p>
        </w:tc>
        <w:tc>
          <w:tcPr>
            <w:tcW w:w="300" w:type="dxa"/>
            <w:vAlign w:val="bottom"/>
          </w:tcPr>
          <w:p>
            <w:pPr>
              <w:spacing w:after="0"/>
              <w:rPr>
                <w:sz w:val="24"/>
                <w:szCs w:val="24"/>
                <w:color w:val="auto"/>
              </w:rPr>
            </w:pPr>
          </w:p>
        </w:tc>
        <w:tc>
          <w:tcPr>
            <w:tcW w:w="11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141,371</w:t>
            </w:r>
          </w:p>
        </w:tc>
        <w:tc>
          <w:tcPr>
            <w:tcW w:w="500" w:type="dxa"/>
            <w:vAlign w:val="bottom"/>
          </w:tcPr>
          <w:p>
            <w:pPr>
              <w:spacing w:after="0"/>
              <w:rPr>
                <w:sz w:val="24"/>
                <w:szCs w:val="24"/>
                <w:color w:val="auto"/>
              </w:rPr>
            </w:pPr>
          </w:p>
        </w:tc>
        <w:tc>
          <w:tcPr>
            <w:tcW w:w="9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143,013</w:t>
            </w:r>
          </w:p>
        </w:tc>
      </w:tr>
      <w:tr>
        <w:trPr>
          <w:trHeight w:val="392"/>
        </w:trPr>
        <w:tc>
          <w:tcPr>
            <w:tcW w:w="5300" w:type="dxa"/>
            <w:vAlign w:val="bottom"/>
          </w:tcPr>
          <w:p>
            <w:pPr>
              <w:ind w:left="420"/>
              <w:spacing w:after="0"/>
              <w:rPr>
                <w:sz w:val="20"/>
                <w:szCs w:val="20"/>
                <w:color w:val="auto"/>
              </w:rPr>
            </w:pPr>
            <w:r>
              <w:rPr>
                <w:rFonts w:ascii="Courier New" w:cs="Courier New" w:eastAsia="Courier New" w:hAnsi="Courier New"/>
                <w:sz w:val="17"/>
                <w:szCs w:val="17"/>
                <w:color w:val="auto"/>
              </w:rPr>
              <w:t>Total Liabilities &amp; Shareholders' Equity</w:t>
            </w:r>
          </w:p>
        </w:tc>
        <w:tc>
          <w:tcPr>
            <w:tcW w:w="16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353,065</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508,742</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321,590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2140" w:right="2759"/>
        <w:spacing w:after="0" w:line="243" w:lineRule="auto"/>
        <w:rPr>
          <w:sz w:val="20"/>
          <w:szCs w:val="20"/>
          <w:color w:val="auto"/>
        </w:rPr>
      </w:pPr>
      <w:r>
        <w:rPr>
          <w:rFonts w:ascii="Courier New" w:cs="Courier New" w:eastAsia="Courier New" w:hAnsi="Courier New"/>
          <w:sz w:val="17"/>
          <w:szCs w:val="17"/>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400"/>
        <w:spacing w:after="0"/>
        <w:rPr>
          <w:sz w:val="20"/>
          <w:szCs w:val="20"/>
          <w:color w:val="auto"/>
        </w:rPr>
      </w:pPr>
      <w:r>
        <w:rPr>
          <w:rFonts w:ascii="Courier New" w:cs="Courier New" w:eastAsia="Courier New" w:hAnsi="Courier New"/>
          <w:sz w:val="17"/>
          <w:szCs w:val="17"/>
          <w:color w:val="auto"/>
        </w:rPr>
        <w:t>Page 4</w:t>
      </w:r>
    </w:p>
    <w:p>
      <w:pPr>
        <w:sectPr>
          <w:pgSz w:w="11900" w:h="16838" w:orient="portrait"/>
          <w:cols w:equalWidth="0" w:num="1">
            <w:col w:w="10219"/>
          </w:cols>
          <w:pgMar w:left="240" w:top="1096" w:right="1440" w:bottom="1440" w:gutter="0" w:footer="0" w:header="0"/>
        </w:sectPr>
      </w:pPr>
    </w:p>
    <w:bookmarkStart w:id="4" w:name="page5"/>
    <w:bookmarkEnd w:id="4"/>
    <w:p>
      <w:pPr>
        <w:jc w:val="center"/>
        <w:ind w:right="2640"/>
        <w:spacing w:after="0"/>
        <w:rPr>
          <w:sz w:val="20"/>
          <w:szCs w:val="20"/>
          <w:color w:val="auto"/>
        </w:rPr>
      </w:pPr>
      <w:r>
        <w:rPr>
          <w:rFonts w:ascii="Courier New" w:cs="Courier New" w:eastAsia="Courier New" w:hAnsi="Courier New"/>
          <w:sz w:val="17"/>
          <w:szCs w:val="17"/>
          <w:color w:val="auto"/>
        </w:rPr>
        <w:t>THE SCOTTS COMPANY AND SUBSIDIARIES</w:t>
      </w:r>
    </w:p>
    <w:p>
      <w:pPr>
        <w:spacing w:after="0" w:line="4" w:lineRule="exact"/>
        <w:rPr>
          <w:sz w:val="20"/>
          <w:szCs w:val="20"/>
          <w:color w:val="auto"/>
        </w:rPr>
      </w:pPr>
    </w:p>
    <w:p>
      <w:pPr>
        <w:jc w:val="center"/>
        <w:ind w:right="2640"/>
        <w:spacing w:after="0"/>
        <w:rPr>
          <w:sz w:val="20"/>
          <w:szCs w:val="20"/>
          <w:color w:val="auto"/>
        </w:rPr>
      </w:pPr>
      <w:r>
        <w:rPr>
          <w:rFonts w:ascii="Courier New" w:cs="Courier New" w:eastAsia="Courier New" w:hAnsi="Courier New"/>
          <w:sz w:val="17"/>
          <w:szCs w:val="17"/>
          <w:color w:val="auto"/>
        </w:rPr>
        <w:t>CONSOLIDATED STATEMENTS OF INCOME</w:t>
      </w:r>
    </w:p>
    <w:p>
      <w:pPr>
        <w:spacing w:after="0" w:line="4" w:lineRule="exact"/>
        <w:rPr>
          <w:sz w:val="20"/>
          <w:szCs w:val="20"/>
          <w:color w:val="auto"/>
        </w:rPr>
      </w:pPr>
    </w:p>
    <w:p>
      <w:pPr>
        <w:jc w:val="center"/>
        <w:ind w:right="2640"/>
        <w:spacing w:after="0"/>
        <w:rPr>
          <w:sz w:val="20"/>
          <w:szCs w:val="20"/>
          <w:color w:val="auto"/>
        </w:rPr>
      </w:pPr>
      <w:r>
        <w:rPr>
          <w:rFonts w:ascii="Courier New" w:cs="Courier New" w:eastAsia="Courier New" w:hAnsi="Courier New"/>
          <w:sz w:val="17"/>
          <w:szCs w:val="17"/>
          <w:color w:val="auto"/>
        </w:rPr>
        <w:t>(Unaudited)</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400" w:type="dxa"/>
            <w:vAlign w:val="bottom"/>
            <w:gridSpan w:val="3"/>
          </w:tcPr>
          <w:p>
            <w:pPr>
              <w:ind w:left="2860"/>
              <w:spacing w:after="0"/>
              <w:rPr>
                <w:sz w:val="20"/>
                <w:szCs w:val="20"/>
                <w:color w:val="auto"/>
              </w:rPr>
            </w:pPr>
            <w:r>
              <w:rPr>
                <w:rFonts w:ascii="Courier New" w:cs="Courier New" w:eastAsia="Courier New" w:hAnsi="Courier New"/>
                <w:sz w:val="17"/>
                <w:szCs w:val="17"/>
                <w:color w:val="auto"/>
              </w:rPr>
              <w:t>(in thousands except share data)</w:t>
            </w:r>
          </w:p>
        </w:tc>
        <w:tc>
          <w:tcPr>
            <w:tcW w:w="3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589"/>
        </w:trPr>
        <w:tc>
          <w:tcPr>
            <w:tcW w:w="5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00" w:type="dxa"/>
            <w:vAlign w:val="bottom"/>
            <w:gridSpan w:val="3"/>
          </w:tcPr>
          <w:p>
            <w:pPr>
              <w:jc w:val="right"/>
              <w:ind w:right="335"/>
              <w:spacing w:after="0"/>
              <w:rPr>
                <w:sz w:val="20"/>
                <w:szCs w:val="20"/>
                <w:color w:val="auto"/>
              </w:rPr>
            </w:pPr>
            <w:r>
              <w:rPr>
                <w:rFonts w:ascii="Courier New" w:cs="Courier New" w:eastAsia="Courier New" w:hAnsi="Courier New"/>
                <w:sz w:val="17"/>
                <w:szCs w:val="17"/>
                <w:color w:val="auto"/>
              </w:rPr>
              <w:t>Three Months Ended</w:t>
            </w:r>
          </w:p>
        </w:tc>
      </w:tr>
      <w:tr>
        <w:trPr>
          <w:trHeight w:val="196"/>
        </w:trPr>
        <w:tc>
          <w:tcPr>
            <w:tcW w:w="5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January 2</w:t>
            </w:r>
          </w:p>
        </w:tc>
        <w:tc>
          <w:tcPr>
            <w:tcW w:w="3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w w:val="97"/>
              </w:rPr>
              <w:t>January 1</w:t>
            </w:r>
          </w:p>
        </w:tc>
      </w:tr>
      <w:tr>
        <w:trPr>
          <w:trHeight w:val="196"/>
        </w:trPr>
        <w:tc>
          <w:tcPr>
            <w:tcW w:w="5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ind w:right="575"/>
              <w:spacing w:after="0"/>
              <w:rPr>
                <w:sz w:val="20"/>
                <w:szCs w:val="20"/>
                <w:color w:val="auto"/>
              </w:rPr>
            </w:pPr>
            <w:r>
              <w:rPr>
                <w:rFonts w:ascii="Courier New" w:cs="Courier New" w:eastAsia="Courier New" w:hAnsi="Courier New"/>
                <w:sz w:val="17"/>
                <w:szCs w:val="17"/>
                <w:color w:val="auto"/>
              </w:rPr>
              <w:t>1993</w:t>
            </w:r>
          </w:p>
        </w:tc>
        <w:tc>
          <w:tcPr>
            <w:tcW w:w="360" w:type="dxa"/>
            <w:vAlign w:val="bottom"/>
          </w:tcPr>
          <w:p>
            <w:pPr>
              <w:spacing w:after="0"/>
              <w:rPr>
                <w:sz w:val="17"/>
                <w:szCs w:val="17"/>
                <w:color w:val="auto"/>
              </w:rPr>
            </w:pP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1994</w:t>
            </w:r>
          </w:p>
        </w:tc>
      </w:tr>
      <w:tr>
        <w:trPr>
          <w:trHeight w:val="392"/>
        </w:trPr>
        <w:tc>
          <w:tcPr>
            <w:tcW w:w="5760" w:type="dxa"/>
            <w:vAlign w:val="bottom"/>
          </w:tcPr>
          <w:p>
            <w:pPr>
              <w:spacing w:after="0"/>
              <w:rPr>
                <w:sz w:val="20"/>
                <w:szCs w:val="20"/>
                <w:color w:val="auto"/>
              </w:rPr>
            </w:pPr>
            <w:r>
              <w:rPr>
                <w:rFonts w:ascii="Courier New" w:cs="Courier New" w:eastAsia="Courier New" w:hAnsi="Courier New"/>
                <w:sz w:val="17"/>
                <w:szCs w:val="17"/>
                <w:color w:val="auto"/>
              </w:rPr>
              <w:t>Net sales</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67,757</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68,326</w:t>
            </w:r>
          </w:p>
        </w:tc>
      </w:tr>
      <w:tr>
        <w:trPr>
          <w:trHeight w:val="196"/>
        </w:trPr>
        <w:tc>
          <w:tcPr>
            <w:tcW w:w="5760" w:type="dxa"/>
            <w:vAlign w:val="bottom"/>
          </w:tcPr>
          <w:p>
            <w:pPr>
              <w:spacing w:after="0"/>
              <w:rPr>
                <w:sz w:val="20"/>
                <w:szCs w:val="20"/>
                <w:color w:val="auto"/>
              </w:rPr>
            </w:pPr>
            <w:r>
              <w:rPr>
                <w:rFonts w:ascii="Courier New" w:cs="Courier New" w:eastAsia="Courier New" w:hAnsi="Courier New"/>
                <w:sz w:val="17"/>
                <w:szCs w:val="17"/>
                <w:color w:val="auto"/>
              </w:rPr>
              <w:t>Cost of sales</w:t>
            </w:r>
          </w:p>
        </w:tc>
        <w:tc>
          <w:tcPr>
            <w:tcW w:w="220" w:type="dxa"/>
            <w:vAlign w:val="bottom"/>
          </w:tcPr>
          <w:p>
            <w:pPr>
              <w:spacing w:after="0"/>
              <w:rPr>
                <w:sz w:val="17"/>
                <w:szCs w:val="17"/>
                <w:color w:val="auto"/>
              </w:rPr>
            </w:pPr>
          </w:p>
        </w:tc>
        <w:tc>
          <w:tcPr>
            <w:tcW w:w="142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37,054</w:t>
            </w:r>
          </w:p>
        </w:tc>
        <w:tc>
          <w:tcPr>
            <w:tcW w:w="360" w:type="dxa"/>
            <w:vAlign w:val="bottom"/>
          </w:tcPr>
          <w:p>
            <w:pPr>
              <w:spacing w:after="0"/>
              <w:rPr>
                <w:sz w:val="17"/>
                <w:szCs w:val="17"/>
                <w:color w:val="auto"/>
              </w:rPr>
            </w:pPr>
          </w:p>
        </w:tc>
        <w:tc>
          <w:tcPr>
            <w:tcW w:w="9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37,364</w:t>
            </w:r>
          </w:p>
        </w:tc>
      </w:tr>
      <w:tr>
        <w:trPr>
          <w:trHeight w:val="392"/>
        </w:trPr>
        <w:tc>
          <w:tcPr>
            <w:tcW w:w="5760" w:type="dxa"/>
            <w:vAlign w:val="bottom"/>
          </w:tcPr>
          <w:p>
            <w:pPr>
              <w:spacing w:after="0"/>
              <w:rPr>
                <w:sz w:val="20"/>
                <w:szCs w:val="20"/>
                <w:color w:val="auto"/>
              </w:rPr>
            </w:pPr>
            <w:r>
              <w:rPr>
                <w:rFonts w:ascii="Courier New" w:cs="Courier New" w:eastAsia="Courier New" w:hAnsi="Courier New"/>
                <w:sz w:val="17"/>
                <w:szCs w:val="17"/>
                <w:color w:val="auto"/>
              </w:rPr>
              <w:t>Gross profit</w:t>
            </w:r>
          </w:p>
        </w:tc>
        <w:tc>
          <w:tcPr>
            <w:tcW w:w="220" w:type="dxa"/>
            <w:vAlign w:val="bottom"/>
          </w:tcPr>
          <w:p>
            <w:pPr>
              <w:spacing w:after="0"/>
              <w:rPr>
                <w:sz w:val="24"/>
                <w:szCs w:val="24"/>
                <w:color w:val="auto"/>
              </w:rPr>
            </w:pPr>
          </w:p>
        </w:tc>
        <w:tc>
          <w:tcPr>
            <w:tcW w:w="142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30,703</w:t>
            </w:r>
          </w:p>
        </w:tc>
        <w:tc>
          <w:tcPr>
            <w:tcW w:w="360" w:type="dxa"/>
            <w:vAlign w:val="bottom"/>
          </w:tcPr>
          <w:p>
            <w:pPr>
              <w:spacing w:after="0"/>
              <w:rPr>
                <w:sz w:val="24"/>
                <w:szCs w:val="24"/>
                <w:color w:val="auto"/>
              </w:rPr>
            </w:pPr>
          </w:p>
        </w:tc>
        <w:tc>
          <w:tcPr>
            <w:tcW w:w="9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30,962</w:t>
            </w:r>
          </w:p>
        </w:tc>
      </w:tr>
      <w:tr>
        <w:trPr>
          <w:trHeight w:val="392"/>
        </w:trPr>
        <w:tc>
          <w:tcPr>
            <w:tcW w:w="5760" w:type="dxa"/>
            <w:vAlign w:val="bottom"/>
          </w:tcPr>
          <w:p>
            <w:pPr>
              <w:spacing w:after="0"/>
              <w:rPr>
                <w:sz w:val="20"/>
                <w:szCs w:val="20"/>
                <w:color w:val="auto"/>
              </w:rPr>
            </w:pPr>
            <w:r>
              <w:rPr>
                <w:rFonts w:ascii="Courier New" w:cs="Courier New" w:eastAsia="Courier New" w:hAnsi="Courier New"/>
                <w:sz w:val="17"/>
                <w:szCs w:val="17"/>
                <w:color w:val="auto"/>
              </w:rPr>
              <w:t>Operating expenses:</w:t>
            </w: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96"/>
        </w:trPr>
        <w:tc>
          <w:tcPr>
            <w:tcW w:w="5760" w:type="dxa"/>
            <w:vAlign w:val="bottom"/>
          </w:tcPr>
          <w:p>
            <w:pPr>
              <w:ind w:left="200"/>
              <w:spacing w:after="0"/>
              <w:rPr>
                <w:sz w:val="20"/>
                <w:szCs w:val="20"/>
                <w:color w:val="auto"/>
              </w:rPr>
            </w:pPr>
            <w:r>
              <w:rPr>
                <w:rFonts w:ascii="Courier New" w:cs="Courier New" w:eastAsia="Courier New" w:hAnsi="Courier New"/>
                <w:sz w:val="17"/>
                <w:szCs w:val="17"/>
                <w:color w:val="auto"/>
              </w:rPr>
              <w:t>Marketing</w:t>
            </w:r>
          </w:p>
        </w:tc>
        <w:tc>
          <w:tcPr>
            <w:tcW w:w="220" w:type="dxa"/>
            <w:vAlign w:val="bottom"/>
          </w:tcPr>
          <w:p>
            <w:pPr>
              <w:spacing w:after="0"/>
              <w:rPr>
                <w:sz w:val="17"/>
                <w:szCs w:val="17"/>
                <w:color w:val="auto"/>
              </w:rPr>
            </w:pPr>
          </w:p>
        </w:tc>
        <w:tc>
          <w:tcPr>
            <w:tcW w:w="142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11,939</w:t>
            </w:r>
          </w:p>
        </w:tc>
        <w:tc>
          <w:tcPr>
            <w:tcW w:w="360" w:type="dxa"/>
            <w:vAlign w:val="bottom"/>
          </w:tcPr>
          <w:p>
            <w:pPr>
              <w:spacing w:after="0"/>
              <w:rPr>
                <w:sz w:val="17"/>
                <w:szCs w:val="17"/>
                <w:color w:val="auto"/>
              </w:rPr>
            </w:pPr>
          </w:p>
        </w:tc>
        <w:tc>
          <w:tcPr>
            <w:tcW w:w="9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12,921</w:t>
            </w:r>
          </w:p>
        </w:tc>
      </w:tr>
      <w:tr>
        <w:trPr>
          <w:trHeight w:val="196"/>
        </w:trPr>
        <w:tc>
          <w:tcPr>
            <w:tcW w:w="5760" w:type="dxa"/>
            <w:vAlign w:val="bottom"/>
          </w:tcPr>
          <w:p>
            <w:pPr>
              <w:ind w:left="200"/>
              <w:spacing w:after="0"/>
              <w:rPr>
                <w:sz w:val="20"/>
                <w:szCs w:val="20"/>
                <w:color w:val="auto"/>
              </w:rPr>
            </w:pPr>
            <w:r>
              <w:rPr>
                <w:rFonts w:ascii="Courier New" w:cs="Courier New" w:eastAsia="Courier New" w:hAnsi="Courier New"/>
                <w:sz w:val="17"/>
                <w:szCs w:val="17"/>
                <w:color w:val="auto"/>
              </w:rPr>
              <w:t>Distribution</w:t>
            </w:r>
          </w:p>
        </w:tc>
        <w:tc>
          <w:tcPr>
            <w:tcW w:w="220" w:type="dxa"/>
            <w:vAlign w:val="bottom"/>
          </w:tcPr>
          <w:p>
            <w:pPr>
              <w:spacing w:after="0"/>
              <w:rPr>
                <w:sz w:val="17"/>
                <w:szCs w:val="17"/>
                <w:color w:val="auto"/>
              </w:rPr>
            </w:pPr>
          </w:p>
        </w:tc>
        <w:tc>
          <w:tcPr>
            <w:tcW w:w="142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9,818</w:t>
            </w:r>
          </w:p>
        </w:tc>
        <w:tc>
          <w:tcPr>
            <w:tcW w:w="360" w:type="dxa"/>
            <w:vAlign w:val="bottom"/>
          </w:tcPr>
          <w:p>
            <w:pPr>
              <w:spacing w:after="0"/>
              <w:rPr>
                <w:sz w:val="17"/>
                <w:szCs w:val="17"/>
                <w:color w:val="auto"/>
              </w:rPr>
            </w:pPr>
          </w:p>
        </w:tc>
        <w:tc>
          <w:tcPr>
            <w:tcW w:w="9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10,976</w:t>
            </w:r>
          </w:p>
        </w:tc>
      </w:tr>
      <w:tr>
        <w:trPr>
          <w:trHeight w:val="196"/>
        </w:trPr>
        <w:tc>
          <w:tcPr>
            <w:tcW w:w="5760" w:type="dxa"/>
            <w:vAlign w:val="bottom"/>
          </w:tcPr>
          <w:p>
            <w:pPr>
              <w:ind w:left="200"/>
              <w:spacing w:after="0"/>
              <w:rPr>
                <w:sz w:val="20"/>
                <w:szCs w:val="20"/>
                <w:color w:val="auto"/>
              </w:rPr>
            </w:pPr>
            <w:r>
              <w:rPr>
                <w:rFonts w:ascii="Courier New" w:cs="Courier New" w:eastAsia="Courier New" w:hAnsi="Courier New"/>
                <w:sz w:val="17"/>
                <w:szCs w:val="17"/>
                <w:color w:val="auto"/>
              </w:rPr>
              <w:t>General and administrative</w:t>
            </w:r>
          </w:p>
        </w:tc>
        <w:tc>
          <w:tcPr>
            <w:tcW w:w="220" w:type="dxa"/>
            <w:vAlign w:val="bottom"/>
          </w:tcPr>
          <w:p>
            <w:pPr>
              <w:spacing w:after="0"/>
              <w:rPr>
                <w:sz w:val="17"/>
                <w:szCs w:val="17"/>
                <w:color w:val="auto"/>
              </w:rPr>
            </w:pPr>
          </w:p>
        </w:tc>
        <w:tc>
          <w:tcPr>
            <w:tcW w:w="142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6,287</w:t>
            </w:r>
          </w:p>
        </w:tc>
        <w:tc>
          <w:tcPr>
            <w:tcW w:w="360" w:type="dxa"/>
            <w:vAlign w:val="bottom"/>
          </w:tcPr>
          <w:p>
            <w:pPr>
              <w:spacing w:after="0"/>
              <w:rPr>
                <w:sz w:val="17"/>
                <w:szCs w:val="17"/>
                <w:color w:val="auto"/>
              </w:rPr>
            </w:pPr>
          </w:p>
        </w:tc>
        <w:tc>
          <w:tcPr>
            <w:tcW w:w="9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5,010</w:t>
            </w:r>
          </w:p>
        </w:tc>
      </w:tr>
      <w:tr>
        <w:trPr>
          <w:trHeight w:val="196"/>
        </w:trPr>
        <w:tc>
          <w:tcPr>
            <w:tcW w:w="5760" w:type="dxa"/>
            <w:vAlign w:val="bottom"/>
          </w:tcPr>
          <w:p>
            <w:pPr>
              <w:ind w:left="200"/>
              <w:spacing w:after="0"/>
              <w:rPr>
                <w:sz w:val="20"/>
                <w:szCs w:val="20"/>
                <w:color w:val="auto"/>
              </w:rPr>
            </w:pPr>
            <w:r>
              <w:rPr>
                <w:rFonts w:ascii="Courier New" w:cs="Courier New" w:eastAsia="Courier New" w:hAnsi="Courier New"/>
                <w:sz w:val="17"/>
                <w:szCs w:val="17"/>
                <w:color w:val="auto"/>
              </w:rPr>
              <w:t>Research and development</w:t>
            </w:r>
          </w:p>
        </w:tc>
        <w:tc>
          <w:tcPr>
            <w:tcW w:w="220" w:type="dxa"/>
            <w:vAlign w:val="bottom"/>
          </w:tcPr>
          <w:p>
            <w:pPr>
              <w:spacing w:after="0"/>
              <w:rPr>
                <w:sz w:val="17"/>
                <w:szCs w:val="17"/>
                <w:color w:val="auto"/>
              </w:rPr>
            </w:pPr>
          </w:p>
        </w:tc>
        <w:tc>
          <w:tcPr>
            <w:tcW w:w="142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1,552</w:t>
            </w:r>
          </w:p>
        </w:tc>
        <w:tc>
          <w:tcPr>
            <w:tcW w:w="360" w:type="dxa"/>
            <w:vAlign w:val="bottom"/>
          </w:tcPr>
          <w:p>
            <w:pPr>
              <w:spacing w:after="0"/>
              <w:rPr>
                <w:sz w:val="17"/>
                <w:szCs w:val="17"/>
                <w:color w:val="auto"/>
              </w:rPr>
            </w:pPr>
          </w:p>
        </w:tc>
        <w:tc>
          <w:tcPr>
            <w:tcW w:w="9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2,004</w:t>
            </w:r>
          </w:p>
        </w:tc>
      </w:tr>
      <w:tr>
        <w:trPr>
          <w:trHeight w:val="392"/>
        </w:trPr>
        <w:tc>
          <w:tcPr>
            <w:tcW w:w="5760" w:type="dxa"/>
            <w:vAlign w:val="bottom"/>
          </w:tcPr>
          <w:p>
            <w:pPr>
              <w:ind w:left="420"/>
              <w:spacing w:after="0"/>
              <w:rPr>
                <w:sz w:val="20"/>
                <w:szCs w:val="20"/>
                <w:color w:val="auto"/>
              </w:rPr>
            </w:pPr>
            <w:r>
              <w:rPr>
                <w:rFonts w:ascii="Courier New" w:cs="Courier New" w:eastAsia="Courier New" w:hAnsi="Courier New"/>
                <w:sz w:val="17"/>
                <w:szCs w:val="17"/>
                <w:color w:val="auto"/>
              </w:rPr>
              <w:t>Total operating expenses</w:t>
            </w:r>
          </w:p>
        </w:tc>
        <w:tc>
          <w:tcPr>
            <w:tcW w:w="220" w:type="dxa"/>
            <w:vAlign w:val="bottom"/>
          </w:tcPr>
          <w:p>
            <w:pPr>
              <w:spacing w:after="0"/>
              <w:rPr>
                <w:sz w:val="24"/>
                <w:szCs w:val="24"/>
                <w:color w:val="auto"/>
              </w:rPr>
            </w:pPr>
          </w:p>
        </w:tc>
        <w:tc>
          <w:tcPr>
            <w:tcW w:w="142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29,596</w:t>
            </w:r>
          </w:p>
        </w:tc>
        <w:tc>
          <w:tcPr>
            <w:tcW w:w="360" w:type="dxa"/>
            <w:vAlign w:val="bottom"/>
          </w:tcPr>
          <w:p>
            <w:pPr>
              <w:spacing w:after="0"/>
              <w:rPr>
                <w:sz w:val="24"/>
                <w:szCs w:val="24"/>
                <w:color w:val="auto"/>
              </w:rPr>
            </w:pPr>
          </w:p>
        </w:tc>
        <w:tc>
          <w:tcPr>
            <w:tcW w:w="9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30,911</w:t>
            </w:r>
          </w:p>
        </w:tc>
      </w:tr>
      <w:tr>
        <w:trPr>
          <w:trHeight w:val="392"/>
        </w:trPr>
        <w:tc>
          <w:tcPr>
            <w:tcW w:w="5760" w:type="dxa"/>
            <w:vAlign w:val="bottom"/>
          </w:tcPr>
          <w:p>
            <w:pPr>
              <w:spacing w:after="0"/>
              <w:rPr>
                <w:sz w:val="20"/>
                <w:szCs w:val="20"/>
                <w:color w:val="auto"/>
              </w:rPr>
            </w:pPr>
            <w:r>
              <w:rPr>
                <w:rFonts w:ascii="Courier New" w:cs="Courier New" w:eastAsia="Courier New" w:hAnsi="Courier New"/>
                <w:sz w:val="17"/>
                <w:szCs w:val="17"/>
                <w:color w:val="auto"/>
              </w:rPr>
              <w:t>Income from operations</w:t>
            </w:r>
          </w:p>
        </w:tc>
        <w:tc>
          <w:tcPr>
            <w:tcW w:w="220" w:type="dxa"/>
            <w:vAlign w:val="bottom"/>
          </w:tcPr>
          <w:p>
            <w:pPr>
              <w:spacing w:after="0"/>
              <w:rPr>
                <w:sz w:val="24"/>
                <w:szCs w:val="24"/>
                <w:color w:val="auto"/>
              </w:rPr>
            </w:pPr>
          </w:p>
        </w:tc>
        <w:tc>
          <w:tcPr>
            <w:tcW w:w="142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1,107</w:t>
            </w:r>
          </w:p>
        </w:tc>
        <w:tc>
          <w:tcPr>
            <w:tcW w:w="360" w:type="dxa"/>
            <w:vAlign w:val="bottom"/>
          </w:tcPr>
          <w:p>
            <w:pPr>
              <w:spacing w:after="0"/>
              <w:rPr>
                <w:sz w:val="24"/>
                <w:szCs w:val="24"/>
                <w:color w:val="auto"/>
              </w:rPr>
            </w:pPr>
          </w:p>
        </w:tc>
        <w:tc>
          <w:tcPr>
            <w:tcW w:w="9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51</w:t>
            </w:r>
          </w:p>
        </w:tc>
      </w:tr>
      <w:tr>
        <w:trPr>
          <w:trHeight w:val="392"/>
        </w:trPr>
        <w:tc>
          <w:tcPr>
            <w:tcW w:w="5760" w:type="dxa"/>
            <w:vAlign w:val="bottom"/>
          </w:tcPr>
          <w:p>
            <w:pPr>
              <w:spacing w:after="0"/>
              <w:rPr>
                <w:sz w:val="20"/>
                <w:szCs w:val="20"/>
                <w:color w:val="auto"/>
              </w:rPr>
            </w:pPr>
            <w:r>
              <w:rPr>
                <w:rFonts w:ascii="Courier New" w:cs="Courier New" w:eastAsia="Courier New" w:hAnsi="Courier New"/>
                <w:sz w:val="17"/>
                <w:szCs w:val="17"/>
                <w:color w:val="auto"/>
              </w:rPr>
              <w:t>Interest expense</w:t>
            </w:r>
          </w:p>
        </w:tc>
        <w:tc>
          <w:tcPr>
            <w:tcW w:w="220" w:type="dxa"/>
            <w:vAlign w:val="bottom"/>
          </w:tcPr>
          <w:p>
            <w:pPr>
              <w:spacing w:after="0"/>
              <w:rPr>
                <w:sz w:val="24"/>
                <w:szCs w:val="24"/>
                <w:color w:val="auto"/>
              </w:rPr>
            </w:pPr>
          </w:p>
        </w:tc>
        <w:tc>
          <w:tcPr>
            <w:tcW w:w="142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1,721</w:t>
            </w:r>
          </w:p>
        </w:tc>
        <w:tc>
          <w:tcPr>
            <w:tcW w:w="360" w:type="dxa"/>
            <w:vAlign w:val="bottom"/>
          </w:tcPr>
          <w:p>
            <w:pPr>
              <w:spacing w:after="0"/>
              <w:rPr>
                <w:sz w:val="24"/>
                <w:szCs w:val="24"/>
                <w:color w:val="auto"/>
              </w:rPr>
            </w:pPr>
          </w:p>
        </w:tc>
        <w:tc>
          <w:tcPr>
            <w:tcW w:w="9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2,640</w:t>
            </w:r>
          </w:p>
        </w:tc>
      </w:tr>
      <w:tr>
        <w:trPr>
          <w:trHeight w:val="196"/>
        </w:trPr>
        <w:tc>
          <w:tcPr>
            <w:tcW w:w="5760" w:type="dxa"/>
            <w:vAlign w:val="bottom"/>
          </w:tcPr>
          <w:p>
            <w:pPr>
              <w:spacing w:after="0"/>
              <w:rPr>
                <w:sz w:val="20"/>
                <w:szCs w:val="20"/>
                <w:color w:val="auto"/>
              </w:rPr>
            </w:pPr>
            <w:r>
              <w:rPr>
                <w:rFonts w:ascii="Courier New" w:cs="Courier New" w:eastAsia="Courier New" w:hAnsi="Courier New"/>
                <w:sz w:val="17"/>
                <w:szCs w:val="17"/>
                <w:color w:val="auto"/>
              </w:rPr>
              <w:t>Other expenses, net</w:t>
            </w:r>
          </w:p>
        </w:tc>
        <w:tc>
          <w:tcPr>
            <w:tcW w:w="220" w:type="dxa"/>
            <w:vAlign w:val="bottom"/>
          </w:tcPr>
          <w:p>
            <w:pPr>
              <w:spacing w:after="0"/>
              <w:rPr>
                <w:sz w:val="17"/>
                <w:szCs w:val="17"/>
                <w:color w:val="auto"/>
              </w:rPr>
            </w:pPr>
          </w:p>
        </w:tc>
        <w:tc>
          <w:tcPr>
            <w:tcW w:w="142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162</w:t>
            </w:r>
          </w:p>
        </w:tc>
        <w:tc>
          <w:tcPr>
            <w:tcW w:w="360" w:type="dxa"/>
            <w:vAlign w:val="bottom"/>
          </w:tcPr>
          <w:p>
            <w:pPr>
              <w:spacing w:after="0"/>
              <w:rPr>
                <w:sz w:val="17"/>
                <w:szCs w:val="17"/>
                <w:color w:val="auto"/>
              </w:rPr>
            </w:pPr>
          </w:p>
        </w:tc>
        <w:tc>
          <w:tcPr>
            <w:tcW w:w="9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28</w:t>
            </w:r>
          </w:p>
        </w:tc>
      </w:tr>
      <w:tr>
        <w:trPr>
          <w:trHeight w:val="392"/>
        </w:trPr>
        <w:tc>
          <w:tcPr>
            <w:tcW w:w="5760" w:type="dxa"/>
            <w:vAlign w:val="bottom"/>
          </w:tcPr>
          <w:p>
            <w:pPr>
              <w:spacing w:after="0"/>
              <w:rPr>
                <w:sz w:val="20"/>
                <w:szCs w:val="20"/>
                <w:color w:val="auto"/>
              </w:rPr>
            </w:pPr>
            <w:r>
              <w:rPr>
                <w:rFonts w:ascii="Courier New" w:cs="Courier New" w:eastAsia="Courier New" w:hAnsi="Courier New"/>
                <w:sz w:val="17"/>
                <w:szCs w:val="17"/>
                <w:color w:val="auto"/>
              </w:rPr>
              <w:t>Loss before income tax benefit and</w:t>
            </w: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96"/>
        </w:trPr>
        <w:tc>
          <w:tcPr>
            <w:tcW w:w="5760" w:type="dxa"/>
            <w:vAlign w:val="bottom"/>
          </w:tcPr>
          <w:p>
            <w:pPr>
              <w:ind w:left="200"/>
              <w:spacing w:after="0"/>
              <w:rPr>
                <w:sz w:val="20"/>
                <w:szCs w:val="20"/>
                <w:color w:val="auto"/>
              </w:rPr>
            </w:pPr>
            <w:r>
              <w:rPr>
                <w:rFonts w:ascii="Courier New" w:cs="Courier New" w:eastAsia="Courier New" w:hAnsi="Courier New"/>
                <w:sz w:val="17"/>
                <w:szCs w:val="17"/>
                <w:color w:val="auto"/>
              </w:rPr>
              <w:t>cumulative effect of accounting changes</w:t>
            </w:r>
          </w:p>
        </w:tc>
        <w:tc>
          <w:tcPr>
            <w:tcW w:w="220" w:type="dxa"/>
            <w:vAlign w:val="bottom"/>
          </w:tcPr>
          <w:p>
            <w:pPr>
              <w:spacing w:after="0"/>
              <w:rPr>
                <w:sz w:val="17"/>
                <w:szCs w:val="17"/>
                <w:color w:val="auto"/>
              </w:rPr>
            </w:pPr>
          </w:p>
        </w:tc>
        <w:tc>
          <w:tcPr>
            <w:tcW w:w="142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(776)</w:t>
            </w:r>
          </w:p>
        </w:tc>
        <w:tc>
          <w:tcPr>
            <w:tcW w:w="3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(2,617)</w:t>
            </w:r>
          </w:p>
        </w:tc>
      </w:tr>
      <w:tr>
        <w:trPr>
          <w:trHeight w:val="392"/>
        </w:trPr>
        <w:tc>
          <w:tcPr>
            <w:tcW w:w="5760" w:type="dxa"/>
            <w:vAlign w:val="bottom"/>
          </w:tcPr>
          <w:p>
            <w:pPr>
              <w:spacing w:after="0"/>
              <w:rPr>
                <w:sz w:val="20"/>
                <w:szCs w:val="20"/>
                <w:color w:val="auto"/>
              </w:rPr>
            </w:pPr>
            <w:r>
              <w:rPr>
                <w:rFonts w:ascii="Courier New" w:cs="Courier New" w:eastAsia="Courier New" w:hAnsi="Courier New"/>
                <w:sz w:val="17"/>
                <w:szCs w:val="17"/>
                <w:color w:val="auto"/>
              </w:rPr>
              <w:t>Income tax benefit</w:t>
            </w:r>
          </w:p>
        </w:tc>
        <w:tc>
          <w:tcPr>
            <w:tcW w:w="220" w:type="dxa"/>
            <w:vAlign w:val="bottom"/>
          </w:tcPr>
          <w:p>
            <w:pPr>
              <w:spacing w:after="0"/>
              <w:rPr>
                <w:sz w:val="24"/>
                <w:szCs w:val="24"/>
                <w:color w:val="auto"/>
              </w:rPr>
            </w:pPr>
          </w:p>
        </w:tc>
        <w:tc>
          <w:tcPr>
            <w:tcW w:w="142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(305)</w:t>
            </w:r>
          </w:p>
        </w:tc>
        <w:tc>
          <w:tcPr>
            <w:tcW w:w="3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(1,060)</w:t>
            </w:r>
          </w:p>
        </w:tc>
      </w:tr>
      <w:tr>
        <w:trPr>
          <w:trHeight w:val="392"/>
        </w:trPr>
        <w:tc>
          <w:tcPr>
            <w:tcW w:w="5760" w:type="dxa"/>
            <w:vAlign w:val="bottom"/>
          </w:tcPr>
          <w:p>
            <w:pPr>
              <w:spacing w:after="0"/>
              <w:rPr>
                <w:sz w:val="20"/>
                <w:szCs w:val="20"/>
                <w:color w:val="auto"/>
              </w:rPr>
            </w:pPr>
            <w:r>
              <w:rPr>
                <w:rFonts w:ascii="Courier New" w:cs="Courier New" w:eastAsia="Courier New" w:hAnsi="Courier New"/>
                <w:sz w:val="17"/>
                <w:szCs w:val="17"/>
                <w:color w:val="auto"/>
              </w:rPr>
              <w:t>Loss before cumulative effect</w:t>
            </w: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96"/>
        </w:trPr>
        <w:tc>
          <w:tcPr>
            <w:tcW w:w="5760" w:type="dxa"/>
            <w:vAlign w:val="bottom"/>
          </w:tcPr>
          <w:p>
            <w:pPr>
              <w:ind w:left="200"/>
              <w:spacing w:after="0"/>
              <w:rPr>
                <w:sz w:val="20"/>
                <w:szCs w:val="20"/>
                <w:color w:val="auto"/>
              </w:rPr>
            </w:pPr>
            <w:r>
              <w:rPr>
                <w:rFonts w:ascii="Courier New" w:cs="Courier New" w:eastAsia="Courier New" w:hAnsi="Courier New"/>
                <w:sz w:val="17"/>
                <w:szCs w:val="17"/>
                <w:color w:val="auto"/>
              </w:rPr>
              <w:t>of accounting changes</w:t>
            </w:r>
          </w:p>
        </w:tc>
        <w:tc>
          <w:tcPr>
            <w:tcW w:w="220" w:type="dxa"/>
            <w:vAlign w:val="bottom"/>
          </w:tcPr>
          <w:p>
            <w:pPr>
              <w:spacing w:after="0"/>
              <w:rPr>
                <w:sz w:val="17"/>
                <w:szCs w:val="17"/>
                <w:color w:val="auto"/>
              </w:rPr>
            </w:pPr>
          </w:p>
        </w:tc>
        <w:tc>
          <w:tcPr>
            <w:tcW w:w="14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(471)(1)</w:t>
            </w:r>
          </w:p>
        </w:tc>
        <w:tc>
          <w:tcPr>
            <w:tcW w:w="3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(1,557)</w:t>
            </w:r>
          </w:p>
        </w:tc>
      </w:tr>
      <w:tr>
        <w:trPr>
          <w:trHeight w:val="392"/>
        </w:trPr>
        <w:tc>
          <w:tcPr>
            <w:tcW w:w="5760" w:type="dxa"/>
            <w:vAlign w:val="bottom"/>
          </w:tcPr>
          <w:p>
            <w:pPr>
              <w:spacing w:after="0"/>
              <w:rPr>
                <w:sz w:val="20"/>
                <w:szCs w:val="20"/>
                <w:color w:val="auto"/>
              </w:rPr>
            </w:pPr>
            <w:r>
              <w:rPr>
                <w:rFonts w:ascii="Courier New" w:cs="Courier New" w:eastAsia="Courier New" w:hAnsi="Courier New"/>
                <w:sz w:val="17"/>
                <w:szCs w:val="17"/>
                <w:color w:val="auto"/>
              </w:rPr>
              <w:t>Cumulative effect of changes in accounting</w:t>
            </w: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96"/>
        </w:trPr>
        <w:tc>
          <w:tcPr>
            <w:tcW w:w="5760" w:type="dxa"/>
            <w:vAlign w:val="bottom"/>
          </w:tcPr>
          <w:p>
            <w:pPr>
              <w:ind w:left="200"/>
              <w:spacing w:after="0"/>
              <w:rPr>
                <w:sz w:val="20"/>
                <w:szCs w:val="20"/>
                <w:color w:val="auto"/>
              </w:rPr>
            </w:pPr>
            <w:r>
              <w:rPr>
                <w:rFonts w:ascii="Courier New" w:cs="Courier New" w:eastAsia="Courier New" w:hAnsi="Courier New"/>
                <w:sz w:val="17"/>
                <w:szCs w:val="17"/>
                <w:color w:val="auto"/>
              </w:rPr>
              <w:t>for postretirement benefits, net of tax</w:t>
            </w: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6"/>
        </w:trPr>
        <w:tc>
          <w:tcPr>
            <w:tcW w:w="5760" w:type="dxa"/>
            <w:vAlign w:val="bottom"/>
          </w:tcPr>
          <w:p>
            <w:pPr>
              <w:ind w:left="200"/>
              <w:spacing w:after="0"/>
              <w:rPr>
                <w:sz w:val="20"/>
                <w:szCs w:val="20"/>
                <w:color w:val="auto"/>
              </w:rPr>
            </w:pPr>
            <w:r>
              <w:rPr>
                <w:rFonts w:ascii="Courier New" w:cs="Courier New" w:eastAsia="Courier New" w:hAnsi="Courier New"/>
                <w:sz w:val="17"/>
                <w:szCs w:val="17"/>
                <w:color w:val="auto"/>
              </w:rPr>
              <w:t>and income taxes</w:t>
            </w:r>
          </w:p>
        </w:tc>
        <w:tc>
          <w:tcPr>
            <w:tcW w:w="220" w:type="dxa"/>
            <w:vAlign w:val="bottom"/>
          </w:tcPr>
          <w:p>
            <w:pPr>
              <w:spacing w:after="0"/>
              <w:rPr>
                <w:sz w:val="17"/>
                <w:szCs w:val="17"/>
                <w:color w:val="auto"/>
              </w:rPr>
            </w:pPr>
          </w:p>
        </w:tc>
        <w:tc>
          <w:tcPr>
            <w:tcW w:w="142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(13,157)</w:t>
            </w:r>
          </w:p>
        </w:tc>
        <w:tc>
          <w:tcPr>
            <w:tcW w:w="360" w:type="dxa"/>
            <w:vAlign w:val="bottom"/>
          </w:tcPr>
          <w:p>
            <w:pPr>
              <w:spacing w:after="0"/>
              <w:rPr>
                <w:sz w:val="17"/>
                <w:szCs w:val="17"/>
                <w:color w:val="auto"/>
              </w:rPr>
            </w:pPr>
          </w:p>
        </w:tc>
        <w:tc>
          <w:tcPr>
            <w:tcW w:w="9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392"/>
        </w:trPr>
        <w:tc>
          <w:tcPr>
            <w:tcW w:w="5760" w:type="dxa"/>
            <w:vAlign w:val="bottom"/>
          </w:tcPr>
          <w:p>
            <w:pPr>
              <w:spacing w:after="0"/>
              <w:rPr>
                <w:sz w:val="20"/>
                <w:szCs w:val="20"/>
                <w:color w:val="auto"/>
              </w:rPr>
            </w:pPr>
            <w:r>
              <w:rPr>
                <w:rFonts w:ascii="Courier New" w:cs="Courier New" w:eastAsia="Courier New" w:hAnsi="Courier New"/>
                <w:sz w:val="17"/>
                <w:szCs w:val="17"/>
                <w:color w:val="auto"/>
              </w:rPr>
              <w:t>Net loss</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(13,628)(2)</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(1,557)</w:t>
            </w:r>
          </w:p>
        </w:tc>
      </w:tr>
      <w:tr>
        <w:trPr>
          <w:trHeight w:val="392"/>
        </w:trPr>
        <w:tc>
          <w:tcPr>
            <w:tcW w:w="5760" w:type="dxa"/>
            <w:vAlign w:val="bottom"/>
          </w:tcPr>
          <w:p>
            <w:pPr>
              <w:spacing w:after="0"/>
              <w:rPr>
                <w:sz w:val="20"/>
                <w:szCs w:val="20"/>
                <w:color w:val="auto"/>
              </w:rPr>
            </w:pPr>
            <w:r>
              <w:rPr>
                <w:rFonts w:ascii="Courier New" w:cs="Courier New" w:eastAsia="Courier New" w:hAnsi="Courier New"/>
                <w:sz w:val="17"/>
                <w:szCs w:val="17"/>
                <w:color w:val="auto"/>
              </w:rPr>
              <w:t>Net loss per common share:</w:t>
            </w: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96"/>
        </w:trPr>
        <w:tc>
          <w:tcPr>
            <w:tcW w:w="5760" w:type="dxa"/>
            <w:vAlign w:val="bottom"/>
          </w:tcPr>
          <w:p>
            <w:pPr>
              <w:ind w:left="200"/>
              <w:spacing w:after="0"/>
              <w:rPr>
                <w:sz w:val="20"/>
                <w:szCs w:val="20"/>
                <w:color w:val="auto"/>
              </w:rPr>
            </w:pPr>
            <w:r>
              <w:rPr>
                <w:rFonts w:ascii="Courier New" w:cs="Courier New" w:eastAsia="Courier New" w:hAnsi="Courier New"/>
                <w:sz w:val="17"/>
                <w:szCs w:val="17"/>
                <w:color w:val="auto"/>
              </w:rPr>
              <w:t>Loss before cumulative effect of accounting changes</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(.02)</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(.08)</w:t>
            </w:r>
          </w:p>
        </w:tc>
      </w:tr>
      <w:tr>
        <w:trPr>
          <w:trHeight w:val="196"/>
        </w:trPr>
        <w:tc>
          <w:tcPr>
            <w:tcW w:w="5760" w:type="dxa"/>
            <w:vAlign w:val="bottom"/>
          </w:tcPr>
          <w:p>
            <w:pPr>
              <w:ind w:left="200"/>
              <w:spacing w:after="0"/>
              <w:rPr>
                <w:sz w:val="20"/>
                <w:szCs w:val="20"/>
                <w:color w:val="auto"/>
              </w:rPr>
            </w:pPr>
            <w:r>
              <w:rPr>
                <w:rFonts w:ascii="Courier New" w:cs="Courier New" w:eastAsia="Courier New" w:hAnsi="Courier New"/>
                <w:sz w:val="17"/>
                <w:szCs w:val="17"/>
                <w:color w:val="auto"/>
              </w:rPr>
              <w:t>Cumulative effect of changes in accounting for</w:t>
            </w: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6"/>
        </w:trPr>
        <w:tc>
          <w:tcPr>
            <w:tcW w:w="5760" w:type="dxa"/>
            <w:vAlign w:val="bottom"/>
          </w:tcPr>
          <w:p>
            <w:pPr>
              <w:ind w:left="420"/>
              <w:spacing w:after="0"/>
              <w:rPr>
                <w:sz w:val="20"/>
                <w:szCs w:val="20"/>
                <w:color w:val="auto"/>
              </w:rPr>
            </w:pPr>
            <w:r>
              <w:rPr>
                <w:rFonts w:ascii="Courier New" w:cs="Courier New" w:eastAsia="Courier New" w:hAnsi="Courier New"/>
                <w:sz w:val="17"/>
                <w:szCs w:val="17"/>
                <w:color w:val="auto"/>
              </w:rPr>
              <w:t>postretirement benefits, net of tax and income taxes</w:t>
            </w:r>
          </w:p>
        </w:tc>
        <w:tc>
          <w:tcPr>
            <w:tcW w:w="220" w:type="dxa"/>
            <w:vAlign w:val="bottom"/>
          </w:tcPr>
          <w:p>
            <w:pPr>
              <w:spacing w:after="0"/>
              <w:rPr>
                <w:sz w:val="17"/>
                <w:szCs w:val="17"/>
                <w:color w:val="auto"/>
              </w:rPr>
            </w:pPr>
          </w:p>
        </w:tc>
        <w:tc>
          <w:tcPr>
            <w:tcW w:w="142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(.63)</w:t>
            </w:r>
          </w:p>
        </w:tc>
        <w:tc>
          <w:tcPr>
            <w:tcW w:w="360" w:type="dxa"/>
            <w:vAlign w:val="bottom"/>
          </w:tcPr>
          <w:p>
            <w:pPr>
              <w:spacing w:after="0"/>
              <w:rPr>
                <w:sz w:val="17"/>
                <w:szCs w:val="17"/>
                <w:color w:val="auto"/>
              </w:rPr>
            </w:pPr>
          </w:p>
        </w:tc>
        <w:tc>
          <w:tcPr>
            <w:tcW w:w="9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392"/>
        </w:trPr>
        <w:tc>
          <w:tcPr>
            <w:tcW w:w="5760" w:type="dxa"/>
            <w:vAlign w:val="bottom"/>
          </w:tcPr>
          <w:p>
            <w:pPr>
              <w:ind w:left="200"/>
              <w:spacing w:after="0"/>
              <w:rPr>
                <w:sz w:val="20"/>
                <w:szCs w:val="20"/>
                <w:color w:val="auto"/>
              </w:rPr>
            </w:pPr>
            <w:r>
              <w:rPr>
                <w:rFonts w:ascii="Courier New" w:cs="Courier New" w:eastAsia="Courier New" w:hAnsi="Courier New"/>
                <w:sz w:val="17"/>
                <w:szCs w:val="17"/>
                <w:color w:val="auto"/>
              </w:rPr>
              <w:t>Net loss</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(.65)</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(.08)</w:t>
            </w:r>
          </w:p>
        </w:tc>
      </w:tr>
      <w:tr>
        <w:trPr>
          <w:trHeight w:val="392"/>
        </w:trPr>
        <w:tc>
          <w:tcPr>
            <w:tcW w:w="5760" w:type="dxa"/>
            <w:vAlign w:val="bottom"/>
          </w:tcPr>
          <w:p>
            <w:pPr>
              <w:spacing w:after="0"/>
              <w:rPr>
                <w:sz w:val="20"/>
                <w:szCs w:val="20"/>
                <w:color w:val="auto"/>
              </w:rPr>
            </w:pPr>
            <w:r>
              <w:rPr>
                <w:rFonts w:ascii="Courier New" w:cs="Courier New" w:eastAsia="Courier New" w:hAnsi="Courier New"/>
                <w:sz w:val="17"/>
                <w:szCs w:val="17"/>
                <w:color w:val="auto"/>
              </w:rPr>
              <w:t>Weighted average number of</w:t>
            </w: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96"/>
        </w:trPr>
        <w:tc>
          <w:tcPr>
            <w:tcW w:w="5760" w:type="dxa"/>
            <w:vAlign w:val="bottom"/>
          </w:tcPr>
          <w:p>
            <w:pPr>
              <w:ind w:left="200"/>
              <w:spacing w:after="0"/>
              <w:rPr>
                <w:sz w:val="20"/>
                <w:szCs w:val="20"/>
                <w:color w:val="auto"/>
              </w:rPr>
            </w:pPr>
            <w:r>
              <w:rPr>
                <w:rFonts w:ascii="Courier New" w:cs="Courier New" w:eastAsia="Courier New" w:hAnsi="Courier New"/>
                <w:sz w:val="17"/>
                <w:szCs w:val="17"/>
                <w:color w:val="auto"/>
              </w:rPr>
              <w:t>common shares outstanding</w:t>
            </w:r>
          </w:p>
        </w:tc>
        <w:tc>
          <w:tcPr>
            <w:tcW w:w="1640" w:type="dxa"/>
            <w:vAlign w:val="bottom"/>
            <w:gridSpan w:val="2"/>
          </w:tcPr>
          <w:p>
            <w:pPr>
              <w:jc w:val="right"/>
              <w:ind w:right="475"/>
              <w:spacing w:after="0"/>
              <w:rPr>
                <w:sz w:val="20"/>
                <w:szCs w:val="20"/>
                <w:color w:val="auto"/>
              </w:rPr>
            </w:pPr>
            <w:r>
              <w:rPr>
                <w:rFonts w:ascii="Courier New" w:cs="Courier New" w:eastAsia="Courier New" w:hAnsi="Courier New"/>
                <w:sz w:val="17"/>
                <w:szCs w:val="17"/>
                <w:color w:val="auto"/>
              </w:rPr>
              <w:t>21,128,564</w:t>
            </w:r>
          </w:p>
        </w:tc>
        <w:tc>
          <w:tcPr>
            <w:tcW w:w="128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18,658,535</w:t>
            </w:r>
          </w:p>
        </w:tc>
      </w:tr>
    </w:tbl>
    <w:p>
      <w:pPr>
        <w:spacing w:after="0" w:line="201" w:lineRule="exact"/>
        <w:rPr>
          <w:sz w:val="20"/>
          <w:szCs w:val="20"/>
          <w:color w:val="auto"/>
        </w:rPr>
      </w:pPr>
    </w:p>
    <w:p>
      <w:pPr>
        <w:ind w:left="520" w:hanging="515"/>
        <w:spacing w:after="0" w:line="243" w:lineRule="auto"/>
        <w:tabs>
          <w:tab w:leader="none" w:pos="418"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Loss before cumulative effect of accounting changes for the three months ended January 2, 1993 has been restated to reflect an ongoing net of tax charge of $462 or $.02 resulting from the adoption of SFAS No. 106 effective October 1, 1992.</w:t>
      </w:r>
    </w:p>
    <w:p>
      <w:pPr>
        <w:spacing w:after="0" w:line="199" w:lineRule="exact"/>
        <w:rPr>
          <w:rFonts w:ascii="Courier New" w:cs="Courier New" w:eastAsia="Courier New" w:hAnsi="Courier New"/>
          <w:sz w:val="17"/>
          <w:szCs w:val="17"/>
          <w:color w:val="auto"/>
        </w:rPr>
      </w:pPr>
    </w:p>
    <w:p>
      <w:pPr>
        <w:ind w:left="520" w:right="80" w:hanging="515"/>
        <w:spacing w:after="0" w:line="243" w:lineRule="auto"/>
        <w:tabs>
          <w:tab w:leader="none" w:pos="418"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net loss for the three months ended January 2, 1993 has been restated to reflect the cumulative effect of changes in accounting for postretirement benefits (a net of tax change of $14,932 or $.71 per share) and income taxes (a benefit of $1,775 or $.08 per share).</w:t>
      </w:r>
    </w:p>
    <w:p>
      <w:pPr>
        <w:spacing w:after="0" w:line="199" w:lineRule="exact"/>
        <w:rPr>
          <w:sz w:val="20"/>
          <w:szCs w:val="20"/>
          <w:color w:val="auto"/>
        </w:rPr>
      </w:pPr>
    </w:p>
    <w:p>
      <w:pPr>
        <w:ind w:left="2240"/>
        <w:spacing w:after="0"/>
        <w:rPr>
          <w:sz w:val="20"/>
          <w:szCs w:val="20"/>
          <w:color w:val="auto"/>
        </w:rPr>
      </w:pPr>
      <w:r>
        <w:rPr>
          <w:rFonts w:ascii="Courier New" w:cs="Courier New" w:eastAsia="Courier New" w:hAnsi="Courier New"/>
          <w:sz w:val="17"/>
          <w:szCs w:val="17"/>
          <w:color w:val="auto"/>
        </w:rPr>
        <w:t>The accompanying notes to consolidated financial</w:t>
      </w:r>
    </w:p>
    <w:p>
      <w:pPr>
        <w:spacing w:after="0" w:line="4" w:lineRule="exact"/>
        <w:rPr>
          <w:sz w:val="20"/>
          <w:szCs w:val="20"/>
          <w:color w:val="auto"/>
        </w:rPr>
      </w:pPr>
    </w:p>
    <w:p>
      <w:pPr>
        <w:ind w:left="2140"/>
        <w:spacing w:after="0"/>
        <w:rPr>
          <w:sz w:val="20"/>
          <w:szCs w:val="20"/>
          <w:color w:val="auto"/>
        </w:rPr>
      </w:pPr>
      <w:r>
        <w:rPr>
          <w:rFonts w:ascii="Courier New" w:cs="Courier New" w:eastAsia="Courier New" w:hAnsi="Courier New"/>
          <w:sz w:val="17"/>
          <w:szCs w:val="17"/>
          <w:color w:val="auto"/>
        </w:rPr>
        <w:t>statements are an integral part of these statements.</w:t>
      </w:r>
    </w:p>
    <w:p>
      <w:pPr>
        <w:spacing w:after="0" w:line="200" w:lineRule="exact"/>
        <w:rPr>
          <w:sz w:val="20"/>
          <w:szCs w:val="20"/>
          <w:color w:val="auto"/>
        </w:rPr>
      </w:pPr>
    </w:p>
    <w:p>
      <w:pPr>
        <w:spacing w:after="0" w:line="392" w:lineRule="exact"/>
        <w:rPr>
          <w:sz w:val="20"/>
          <w:szCs w:val="20"/>
          <w:color w:val="auto"/>
        </w:rPr>
      </w:pPr>
    </w:p>
    <w:p>
      <w:pPr>
        <w:ind w:left="4180"/>
        <w:spacing w:after="0"/>
        <w:rPr>
          <w:sz w:val="20"/>
          <w:szCs w:val="20"/>
          <w:color w:val="auto"/>
        </w:rPr>
      </w:pPr>
      <w:r>
        <w:rPr>
          <w:rFonts w:ascii="Courier New" w:cs="Courier New" w:eastAsia="Courier New" w:hAnsi="Courier New"/>
          <w:sz w:val="17"/>
          <w:szCs w:val="17"/>
          <w:color w:val="auto"/>
        </w:rPr>
        <w:t>Page 5</w:t>
      </w:r>
    </w:p>
    <w:p>
      <w:pPr>
        <w:sectPr>
          <w:pgSz w:w="11900" w:h="16838" w:orient="portrait"/>
          <w:cols w:equalWidth="0" w:num="1">
            <w:col w:w="11520"/>
          </w:cols>
          <w:pgMar w:left="240" w:top="507" w:right="139" w:bottom="1440" w:gutter="0" w:footer="0" w:header="0"/>
        </w:sectPr>
      </w:pPr>
    </w:p>
    <w:bookmarkStart w:id="5" w:name="page6"/>
    <w:bookmarkEnd w:id="5"/>
    <w:p>
      <w:pPr>
        <w:jc w:val="center"/>
        <w:ind w:right="1339"/>
        <w:spacing w:after="0"/>
        <w:rPr>
          <w:sz w:val="20"/>
          <w:szCs w:val="20"/>
          <w:color w:val="auto"/>
        </w:rPr>
      </w:pPr>
      <w:r>
        <w:rPr>
          <w:rFonts w:ascii="Courier New" w:cs="Courier New" w:eastAsia="Courier New" w:hAnsi="Courier New"/>
          <w:sz w:val="17"/>
          <w:szCs w:val="17"/>
          <w:color w:val="auto"/>
        </w:rPr>
        <w:t>THE SCOTTS COMPANY AND SUBSIDIARIES</w:t>
      </w:r>
    </w:p>
    <w:p>
      <w:pPr>
        <w:spacing w:after="0" w:line="4" w:lineRule="exact"/>
        <w:rPr>
          <w:sz w:val="20"/>
          <w:szCs w:val="20"/>
          <w:color w:val="auto"/>
        </w:rPr>
      </w:pPr>
    </w:p>
    <w:p>
      <w:pPr>
        <w:jc w:val="center"/>
        <w:ind w:right="1339"/>
        <w:spacing w:after="0"/>
        <w:rPr>
          <w:sz w:val="20"/>
          <w:szCs w:val="20"/>
          <w:color w:val="auto"/>
        </w:rPr>
      </w:pPr>
      <w:r>
        <w:rPr>
          <w:rFonts w:ascii="Courier New" w:cs="Courier New" w:eastAsia="Courier New" w:hAnsi="Courier New"/>
          <w:sz w:val="17"/>
          <w:szCs w:val="17"/>
          <w:color w:val="auto"/>
        </w:rPr>
        <w:t>CONSOLIDATED STATEMENTS OF CASH FLOWS</w:t>
      </w:r>
    </w:p>
    <w:p>
      <w:pPr>
        <w:spacing w:after="0" w:line="4" w:lineRule="exact"/>
        <w:rPr>
          <w:sz w:val="20"/>
          <w:szCs w:val="20"/>
          <w:color w:val="auto"/>
        </w:rPr>
      </w:pPr>
    </w:p>
    <w:p>
      <w:pPr>
        <w:jc w:val="center"/>
        <w:ind w:right="1339"/>
        <w:spacing w:after="0"/>
        <w:rPr>
          <w:sz w:val="20"/>
          <w:szCs w:val="20"/>
          <w:color w:val="auto"/>
        </w:rPr>
      </w:pPr>
      <w:r>
        <w:rPr>
          <w:rFonts w:ascii="Courier New" w:cs="Courier New" w:eastAsia="Courier New" w:hAnsi="Courier New"/>
          <w:sz w:val="17"/>
          <w:szCs w:val="17"/>
          <w:color w:val="auto"/>
        </w:rPr>
        <w:t>(Unaudited)</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560" w:type="dxa"/>
            <w:vAlign w:val="bottom"/>
          </w:tcPr>
          <w:p>
            <w:pPr>
              <w:ind w:left="3780"/>
              <w:spacing w:after="0"/>
              <w:rPr>
                <w:sz w:val="20"/>
                <w:szCs w:val="20"/>
                <w:color w:val="auto"/>
              </w:rPr>
            </w:pPr>
            <w:r>
              <w:rPr>
                <w:rFonts w:ascii="Courier New" w:cs="Courier New" w:eastAsia="Courier New" w:hAnsi="Courier New"/>
                <w:sz w:val="17"/>
                <w:szCs w:val="17"/>
                <w:color w:val="auto"/>
              </w:rPr>
              <w:t>(in thousands)</w:t>
            </w:r>
          </w:p>
        </w:tc>
        <w:tc>
          <w:tcPr>
            <w:tcW w:w="4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392"/>
        </w:trPr>
        <w:tc>
          <w:tcPr>
            <w:tcW w:w="5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60" w:type="dxa"/>
            <w:vAlign w:val="bottom"/>
            <w:gridSpan w:val="3"/>
          </w:tcPr>
          <w:p>
            <w:pPr>
              <w:jc w:val="right"/>
              <w:ind w:right="335"/>
              <w:spacing w:after="0"/>
              <w:rPr>
                <w:sz w:val="20"/>
                <w:szCs w:val="20"/>
                <w:color w:val="auto"/>
              </w:rPr>
            </w:pPr>
            <w:r>
              <w:rPr>
                <w:rFonts w:ascii="Courier New" w:cs="Courier New" w:eastAsia="Courier New" w:hAnsi="Courier New"/>
                <w:sz w:val="17"/>
                <w:szCs w:val="17"/>
                <w:color w:val="auto"/>
              </w:rPr>
              <w:t>Three Months Ended</w:t>
            </w:r>
          </w:p>
        </w:tc>
      </w:tr>
      <w:tr>
        <w:trPr>
          <w:trHeight w:val="196"/>
        </w:trPr>
        <w:tc>
          <w:tcPr>
            <w:tcW w:w="5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20" w:type="dxa"/>
            <w:vAlign w:val="bottom"/>
          </w:tcPr>
          <w:p>
            <w:pPr>
              <w:jc w:val="right"/>
              <w:ind w:right="215"/>
              <w:spacing w:after="0"/>
              <w:rPr>
                <w:sz w:val="20"/>
                <w:szCs w:val="20"/>
                <w:color w:val="auto"/>
              </w:rPr>
            </w:pPr>
            <w:r>
              <w:rPr>
                <w:rFonts w:ascii="Courier New" w:cs="Courier New" w:eastAsia="Courier New" w:hAnsi="Courier New"/>
                <w:sz w:val="17"/>
                <w:szCs w:val="17"/>
                <w:color w:val="auto"/>
                <w:w w:val="97"/>
              </w:rPr>
              <w:t>January 2</w:t>
            </w:r>
          </w:p>
        </w:tc>
        <w:tc>
          <w:tcPr>
            <w:tcW w:w="4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January 1</w:t>
            </w:r>
          </w:p>
        </w:tc>
      </w:tr>
      <w:tr>
        <w:trPr>
          <w:trHeight w:val="196"/>
        </w:trPr>
        <w:tc>
          <w:tcPr>
            <w:tcW w:w="5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2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1993</w:t>
            </w:r>
          </w:p>
        </w:tc>
        <w:tc>
          <w:tcPr>
            <w:tcW w:w="460" w:type="dxa"/>
            <w:vAlign w:val="bottom"/>
          </w:tcPr>
          <w:p>
            <w:pPr>
              <w:spacing w:after="0"/>
              <w:rPr>
                <w:sz w:val="17"/>
                <w:szCs w:val="17"/>
                <w:color w:val="auto"/>
              </w:rPr>
            </w:pPr>
          </w:p>
        </w:tc>
        <w:tc>
          <w:tcPr>
            <w:tcW w:w="9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1994</w:t>
            </w:r>
          </w:p>
        </w:tc>
      </w:tr>
      <w:tr>
        <w:trPr>
          <w:trHeight w:val="392"/>
        </w:trPr>
        <w:tc>
          <w:tcPr>
            <w:tcW w:w="5560" w:type="dxa"/>
            <w:vAlign w:val="bottom"/>
          </w:tcPr>
          <w:p>
            <w:pPr>
              <w:spacing w:after="0"/>
              <w:rPr>
                <w:sz w:val="20"/>
                <w:szCs w:val="20"/>
                <w:color w:val="auto"/>
              </w:rPr>
            </w:pPr>
            <w:r>
              <w:rPr>
                <w:rFonts w:ascii="Courier New" w:cs="Courier New" w:eastAsia="Courier New" w:hAnsi="Courier New"/>
                <w:sz w:val="17"/>
                <w:szCs w:val="17"/>
                <w:color w:val="auto"/>
              </w:rPr>
              <w:t>CASH FLOWS FROM OPERATING ACTIVITIES</w:t>
            </w:r>
          </w:p>
        </w:tc>
        <w:tc>
          <w:tcPr>
            <w:tcW w:w="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96"/>
        </w:trPr>
        <w:tc>
          <w:tcPr>
            <w:tcW w:w="5560" w:type="dxa"/>
            <w:vAlign w:val="bottom"/>
          </w:tcPr>
          <w:p>
            <w:pPr>
              <w:ind w:left="200"/>
              <w:spacing w:after="0"/>
              <w:rPr>
                <w:sz w:val="20"/>
                <w:szCs w:val="20"/>
                <w:color w:val="auto"/>
              </w:rPr>
            </w:pPr>
            <w:r>
              <w:rPr>
                <w:rFonts w:ascii="Courier New" w:cs="Courier New" w:eastAsia="Courier New" w:hAnsi="Courier New"/>
                <w:sz w:val="17"/>
                <w:szCs w:val="17"/>
                <w:color w:val="auto"/>
              </w:rPr>
              <w:t>Net loss</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(13,628)</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(1,557)</w:t>
            </w:r>
          </w:p>
        </w:tc>
      </w:tr>
      <w:tr>
        <w:trPr>
          <w:trHeight w:val="196"/>
        </w:trPr>
        <w:tc>
          <w:tcPr>
            <w:tcW w:w="5560" w:type="dxa"/>
            <w:vAlign w:val="bottom"/>
          </w:tcPr>
          <w:p>
            <w:pPr>
              <w:ind w:left="200"/>
              <w:spacing w:after="0"/>
              <w:rPr>
                <w:sz w:val="20"/>
                <w:szCs w:val="20"/>
                <w:color w:val="auto"/>
              </w:rPr>
            </w:pPr>
            <w:r>
              <w:rPr>
                <w:rFonts w:ascii="Courier New" w:cs="Courier New" w:eastAsia="Courier New" w:hAnsi="Courier New"/>
                <w:sz w:val="17"/>
                <w:szCs w:val="17"/>
                <w:color w:val="auto"/>
              </w:rPr>
              <w:t>Adjustments to reconcile net loss to net</w:t>
            </w:r>
          </w:p>
        </w:tc>
        <w:tc>
          <w:tcPr>
            <w:tcW w:w="4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6"/>
        </w:trPr>
        <w:tc>
          <w:tcPr>
            <w:tcW w:w="5560" w:type="dxa"/>
            <w:vAlign w:val="bottom"/>
          </w:tcPr>
          <w:p>
            <w:pPr>
              <w:ind w:left="320"/>
              <w:spacing w:after="0"/>
              <w:rPr>
                <w:sz w:val="20"/>
                <w:szCs w:val="20"/>
                <w:color w:val="auto"/>
              </w:rPr>
            </w:pPr>
            <w:r>
              <w:rPr>
                <w:rFonts w:ascii="Courier New" w:cs="Courier New" w:eastAsia="Courier New" w:hAnsi="Courier New"/>
                <w:sz w:val="17"/>
                <w:szCs w:val="17"/>
                <w:color w:val="auto"/>
              </w:rPr>
              <w:t>cash used in operating activities:</w:t>
            </w:r>
          </w:p>
        </w:tc>
        <w:tc>
          <w:tcPr>
            <w:tcW w:w="4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6"/>
        </w:trPr>
        <w:tc>
          <w:tcPr>
            <w:tcW w:w="5560" w:type="dxa"/>
            <w:vAlign w:val="bottom"/>
          </w:tcPr>
          <w:p>
            <w:pPr>
              <w:ind w:left="420"/>
              <w:spacing w:after="0"/>
              <w:rPr>
                <w:sz w:val="20"/>
                <w:szCs w:val="20"/>
                <w:color w:val="auto"/>
              </w:rPr>
            </w:pPr>
            <w:r>
              <w:rPr>
                <w:rFonts w:ascii="Courier New" w:cs="Courier New" w:eastAsia="Courier New" w:hAnsi="Courier New"/>
                <w:sz w:val="17"/>
                <w:szCs w:val="17"/>
                <w:color w:val="auto"/>
              </w:rPr>
              <w:t>Depreciation and amortization</w:t>
            </w:r>
          </w:p>
        </w:tc>
        <w:tc>
          <w:tcPr>
            <w:tcW w:w="460" w:type="dxa"/>
            <w:vAlign w:val="bottom"/>
          </w:tcPr>
          <w:p>
            <w:pPr>
              <w:spacing w:after="0"/>
              <w:rPr>
                <w:sz w:val="17"/>
                <w:szCs w:val="17"/>
                <w:color w:val="auto"/>
              </w:rPr>
            </w:pPr>
          </w:p>
        </w:tc>
        <w:tc>
          <w:tcPr>
            <w:tcW w:w="12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4,322</w:t>
            </w:r>
          </w:p>
        </w:tc>
        <w:tc>
          <w:tcPr>
            <w:tcW w:w="460" w:type="dxa"/>
            <w:vAlign w:val="bottom"/>
          </w:tcPr>
          <w:p>
            <w:pPr>
              <w:spacing w:after="0"/>
              <w:rPr>
                <w:sz w:val="17"/>
                <w:szCs w:val="17"/>
                <w:color w:val="auto"/>
              </w:rPr>
            </w:pPr>
          </w:p>
        </w:tc>
        <w:tc>
          <w:tcPr>
            <w:tcW w:w="9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4,603</w:t>
            </w:r>
          </w:p>
        </w:tc>
      </w:tr>
      <w:tr>
        <w:trPr>
          <w:trHeight w:val="196"/>
        </w:trPr>
        <w:tc>
          <w:tcPr>
            <w:tcW w:w="5560" w:type="dxa"/>
            <w:vAlign w:val="bottom"/>
          </w:tcPr>
          <w:p>
            <w:pPr>
              <w:ind w:left="420"/>
              <w:spacing w:after="0"/>
              <w:rPr>
                <w:sz w:val="20"/>
                <w:szCs w:val="20"/>
                <w:color w:val="auto"/>
              </w:rPr>
            </w:pPr>
            <w:r>
              <w:rPr>
                <w:rFonts w:ascii="Courier New" w:cs="Courier New" w:eastAsia="Courier New" w:hAnsi="Courier New"/>
                <w:sz w:val="17"/>
                <w:szCs w:val="17"/>
                <w:color w:val="auto"/>
              </w:rPr>
              <w:t>Cumulative effect of change in accounting</w:t>
            </w:r>
          </w:p>
        </w:tc>
        <w:tc>
          <w:tcPr>
            <w:tcW w:w="4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6"/>
        </w:trPr>
        <w:tc>
          <w:tcPr>
            <w:tcW w:w="5560" w:type="dxa"/>
            <w:vAlign w:val="bottom"/>
          </w:tcPr>
          <w:p>
            <w:pPr>
              <w:ind w:left="620"/>
              <w:spacing w:after="0"/>
              <w:rPr>
                <w:sz w:val="20"/>
                <w:szCs w:val="20"/>
                <w:color w:val="auto"/>
              </w:rPr>
            </w:pPr>
            <w:r>
              <w:rPr>
                <w:rFonts w:ascii="Courier New" w:cs="Courier New" w:eastAsia="Courier New" w:hAnsi="Courier New"/>
                <w:sz w:val="17"/>
                <w:szCs w:val="17"/>
                <w:color w:val="auto"/>
              </w:rPr>
              <w:t>for postretirement benefits</w:t>
            </w:r>
          </w:p>
        </w:tc>
        <w:tc>
          <w:tcPr>
            <w:tcW w:w="460" w:type="dxa"/>
            <w:vAlign w:val="bottom"/>
          </w:tcPr>
          <w:p>
            <w:pPr>
              <w:spacing w:after="0"/>
              <w:rPr>
                <w:sz w:val="17"/>
                <w:szCs w:val="17"/>
                <w:color w:val="auto"/>
              </w:rPr>
            </w:pPr>
          </w:p>
        </w:tc>
        <w:tc>
          <w:tcPr>
            <w:tcW w:w="12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24,280</w:t>
            </w:r>
          </w:p>
        </w:tc>
        <w:tc>
          <w:tcPr>
            <w:tcW w:w="460" w:type="dxa"/>
            <w:vAlign w:val="bottom"/>
          </w:tcPr>
          <w:p>
            <w:pPr>
              <w:spacing w:after="0"/>
              <w:rPr>
                <w:sz w:val="17"/>
                <w:szCs w:val="17"/>
                <w:color w:val="auto"/>
              </w:rPr>
            </w:pPr>
          </w:p>
        </w:tc>
        <w:tc>
          <w:tcPr>
            <w:tcW w:w="9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5560" w:type="dxa"/>
            <w:vAlign w:val="bottom"/>
          </w:tcPr>
          <w:p>
            <w:pPr>
              <w:ind w:left="420"/>
              <w:spacing w:after="0"/>
              <w:rPr>
                <w:sz w:val="20"/>
                <w:szCs w:val="20"/>
                <w:color w:val="auto"/>
              </w:rPr>
            </w:pPr>
            <w:r>
              <w:rPr>
                <w:rFonts w:ascii="Courier New" w:cs="Courier New" w:eastAsia="Courier New" w:hAnsi="Courier New"/>
                <w:sz w:val="17"/>
                <w:szCs w:val="17"/>
                <w:color w:val="auto"/>
              </w:rPr>
              <w:t>Postretirement benefits</w:t>
            </w:r>
          </w:p>
        </w:tc>
        <w:tc>
          <w:tcPr>
            <w:tcW w:w="460" w:type="dxa"/>
            <w:vAlign w:val="bottom"/>
          </w:tcPr>
          <w:p>
            <w:pPr>
              <w:spacing w:after="0"/>
              <w:rPr>
                <w:sz w:val="17"/>
                <w:szCs w:val="17"/>
                <w:color w:val="auto"/>
              </w:rPr>
            </w:pPr>
          </w:p>
        </w:tc>
        <w:tc>
          <w:tcPr>
            <w:tcW w:w="12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761</w:t>
            </w:r>
          </w:p>
        </w:tc>
        <w:tc>
          <w:tcPr>
            <w:tcW w:w="460" w:type="dxa"/>
            <w:vAlign w:val="bottom"/>
          </w:tcPr>
          <w:p>
            <w:pPr>
              <w:spacing w:after="0"/>
              <w:rPr>
                <w:sz w:val="17"/>
                <w:szCs w:val="17"/>
                <w:color w:val="auto"/>
              </w:rPr>
            </w:pPr>
          </w:p>
        </w:tc>
        <w:tc>
          <w:tcPr>
            <w:tcW w:w="9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32</w:t>
            </w:r>
          </w:p>
        </w:tc>
      </w:tr>
      <w:tr>
        <w:trPr>
          <w:trHeight w:val="196"/>
        </w:trPr>
        <w:tc>
          <w:tcPr>
            <w:tcW w:w="5560" w:type="dxa"/>
            <w:vAlign w:val="bottom"/>
          </w:tcPr>
          <w:p>
            <w:pPr>
              <w:ind w:left="420"/>
              <w:spacing w:after="0"/>
              <w:rPr>
                <w:sz w:val="20"/>
                <w:szCs w:val="20"/>
                <w:color w:val="auto"/>
              </w:rPr>
            </w:pPr>
            <w:r>
              <w:rPr>
                <w:rFonts w:ascii="Courier New" w:cs="Courier New" w:eastAsia="Courier New" w:hAnsi="Courier New"/>
                <w:sz w:val="17"/>
                <w:szCs w:val="17"/>
                <w:color w:val="auto"/>
              </w:rPr>
              <w:t>Deferred income taxes</w:t>
            </w:r>
          </w:p>
        </w:tc>
        <w:tc>
          <w:tcPr>
            <w:tcW w:w="460" w:type="dxa"/>
            <w:vAlign w:val="bottom"/>
          </w:tcPr>
          <w:p>
            <w:pPr>
              <w:spacing w:after="0"/>
              <w:rPr>
                <w:sz w:val="17"/>
                <w:szCs w:val="17"/>
                <w:color w:val="auto"/>
              </w:rPr>
            </w:pPr>
          </w:p>
        </w:tc>
        <w:tc>
          <w:tcPr>
            <w:tcW w:w="12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(11,422)</w:t>
            </w:r>
          </w:p>
        </w:tc>
        <w:tc>
          <w:tcPr>
            <w:tcW w:w="460" w:type="dxa"/>
            <w:vAlign w:val="bottom"/>
          </w:tcPr>
          <w:p>
            <w:pPr>
              <w:spacing w:after="0"/>
              <w:rPr>
                <w:sz w:val="17"/>
                <w:szCs w:val="17"/>
                <w:color w:val="auto"/>
              </w:rPr>
            </w:pPr>
          </w:p>
        </w:tc>
        <w:tc>
          <w:tcPr>
            <w:tcW w:w="9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5560" w:type="dxa"/>
            <w:vAlign w:val="bottom"/>
          </w:tcPr>
          <w:p>
            <w:pPr>
              <w:ind w:left="420"/>
              <w:spacing w:after="0"/>
              <w:rPr>
                <w:sz w:val="20"/>
                <w:szCs w:val="20"/>
                <w:color w:val="auto"/>
              </w:rPr>
            </w:pPr>
            <w:r>
              <w:rPr>
                <w:rFonts w:ascii="Courier New" w:cs="Courier New" w:eastAsia="Courier New" w:hAnsi="Courier New"/>
                <w:sz w:val="17"/>
                <w:szCs w:val="17"/>
                <w:color w:val="auto"/>
              </w:rPr>
              <w:t>Net increase in certain components</w:t>
            </w:r>
          </w:p>
        </w:tc>
        <w:tc>
          <w:tcPr>
            <w:tcW w:w="4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6"/>
        </w:trPr>
        <w:tc>
          <w:tcPr>
            <w:tcW w:w="5560" w:type="dxa"/>
            <w:vAlign w:val="bottom"/>
          </w:tcPr>
          <w:p>
            <w:pPr>
              <w:ind w:left="620"/>
              <w:spacing w:after="0"/>
              <w:rPr>
                <w:sz w:val="20"/>
                <w:szCs w:val="20"/>
                <w:color w:val="auto"/>
              </w:rPr>
            </w:pPr>
            <w:r>
              <w:rPr>
                <w:rFonts w:ascii="Courier New" w:cs="Courier New" w:eastAsia="Courier New" w:hAnsi="Courier New"/>
                <w:sz w:val="17"/>
                <w:szCs w:val="17"/>
                <w:color w:val="auto"/>
              </w:rPr>
              <w:t>of working capital</w:t>
            </w:r>
          </w:p>
        </w:tc>
        <w:tc>
          <w:tcPr>
            <w:tcW w:w="460" w:type="dxa"/>
            <w:vAlign w:val="bottom"/>
          </w:tcPr>
          <w:p>
            <w:pPr>
              <w:spacing w:after="0"/>
              <w:rPr>
                <w:sz w:val="17"/>
                <w:szCs w:val="17"/>
                <w:color w:val="auto"/>
              </w:rPr>
            </w:pPr>
          </w:p>
        </w:tc>
        <w:tc>
          <w:tcPr>
            <w:tcW w:w="12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(48,000)</w:t>
            </w:r>
          </w:p>
        </w:tc>
        <w:tc>
          <w:tcPr>
            <w:tcW w:w="4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(53,377)</w:t>
            </w:r>
          </w:p>
        </w:tc>
      </w:tr>
      <w:tr>
        <w:trPr>
          <w:trHeight w:val="196"/>
        </w:trPr>
        <w:tc>
          <w:tcPr>
            <w:tcW w:w="5560" w:type="dxa"/>
            <w:vAlign w:val="bottom"/>
          </w:tcPr>
          <w:p>
            <w:pPr>
              <w:ind w:left="420"/>
              <w:spacing w:after="0"/>
              <w:rPr>
                <w:sz w:val="20"/>
                <w:szCs w:val="20"/>
                <w:color w:val="auto"/>
              </w:rPr>
            </w:pPr>
            <w:r>
              <w:rPr>
                <w:rFonts w:ascii="Courier New" w:cs="Courier New" w:eastAsia="Courier New" w:hAnsi="Courier New"/>
                <w:sz w:val="17"/>
                <w:szCs w:val="17"/>
                <w:color w:val="auto"/>
              </w:rPr>
              <w:t>Net decrease in other assets</w:t>
            </w:r>
          </w:p>
        </w:tc>
        <w:tc>
          <w:tcPr>
            <w:tcW w:w="4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6"/>
        </w:trPr>
        <w:tc>
          <w:tcPr>
            <w:tcW w:w="5560" w:type="dxa"/>
            <w:vAlign w:val="bottom"/>
          </w:tcPr>
          <w:p>
            <w:pPr>
              <w:ind w:left="620"/>
              <w:spacing w:after="0"/>
              <w:rPr>
                <w:sz w:val="20"/>
                <w:szCs w:val="20"/>
                <w:color w:val="auto"/>
              </w:rPr>
            </w:pPr>
            <w:r>
              <w:rPr>
                <w:rFonts w:ascii="Courier New" w:cs="Courier New" w:eastAsia="Courier New" w:hAnsi="Courier New"/>
                <w:sz w:val="17"/>
                <w:szCs w:val="17"/>
                <w:color w:val="auto"/>
              </w:rPr>
              <w:t>and liabilities and other adjustments</w:t>
            </w:r>
          </w:p>
        </w:tc>
        <w:tc>
          <w:tcPr>
            <w:tcW w:w="460" w:type="dxa"/>
            <w:vAlign w:val="bottom"/>
          </w:tcPr>
          <w:p>
            <w:pPr>
              <w:spacing w:after="0"/>
              <w:rPr>
                <w:sz w:val="17"/>
                <w:szCs w:val="17"/>
                <w:color w:val="auto"/>
              </w:rPr>
            </w:pPr>
          </w:p>
        </w:tc>
        <w:tc>
          <w:tcPr>
            <w:tcW w:w="12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295</w:t>
            </w:r>
          </w:p>
        </w:tc>
        <w:tc>
          <w:tcPr>
            <w:tcW w:w="4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(147)</w:t>
            </w:r>
          </w:p>
        </w:tc>
      </w:tr>
      <w:tr>
        <w:trPr>
          <w:trHeight w:val="392"/>
        </w:trPr>
        <w:tc>
          <w:tcPr>
            <w:tcW w:w="5560" w:type="dxa"/>
            <w:vAlign w:val="bottom"/>
          </w:tcPr>
          <w:p>
            <w:pPr>
              <w:ind w:left="820"/>
              <w:spacing w:after="0"/>
              <w:rPr>
                <w:sz w:val="20"/>
                <w:szCs w:val="20"/>
                <w:color w:val="auto"/>
              </w:rPr>
            </w:pPr>
            <w:r>
              <w:rPr>
                <w:rFonts w:ascii="Courier New" w:cs="Courier New" w:eastAsia="Courier New" w:hAnsi="Courier New"/>
                <w:sz w:val="17"/>
                <w:szCs w:val="17"/>
                <w:color w:val="auto"/>
              </w:rPr>
              <w:t>Net cash used in operating activities</w:t>
            </w:r>
          </w:p>
        </w:tc>
        <w:tc>
          <w:tcPr>
            <w:tcW w:w="460" w:type="dxa"/>
            <w:vAlign w:val="bottom"/>
          </w:tcPr>
          <w:p>
            <w:pPr>
              <w:spacing w:after="0"/>
              <w:rPr>
                <w:sz w:val="24"/>
                <w:szCs w:val="24"/>
                <w:color w:val="auto"/>
              </w:rPr>
            </w:pPr>
          </w:p>
        </w:tc>
        <w:tc>
          <w:tcPr>
            <w:tcW w:w="12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(43,392)</w:t>
            </w:r>
          </w:p>
        </w:tc>
        <w:tc>
          <w:tcPr>
            <w:tcW w:w="4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(50,446)</w:t>
            </w:r>
          </w:p>
        </w:tc>
      </w:tr>
      <w:tr>
        <w:trPr>
          <w:trHeight w:val="392"/>
        </w:trPr>
        <w:tc>
          <w:tcPr>
            <w:tcW w:w="5560" w:type="dxa"/>
            <w:vAlign w:val="bottom"/>
          </w:tcPr>
          <w:p>
            <w:pPr>
              <w:spacing w:after="0"/>
              <w:rPr>
                <w:sz w:val="20"/>
                <w:szCs w:val="20"/>
                <w:color w:val="auto"/>
              </w:rPr>
            </w:pPr>
            <w:r>
              <w:rPr>
                <w:rFonts w:ascii="Courier New" w:cs="Courier New" w:eastAsia="Courier New" w:hAnsi="Courier New"/>
                <w:sz w:val="17"/>
                <w:szCs w:val="17"/>
                <w:color w:val="auto"/>
              </w:rPr>
              <w:t>CASH FLOWS FROM INVESTING ACTIVITIES</w:t>
            </w:r>
          </w:p>
        </w:tc>
        <w:tc>
          <w:tcPr>
            <w:tcW w:w="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96"/>
        </w:trPr>
        <w:tc>
          <w:tcPr>
            <w:tcW w:w="5560" w:type="dxa"/>
            <w:vAlign w:val="bottom"/>
          </w:tcPr>
          <w:p>
            <w:pPr>
              <w:ind w:left="200"/>
              <w:spacing w:after="0"/>
              <w:rPr>
                <w:sz w:val="20"/>
                <w:szCs w:val="20"/>
                <w:color w:val="auto"/>
              </w:rPr>
            </w:pPr>
            <w:r>
              <w:rPr>
                <w:rFonts w:ascii="Courier New" w:cs="Courier New" w:eastAsia="Courier New" w:hAnsi="Courier New"/>
                <w:sz w:val="17"/>
                <w:szCs w:val="17"/>
                <w:color w:val="auto"/>
              </w:rPr>
              <w:t>Investment in plant and equipment, net</w:t>
            </w:r>
          </w:p>
        </w:tc>
        <w:tc>
          <w:tcPr>
            <w:tcW w:w="460" w:type="dxa"/>
            <w:vAlign w:val="bottom"/>
          </w:tcPr>
          <w:p>
            <w:pPr>
              <w:spacing w:after="0"/>
              <w:rPr>
                <w:sz w:val="17"/>
                <w:szCs w:val="17"/>
                <w:color w:val="auto"/>
              </w:rPr>
            </w:pPr>
          </w:p>
        </w:tc>
        <w:tc>
          <w:tcPr>
            <w:tcW w:w="12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(2,582)</w:t>
            </w:r>
          </w:p>
        </w:tc>
        <w:tc>
          <w:tcPr>
            <w:tcW w:w="4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(4,985)</w:t>
            </w:r>
          </w:p>
        </w:tc>
      </w:tr>
      <w:tr>
        <w:trPr>
          <w:trHeight w:val="196"/>
        </w:trPr>
        <w:tc>
          <w:tcPr>
            <w:tcW w:w="5560" w:type="dxa"/>
            <w:vAlign w:val="bottom"/>
          </w:tcPr>
          <w:p>
            <w:pPr>
              <w:ind w:left="200"/>
              <w:spacing w:after="0"/>
              <w:rPr>
                <w:sz w:val="20"/>
                <w:szCs w:val="20"/>
                <w:color w:val="auto"/>
              </w:rPr>
            </w:pPr>
            <w:r>
              <w:rPr>
                <w:rFonts w:ascii="Courier New" w:cs="Courier New" w:eastAsia="Courier New" w:hAnsi="Courier New"/>
                <w:sz w:val="17"/>
                <w:szCs w:val="17"/>
                <w:color w:val="auto"/>
              </w:rPr>
              <w:t>Acquisition of Sierra, net of cash acquired</w:t>
            </w:r>
          </w:p>
        </w:tc>
        <w:tc>
          <w:tcPr>
            <w:tcW w:w="460" w:type="dxa"/>
            <w:vAlign w:val="bottom"/>
          </w:tcPr>
          <w:p>
            <w:pPr>
              <w:spacing w:after="0"/>
              <w:rPr>
                <w:sz w:val="17"/>
                <w:szCs w:val="17"/>
                <w:color w:val="auto"/>
              </w:rPr>
            </w:pPr>
          </w:p>
        </w:tc>
        <w:tc>
          <w:tcPr>
            <w:tcW w:w="12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(118,986)</w:t>
            </w:r>
          </w:p>
        </w:tc>
      </w:tr>
      <w:tr>
        <w:trPr>
          <w:trHeight w:val="196"/>
        </w:trPr>
        <w:tc>
          <w:tcPr>
            <w:tcW w:w="5560" w:type="dxa"/>
            <w:vAlign w:val="bottom"/>
          </w:tcPr>
          <w:p>
            <w:pPr>
              <w:ind w:left="200"/>
              <w:spacing w:after="0"/>
              <w:rPr>
                <w:sz w:val="20"/>
                <w:szCs w:val="20"/>
                <w:color w:val="auto"/>
              </w:rPr>
            </w:pPr>
            <w:r>
              <w:rPr>
                <w:rFonts w:ascii="Courier New" w:cs="Courier New" w:eastAsia="Courier New" w:hAnsi="Courier New"/>
                <w:sz w:val="17"/>
                <w:szCs w:val="17"/>
                <w:color w:val="auto"/>
              </w:rPr>
              <w:t>Acquisition of Republic, net of cash acquired</w:t>
            </w:r>
          </w:p>
        </w:tc>
        <w:tc>
          <w:tcPr>
            <w:tcW w:w="460" w:type="dxa"/>
            <w:vAlign w:val="bottom"/>
          </w:tcPr>
          <w:p>
            <w:pPr>
              <w:spacing w:after="0"/>
              <w:rPr>
                <w:sz w:val="17"/>
                <w:szCs w:val="17"/>
                <w:color w:val="auto"/>
              </w:rPr>
            </w:pPr>
          </w:p>
        </w:tc>
        <w:tc>
          <w:tcPr>
            <w:tcW w:w="12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(16,366)</w:t>
            </w:r>
          </w:p>
        </w:tc>
        <w:tc>
          <w:tcPr>
            <w:tcW w:w="460" w:type="dxa"/>
            <w:vAlign w:val="bottom"/>
          </w:tcPr>
          <w:p>
            <w:pPr>
              <w:spacing w:after="0"/>
              <w:rPr>
                <w:sz w:val="17"/>
                <w:szCs w:val="17"/>
                <w:color w:val="auto"/>
              </w:rPr>
            </w:pPr>
          </w:p>
        </w:tc>
        <w:tc>
          <w:tcPr>
            <w:tcW w:w="9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392"/>
        </w:trPr>
        <w:tc>
          <w:tcPr>
            <w:tcW w:w="5560" w:type="dxa"/>
            <w:vAlign w:val="bottom"/>
          </w:tcPr>
          <w:p>
            <w:pPr>
              <w:ind w:left="820"/>
              <w:spacing w:after="0"/>
              <w:rPr>
                <w:sz w:val="20"/>
                <w:szCs w:val="20"/>
                <w:color w:val="auto"/>
              </w:rPr>
            </w:pPr>
            <w:r>
              <w:rPr>
                <w:rFonts w:ascii="Courier New" w:cs="Courier New" w:eastAsia="Courier New" w:hAnsi="Courier New"/>
                <w:sz w:val="17"/>
                <w:szCs w:val="17"/>
                <w:color w:val="auto"/>
              </w:rPr>
              <w:t>Net cash used in investing activities</w:t>
            </w:r>
          </w:p>
        </w:tc>
        <w:tc>
          <w:tcPr>
            <w:tcW w:w="460" w:type="dxa"/>
            <w:vAlign w:val="bottom"/>
          </w:tcPr>
          <w:p>
            <w:pPr>
              <w:spacing w:after="0"/>
              <w:rPr>
                <w:sz w:val="24"/>
                <w:szCs w:val="24"/>
                <w:color w:val="auto"/>
              </w:rPr>
            </w:pPr>
          </w:p>
        </w:tc>
        <w:tc>
          <w:tcPr>
            <w:tcW w:w="12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(18,948)</w:t>
            </w:r>
          </w:p>
        </w:tc>
        <w:tc>
          <w:tcPr>
            <w:tcW w:w="4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(123,971)</w:t>
            </w:r>
          </w:p>
        </w:tc>
      </w:tr>
      <w:tr>
        <w:trPr>
          <w:trHeight w:val="392"/>
        </w:trPr>
        <w:tc>
          <w:tcPr>
            <w:tcW w:w="5560" w:type="dxa"/>
            <w:vAlign w:val="bottom"/>
          </w:tcPr>
          <w:p>
            <w:pPr>
              <w:spacing w:after="0"/>
              <w:rPr>
                <w:sz w:val="20"/>
                <w:szCs w:val="20"/>
                <w:color w:val="auto"/>
              </w:rPr>
            </w:pPr>
            <w:r>
              <w:rPr>
                <w:rFonts w:ascii="Courier New" w:cs="Courier New" w:eastAsia="Courier New" w:hAnsi="Courier New"/>
                <w:sz w:val="17"/>
                <w:szCs w:val="17"/>
                <w:color w:val="auto"/>
              </w:rPr>
              <w:t>CASH FLOWS FROM FINANCING ACTIVITIES</w:t>
            </w:r>
          </w:p>
        </w:tc>
        <w:tc>
          <w:tcPr>
            <w:tcW w:w="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96"/>
        </w:trPr>
        <w:tc>
          <w:tcPr>
            <w:tcW w:w="5560" w:type="dxa"/>
            <w:vAlign w:val="bottom"/>
          </w:tcPr>
          <w:p>
            <w:pPr>
              <w:ind w:left="200"/>
              <w:spacing w:after="0"/>
              <w:rPr>
                <w:sz w:val="20"/>
                <w:szCs w:val="20"/>
                <w:color w:val="auto"/>
              </w:rPr>
            </w:pPr>
            <w:r>
              <w:rPr>
                <w:rFonts w:ascii="Courier New" w:cs="Courier New" w:eastAsia="Courier New" w:hAnsi="Courier New"/>
                <w:sz w:val="17"/>
                <w:szCs w:val="17"/>
                <w:color w:val="auto"/>
              </w:rPr>
              <w:t>Borrowings under term debt</w:t>
            </w:r>
          </w:p>
        </w:tc>
        <w:tc>
          <w:tcPr>
            <w:tcW w:w="460" w:type="dxa"/>
            <w:vAlign w:val="bottom"/>
          </w:tcPr>
          <w:p>
            <w:pPr>
              <w:spacing w:after="0"/>
              <w:rPr>
                <w:sz w:val="17"/>
                <w:szCs w:val="17"/>
                <w:color w:val="auto"/>
              </w:rPr>
            </w:pPr>
          </w:p>
        </w:tc>
        <w:tc>
          <w:tcPr>
            <w:tcW w:w="12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7"/>
                <w:szCs w:val="17"/>
                <w:color w:val="auto"/>
              </w:rPr>
            </w:pPr>
          </w:p>
        </w:tc>
        <w:tc>
          <w:tcPr>
            <w:tcW w:w="9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125,000</w:t>
            </w:r>
          </w:p>
        </w:tc>
      </w:tr>
      <w:tr>
        <w:trPr>
          <w:trHeight w:val="196"/>
        </w:trPr>
        <w:tc>
          <w:tcPr>
            <w:tcW w:w="5560" w:type="dxa"/>
            <w:vAlign w:val="bottom"/>
          </w:tcPr>
          <w:p>
            <w:pPr>
              <w:ind w:left="200"/>
              <w:spacing w:after="0"/>
              <w:rPr>
                <w:sz w:val="20"/>
                <w:szCs w:val="20"/>
                <w:color w:val="auto"/>
              </w:rPr>
            </w:pPr>
            <w:r>
              <w:rPr>
                <w:rFonts w:ascii="Courier New" w:cs="Courier New" w:eastAsia="Courier New" w:hAnsi="Courier New"/>
                <w:sz w:val="17"/>
                <w:szCs w:val="17"/>
                <w:color w:val="auto"/>
              </w:rPr>
              <w:t>Payments on term and other debt</w:t>
            </w:r>
          </w:p>
        </w:tc>
        <w:tc>
          <w:tcPr>
            <w:tcW w:w="460" w:type="dxa"/>
            <w:vAlign w:val="bottom"/>
          </w:tcPr>
          <w:p>
            <w:pPr>
              <w:spacing w:after="0"/>
              <w:rPr>
                <w:sz w:val="17"/>
                <w:szCs w:val="17"/>
                <w:color w:val="auto"/>
              </w:rPr>
            </w:pPr>
          </w:p>
        </w:tc>
        <w:tc>
          <w:tcPr>
            <w:tcW w:w="12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(141)</w:t>
            </w:r>
          </w:p>
        </w:tc>
      </w:tr>
      <w:tr>
        <w:trPr>
          <w:trHeight w:val="196"/>
        </w:trPr>
        <w:tc>
          <w:tcPr>
            <w:tcW w:w="5560" w:type="dxa"/>
            <w:vAlign w:val="bottom"/>
          </w:tcPr>
          <w:p>
            <w:pPr>
              <w:ind w:left="200"/>
              <w:spacing w:after="0"/>
              <w:rPr>
                <w:sz w:val="20"/>
                <w:szCs w:val="20"/>
                <w:color w:val="auto"/>
              </w:rPr>
            </w:pPr>
            <w:r>
              <w:rPr>
                <w:rFonts w:ascii="Courier New" w:cs="Courier New" w:eastAsia="Courier New" w:hAnsi="Courier New"/>
                <w:sz w:val="17"/>
                <w:szCs w:val="17"/>
                <w:color w:val="auto"/>
              </w:rPr>
              <w:t>Revolving lines of credit and bank line</w:t>
            </w:r>
          </w:p>
        </w:tc>
        <w:tc>
          <w:tcPr>
            <w:tcW w:w="4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6"/>
        </w:trPr>
        <w:tc>
          <w:tcPr>
            <w:tcW w:w="5560" w:type="dxa"/>
            <w:vAlign w:val="bottom"/>
          </w:tcPr>
          <w:p>
            <w:pPr>
              <w:ind w:left="420"/>
              <w:spacing w:after="0"/>
              <w:rPr>
                <w:sz w:val="20"/>
                <w:szCs w:val="20"/>
                <w:color w:val="auto"/>
              </w:rPr>
            </w:pPr>
            <w:r>
              <w:rPr>
                <w:rFonts w:ascii="Courier New" w:cs="Courier New" w:eastAsia="Courier New" w:hAnsi="Courier New"/>
                <w:sz w:val="17"/>
                <w:szCs w:val="17"/>
                <w:color w:val="auto"/>
              </w:rPr>
              <w:t>of credit, net</w:t>
            </w:r>
          </w:p>
        </w:tc>
        <w:tc>
          <w:tcPr>
            <w:tcW w:w="460" w:type="dxa"/>
            <w:vAlign w:val="bottom"/>
          </w:tcPr>
          <w:p>
            <w:pPr>
              <w:spacing w:after="0"/>
              <w:rPr>
                <w:sz w:val="17"/>
                <w:szCs w:val="17"/>
                <w:color w:val="auto"/>
              </w:rPr>
            </w:pPr>
          </w:p>
        </w:tc>
        <w:tc>
          <w:tcPr>
            <w:tcW w:w="12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62,247</w:t>
            </w:r>
          </w:p>
        </w:tc>
        <w:tc>
          <w:tcPr>
            <w:tcW w:w="460" w:type="dxa"/>
            <w:vAlign w:val="bottom"/>
          </w:tcPr>
          <w:p>
            <w:pPr>
              <w:spacing w:after="0"/>
              <w:rPr>
                <w:sz w:val="17"/>
                <w:szCs w:val="17"/>
                <w:color w:val="auto"/>
              </w:rPr>
            </w:pPr>
          </w:p>
        </w:tc>
        <w:tc>
          <w:tcPr>
            <w:tcW w:w="9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53,598</w:t>
            </w:r>
          </w:p>
        </w:tc>
      </w:tr>
      <w:tr>
        <w:trPr>
          <w:trHeight w:val="392"/>
        </w:trPr>
        <w:tc>
          <w:tcPr>
            <w:tcW w:w="5560" w:type="dxa"/>
            <w:vAlign w:val="bottom"/>
          </w:tcPr>
          <w:p>
            <w:pPr>
              <w:ind w:left="820"/>
              <w:spacing w:after="0"/>
              <w:rPr>
                <w:sz w:val="20"/>
                <w:szCs w:val="20"/>
                <w:color w:val="auto"/>
              </w:rPr>
            </w:pPr>
            <w:r>
              <w:rPr>
                <w:rFonts w:ascii="Courier New" w:cs="Courier New" w:eastAsia="Courier New" w:hAnsi="Courier New"/>
                <w:sz w:val="17"/>
                <w:szCs w:val="17"/>
                <w:color w:val="auto"/>
              </w:rPr>
              <w:t>Net cash provided by financing activities</w:t>
            </w:r>
          </w:p>
        </w:tc>
        <w:tc>
          <w:tcPr>
            <w:tcW w:w="460" w:type="dxa"/>
            <w:vAlign w:val="bottom"/>
          </w:tcPr>
          <w:p>
            <w:pPr>
              <w:spacing w:after="0"/>
              <w:rPr>
                <w:sz w:val="24"/>
                <w:szCs w:val="24"/>
                <w:color w:val="auto"/>
              </w:rPr>
            </w:pPr>
          </w:p>
        </w:tc>
        <w:tc>
          <w:tcPr>
            <w:tcW w:w="12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62,247</w:t>
            </w:r>
          </w:p>
        </w:tc>
        <w:tc>
          <w:tcPr>
            <w:tcW w:w="460" w:type="dxa"/>
            <w:vAlign w:val="bottom"/>
          </w:tcPr>
          <w:p>
            <w:pPr>
              <w:spacing w:after="0"/>
              <w:rPr>
                <w:sz w:val="24"/>
                <w:szCs w:val="24"/>
                <w:color w:val="auto"/>
              </w:rPr>
            </w:pPr>
          </w:p>
        </w:tc>
        <w:tc>
          <w:tcPr>
            <w:tcW w:w="9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178,457</w:t>
            </w:r>
          </w:p>
        </w:tc>
      </w:tr>
      <w:tr>
        <w:trPr>
          <w:trHeight w:val="392"/>
        </w:trPr>
        <w:tc>
          <w:tcPr>
            <w:tcW w:w="5560" w:type="dxa"/>
            <w:vAlign w:val="bottom"/>
          </w:tcPr>
          <w:p>
            <w:pPr>
              <w:spacing w:after="0"/>
              <w:rPr>
                <w:sz w:val="20"/>
                <w:szCs w:val="20"/>
                <w:color w:val="auto"/>
              </w:rPr>
            </w:pPr>
            <w:r>
              <w:rPr>
                <w:rFonts w:ascii="Courier New" w:cs="Courier New" w:eastAsia="Courier New" w:hAnsi="Courier New"/>
                <w:sz w:val="17"/>
                <w:szCs w:val="17"/>
                <w:color w:val="auto"/>
              </w:rPr>
              <w:t>Effect of exchange rate changes on cash</w:t>
            </w:r>
          </w:p>
        </w:tc>
        <w:tc>
          <w:tcPr>
            <w:tcW w:w="460" w:type="dxa"/>
            <w:vAlign w:val="bottom"/>
          </w:tcPr>
          <w:p>
            <w:pPr>
              <w:spacing w:after="0"/>
              <w:rPr>
                <w:sz w:val="24"/>
                <w:szCs w:val="24"/>
                <w:color w:val="auto"/>
              </w:rPr>
            </w:pPr>
          </w:p>
        </w:tc>
        <w:tc>
          <w:tcPr>
            <w:tcW w:w="12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(116)</w:t>
            </w:r>
          </w:p>
        </w:tc>
      </w:tr>
      <w:tr>
        <w:trPr>
          <w:trHeight w:val="392"/>
        </w:trPr>
        <w:tc>
          <w:tcPr>
            <w:tcW w:w="5560" w:type="dxa"/>
            <w:vAlign w:val="bottom"/>
          </w:tcPr>
          <w:p>
            <w:pPr>
              <w:spacing w:after="0"/>
              <w:rPr>
                <w:sz w:val="20"/>
                <w:szCs w:val="20"/>
                <w:color w:val="auto"/>
              </w:rPr>
            </w:pPr>
            <w:r>
              <w:rPr>
                <w:rFonts w:ascii="Courier New" w:cs="Courier New" w:eastAsia="Courier New" w:hAnsi="Courier New"/>
                <w:sz w:val="17"/>
                <w:szCs w:val="17"/>
                <w:color w:val="auto"/>
              </w:rPr>
              <w:t>Net increase (decrease) in cash</w:t>
            </w:r>
          </w:p>
        </w:tc>
        <w:tc>
          <w:tcPr>
            <w:tcW w:w="460" w:type="dxa"/>
            <w:vAlign w:val="bottom"/>
          </w:tcPr>
          <w:p>
            <w:pPr>
              <w:spacing w:after="0"/>
              <w:rPr>
                <w:sz w:val="24"/>
                <w:szCs w:val="24"/>
                <w:color w:val="auto"/>
              </w:rPr>
            </w:pPr>
          </w:p>
        </w:tc>
        <w:tc>
          <w:tcPr>
            <w:tcW w:w="12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(93)</w:t>
            </w:r>
          </w:p>
        </w:tc>
        <w:tc>
          <w:tcPr>
            <w:tcW w:w="460" w:type="dxa"/>
            <w:vAlign w:val="bottom"/>
          </w:tcPr>
          <w:p>
            <w:pPr>
              <w:spacing w:after="0"/>
              <w:rPr>
                <w:sz w:val="24"/>
                <w:szCs w:val="24"/>
                <w:color w:val="auto"/>
              </w:rPr>
            </w:pPr>
          </w:p>
        </w:tc>
        <w:tc>
          <w:tcPr>
            <w:tcW w:w="9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3,924</w:t>
            </w:r>
          </w:p>
        </w:tc>
      </w:tr>
      <w:tr>
        <w:trPr>
          <w:trHeight w:val="392"/>
        </w:trPr>
        <w:tc>
          <w:tcPr>
            <w:tcW w:w="5560" w:type="dxa"/>
            <w:vAlign w:val="bottom"/>
          </w:tcPr>
          <w:p>
            <w:pPr>
              <w:spacing w:after="0"/>
              <w:rPr>
                <w:sz w:val="20"/>
                <w:szCs w:val="20"/>
                <w:color w:val="auto"/>
              </w:rPr>
            </w:pPr>
            <w:r>
              <w:rPr>
                <w:rFonts w:ascii="Courier New" w:cs="Courier New" w:eastAsia="Courier New" w:hAnsi="Courier New"/>
                <w:sz w:val="17"/>
                <w:szCs w:val="17"/>
                <w:color w:val="auto"/>
              </w:rPr>
              <w:t>Cash at beginning of period</w:t>
            </w:r>
          </w:p>
        </w:tc>
        <w:tc>
          <w:tcPr>
            <w:tcW w:w="460" w:type="dxa"/>
            <w:vAlign w:val="bottom"/>
          </w:tcPr>
          <w:p>
            <w:pPr>
              <w:spacing w:after="0"/>
              <w:rPr>
                <w:sz w:val="24"/>
                <w:szCs w:val="24"/>
                <w:color w:val="auto"/>
              </w:rPr>
            </w:pPr>
          </w:p>
        </w:tc>
        <w:tc>
          <w:tcPr>
            <w:tcW w:w="12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880</w:t>
            </w:r>
          </w:p>
        </w:tc>
        <w:tc>
          <w:tcPr>
            <w:tcW w:w="460" w:type="dxa"/>
            <w:vAlign w:val="bottom"/>
          </w:tcPr>
          <w:p>
            <w:pPr>
              <w:spacing w:after="0"/>
              <w:rPr>
                <w:sz w:val="24"/>
                <w:szCs w:val="24"/>
                <w:color w:val="auto"/>
              </w:rPr>
            </w:pPr>
          </w:p>
        </w:tc>
        <w:tc>
          <w:tcPr>
            <w:tcW w:w="9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2,323</w:t>
            </w:r>
          </w:p>
        </w:tc>
      </w:tr>
      <w:tr>
        <w:trPr>
          <w:trHeight w:val="392"/>
        </w:trPr>
        <w:tc>
          <w:tcPr>
            <w:tcW w:w="5560" w:type="dxa"/>
            <w:vAlign w:val="bottom"/>
          </w:tcPr>
          <w:p>
            <w:pPr>
              <w:spacing w:after="0"/>
              <w:rPr>
                <w:sz w:val="20"/>
                <w:szCs w:val="20"/>
                <w:color w:val="auto"/>
              </w:rPr>
            </w:pPr>
            <w:r>
              <w:rPr>
                <w:rFonts w:ascii="Courier New" w:cs="Courier New" w:eastAsia="Courier New" w:hAnsi="Courier New"/>
                <w:sz w:val="17"/>
                <w:szCs w:val="17"/>
                <w:color w:val="auto"/>
              </w:rPr>
              <w:t>Cash at end of period</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787</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6,247</w:t>
            </w:r>
          </w:p>
        </w:tc>
      </w:tr>
      <w:tr>
        <w:trPr>
          <w:trHeight w:val="392"/>
        </w:trPr>
        <w:tc>
          <w:tcPr>
            <w:tcW w:w="5560" w:type="dxa"/>
            <w:vAlign w:val="bottom"/>
          </w:tcPr>
          <w:p>
            <w:pPr>
              <w:spacing w:after="0"/>
              <w:rPr>
                <w:sz w:val="20"/>
                <w:szCs w:val="20"/>
                <w:color w:val="auto"/>
              </w:rPr>
            </w:pPr>
            <w:r>
              <w:rPr>
                <w:rFonts w:ascii="Courier New" w:cs="Courier New" w:eastAsia="Courier New" w:hAnsi="Courier New"/>
                <w:sz w:val="17"/>
                <w:szCs w:val="17"/>
                <w:color w:val="auto"/>
              </w:rPr>
              <w:t>SUPPLEMENTAL CASH FLOW INFORMATION</w:t>
            </w:r>
          </w:p>
        </w:tc>
        <w:tc>
          <w:tcPr>
            <w:tcW w:w="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96"/>
        </w:trPr>
        <w:tc>
          <w:tcPr>
            <w:tcW w:w="5560" w:type="dxa"/>
            <w:vAlign w:val="bottom"/>
          </w:tcPr>
          <w:p>
            <w:pPr>
              <w:ind w:left="200"/>
              <w:spacing w:after="0"/>
              <w:rPr>
                <w:sz w:val="20"/>
                <w:szCs w:val="20"/>
                <w:color w:val="auto"/>
              </w:rPr>
            </w:pPr>
            <w:r>
              <w:rPr>
                <w:rFonts w:ascii="Courier New" w:cs="Courier New" w:eastAsia="Courier New" w:hAnsi="Courier New"/>
                <w:sz w:val="17"/>
                <w:szCs w:val="17"/>
                <w:color w:val="auto"/>
              </w:rPr>
              <w:t>Interest paid, net of amount capitalized</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882</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1,958</w:t>
            </w:r>
          </w:p>
        </w:tc>
      </w:tr>
      <w:tr>
        <w:trPr>
          <w:trHeight w:val="196"/>
        </w:trPr>
        <w:tc>
          <w:tcPr>
            <w:tcW w:w="5560" w:type="dxa"/>
            <w:vAlign w:val="bottom"/>
          </w:tcPr>
          <w:p>
            <w:pPr>
              <w:ind w:left="200"/>
              <w:spacing w:after="0"/>
              <w:rPr>
                <w:sz w:val="20"/>
                <w:szCs w:val="20"/>
                <w:color w:val="auto"/>
              </w:rPr>
            </w:pPr>
            <w:r>
              <w:rPr>
                <w:rFonts w:ascii="Courier New" w:cs="Courier New" w:eastAsia="Courier New" w:hAnsi="Courier New"/>
                <w:sz w:val="17"/>
                <w:szCs w:val="17"/>
                <w:color w:val="auto"/>
              </w:rPr>
              <w:t>Income taxes paid</w:t>
            </w:r>
          </w:p>
        </w:tc>
        <w:tc>
          <w:tcPr>
            <w:tcW w:w="460" w:type="dxa"/>
            <w:vAlign w:val="bottom"/>
          </w:tcPr>
          <w:p>
            <w:pPr>
              <w:spacing w:after="0"/>
              <w:rPr>
                <w:sz w:val="17"/>
                <w:szCs w:val="17"/>
                <w:color w:val="auto"/>
              </w:rPr>
            </w:pPr>
          </w:p>
        </w:tc>
        <w:tc>
          <w:tcPr>
            <w:tcW w:w="12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1,107</w:t>
            </w:r>
          </w:p>
        </w:tc>
        <w:tc>
          <w:tcPr>
            <w:tcW w:w="460" w:type="dxa"/>
            <w:vAlign w:val="bottom"/>
          </w:tcPr>
          <w:p>
            <w:pPr>
              <w:spacing w:after="0"/>
              <w:rPr>
                <w:sz w:val="17"/>
                <w:szCs w:val="17"/>
                <w:color w:val="auto"/>
              </w:rPr>
            </w:pPr>
          </w:p>
        </w:tc>
        <w:tc>
          <w:tcPr>
            <w:tcW w:w="9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2,261</w:t>
            </w:r>
          </w:p>
        </w:tc>
      </w:tr>
      <w:tr>
        <w:trPr>
          <w:trHeight w:val="196"/>
        </w:trPr>
        <w:tc>
          <w:tcPr>
            <w:tcW w:w="5560" w:type="dxa"/>
            <w:vAlign w:val="bottom"/>
          </w:tcPr>
          <w:p>
            <w:pPr>
              <w:ind w:left="200"/>
              <w:spacing w:after="0"/>
              <w:rPr>
                <w:sz w:val="20"/>
                <w:szCs w:val="20"/>
                <w:color w:val="auto"/>
              </w:rPr>
            </w:pPr>
            <w:r>
              <w:rPr>
                <w:rFonts w:ascii="Courier New" w:cs="Courier New" w:eastAsia="Courier New" w:hAnsi="Courier New"/>
                <w:sz w:val="17"/>
                <w:szCs w:val="17"/>
                <w:color w:val="auto"/>
              </w:rPr>
              <w:t>Detail of entities acquired:</w:t>
            </w:r>
          </w:p>
        </w:tc>
        <w:tc>
          <w:tcPr>
            <w:tcW w:w="4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6"/>
        </w:trPr>
        <w:tc>
          <w:tcPr>
            <w:tcW w:w="5560" w:type="dxa"/>
            <w:vAlign w:val="bottom"/>
          </w:tcPr>
          <w:p>
            <w:pPr>
              <w:ind w:left="420"/>
              <w:spacing w:after="0"/>
              <w:rPr>
                <w:sz w:val="20"/>
                <w:szCs w:val="20"/>
                <w:color w:val="auto"/>
              </w:rPr>
            </w:pPr>
            <w:r>
              <w:rPr>
                <w:rFonts w:ascii="Courier New" w:cs="Courier New" w:eastAsia="Courier New" w:hAnsi="Courier New"/>
                <w:sz w:val="17"/>
                <w:szCs w:val="17"/>
                <w:color w:val="auto"/>
              </w:rPr>
              <w:t>Fair value of assets acquired</w:t>
            </w:r>
          </w:p>
        </w:tc>
        <w:tc>
          <w:tcPr>
            <w:tcW w:w="460" w:type="dxa"/>
            <w:vAlign w:val="bottom"/>
          </w:tcPr>
          <w:p>
            <w:pPr>
              <w:spacing w:after="0"/>
              <w:rPr>
                <w:sz w:val="17"/>
                <w:szCs w:val="17"/>
                <w:color w:val="auto"/>
              </w:rPr>
            </w:pPr>
          </w:p>
        </w:tc>
        <w:tc>
          <w:tcPr>
            <w:tcW w:w="12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23,799</w:t>
            </w:r>
          </w:p>
        </w:tc>
        <w:tc>
          <w:tcPr>
            <w:tcW w:w="460" w:type="dxa"/>
            <w:vAlign w:val="bottom"/>
          </w:tcPr>
          <w:p>
            <w:pPr>
              <w:spacing w:after="0"/>
              <w:rPr>
                <w:sz w:val="17"/>
                <w:szCs w:val="17"/>
                <w:color w:val="auto"/>
              </w:rPr>
            </w:pPr>
          </w:p>
        </w:tc>
        <w:tc>
          <w:tcPr>
            <w:tcW w:w="9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138,933</w:t>
            </w:r>
          </w:p>
        </w:tc>
      </w:tr>
      <w:tr>
        <w:trPr>
          <w:trHeight w:val="196"/>
        </w:trPr>
        <w:tc>
          <w:tcPr>
            <w:tcW w:w="5560" w:type="dxa"/>
            <w:vAlign w:val="bottom"/>
          </w:tcPr>
          <w:p>
            <w:pPr>
              <w:ind w:left="420"/>
              <w:spacing w:after="0"/>
              <w:rPr>
                <w:sz w:val="20"/>
                <w:szCs w:val="20"/>
                <w:color w:val="auto"/>
              </w:rPr>
            </w:pPr>
            <w:r>
              <w:rPr>
                <w:rFonts w:ascii="Courier New" w:cs="Courier New" w:eastAsia="Courier New" w:hAnsi="Courier New"/>
                <w:sz w:val="17"/>
                <w:szCs w:val="17"/>
                <w:color w:val="auto"/>
              </w:rPr>
              <w:t>Liabilities assumed</w:t>
            </w:r>
          </w:p>
        </w:tc>
        <w:tc>
          <w:tcPr>
            <w:tcW w:w="460" w:type="dxa"/>
            <w:vAlign w:val="bottom"/>
          </w:tcPr>
          <w:p>
            <w:pPr>
              <w:spacing w:after="0"/>
              <w:rPr>
                <w:sz w:val="17"/>
                <w:szCs w:val="17"/>
                <w:color w:val="auto"/>
              </w:rPr>
            </w:pPr>
          </w:p>
        </w:tc>
        <w:tc>
          <w:tcPr>
            <w:tcW w:w="12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(7,433)</w:t>
            </w:r>
          </w:p>
        </w:tc>
        <w:tc>
          <w:tcPr>
            <w:tcW w:w="4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(19,947)</w:t>
            </w:r>
          </w:p>
        </w:tc>
      </w:tr>
      <w:tr>
        <w:trPr>
          <w:trHeight w:val="196"/>
        </w:trPr>
        <w:tc>
          <w:tcPr>
            <w:tcW w:w="5560" w:type="dxa"/>
            <w:vAlign w:val="bottom"/>
          </w:tcPr>
          <w:p>
            <w:pPr>
              <w:ind w:left="420"/>
              <w:spacing w:after="0"/>
              <w:rPr>
                <w:sz w:val="20"/>
                <w:szCs w:val="20"/>
                <w:color w:val="auto"/>
              </w:rPr>
            </w:pPr>
            <w:r>
              <w:rPr>
                <w:rFonts w:ascii="Courier New" w:cs="Courier New" w:eastAsia="Courier New" w:hAnsi="Courier New"/>
                <w:sz w:val="17"/>
                <w:szCs w:val="17"/>
                <w:color w:val="auto"/>
              </w:rPr>
              <w:t>Net cash paid for acquisition</w:t>
            </w:r>
          </w:p>
        </w:tc>
        <w:tc>
          <w:tcPr>
            <w:tcW w:w="460" w:type="dxa"/>
            <w:vAlign w:val="bottom"/>
          </w:tcPr>
          <w:p>
            <w:pPr>
              <w:spacing w:after="0"/>
              <w:rPr>
                <w:sz w:val="17"/>
                <w:szCs w:val="17"/>
                <w:color w:val="auto"/>
              </w:rPr>
            </w:pPr>
          </w:p>
        </w:tc>
        <w:tc>
          <w:tcPr>
            <w:tcW w:w="12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16,366</w:t>
            </w:r>
          </w:p>
        </w:tc>
        <w:tc>
          <w:tcPr>
            <w:tcW w:w="460" w:type="dxa"/>
            <w:vAlign w:val="bottom"/>
          </w:tcPr>
          <w:p>
            <w:pPr>
              <w:spacing w:after="0"/>
              <w:rPr>
                <w:sz w:val="17"/>
                <w:szCs w:val="17"/>
                <w:color w:val="auto"/>
              </w:rPr>
            </w:pPr>
          </w:p>
        </w:tc>
        <w:tc>
          <w:tcPr>
            <w:tcW w:w="9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118,986</w:t>
            </w:r>
          </w:p>
        </w:tc>
      </w:tr>
    </w:tbl>
    <w:p>
      <w:pPr>
        <w:spacing w:after="0" w:line="397" w:lineRule="exact"/>
        <w:rPr>
          <w:sz w:val="20"/>
          <w:szCs w:val="20"/>
          <w:color w:val="auto"/>
        </w:rPr>
      </w:pPr>
    </w:p>
    <w:p>
      <w:pPr>
        <w:ind w:left="2140" w:right="2759"/>
        <w:spacing w:after="0" w:line="243" w:lineRule="auto"/>
        <w:rPr>
          <w:sz w:val="20"/>
          <w:szCs w:val="20"/>
          <w:color w:val="auto"/>
        </w:rPr>
      </w:pPr>
      <w:r>
        <w:rPr>
          <w:rFonts w:ascii="Courier New" w:cs="Courier New" w:eastAsia="Courier New" w:hAnsi="Courier New"/>
          <w:sz w:val="17"/>
          <w:szCs w:val="17"/>
          <w:color w:val="auto"/>
        </w:rPr>
        <w:t>The accompanying notes to consolidated financial statements are an integral part of these statements.</w:t>
      </w:r>
    </w:p>
    <w:p>
      <w:pPr>
        <w:spacing w:after="0" w:line="394" w:lineRule="exact"/>
        <w:rPr>
          <w:sz w:val="20"/>
          <w:szCs w:val="20"/>
          <w:color w:val="auto"/>
        </w:rPr>
      </w:pPr>
    </w:p>
    <w:p>
      <w:pPr>
        <w:ind w:left="4080"/>
        <w:spacing w:after="0"/>
        <w:rPr>
          <w:sz w:val="20"/>
          <w:szCs w:val="20"/>
          <w:color w:val="auto"/>
        </w:rPr>
      </w:pPr>
      <w:r>
        <w:rPr>
          <w:rFonts w:ascii="Courier New" w:cs="Courier New" w:eastAsia="Courier New" w:hAnsi="Courier New"/>
          <w:sz w:val="17"/>
          <w:szCs w:val="17"/>
          <w:color w:val="auto"/>
        </w:rPr>
        <w:t>Page 6</w:t>
      </w:r>
    </w:p>
    <w:p>
      <w:pPr>
        <w:sectPr>
          <w:pgSz w:w="11900" w:h="16838" w:orient="portrait"/>
          <w:cols w:equalWidth="0" w:num="1">
            <w:col w:w="10219"/>
          </w:cols>
          <w:pgMar w:left="240" w:top="703" w:right="1440" w:bottom="1440" w:gutter="0" w:footer="0" w:header="0"/>
        </w:sectPr>
      </w:pPr>
    </w:p>
    <w:bookmarkStart w:id="6" w:name="page7"/>
    <w:bookmarkEnd w:id="6"/>
    <w:p>
      <w:pPr>
        <w:ind w:left="2133"/>
        <w:spacing w:after="0"/>
        <w:rPr>
          <w:sz w:val="20"/>
          <w:szCs w:val="20"/>
          <w:color w:val="auto"/>
        </w:rPr>
      </w:pPr>
      <w:r>
        <w:rPr>
          <w:rFonts w:ascii="Courier New" w:cs="Courier New" w:eastAsia="Courier New" w:hAnsi="Courier New"/>
          <w:sz w:val="17"/>
          <w:szCs w:val="17"/>
          <w:color w:val="auto"/>
        </w:rPr>
        <w:t>THE SCOTTS COMPANY AND SUBSIDIARIES</w:t>
      </w:r>
    </w:p>
    <w:p>
      <w:pPr>
        <w:spacing w:after="0" w:line="4" w:lineRule="exact"/>
        <w:rPr>
          <w:sz w:val="20"/>
          <w:szCs w:val="20"/>
          <w:color w:val="auto"/>
        </w:rPr>
      </w:pPr>
    </w:p>
    <w:p>
      <w:pPr>
        <w:ind w:left="1833"/>
        <w:spacing w:after="0"/>
        <w:rPr>
          <w:sz w:val="20"/>
          <w:szCs w:val="20"/>
          <w:color w:val="auto"/>
        </w:rPr>
      </w:pPr>
      <w:r>
        <w:rPr>
          <w:rFonts w:ascii="Courier New" w:cs="Courier New" w:eastAsia="Courier New" w:hAnsi="Courier New"/>
          <w:sz w:val="17"/>
          <w:szCs w:val="17"/>
          <w:color w:val="auto"/>
        </w:rPr>
        <w:t>Notes to Consolidated Financial Statements</w:t>
      </w:r>
    </w:p>
    <w:p>
      <w:pPr>
        <w:spacing w:after="0" w:line="200" w:lineRule="exact"/>
        <w:rPr>
          <w:sz w:val="20"/>
          <w:szCs w:val="20"/>
          <w:color w:val="auto"/>
        </w:rPr>
      </w:pPr>
    </w:p>
    <w:p>
      <w:pPr>
        <w:spacing w:after="0" w:line="392" w:lineRule="exact"/>
        <w:rPr>
          <w:sz w:val="20"/>
          <w:szCs w:val="20"/>
          <w:color w:val="auto"/>
        </w:rPr>
      </w:pPr>
    </w:p>
    <w:p>
      <w:pPr>
        <w:ind w:left="413" w:hanging="413"/>
        <w:spacing w:after="0"/>
        <w:tabs>
          <w:tab w:leader="none" w:pos="413"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Organization and Basis of Presentation</w:t>
      </w:r>
    </w:p>
    <w:p>
      <w:pPr>
        <w:spacing w:after="0" w:line="200" w:lineRule="exact"/>
        <w:rPr>
          <w:rFonts w:ascii="Courier New" w:cs="Courier New" w:eastAsia="Courier New" w:hAnsi="Courier New"/>
          <w:sz w:val="17"/>
          <w:szCs w:val="17"/>
          <w:color w:val="auto"/>
        </w:rPr>
      </w:pPr>
    </w:p>
    <w:p>
      <w:pPr>
        <w:ind w:left="413" w:right="2259"/>
        <w:spacing w:after="0" w:line="24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Scotts Company ("Scotts") through its wholly-owned subsidiaries, The O. M. Scott &amp; Sons Company ("OMS"), Hyponex Corporation ("Hyponex"), Republic Tool and Manufacturing Corp. ("Republic") and Scott-Sierra Horticultural Products Company ("Sierra") (collectively, the "Company"), is engaged in the manufacture and sale of lawn care and garden products. The Company's business is highly seasonal with approximately 70% of sales occurring in the second and third fiscal quarters. Substantially all of the assets currently held by Scotts consist of the capital stock of OMS and advances to OMS. The consolidated financial statements include the financial statements of Scotts and OMS. All material intercompany transactions have been eliminated.</w:t>
      </w:r>
    </w:p>
    <w:p>
      <w:pPr>
        <w:spacing w:after="0" w:line="201" w:lineRule="exact"/>
        <w:rPr>
          <w:sz w:val="20"/>
          <w:szCs w:val="20"/>
          <w:color w:val="auto"/>
        </w:rPr>
      </w:pPr>
    </w:p>
    <w:p>
      <w:pPr>
        <w:ind w:left="413" w:right="2259"/>
        <w:spacing w:after="0" w:line="244" w:lineRule="auto"/>
        <w:rPr>
          <w:sz w:val="20"/>
          <w:szCs w:val="20"/>
          <w:color w:val="auto"/>
        </w:rPr>
      </w:pPr>
      <w:r>
        <w:rPr>
          <w:rFonts w:ascii="Courier New" w:cs="Courier New" w:eastAsia="Courier New" w:hAnsi="Courier New"/>
          <w:sz w:val="17"/>
          <w:szCs w:val="17"/>
          <w:color w:val="auto"/>
        </w:rPr>
        <w:t>The consolidated balance sheets as at January 2, 1993 and January 1, 1994 and the related consolidated statements of income and cash flows for the three month periods ended January 2, 1993 and January 1, 1994 are unaudited; however, in the opinion of management, such financial statements contain all adjustments necessary for the fair presentation of the Company's financial position and results of operations. Interim results reflect all normal recurring adjustments and are not necessarily indicative of results for a full year. The interim financial statements and notes are presented as specified by Regulation S-X of the Securities Exchange Act of 1934, and should be read in conjunction with the financial statements and accompanying notes in the Company's fiscal 1993 Annual Report on Form 10-K.</w:t>
      </w:r>
    </w:p>
    <w:p>
      <w:pPr>
        <w:spacing w:after="0" w:line="201" w:lineRule="exact"/>
        <w:rPr>
          <w:sz w:val="20"/>
          <w:szCs w:val="20"/>
          <w:color w:val="auto"/>
        </w:rPr>
      </w:pPr>
    </w:p>
    <w:p>
      <w:pPr>
        <w:ind w:left="413" w:right="2259"/>
        <w:spacing w:after="0" w:line="244" w:lineRule="auto"/>
        <w:rPr>
          <w:sz w:val="20"/>
          <w:szCs w:val="20"/>
          <w:color w:val="auto"/>
        </w:rPr>
      </w:pPr>
      <w:r>
        <w:rPr>
          <w:rFonts w:ascii="Courier New" w:cs="Courier New" w:eastAsia="Courier New" w:hAnsi="Courier New"/>
          <w:sz w:val="17"/>
          <w:szCs w:val="17"/>
          <w:color w:val="auto"/>
        </w:rPr>
        <w:t>The loss before cumulative effect of accounting changes for the three months ended January 2, 1993 has been restated to reflect an ongoing charge of $462,000 or $.02 per share resulting from the adoption of Statement of Financial Accounting Standards ("SFAS") No. 106, "Employers' Accounting for Postretirement Benefits Other Than Pensions." Similarly, the net loss for the three months ended January 2, 1993 has been restated to reflect the cumulative effect of the adoption of SFAS No. 106 (a net of tax charge of $14,932,000 or $.71 per share) and SFAS No. 109, "Accounting for Income Taxes" (a benefit of $1,775,000 or $.08 per share). The consolidated balance sheet as of January 2, 1993 and the related statement of cash flows for the three months then ended have also been restated to reflect the accounting changes.</w:t>
      </w:r>
    </w:p>
    <w:p>
      <w:pPr>
        <w:spacing w:after="0" w:line="200" w:lineRule="exact"/>
        <w:rPr>
          <w:sz w:val="20"/>
          <w:szCs w:val="20"/>
          <w:color w:val="auto"/>
        </w:rPr>
      </w:pPr>
    </w:p>
    <w:p>
      <w:pPr>
        <w:ind w:left="413" w:hanging="413"/>
        <w:spacing w:after="0"/>
        <w:tabs>
          <w:tab w:leader="none" w:pos="41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Acquisitions</w:t>
      </w:r>
    </w:p>
    <w:p>
      <w:pPr>
        <w:spacing w:after="0" w:line="200" w:lineRule="exact"/>
        <w:rPr>
          <w:rFonts w:ascii="Courier New" w:cs="Courier New" w:eastAsia="Courier New" w:hAnsi="Courier New"/>
          <w:sz w:val="17"/>
          <w:szCs w:val="17"/>
          <w:color w:val="auto"/>
        </w:rPr>
      </w:pPr>
    </w:p>
    <w:p>
      <w:pPr>
        <w:ind w:left="413" w:right="2359"/>
        <w:spacing w:after="0" w:line="24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Effective December 16, 1993, the Company completed the acquisition of Grace-Sierra Horticultural Products Company (all further references to Grace-Sierra, now known as Scott-Sierra Horticultural Products Company, will be made as "Sierra") for an aggregate purchase price of approximately $123,100,000, including estimated transaction costs of $3,100,000. Sierra is a leading international manufacturer and marketer of specialty fertilizers and related products for the nursery, greenhouse, golf course and consumer markets. Sierra manufactures controlled-release fertilizers in the United States and the</w:t>
      </w:r>
    </w:p>
    <w:p>
      <w:pPr>
        <w:spacing w:after="0" w:line="200" w:lineRule="exact"/>
        <w:rPr>
          <w:sz w:val="20"/>
          <w:szCs w:val="20"/>
          <w:color w:val="auto"/>
        </w:rPr>
      </w:pPr>
    </w:p>
    <w:p>
      <w:pPr>
        <w:spacing w:after="0" w:line="391" w:lineRule="exact"/>
        <w:rPr>
          <w:sz w:val="20"/>
          <w:szCs w:val="20"/>
          <w:color w:val="auto"/>
        </w:rPr>
      </w:pPr>
    </w:p>
    <w:p>
      <w:pPr>
        <w:ind w:left="3673"/>
        <w:spacing w:after="0"/>
        <w:rPr>
          <w:sz w:val="20"/>
          <w:szCs w:val="20"/>
          <w:color w:val="auto"/>
        </w:rPr>
      </w:pPr>
      <w:r>
        <w:rPr>
          <w:rFonts w:ascii="Courier New" w:cs="Courier New" w:eastAsia="Courier New" w:hAnsi="Courier New"/>
          <w:sz w:val="17"/>
          <w:szCs w:val="17"/>
          <w:color w:val="auto"/>
        </w:rPr>
        <w:t>Page 7</w:t>
      </w:r>
    </w:p>
    <w:p>
      <w:pPr>
        <w:sectPr>
          <w:pgSz w:w="11900" w:h="16838" w:orient="portrait"/>
          <w:cols w:equalWidth="0" w:num="1">
            <w:col w:w="10113"/>
          </w:cols>
          <w:pgMar w:left="347" w:top="899" w:right="1440" w:bottom="1440" w:gutter="0" w:footer="0" w:header="0"/>
        </w:sectPr>
      </w:pPr>
    </w:p>
    <w:bookmarkStart w:id="7" w:name="page8"/>
    <w:bookmarkEnd w:id="7"/>
    <w:p>
      <w:pPr>
        <w:ind w:right="2359"/>
        <w:spacing w:after="0" w:line="244" w:lineRule="auto"/>
        <w:rPr>
          <w:sz w:val="20"/>
          <w:szCs w:val="20"/>
          <w:color w:val="auto"/>
        </w:rPr>
      </w:pPr>
      <w:r>
        <w:rPr>
          <w:rFonts w:ascii="Courier New" w:cs="Courier New" w:eastAsia="Courier New" w:hAnsi="Courier New"/>
          <w:sz w:val="17"/>
          <w:szCs w:val="17"/>
          <w:color w:val="auto"/>
        </w:rPr>
        <w:t>Netherlands, as well as water-soluble fertilizers and specialty organics in the United States. Approximately one-quarter of Sierra's net sales are derived from European and other international markets; approximately one-quarter of Sierra's assets are internationally based. The purchase price was financed under an amendment to the Company's Credit Agreement, whereby term debt commitments available thereunder were increased to $195,000,000.</w:t>
      </w:r>
    </w:p>
    <w:p>
      <w:pPr>
        <w:spacing w:after="0" w:line="199" w:lineRule="exact"/>
        <w:rPr>
          <w:sz w:val="20"/>
          <w:szCs w:val="20"/>
          <w:color w:val="auto"/>
        </w:rPr>
      </w:pPr>
    </w:p>
    <w:p>
      <w:pPr>
        <w:ind w:right="2459"/>
        <w:spacing w:after="0" w:line="244" w:lineRule="auto"/>
        <w:rPr>
          <w:sz w:val="20"/>
          <w:szCs w:val="20"/>
          <w:color w:val="auto"/>
        </w:rPr>
      </w:pPr>
      <w:r>
        <w:rPr>
          <w:rFonts w:ascii="Courier New" w:cs="Courier New" w:eastAsia="Courier New" w:hAnsi="Courier New"/>
          <w:sz w:val="17"/>
          <w:szCs w:val="17"/>
          <w:color w:val="auto"/>
        </w:rPr>
        <w:t>Effective November 19, 1992, the Company acquired Republic Tool &amp; Manufacturing Corp. ("Republic") headquartered in Carlsbad, California. Republic designs, develops, manufactures and markets lawn and garden equipment with the substantial majority of its revenue derived from the sale of its products to mass merchandisers, home centers and garden outlets in the United States. The purchase price of approximately $16,366,000 was financed under an amendment to the revolving credit portion of the Company's Credit Agreement.</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acquisitions have been accounted for using the purchase method.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Accordingly, the purchase price has been allocated to the assets acquired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and liabilities assumed based on their estimated fair values at the date</w:t>
      </w:r>
    </w:p>
    <w:p>
      <w:pPr>
        <w:spacing w:after="0" w:line="4" w:lineRule="exact"/>
        <w:rPr>
          <w:sz w:val="20"/>
          <w:szCs w:val="20"/>
          <w:color w:val="auto"/>
        </w:rPr>
      </w:pPr>
    </w:p>
    <w:p>
      <w:pPr>
        <w:spacing w:after="0"/>
        <w:tabs>
          <w:tab w:leader="none" w:pos="1700" w:val="left"/>
        </w:tabs>
        <w:rPr>
          <w:sz w:val="20"/>
          <w:szCs w:val="20"/>
          <w:color w:val="auto"/>
        </w:rPr>
      </w:pPr>
      <w:r>
        <w:rPr>
          <w:rFonts w:ascii="Courier New" w:cs="Courier New" w:eastAsia="Courier New" w:hAnsi="Courier New"/>
          <w:sz w:val="17"/>
          <w:szCs w:val="17"/>
          <w:color w:val="auto"/>
        </w:rPr>
        <w:t>of acquisition.</w:t>
        <w:tab/>
        <w:t>The excess of purchase price over the estimated fair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values of the net assets acquired ("goodwill") of approximately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$62,505,000 and $6,366,000 for Sierra and Republic, respectively, are</w:t>
      </w:r>
    </w:p>
    <w:p>
      <w:pPr>
        <w:spacing w:after="0" w:line="4" w:lineRule="exact"/>
        <w:rPr>
          <w:sz w:val="20"/>
          <w:szCs w:val="20"/>
          <w:color w:val="auto"/>
        </w:rPr>
      </w:pPr>
    </w:p>
    <w:p>
      <w:pPr>
        <w:spacing w:after="0"/>
        <w:tabs>
          <w:tab w:leader="none" w:pos="5800" w:val="left"/>
        </w:tabs>
        <w:rPr>
          <w:sz w:val="20"/>
          <w:szCs w:val="20"/>
          <w:color w:val="auto"/>
        </w:rPr>
      </w:pPr>
      <w:r>
        <w:rPr>
          <w:rFonts w:ascii="Courier New" w:cs="Courier New" w:eastAsia="Courier New" w:hAnsi="Courier New"/>
          <w:sz w:val="17"/>
          <w:szCs w:val="17"/>
          <w:color w:val="auto"/>
        </w:rPr>
        <w:t>being amortized on a straight-line basis over 40 years.</w:t>
      </w:r>
      <w:r>
        <w:rPr>
          <w:sz w:val="20"/>
          <w:szCs w:val="20"/>
          <w:color w:val="auto"/>
        </w:rPr>
        <w:tab/>
      </w:r>
      <w:r>
        <w:rPr>
          <w:rFonts w:ascii="Courier New" w:cs="Courier New" w:eastAsia="Courier New" w:hAnsi="Courier New"/>
          <w:sz w:val="16"/>
          <w:szCs w:val="16"/>
          <w:color w:val="auto"/>
        </w:rPr>
        <w:t>The acquired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companies' results of operations have been included in the Consolidated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Statements of Income from the respective acquisition dates.</w:t>
      </w:r>
    </w:p>
    <w:p>
      <w:pPr>
        <w:spacing w:after="0" w:line="201" w:lineRule="exact"/>
        <w:rPr>
          <w:sz w:val="20"/>
          <w:szCs w:val="20"/>
          <w:color w:val="auto"/>
        </w:rPr>
      </w:pPr>
    </w:p>
    <w:p>
      <w:pPr>
        <w:ind w:right="2559"/>
        <w:spacing w:after="0" w:line="244" w:lineRule="auto"/>
        <w:rPr>
          <w:sz w:val="20"/>
          <w:szCs w:val="20"/>
          <w:color w:val="auto"/>
        </w:rPr>
      </w:pPr>
      <w:r>
        <w:rPr>
          <w:rFonts w:ascii="Courier New" w:cs="Courier New" w:eastAsia="Courier New" w:hAnsi="Courier New"/>
          <w:sz w:val="17"/>
          <w:szCs w:val="17"/>
          <w:color w:val="auto"/>
        </w:rPr>
        <w:t>The following represents pro forma results of operations assuming the Sierra acquisition had occurred effective October 1, 1992 after giving effect to certain related adjustments, including depreciation and amortization on tangible and intangible assets, and interest on acquisition debt. Pro forma results of the Republic acquisition, assuming an effective date of October 1, 1992, would not be materially different from the results reported.</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360" w:type="dxa"/>
            <w:vAlign w:val="bottom"/>
            <w:gridSpan w:val="3"/>
          </w:tcPr>
          <w:p>
            <w:pPr>
              <w:jc w:val="right"/>
              <w:ind w:right="1035"/>
              <w:spacing w:after="0"/>
              <w:rPr>
                <w:sz w:val="20"/>
                <w:szCs w:val="20"/>
                <w:color w:val="auto"/>
              </w:rPr>
            </w:pPr>
            <w:r>
              <w:rPr>
                <w:rFonts w:ascii="Courier New" w:cs="Courier New" w:eastAsia="Courier New" w:hAnsi="Courier New"/>
                <w:sz w:val="17"/>
                <w:szCs w:val="17"/>
                <w:color w:val="auto"/>
              </w:rPr>
              <w:t>Three Months Ended</w:t>
            </w:r>
          </w:p>
        </w:tc>
      </w:tr>
      <w:tr>
        <w:trPr>
          <w:trHeight w:val="196"/>
        </w:trPr>
        <w:tc>
          <w:tcPr>
            <w:tcW w:w="3260" w:type="dxa"/>
            <w:vAlign w:val="bottom"/>
          </w:tcPr>
          <w:p>
            <w:pPr>
              <w:spacing w:after="0"/>
              <w:rPr>
                <w:sz w:val="17"/>
                <w:szCs w:val="17"/>
                <w:color w:val="auto"/>
              </w:rPr>
            </w:pPr>
          </w:p>
        </w:tc>
        <w:tc>
          <w:tcPr>
            <w:tcW w:w="428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(in thousands, except per share amounts)</w:t>
            </w:r>
          </w:p>
        </w:tc>
      </w:tr>
      <w:tr>
        <w:trPr>
          <w:trHeight w:val="196"/>
        </w:trPr>
        <w:tc>
          <w:tcPr>
            <w:tcW w:w="3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80" w:type="dxa"/>
            <w:vAlign w:val="bottom"/>
          </w:tcPr>
          <w:p>
            <w:pPr>
              <w:jc w:val="right"/>
              <w:ind w:right="275"/>
              <w:spacing w:after="0"/>
              <w:rPr>
                <w:sz w:val="20"/>
                <w:szCs w:val="20"/>
                <w:color w:val="auto"/>
              </w:rPr>
            </w:pPr>
            <w:r>
              <w:rPr>
                <w:rFonts w:ascii="Courier New" w:cs="Courier New" w:eastAsia="Courier New" w:hAnsi="Courier New"/>
                <w:sz w:val="17"/>
                <w:szCs w:val="17"/>
                <w:color w:val="auto"/>
                <w:w w:val="97"/>
              </w:rPr>
              <w:t>January 2</w:t>
            </w:r>
          </w:p>
        </w:tc>
        <w:tc>
          <w:tcPr>
            <w:tcW w:w="400" w:type="dxa"/>
            <w:vAlign w:val="bottom"/>
          </w:tcPr>
          <w:p>
            <w:pPr>
              <w:spacing w:after="0"/>
              <w:rPr>
                <w:sz w:val="17"/>
                <w:szCs w:val="17"/>
                <w:color w:val="auto"/>
              </w:rPr>
            </w:pPr>
          </w:p>
        </w:tc>
        <w:tc>
          <w:tcPr>
            <w:tcW w:w="1680" w:type="dxa"/>
            <w:vAlign w:val="bottom"/>
          </w:tcPr>
          <w:p>
            <w:pPr>
              <w:jc w:val="right"/>
              <w:ind w:right="615"/>
              <w:spacing w:after="0"/>
              <w:rPr>
                <w:sz w:val="20"/>
                <w:szCs w:val="20"/>
                <w:color w:val="auto"/>
              </w:rPr>
            </w:pPr>
            <w:r>
              <w:rPr>
                <w:rFonts w:ascii="Courier New" w:cs="Courier New" w:eastAsia="Courier New" w:hAnsi="Courier New"/>
                <w:sz w:val="17"/>
                <w:szCs w:val="17"/>
                <w:color w:val="auto"/>
              </w:rPr>
              <w:t>January 1</w:t>
            </w:r>
          </w:p>
        </w:tc>
      </w:tr>
      <w:tr>
        <w:trPr>
          <w:trHeight w:val="196"/>
        </w:trPr>
        <w:tc>
          <w:tcPr>
            <w:tcW w:w="3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80" w:type="dxa"/>
            <w:vAlign w:val="bottom"/>
          </w:tcPr>
          <w:p>
            <w:pPr>
              <w:jc w:val="right"/>
              <w:ind w:right="595"/>
              <w:spacing w:after="0"/>
              <w:rPr>
                <w:sz w:val="20"/>
                <w:szCs w:val="20"/>
                <w:color w:val="auto"/>
              </w:rPr>
            </w:pPr>
            <w:r>
              <w:rPr>
                <w:rFonts w:ascii="Courier New" w:cs="Courier New" w:eastAsia="Courier New" w:hAnsi="Courier New"/>
                <w:sz w:val="17"/>
                <w:szCs w:val="17"/>
                <w:color w:val="auto"/>
              </w:rPr>
              <w:t>1993</w:t>
            </w:r>
          </w:p>
        </w:tc>
        <w:tc>
          <w:tcPr>
            <w:tcW w:w="400" w:type="dxa"/>
            <w:vAlign w:val="bottom"/>
          </w:tcPr>
          <w:p>
            <w:pPr>
              <w:spacing w:after="0"/>
              <w:rPr>
                <w:sz w:val="17"/>
                <w:szCs w:val="17"/>
                <w:color w:val="auto"/>
              </w:rPr>
            </w:pPr>
          </w:p>
        </w:tc>
        <w:tc>
          <w:tcPr>
            <w:tcW w:w="1680" w:type="dxa"/>
            <w:vAlign w:val="bottom"/>
          </w:tcPr>
          <w:p>
            <w:pPr>
              <w:jc w:val="right"/>
              <w:ind w:right="935"/>
              <w:spacing w:after="0"/>
              <w:rPr>
                <w:sz w:val="20"/>
                <w:szCs w:val="20"/>
                <w:color w:val="auto"/>
              </w:rPr>
            </w:pPr>
            <w:r>
              <w:rPr>
                <w:rFonts w:ascii="Courier New" w:cs="Courier New" w:eastAsia="Courier New" w:hAnsi="Courier New"/>
                <w:sz w:val="17"/>
                <w:szCs w:val="17"/>
                <w:color w:val="auto"/>
              </w:rPr>
              <w:t>1994</w:t>
            </w:r>
          </w:p>
        </w:tc>
      </w:tr>
      <w:tr>
        <w:trPr>
          <w:trHeight w:val="392"/>
        </w:trPr>
        <w:tc>
          <w:tcPr>
            <w:tcW w:w="3260" w:type="dxa"/>
            <w:vAlign w:val="bottom"/>
          </w:tcPr>
          <w:p>
            <w:pPr>
              <w:spacing w:after="0"/>
              <w:rPr>
                <w:sz w:val="20"/>
                <w:szCs w:val="20"/>
                <w:color w:val="auto"/>
              </w:rPr>
            </w:pPr>
            <w:r>
              <w:rPr>
                <w:rFonts w:ascii="Courier New" w:cs="Courier New" w:eastAsia="Courier New" w:hAnsi="Courier New"/>
                <w:sz w:val="17"/>
                <w:szCs w:val="17"/>
                <w:color w:val="auto"/>
              </w:rPr>
              <w:t>Net sales</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95,555</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680" w:type="dxa"/>
            <w:vAlign w:val="bottom"/>
          </w:tcPr>
          <w:p>
            <w:pPr>
              <w:jc w:val="right"/>
              <w:ind w:right="735"/>
              <w:spacing w:after="0"/>
              <w:rPr>
                <w:sz w:val="20"/>
                <w:szCs w:val="20"/>
                <w:color w:val="auto"/>
              </w:rPr>
            </w:pPr>
            <w:r>
              <w:rPr>
                <w:rFonts w:ascii="Courier New" w:cs="Courier New" w:eastAsia="Courier New" w:hAnsi="Courier New"/>
                <w:sz w:val="17"/>
                <w:szCs w:val="17"/>
                <w:color w:val="auto"/>
              </w:rPr>
              <w:t>89,152</w:t>
            </w:r>
          </w:p>
        </w:tc>
      </w:tr>
      <w:tr>
        <w:trPr>
          <w:trHeight w:val="392"/>
        </w:trPr>
        <w:tc>
          <w:tcPr>
            <w:tcW w:w="3260" w:type="dxa"/>
            <w:vAlign w:val="bottom"/>
          </w:tcPr>
          <w:p>
            <w:pPr>
              <w:spacing w:after="0"/>
              <w:rPr>
                <w:sz w:val="20"/>
                <w:szCs w:val="20"/>
                <w:color w:val="auto"/>
              </w:rPr>
            </w:pPr>
            <w:r>
              <w:rPr>
                <w:rFonts w:ascii="Courier New" w:cs="Courier New" w:eastAsia="Courier New" w:hAnsi="Courier New"/>
                <w:sz w:val="17"/>
                <w:szCs w:val="17"/>
                <w:color w:val="auto"/>
              </w:rPr>
              <w:t>Loss before cumulative effect</w:t>
            </w:r>
          </w:p>
        </w:tc>
        <w:tc>
          <w:tcPr>
            <w:tcW w:w="9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96"/>
        </w:trPr>
        <w:tc>
          <w:tcPr>
            <w:tcW w:w="3260" w:type="dxa"/>
            <w:vAlign w:val="bottom"/>
          </w:tcPr>
          <w:p>
            <w:pPr>
              <w:ind w:left="200"/>
              <w:spacing w:after="0"/>
              <w:rPr>
                <w:sz w:val="20"/>
                <w:szCs w:val="20"/>
                <w:color w:val="auto"/>
              </w:rPr>
            </w:pPr>
            <w:r>
              <w:rPr>
                <w:rFonts w:ascii="Courier New" w:cs="Courier New" w:eastAsia="Courier New" w:hAnsi="Courier New"/>
                <w:sz w:val="17"/>
                <w:szCs w:val="17"/>
                <w:color w:val="auto"/>
              </w:rPr>
              <w:t>of accounting changes</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(1,757)</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680" w:type="dxa"/>
            <w:vAlign w:val="bottom"/>
          </w:tcPr>
          <w:p>
            <w:pPr>
              <w:jc w:val="right"/>
              <w:ind w:right="615"/>
              <w:spacing w:after="0"/>
              <w:rPr>
                <w:sz w:val="20"/>
                <w:szCs w:val="20"/>
                <w:color w:val="auto"/>
              </w:rPr>
            </w:pPr>
            <w:r>
              <w:rPr>
                <w:rFonts w:ascii="Courier New" w:cs="Courier New" w:eastAsia="Courier New" w:hAnsi="Courier New"/>
                <w:sz w:val="17"/>
                <w:szCs w:val="17"/>
                <w:color w:val="auto"/>
              </w:rPr>
              <w:t>(2,900)</w:t>
            </w:r>
          </w:p>
        </w:tc>
      </w:tr>
      <w:tr>
        <w:trPr>
          <w:trHeight w:val="392"/>
        </w:trPr>
        <w:tc>
          <w:tcPr>
            <w:tcW w:w="3260" w:type="dxa"/>
            <w:vAlign w:val="bottom"/>
          </w:tcPr>
          <w:p>
            <w:pPr>
              <w:spacing w:after="0"/>
              <w:rPr>
                <w:sz w:val="20"/>
                <w:szCs w:val="20"/>
                <w:color w:val="auto"/>
              </w:rPr>
            </w:pPr>
            <w:r>
              <w:rPr>
                <w:rFonts w:ascii="Courier New" w:cs="Courier New" w:eastAsia="Courier New" w:hAnsi="Courier New"/>
                <w:sz w:val="17"/>
                <w:szCs w:val="17"/>
                <w:color w:val="auto"/>
              </w:rPr>
              <w:t>Net loss</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(14,914)</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680" w:type="dxa"/>
            <w:vAlign w:val="bottom"/>
          </w:tcPr>
          <w:p>
            <w:pPr>
              <w:jc w:val="right"/>
              <w:ind w:right="615"/>
              <w:spacing w:after="0"/>
              <w:rPr>
                <w:sz w:val="20"/>
                <w:szCs w:val="20"/>
                <w:color w:val="auto"/>
              </w:rPr>
            </w:pPr>
            <w:r>
              <w:rPr>
                <w:rFonts w:ascii="Courier New" w:cs="Courier New" w:eastAsia="Courier New" w:hAnsi="Courier New"/>
                <w:sz w:val="17"/>
                <w:szCs w:val="17"/>
                <w:color w:val="auto"/>
              </w:rPr>
              <w:t>(2,900)</w:t>
            </w:r>
          </w:p>
        </w:tc>
      </w:tr>
      <w:tr>
        <w:trPr>
          <w:trHeight w:val="392"/>
        </w:trPr>
        <w:tc>
          <w:tcPr>
            <w:tcW w:w="4180" w:type="dxa"/>
            <w:vAlign w:val="bottom"/>
            <w:gridSpan w:val="2"/>
          </w:tcPr>
          <w:p>
            <w:pPr>
              <w:spacing w:after="0"/>
              <w:rPr>
                <w:sz w:val="20"/>
                <w:szCs w:val="20"/>
                <w:color w:val="auto"/>
              </w:rPr>
            </w:pPr>
            <w:r>
              <w:rPr>
                <w:rFonts w:ascii="Courier New" w:cs="Courier New" w:eastAsia="Courier New" w:hAnsi="Courier New"/>
                <w:sz w:val="17"/>
                <w:szCs w:val="17"/>
                <w:color w:val="auto"/>
              </w:rPr>
              <w:t>Loss per common share before cumulative</w:t>
            </w:r>
          </w:p>
        </w:tc>
        <w:tc>
          <w:tcPr>
            <w:tcW w:w="1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96"/>
        </w:trPr>
        <w:tc>
          <w:tcPr>
            <w:tcW w:w="3260" w:type="dxa"/>
            <w:vAlign w:val="bottom"/>
          </w:tcPr>
          <w:p>
            <w:pPr>
              <w:ind w:left="200"/>
              <w:spacing w:after="0"/>
              <w:rPr>
                <w:sz w:val="20"/>
                <w:szCs w:val="20"/>
                <w:color w:val="auto"/>
              </w:rPr>
            </w:pPr>
            <w:r>
              <w:rPr>
                <w:rFonts w:ascii="Courier New" w:cs="Courier New" w:eastAsia="Courier New" w:hAnsi="Courier New"/>
                <w:sz w:val="17"/>
                <w:szCs w:val="17"/>
                <w:color w:val="auto"/>
              </w:rPr>
              <w:t>effect of accounting changes</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(.09)</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680" w:type="dxa"/>
            <w:vAlign w:val="bottom"/>
          </w:tcPr>
          <w:p>
            <w:pPr>
              <w:jc w:val="right"/>
              <w:ind w:right="615"/>
              <w:spacing w:after="0"/>
              <w:rPr>
                <w:sz w:val="20"/>
                <w:szCs w:val="20"/>
                <w:color w:val="auto"/>
              </w:rPr>
            </w:pPr>
            <w:r>
              <w:rPr>
                <w:rFonts w:ascii="Courier New" w:cs="Courier New" w:eastAsia="Courier New" w:hAnsi="Courier New"/>
                <w:sz w:val="17"/>
                <w:szCs w:val="17"/>
                <w:color w:val="auto"/>
              </w:rPr>
              <w:t>(.14)</w:t>
            </w:r>
          </w:p>
        </w:tc>
      </w:tr>
      <w:tr>
        <w:trPr>
          <w:trHeight w:val="392"/>
        </w:trPr>
        <w:tc>
          <w:tcPr>
            <w:tcW w:w="3260" w:type="dxa"/>
            <w:vAlign w:val="bottom"/>
          </w:tcPr>
          <w:p>
            <w:pPr>
              <w:spacing w:after="0"/>
              <w:rPr>
                <w:sz w:val="20"/>
                <w:szCs w:val="20"/>
                <w:color w:val="auto"/>
              </w:rPr>
            </w:pPr>
            <w:r>
              <w:rPr>
                <w:rFonts w:ascii="Courier New" w:cs="Courier New" w:eastAsia="Courier New" w:hAnsi="Courier New"/>
                <w:sz w:val="17"/>
                <w:szCs w:val="17"/>
                <w:color w:val="auto"/>
              </w:rPr>
              <w:t>Net loss per common share</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(.71)</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680" w:type="dxa"/>
            <w:vAlign w:val="bottom"/>
          </w:tcPr>
          <w:p>
            <w:pPr>
              <w:jc w:val="right"/>
              <w:ind w:right="615"/>
              <w:spacing w:after="0"/>
              <w:rPr>
                <w:sz w:val="20"/>
                <w:szCs w:val="20"/>
                <w:color w:val="auto"/>
              </w:rPr>
            </w:pPr>
            <w:r>
              <w:rPr>
                <w:rFonts w:ascii="Courier New" w:cs="Courier New" w:eastAsia="Courier New" w:hAnsi="Courier New"/>
                <w:sz w:val="17"/>
                <w:szCs w:val="17"/>
                <w:color w:val="auto"/>
              </w:rPr>
              <w:t>(.14)</w:t>
            </w:r>
          </w:p>
        </w:tc>
      </w:tr>
    </w:tbl>
    <w:p>
      <w:pPr>
        <w:spacing w:after="0" w:line="201" w:lineRule="exact"/>
        <w:rPr>
          <w:sz w:val="20"/>
          <w:szCs w:val="20"/>
          <w:color w:val="auto"/>
        </w:rPr>
      </w:pPr>
    </w:p>
    <w:p>
      <w:pPr>
        <w:ind w:right="2259"/>
        <w:spacing w:after="0" w:line="244" w:lineRule="auto"/>
        <w:rPr>
          <w:sz w:val="20"/>
          <w:szCs w:val="20"/>
          <w:color w:val="auto"/>
        </w:rPr>
      </w:pPr>
      <w:r>
        <w:rPr>
          <w:rFonts w:ascii="Courier New" w:cs="Courier New" w:eastAsia="Courier New" w:hAnsi="Courier New"/>
          <w:sz w:val="17"/>
          <w:szCs w:val="17"/>
          <w:color w:val="auto"/>
        </w:rPr>
        <w:t>The pro forma information provided does not purport to be indicative of actual results of operations if the Sierra acquisition had occurred as of October 1, 1992, and is not intended to be indicative of future results or trends.</w:t>
      </w:r>
    </w:p>
    <w:p>
      <w:pPr>
        <w:spacing w:after="0" w:line="200" w:lineRule="exact"/>
        <w:rPr>
          <w:sz w:val="20"/>
          <w:szCs w:val="20"/>
          <w:color w:val="auto"/>
        </w:rPr>
      </w:pPr>
    </w:p>
    <w:p>
      <w:pPr>
        <w:spacing w:after="0" w:line="389" w:lineRule="exact"/>
        <w:rPr>
          <w:sz w:val="20"/>
          <w:szCs w:val="20"/>
          <w:color w:val="auto"/>
        </w:rPr>
      </w:pPr>
    </w:p>
    <w:p>
      <w:pPr>
        <w:ind w:left="3260"/>
        <w:spacing w:after="0"/>
        <w:rPr>
          <w:sz w:val="20"/>
          <w:szCs w:val="20"/>
          <w:color w:val="auto"/>
        </w:rPr>
      </w:pPr>
      <w:r>
        <w:rPr>
          <w:rFonts w:ascii="Courier New" w:cs="Courier New" w:eastAsia="Courier New" w:hAnsi="Courier New"/>
          <w:sz w:val="17"/>
          <w:szCs w:val="17"/>
          <w:color w:val="auto"/>
        </w:rPr>
        <w:t>Page 8</w:t>
      </w:r>
    </w:p>
    <w:p>
      <w:pPr>
        <w:sectPr>
          <w:pgSz w:w="11900" w:h="16838" w:orient="portrait"/>
          <w:cols w:equalWidth="0" w:num="1">
            <w:col w:w="9699"/>
          </w:cols>
          <w:pgMar w:left="760" w:top="900" w:right="1440" w:bottom="1440" w:gutter="0" w:footer="0" w:header="0"/>
        </w:sectPr>
      </w:pPr>
    </w:p>
    <w:bookmarkStart w:id="8" w:name="page9"/>
    <w:bookmarkEnd w:id="8"/>
    <w:p>
      <w:pPr>
        <w:ind w:left="515" w:hanging="515"/>
        <w:spacing w:after="0"/>
        <w:tabs>
          <w:tab w:leader="none" w:pos="51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Long-term Debt</w:t>
      </w:r>
    </w:p>
    <w:p>
      <w:pPr>
        <w:spacing w:after="0" w:line="200" w:lineRule="exact"/>
        <w:rPr>
          <w:rFonts w:ascii="Courier New" w:cs="Courier New" w:eastAsia="Courier New" w:hAnsi="Courier New"/>
          <w:sz w:val="17"/>
          <w:szCs w:val="17"/>
          <w:color w:val="auto"/>
        </w:rPr>
      </w:pPr>
    </w:p>
    <w:p>
      <w:pPr>
        <w:ind w:left="515" w:right="2259"/>
        <w:spacing w:after="0" w:line="24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On December 16, 1993, the Company entered into an amendment to its Credit Agreement to finance the Sierra acquisition. The amendment increased the term debt commitments available under the Credit Agreement to $195,000,000. The Credit Agreement continues to provide a revolving credit commitment of $150,000,000 through the scheduled maturity date of March 31, 1996. The Company's long-term debt consists of the following:</w:t>
      </w:r>
    </w:p>
    <w:p>
      <w:pPr>
        <w:spacing w:after="0" w:line="200" w:lineRule="exact"/>
        <w:rPr>
          <w:sz w:val="20"/>
          <w:szCs w:val="20"/>
          <w:color w:val="auto"/>
        </w:rPr>
      </w:pPr>
    </w:p>
    <w:p>
      <w:pPr>
        <w:spacing w:after="0" w:line="390" w:lineRule="exact"/>
        <w:rPr>
          <w:sz w:val="20"/>
          <w:szCs w:val="20"/>
          <w:color w:val="auto"/>
        </w:rPr>
      </w:pPr>
    </w:p>
    <w:tbl>
      <w:tblPr>
        <w:tblLayout w:type="fixed"/>
        <w:tblInd w:w="515" w:type="dxa"/>
        <w:tblCellMar>
          <w:top w:w="0" w:type="dxa"/>
          <w:left w:w="0" w:type="dxa"/>
          <w:bottom w:w="0" w:type="dxa"/>
          <w:right w:w="0" w:type="dxa"/>
        </w:tblCellMar>
      </w:tblPr>
      <w:tr>
        <w:trPr>
          <w:trHeight w:val="193"/>
        </w:trPr>
        <w:tc>
          <w:tcPr>
            <w:tcW w:w="4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January 1</w:t>
            </w:r>
          </w:p>
        </w:tc>
      </w:tr>
      <w:tr>
        <w:trPr>
          <w:trHeight w:val="196"/>
        </w:trPr>
        <w:tc>
          <w:tcPr>
            <w:tcW w:w="4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1994</w:t>
            </w:r>
          </w:p>
        </w:tc>
      </w:tr>
      <w:tr>
        <w:trPr>
          <w:trHeight w:val="392"/>
        </w:trPr>
        <w:tc>
          <w:tcPr>
            <w:tcW w:w="4780" w:type="dxa"/>
            <w:vAlign w:val="bottom"/>
          </w:tcPr>
          <w:p>
            <w:pPr>
              <w:spacing w:after="0"/>
              <w:rPr>
                <w:sz w:val="20"/>
                <w:szCs w:val="20"/>
                <w:color w:val="auto"/>
              </w:rPr>
            </w:pPr>
            <w:r>
              <w:rPr>
                <w:rFonts w:ascii="Courier New" w:cs="Courier New" w:eastAsia="Courier New" w:hAnsi="Courier New"/>
                <w:sz w:val="17"/>
                <w:szCs w:val="17"/>
                <w:color w:val="auto"/>
              </w:rPr>
              <w:t>Revolving credit loan and bank line of credit</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75,303,000</w:t>
            </w:r>
          </w:p>
        </w:tc>
      </w:tr>
      <w:tr>
        <w:trPr>
          <w:trHeight w:val="196"/>
        </w:trPr>
        <w:tc>
          <w:tcPr>
            <w:tcW w:w="4780" w:type="dxa"/>
            <w:vAlign w:val="bottom"/>
          </w:tcPr>
          <w:p>
            <w:pPr>
              <w:spacing w:after="0"/>
              <w:rPr>
                <w:sz w:val="20"/>
                <w:szCs w:val="20"/>
                <w:color w:val="auto"/>
              </w:rPr>
            </w:pPr>
            <w:r>
              <w:rPr>
                <w:rFonts w:ascii="Courier New" w:cs="Courier New" w:eastAsia="Courier New" w:hAnsi="Courier New"/>
                <w:sz w:val="17"/>
                <w:szCs w:val="17"/>
                <w:color w:val="auto"/>
              </w:rPr>
              <w:t>Term loan</w:t>
            </w: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195,000,000</w:t>
            </w:r>
          </w:p>
        </w:tc>
      </w:tr>
      <w:tr>
        <w:trPr>
          <w:trHeight w:val="196"/>
        </w:trPr>
        <w:tc>
          <w:tcPr>
            <w:tcW w:w="4780" w:type="dxa"/>
            <w:vAlign w:val="bottom"/>
          </w:tcPr>
          <w:p>
            <w:pPr>
              <w:spacing w:after="0"/>
              <w:rPr>
                <w:sz w:val="20"/>
                <w:szCs w:val="20"/>
                <w:color w:val="auto"/>
              </w:rPr>
            </w:pPr>
            <w:r>
              <w:rPr>
                <w:rFonts w:ascii="Courier New" w:cs="Courier New" w:eastAsia="Courier New" w:hAnsi="Courier New"/>
                <w:sz w:val="17"/>
                <w:szCs w:val="17"/>
                <w:color w:val="auto"/>
              </w:rPr>
              <w:t>Capital lease obligations and other</w:t>
            </w: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3,070,000</w:t>
            </w:r>
          </w:p>
        </w:tc>
      </w:tr>
      <w:tr>
        <w:trPr>
          <w:trHeight w:val="196"/>
        </w:trPr>
        <w:tc>
          <w:tcPr>
            <w:tcW w:w="4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273,373,000</w:t>
            </w:r>
          </w:p>
        </w:tc>
      </w:tr>
      <w:tr>
        <w:trPr>
          <w:trHeight w:val="196"/>
        </w:trPr>
        <w:tc>
          <w:tcPr>
            <w:tcW w:w="4780" w:type="dxa"/>
            <w:vAlign w:val="bottom"/>
          </w:tcPr>
          <w:p>
            <w:pPr>
              <w:spacing w:after="0"/>
              <w:rPr>
                <w:sz w:val="20"/>
                <w:szCs w:val="20"/>
                <w:color w:val="auto"/>
              </w:rPr>
            </w:pPr>
            <w:r>
              <w:rPr>
                <w:rFonts w:ascii="Courier New" w:cs="Courier New" w:eastAsia="Courier New" w:hAnsi="Courier New"/>
                <w:sz w:val="17"/>
                <w:szCs w:val="17"/>
                <w:color w:val="auto"/>
              </w:rPr>
              <w:t>Less current portions</w:t>
            </w: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65,747,000</w:t>
            </w:r>
          </w:p>
        </w:tc>
      </w:tr>
      <w:tr>
        <w:trPr>
          <w:trHeight w:val="196"/>
        </w:trPr>
        <w:tc>
          <w:tcPr>
            <w:tcW w:w="47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207,626,000</w:t>
            </w:r>
          </w:p>
        </w:tc>
      </w:tr>
    </w:tbl>
    <w:p>
      <w:pPr>
        <w:spacing w:after="0" w:line="200" w:lineRule="exact"/>
        <w:rPr>
          <w:sz w:val="20"/>
          <w:szCs w:val="20"/>
          <w:color w:val="auto"/>
        </w:rPr>
      </w:pPr>
    </w:p>
    <w:p>
      <w:pPr>
        <w:ind w:left="515"/>
        <w:spacing w:after="0"/>
        <w:rPr>
          <w:sz w:val="20"/>
          <w:szCs w:val="20"/>
          <w:color w:val="auto"/>
        </w:rPr>
      </w:pPr>
      <w:r>
        <w:rPr>
          <w:rFonts w:ascii="Courier New" w:cs="Courier New" w:eastAsia="Courier New" w:hAnsi="Courier New"/>
          <w:sz w:val="17"/>
          <w:szCs w:val="17"/>
          <w:color w:val="auto"/>
        </w:rPr>
        <w:t>Scheduled maturities of term debt are as follows:</w:t>
      </w:r>
    </w:p>
    <w:p>
      <w:pPr>
        <w:spacing w:after="0" w:line="200" w:lineRule="exact"/>
        <w:rPr>
          <w:sz w:val="20"/>
          <w:szCs w:val="20"/>
          <w:color w:val="auto"/>
        </w:rPr>
      </w:pPr>
    </w:p>
    <w:tbl>
      <w:tblPr>
        <w:tblLayout w:type="fixed"/>
        <w:tblInd w:w="1735" w:type="dxa"/>
        <w:tblCellMar>
          <w:top w:w="0" w:type="dxa"/>
          <w:left w:w="0" w:type="dxa"/>
          <w:bottom w:w="0" w:type="dxa"/>
          <w:right w:w="0" w:type="dxa"/>
        </w:tblCellMar>
      </w:tblPr>
      <w:tr>
        <w:trPr>
          <w:trHeight w:val="193"/>
        </w:trPr>
        <w:tc>
          <w:tcPr>
            <w:tcW w:w="3000" w:type="dxa"/>
            <w:vAlign w:val="bottom"/>
            <w:gridSpan w:val="2"/>
          </w:tcPr>
          <w:p>
            <w:pPr>
              <w:spacing w:after="0"/>
              <w:rPr>
                <w:sz w:val="20"/>
                <w:szCs w:val="20"/>
                <w:color w:val="auto"/>
              </w:rPr>
            </w:pPr>
            <w:r>
              <w:rPr>
                <w:rFonts w:ascii="Courier New" w:cs="Courier New" w:eastAsia="Courier New" w:hAnsi="Courier New"/>
                <w:sz w:val="17"/>
                <w:szCs w:val="17"/>
                <w:color w:val="auto"/>
              </w:rPr>
              <w:t>Fiscal Year</w:t>
            </w:r>
          </w:p>
        </w:tc>
        <w:tc>
          <w:tcPr>
            <w:tcW w:w="2100" w:type="dxa"/>
            <w:vAlign w:val="bottom"/>
          </w:tcPr>
          <w:p>
            <w:pPr>
              <w:spacing w:after="0"/>
              <w:rPr>
                <w:sz w:val="16"/>
                <w:szCs w:val="16"/>
                <w:color w:val="auto"/>
              </w:rPr>
            </w:pPr>
          </w:p>
        </w:tc>
      </w:tr>
      <w:tr>
        <w:trPr>
          <w:trHeight w:val="196"/>
        </w:trPr>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1994</w:t>
            </w:r>
          </w:p>
        </w:tc>
        <w:tc>
          <w:tcPr>
            <w:tcW w:w="224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Courier New" w:cs="Courier New" w:eastAsia="Courier New" w:hAnsi="Courier New"/>
                <w:sz w:val="17"/>
                <w:szCs w:val="17"/>
                <w:color w:val="auto"/>
              </w:rPr>
              <w:t>$   5,000,000</w:t>
            </w:r>
          </w:p>
        </w:tc>
      </w:tr>
      <w:tr>
        <w:trPr>
          <w:trHeight w:val="196"/>
        </w:trPr>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1995</w:t>
            </w:r>
          </w:p>
        </w:tc>
        <w:tc>
          <w:tcPr>
            <w:tcW w:w="224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Courier New" w:cs="Courier New" w:eastAsia="Courier New" w:hAnsi="Courier New"/>
                <w:sz w:val="17"/>
                <w:szCs w:val="17"/>
                <w:color w:val="auto"/>
              </w:rPr>
              <w:t>25,000,000</w:t>
            </w:r>
          </w:p>
        </w:tc>
      </w:tr>
      <w:tr>
        <w:trPr>
          <w:trHeight w:val="196"/>
        </w:trPr>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1996</w:t>
            </w:r>
          </w:p>
        </w:tc>
        <w:tc>
          <w:tcPr>
            <w:tcW w:w="224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Courier New" w:cs="Courier New" w:eastAsia="Courier New" w:hAnsi="Courier New"/>
                <w:sz w:val="17"/>
                <w:szCs w:val="17"/>
                <w:color w:val="auto"/>
              </w:rPr>
              <w:t>27,500,000</w:t>
            </w:r>
          </w:p>
        </w:tc>
      </w:tr>
      <w:tr>
        <w:trPr>
          <w:trHeight w:val="196"/>
        </w:trPr>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1997</w:t>
            </w:r>
          </w:p>
        </w:tc>
        <w:tc>
          <w:tcPr>
            <w:tcW w:w="224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Courier New" w:cs="Courier New" w:eastAsia="Courier New" w:hAnsi="Courier New"/>
                <w:sz w:val="17"/>
                <w:szCs w:val="17"/>
                <w:color w:val="auto"/>
              </w:rPr>
              <w:t>32,500,000</w:t>
            </w:r>
          </w:p>
        </w:tc>
      </w:tr>
      <w:tr>
        <w:trPr>
          <w:trHeight w:val="196"/>
        </w:trPr>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1998</w:t>
            </w:r>
          </w:p>
        </w:tc>
        <w:tc>
          <w:tcPr>
            <w:tcW w:w="224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Courier New" w:cs="Courier New" w:eastAsia="Courier New" w:hAnsi="Courier New"/>
                <w:sz w:val="17"/>
                <w:szCs w:val="17"/>
                <w:color w:val="auto"/>
              </w:rPr>
              <w:t>30,000,000</w:t>
            </w:r>
          </w:p>
        </w:tc>
      </w:tr>
      <w:tr>
        <w:trPr>
          <w:trHeight w:val="196"/>
        </w:trPr>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1999</w:t>
            </w:r>
          </w:p>
        </w:tc>
        <w:tc>
          <w:tcPr>
            <w:tcW w:w="2240" w:type="dxa"/>
            <w:vAlign w:val="bottom"/>
          </w:tcPr>
          <w:p>
            <w:pPr>
              <w:ind w:left="60"/>
              <w:spacing w:after="0"/>
              <w:rPr>
                <w:sz w:val="20"/>
                <w:szCs w:val="20"/>
                <w:color w:val="auto"/>
              </w:rPr>
            </w:pPr>
            <w:r>
              <w:rPr>
                <w:rFonts w:ascii="Courier New" w:cs="Courier New" w:eastAsia="Courier New" w:hAnsi="Courier New"/>
                <w:sz w:val="17"/>
                <w:szCs w:val="17"/>
                <w:color w:val="auto"/>
              </w:rPr>
              <w:t>and thereafter</w:t>
            </w:r>
          </w:p>
        </w:tc>
        <w:tc>
          <w:tcPr>
            <w:tcW w:w="2100" w:type="dxa"/>
            <w:vAlign w:val="bottom"/>
          </w:tcPr>
          <w:p>
            <w:pPr>
              <w:jc w:val="right"/>
              <w:spacing w:after="0"/>
              <w:rPr>
                <w:sz w:val="20"/>
                <w:szCs w:val="20"/>
                <w:color w:val="auto"/>
              </w:rPr>
            </w:pPr>
            <w:r>
              <w:rPr>
                <w:rFonts w:ascii="Courier New" w:cs="Courier New" w:eastAsia="Courier New" w:hAnsi="Courier New"/>
                <w:sz w:val="17"/>
                <w:szCs w:val="17"/>
                <w:color w:val="auto"/>
              </w:rPr>
              <w:t>75,000,000</w:t>
            </w:r>
          </w:p>
        </w:tc>
      </w:tr>
    </w:tbl>
    <w:p>
      <w:pPr>
        <w:spacing w:after="0" w:line="201" w:lineRule="exact"/>
        <w:rPr>
          <w:sz w:val="20"/>
          <w:szCs w:val="20"/>
          <w:color w:val="auto"/>
        </w:rPr>
      </w:pPr>
    </w:p>
    <w:p>
      <w:pPr>
        <w:ind w:left="515" w:right="2359"/>
        <w:spacing w:after="0" w:line="243" w:lineRule="auto"/>
        <w:rPr>
          <w:sz w:val="20"/>
          <w:szCs w:val="20"/>
          <w:color w:val="auto"/>
        </w:rPr>
      </w:pPr>
      <w:r>
        <w:rPr>
          <w:rFonts w:ascii="Courier New" w:cs="Courier New" w:eastAsia="Courier New" w:hAnsi="Courier New"/>
          <w:sz w:val="17"/>
          <w:szCs w:val="17"/>
          <w:color w:val="auto"/>
        </w:rPr>
        <w:t>All other aspects of the Company's Credit Agreement remain substantially the same.</w:t>
      </w:r>
    </w:p>
    <w:p>
      <w:pPr>
        <w:spacing w:after="0" w:line="198" w:lineRule="exact"/>
        <w:rPr>
          <w:sz w:val="20"/>
          <w:szCs w:val="20"/>
          <w:color w:val="auto"/>
        </w:rPr>
      </w:pPr>
    </w:p>
    <w:p>
      <w:pPr>
        <w:ind w:left="515" w:hanging="515"/>
        <w:spacing w:after="0"/>
        <w:tabs>
          <w:tab w:leader="none" w:pos="515"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Income Taxes</w:t>
      </w:r>
    </w:p>
    <w:p>
      <w:pPr>
        <w:spacing w:after="0" w:line="200" w:lineRule="exact"/>
        <w:rPr>
          <w:rFonts w:ascii="Courier New" w:cs="Courier New" w:eastAsia="Courier New" w:hAnsi="Courier New"/>
          <w:sz w:val="17"/>
          <w:szCs w:val="17"/>
          <w:color w:val="auto"/>
        </w:rPr>
      </w:pPr>
    </w:p>
    <w:p>
      <w:pPr>
        <w:ind w:left="515" w:right="2459"/>
        <w:spacing w:after="0" w:line="24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effective income tax rate used for the three month period ended January 1, 1994 differs from the statutory federal rate principally due to state and local income tax expense, amortization of goodwill and amortization of prepaid pension costs. A tax benefit of $1,060,000 has been recognized since, due to the established seasonal pattern of business, it is expected that the loss in the first quarter will be offset by income in later interim periods.</w:t>
      </w:r>
    </w:p>
    <w:p>
      <w:pPr>
        <w:spacing w:after="0" w:line="198" w:lineRule="exact"/>
        <w:rPr>
          <w:rFonts w:ascii="Courier New" w:cs="Courier New" w:eastAsia="Courier New" w:hAnsi="Courier New"/>
          <w:sz w:val="17"/>
          <w:szCs w:val="17"/>
          <w:color w:val="auto"/>
        </w:rPr>
      </w:pPr>
    </w:p>
    <w:p>
      <w:pPr>
        <w:ind w:left="515" w:hanging="515"/>
        <w:spacing w:after="0"/>
        <w:tabs>
          <w:tab w:leader="none" w:pos="515"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Contingencies</w:t>
      </w:r>
    </w:p>
    <w:p>
      <w:pPr>
        <w:spacing w:after="0" w:line="200" w:lineRule="exact"/>
        <w:rPr>
          <w:rFonts w:ascii="Courier New" w:cs="Courier New" w:eastAsia="Courier New" w:hAnsi="Courier New"/>
          <w:sz w:val="17"/>
          <w:szCs w:val="17"/>
          <w:color w:val="auto"/>
        </w:rPr>
      </w:pPr>
    </w:p>
    <w:p>
      <w:pPr>
        <w:ind w:left="515" w:right="2259"/>
        <w:spacing w:after="0" w:line="24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is involved in various lawsuits and claims that arise in the normal course of business. In the opinion of management, these claims individually and in the aggregate are not expected to result in a material adverse effect on the Company's financial position or results of operations, however, there can be no assurance that future quarterly or annual operating results will not be materially affected by final resolution of these matters. The following details the more significant of these matters.</w:t>
      </w:r>
    </w:p>
    <w:p>
      <w:pPr>
        <w:spacing w:after="0" w:line="199" w:lineRule="exact"/>
        <w:rPr>
          <w:rFonts w:ascii="Courier New" w:cs="Courier New" w:eastAsia="Courier New" w:hAnsi="Courier New"/>
          <w:sz w:val="17"/>
          <w:szCs w:val="17"/>
          <w:color w:val="auto"/>
        </w:rPr>
      </w:pPr>
    </w:p>
    <w:p>
      <w:pPr>
        <w:ind w:left="515" w:right="2859"/>
        <w:spacing w:after="0" w:line="24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has been involved in studying a landfill to which it is believed some of the Company's solid waste had been hauled in the</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3775"/>
        <w:spacing w:after="0"/>
        <w:rPr>
          <w:sz w:val="20"/>
          <w:szCs w:val="20"/>
          <w:color w:val="auto"/>
        </w:rPr>
      </w:pPr>
      <w:r>
        <w:rPr>
          <w:rFonts w:ascii="Courier New" w:cs="Courier New" w:eastAsia="Courier New" w:hAnsi="Courier New"/>
          <w:sz w:val="17"/>
          <w:szCs w:val="17"/>
          <w:color w:val="auto"/>
        </w:rPr>
        <w:t>Page 9</w:t>
      </w:r>
    </w:p>
    <w:p>
      <w:pPr>
        <w:sectPr>
          <w:pgSz w:w="11900" w:h="16838" w:orient="portrait"/>
          <w:cols w:equalWidth="0" w:num="1">
            <w:col w:w="10215"/>
          </w:cols>
          <w:pgMar w:left="245" w:top="899" w:right="1440" w:bottom="1440" w:gutter="0" w:footer="0" w:header="0"/>
        </w:sectPr>
      </w:pPr>
    </w:p>
    <w:bookmarkStart w:id="9" w:name="page10"/>
    <w:bookmarkEnd w:id="9"/>
    <w:p>
      <w:pPr>
        <w:ind w:left="515" w:right="2259"/>
        <w:spacing w:after="0" w:line="244" w:lineRule="auto"/>
        <w:rPr>
          <w:sz w:val="20"/>
          <w:szCs w:val="20"/>
          <w:color w:val="auto"/>
        </w:rPr>
      </w:pPr>
      <w:r>
        <w:rPr>
          <w:rFonts w:ascii="Courier New" w:cs="Courier New" w:eastAsia="Courier New" w:hAnsi="Courier New"/>
          <w:sz w:val="17"/>
          <w:szCs w:val="17"/>
          <w:color w:val="auto"/>
        </w:rPr>
        <w:t>1970's. In September 1991, the Company was named by the Ohio Environmental Protection Agency ("Ohio EPA") as a Potentially Responsible Party ("PRP") with respect to this landfill. Pursuant to a consent order with the Ohio EPA, the Company, together with four other PRP's identified to date, is investigating the extent of contamination at the landfill and developing a remediation program.</w:t>
      </w:r>
    </w:p>
    <w:p>
      <w:pPr>
        <w:spacing w:after="0" w:line="199" w:lineRule="exact"/>
        <w:rPr>
          <w:sz w:val="20"/>
          <w:szCs w:val="20"/>
          <w:color w:val="auto"/>
        </w:rPr>
      </w:pPr>
    </w:p>
    <w:p>
      <w:pPr>
        <w:ind w:left="515" w:right="2259"/>
        <w:spacing w:after="0" w:line="244" w:lineRule="auto"/>
        <w:rPr>
          <w:sz w:val="20"/>
          <w:szCs w:val="20"/>
          <w:color w:val="auto"/>
        </w:rPr>
      </w:pPr>
      <w:r>
        <w:rPr>
          <w:rFonts w:ascii="Courier New" w:cs="Courier New" w:eastAsia="Courier New" w:hAnsi="Courier New"/>
          <w:sz w:val="17"/>
          <w:szCs w:val="17"/>
          <w:color w:val="auto"/>
        </w:rPr>
        <w:t>In July 1990, the Company was directed by the Army Corps of Engineers (the "Corps") to cease peat harvesting operations at its New Jersey facility. The Corps has alleged that the peat harvesting operations were in violation of the Clean Water Act ("CWA"). The United States Department of Justice has commenced a legal action to seek a permanent injunction against peat harvesting at this facility and to recover civil penalties under the CWA. This action had been suspended while the parties engaged in discussion to resolve the dispute. Those discussions have not resulted in a settlement and accordingly the action has been reinstated. The Company intends to defend the action vigorously but if the Corps' position is upheld the Company could be prohibited from further harvesting of peat at this location and penalties could be assessed against the Company. In the opinion of management, the outcome of this action will not have a material adverse effect on the Company's financial position or results of operations. Furthermore, management believes the Company has sufficient raw material supplies available such that service to customers will not be adversely affected by continued closure of this peat harvesting operation.</w:t>
      </w:r>
    </w:p>
    <w:p>
      <w:pPr>
        <w:spacing w:after="0" w:line="203" w:lineRule="exact"/>
        <w:rPr>
          <w:sz w:val="20"/>
          <w:szCs w:val="20"/>
          <w:color w:val="auto"/>
        </w:rPr>
      </w:pPr>
    </w:p>
    <w:p>
      <w:pPr>
        <w:ind w:left="515" w:hanging="515"/>
        <w:spacing w:after="0"/>
        <w:tabs>
          <w:tab w:leader="none" w:pos="515"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Accounting Issues</w:t>
      </w:r>
    </w:p>
    <w:p>
      <w:pPr>
        <w:spacing w:after="0" w:line="199" w:lineRule="exact"/>
        <w:rPr>
          <w:rFonts w:ascii="Courier New" w:cs="Courier New" w:eastAsia="Courier New" w:hAnsi="Courier New"/>
          <w:sz w:val="17"/>
          <w:szCs w:val="17"/>
          <w:color w:val="auto"/>
        </w:rPr>
      </w:pPr>
    </w:p>
    <w:p>
      <w:pPr>
        <w:ind w:left="515"/>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In November 1992, the Financial Accounting Standards Board issued</w:t>
      </w:r>
    </w:p>
    <w:p>
      <w:pPr>
        <w:spacing w:after="0" w:line="4" w:lineRule="exact"/>
        <w:rPr>
          <w:rFonts w:ascii="Courier New" w:cs="Courier New" w:eastAsia="Courier New" w:hAnsi="Courier New"/>
          <w:sz w:val="17"/>
          <w:szCs w:val="17"/>
          <w:color w:val="auto"/>
        </w:rPr>
      </w:pPr>
    </w:p>
    <w:p>
      <w:pPr>
        <w:ind w:left="515" w:right="2259"/>
        <w:spacing w:after="0" w:line="24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SFAS No. 112, "Employers' Accounting for Postemployment Benefits," which changes the prevalent method of accounting for benefits provided after employments but before retirement. The Company is required to adopt SFAS No. 112 no later than the first quarter of fiscal 1995. Management is currently evaluating the provisions of SFAS No. 112 and, at this time, the effect of adopting SFAS No. 112 has not been determined.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675"/>
        <w:spacing w:after="0"/>
        <w:rPr>
          <w:sz w:val="20"/>
          <w:szCs w:val="20"/>
          <w:color w:val="auto"/>
        </w:rPr>
      </w:pPr>
      <w:r>
        <w:rPr>
          <w:rFonts w:ascii="Courier New" w:cs="Courier New" w:eastAsia="Courier New" w:hAnsi="Courier New"/>
          <w:sz w:val="17"/>
          <w:szCs w:val="17"/>
          <w:color w:val="auto"/>
        </w:rPr>
        <w:t>Page 10</w:t>
      </w:r>
    </w:p>
    <w:p>
      <w:pPr>
        <w:sectPr>
          <w:pgSz w:w="11900" w:h="16838" w:orient="portrait"/>
          <w:cols w:equalWidth="0" w:num="1">
            <w:col w:w="10215"/>
          </w:cols>
          <w:pgMar w:left="245" w:top="900" w:right="1440" w:bottom="1440" w:gutter="0" w:footer="0" w:header="0"/>
        </w:sectPr>
      </w:pPr>
    </w:p>
    <w:bookmarkStart w:id="10" w:name="page11"/>
    <w:bookmarkEnd w:id="10"/>
    <w:p>
      <w:pPr>
        <w:jc w:val="center"/>
        <w:ind w:right="2759"/>
        <w:spacing w:after="0"/>
        <w:rPr>
          <w:sz w:val="20"/>
          <w:szCs w:val="20"/>
          <w:color w:val="auto"/>
        </w:rPr>
      </w:pPr>
      <w:r>
        <w:rPr>
          <w:rFonts w:ascii="Courier New" w:cs="Courier New" w:eastAsia="Courier New" w:hAnsi="Courier New"/>
          <w:sz w:val="17"/>
          <w:szCs w:val="17"/>
          <w:color w:val="auto"/>
        </w:rPr>
        <w:t>MANAGEMENT'S DISCUSSION AND ANALYSIS OF</w:t>
      </w:r>
    </w:p>
    <w:p>
      <w:pPr>
        <w:spacing w:after="0" w:line="4"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7"/>
          <w:szCs w:val="17"/>
          <w:color w:val="auto"/>
        </w:rPr>
        <w:t>FINANCIAL CONDITION AND RESULTS OF OPERATIONS</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Results of Operations</w:t>
      </w:r>
    </w:p>
    <w:p>
      <w:pPr>
        <w:spacing w:after="0" w:line="201" w:lineRule="exact"/>
        <w:rPr>
          <w:sz w:val="20"/>
          <w:szCs w:val="20"/>
          <w:color w:val="auto"/>
        </w:rPr>
      </w:pPr>
    </w:p>
    <w:p>
      <w:pPr>
        <w:ind w:right="2859"/>
        <w:spacing w:after="0" w:line="243" w:lineRule="auto"/>
        <w:rPr>
          <w:sz w:val="20"/>
          <w:szCs w:val="20"/>
          <w:color w:val="auto"/>
        </w:rPr>
      </w:pPr>
      <w:r>
        <w:rPr>
          <w:rFonts w:ascii="Courier New" w:cs="Courier New" w:eastAsia="Courier New" w:hAnsi="Courier New"/>
          <w:sz w:val="17"/>
          <w:szCs w:val="17"/>
          <w:color w:val="auto"/>
        </w:rPr>
        <w:t>Three Months Ended January 1, 1994, versus Three Months Ended January 2, 1993.</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Net sales of $68,326,000 increased by $569,000 or approximately 0.8%.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Net sales for the three months ended January 1, 1994, included $4,879,000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of net sales from sales of Grace-Sierra Horticultural Products Company,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now known as Scott-Sierra Horticultural Products Company, ("Sierra")</w:t>
      </w:r>
    </w:p>
    <w:p>
      <w:pPr>
        <w:spacing w:after="0" w:line="4" w:lineRule="exact"/>
        <w:rPr>
          <w:sz w:val="20"/>
          <w:szCs w:val="20"/>
          <w:color w:val="auto"/>
        </w:rPr>
      </w:pPr>
    </w:p>
    <w:p>
      <w:pPr>
        <w:spacing w:after="0"/>
        <w:tabs>
          <w:tab w:leader="none" w:pos="5280" w:val="left"/>
        </w:tabs>
        <w:rPr>
          <w:sz w:val="20"/>
          <w:szCs w:val="20"/>
          <w:color w:val="auto"/>
        </w:rPr>
      </w:pPr>
      <w:r>
        <w:rPr>
          <w:rFonts w:ascii="Courier New" w:cs="Courier New" w:eastAsia="Courier New" w:hAnsi="Courier New"/>
          <w:sz w:val="17"/>
          <w:szCs w:val="17"/>
          <w:color w:val="auto"/>
        </w:rPr>
        <w:t>which was acquired by Scotts on December 16, 1993.</w:t>
        <w:tab/>
        <w:t>Sales for the period,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before inclusion of Sierra sales, declined 6.4% to $63,446,000 primarily</w:t>
      </w:r>
    </w:p>
    <w:p>
      <w:pPr>
        <w:spacing w:after="0" w:line="4" w:lineRule="exact"/>
        <w:rPr>
          <w:sz w:val="20"/>
          <w:szCs w:val="20"/>
          <w:color w:val="auto"/>
        </w:rPr>
      </w:pPr>
    </w:p>
    <w:p>
      <w:pPr>
        <w:spacing w:after="0"/>
        <w:tabs>
          <w:tab w:leader="none" w:pos="3240" w:val="left"/>
        </w:tabs>
        <w:rPr>
          <w:sz w:val="20"/>
          <w:szCs w:val="20"/>
          <w:color w:val="auto"/>
        </w:rPr>
      </w:pPr>
      <w:r>
        <w:rPr>
          <w:rFonts w:ascii="Courier New" w:cs="Courier New" w:eastAsia="Courier New" w:hAnsi="Courier New"/>
          <w:sz w:val="17"/>
          <w:szCs w:val="17"/>
          <w:color w:val="auto"/>
        </w:rPr>
        <w:t>due to decreased sales volume.</w:t>
        <w:tab/>
        <w:t>Consumer Business Group sales of</w:t>
      </w:r>
    </w:p>
    <w:p>
      <w:pPr>
        <w:spacing w:after="0" w:line="4" w:lineRule="exact"/>
        <w:rPr>
          <w:sz w:val="20"/>
          <w:szCs w:val="20"/>
          <w:color w:val="auto"/>
        </w:rPr>
      </w:pPr>
    </w:p>
    <w:p>
      <w:pPr>
        <w:spacing w:after="0"/>
        <w:tabs>
          <w:tab w:leader="none" w:pos="6100" w:val="left"/>
        </w:tabs>
        <w:rPr>
          <w:sz w:val="20"/>
          <w:szCs w:val="20"/>
          <w:color w:val="auto"/>
        </w:rPr>
      </w:pPr>
      <w:r>
        <w:rPr>
          <w:rFonts w:ascii="Courier New" w:cs="Courier New" w:eastAsia="Courier New" w:hAnsi="Courier New"/>
          <w:sz w:val="17"/>
          <w:szCs w:val="17"/>
          <w:color w:val="auto"/>
        </w:rPr>
        <w:t>$44,165,000 decreased by $2,080,000 or approximately 4.5%.</w:t>
        <w:tab/>
        <w:t>The decrease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was primarily attributable to delays in availability of new products,</w:t>
      </w:r>
    </w:p>
    <w:p>
      <w:pPr>
        <w:spacing w:after="0" w:line="4" w:lineRule="exact"/>
        <w:rPr>
          <w:sz w:val="20"/>
          <w:szCs w:val="20"/>
          <w:color w:val="auto"/>
        </w:rPr>
      </w:pPr>
    </w:p>
    <w:p>
      <w:pPr>
        <w:spacing w:after="0"/>
        <w:tabs>
          <w:tab w:leader="none" w:pos="3660" w:val="left"/>
        </w:tabs>
        <w:rPr>
          <w:sz w:val="20"/>
          <w:szCs w:val="20"/>
          <w:color w:val="auto"/>
        </w:rPr>
      </w:pPr>
      <w:r>
        <w:rPr>
          <w:rFonts w:ascii="Courier New" w:cs="Courier New" w:eastAsia="Courier New" w:hAnsi="Courier New"/>
          <w:sz w:val="17"/>
          <w:szCs w:val="17"/>
          <w:color w:val="auto"/>
        </w:rPr>
        <w:t>primarily a new line of spreaders.</w:t>
        <w:tab/>
        <w:t>Professional Business Group sales of</w:t>
      </w:r>
    </w:p>
    <w:p>
      <w:pPr>
        <w:spacing w:after="0" w:line="4" w:lineRule="exact"/>
        <w:rPr>
          <w:sz w:val="20"/>
          <w:szCs w:val="20"/>
          <w:color w:val="auto"/>
        </w:rPr>
      </w:pPr>
    </w:p>
    <w:p>
      <w:pPr>
        <w:spacing w:after="0"/>
        <w:tabs>
          <w:tab w:leader="none" w:pos="5900" w:val="left"/>
        </w:tabs>
        <w:rPr>
          <w:sz w:val="20"/>
          <w:szCs w:val="20"/>
          <w:color w:val="auto"/>
        </w:rPr>
      </w:pPr>
      <w:r>
        <w:rPr>
          <w:rFonts w:ascii="Courier New" w:cs="Courier New" w:eastAsia="Courier New" w:hAnsi="Courier New"/>
          <w:sz w:val="17"/>
          <w:szCs w:val="17"/>
          <w:color w:val="auto"/>
        </w:rPr>
        <w:t>$18,071,000 decreased $2,932,000 or approximately 14.0%.</w:t>
        <w:tab/>
        <w:t>Scotts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management feels that this decrease reflects a continuing trend by golf</w:t>
      </w:r>
    </w:p>
    <w:p>
      <w:pPr>
        <w:spacing w:after="0" w:line="4" w:lineRule="exact"/>
        <w:rPr>
          <w:sz w:val="20"/>
          <w:szCs w:val="20"/>
          <w:color w:val="auto"/>
        </w:rPr>
      </w:pPr>
    </w:p>
    <w:p>
      <w:pPr>
        <w:spacing w:after="0"/>
        <w:tabs>
          <w:tab w:leader="none" w:pos="6100" w:val="left"/>
        </w:tabs>
        <w:rPr>
          <w:sz w:val="20"/>
          <w:szCs w:val="20"/>
          <w:color w:val="auto"/>
        </w:rPr>
      </w:pPr>
      <w:r>
        <w:rPr>
          <w:rFonts w:ascii="Courier New" w:cs="Courier New" w:eastAsia="Courier New" w:hAnsi="Courier New"/>
          <w:sz w:val="17"/>
          <w:szCs w:val="17"/>
          <w:color w:val="auto"/>
        </w:rPr>
        <w:t>course customers to order products closer to Spring usage.</w:t>
        <w:tab/>
        <w:t>Composting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revenues of $1,210,000 increased by $701,000.</w:t>
      </w:r>
    </w:p>
    <w:p>
      <w:pPr>
        <w:spacing w:after="0" w:line="201" w:lineRule="exact"/>
        <w:rPr>
          <w:sz w:val="20"/>
          <w:szCs w:val="20"/>
          <w:color w:val="auto"/>
        </w:rPr>
      </w:pPr>
    </w:p>
    <w:p>
      <w:pPr>
        <w:ind w:right="2859"/>
        <w:spacing w:after="0" w:line="243" w:lineRule="auto"/>
        <w:rPr>
          <w:sz w:val="20"/>
          <w:szCs w:val="20"/>
          <w:color w:val="auto"/>
        </w:rPr>
      </w:pPr>
      <w:r>
        <w:rPr>
          <w:rFonts w:ascii="Courier New" w:cs="Courier New" w:eastAsia="Courier New" w:hAnsi="Courier New"/>
          <w:sz w:val="17"/>
          <w:szCs w:val="17"/>
          <w:color w:val="auto"/>
        </w:rPr>
        <w:t>Cost of sales for the three months ended January 1, 1994 represented 54.7% of net sales, reflecting no change from 54.7% for the three months ended January 2, 1993.</w:t>
      </w:r>
    </w:p>
    <w:p>
      <w:pPr>
        <w:spacing w:after="0" w:line="200" w:lineRule="exact"/>
        <w:rPr>
          <w:sz w:val="20"/>
          <w:szCs w:val="20"/>
          <w:color w:val="auto"/>
        </w:rPr>
      </w:pPr>
    </w:p>
    <w:p>
      <w:pPr>
        <w:ind w:right="2759"/>
        <w:spacing w:after="0" w:line="244" w:lineRule="auto"/>
        <w:rPr>
          <w:sz w:val="20"/>
          <w:szCs w:val="20"/>
          <w:color w:val="auto"/>
        </w:rPr>
      </w:pPr>
      <w:r>
        <w:rPr>
          <w:rFonts w:ascii="Courier New" w:cs="Courier New" w:eastAsia="Courier New" w:hAnsi="Courier New"/>
          <w:sz w:val="17"/>
          <w:szCs w:val="17"/>
          <w:color w:val="auto"/>
        </w:rPr>
        <w:t>Operating expenses of $30,911,000 increased by $1,315,000 or approximately 4.4%. The increase was partly caused by the inclusion of operating expenses of Sierra and partly by increased freight expense this year. The increase in freight expense was due to an increase in the number of less-than-truckload shipments because of the delay in the availability of new products primarily a new line of spreaders. Reduced general and administrative expense for the quarter, this year, partially offset the increase.</w:t>
      </w:r>
    </w:p>
    <w:p>
      <w:pPr>
        <w:spacing w:after="0" w:line="199" w:lineRule="exact"/>
        <w:rPr>
          <w:sz w:val="20"/>
          <w:szCs w:val="20"/>
          <w:color w:val="auto"/>
        </w:rPr>
      </w:pPr>
    </w:p>
    <w:p>
      <w:pPr>
        <w:ind w:right="2979"/>
        <w:spacing w:after="0" w:line="244" w:lineRule="auto"/>
        <w:rPr>
          <w:sz w:val="20"/>
          <w:szCs w:val="20"/>
          <w:color w:val="auto"/>
        </w:rPr>
      </w:pPr>
      <w:r>
        <w:rPr>
          <w:rFonts w:ascii="Courier New" w:cs="Courier New" w:eastAsia="Courier New" w:hAnsi="Courier New"/>
          <w:sz w:val="17"/>
          <w:szCs w:val="17"/>
          <w:color w:val="auto"/>
        </w:rPr>
        <w:t>Interest expense of $2,640,000 increased by $919,000 or approximately 53.4%. The increase was primarily attributable to an increase in borrowing levels resulting from purchase of a block of Scotts' Class A Common Stock in February 1993 and the acquisition of Sierra in December 1993.</w:t>
      </w:r>
    </w:p>
    <w:p>
      <w:pPr>
        <w:spacing w:after="0" w:line="198" w:lineRule="exact"/>
        <w:rPr>
          <w:sz w:val="20"/>
          <w:szCs w:val="20"/>
          <w:color w:val="auto"/>
        </w:rPr>
      </w:pPr>
    </w:p>
    <w:p>
      <w:pPr>
        <w:ind w:right="2859"/>
        <w:spacing w:after="0" w:line="244" w:lineRule="auto"/>
        <w:rPr>
          <w:sz w:val="20"/>
          <w:szCs w:val="20"/>
          <w:color w:val="auto"/>
        </w:rPr>
      </w:pPr>
      <w:r>
        <w:rPr>
          <w:rFonts w:ascii="Courier New" w:cs="Courier New" w:eastAsia="Courier New" w:hAnsi="Courier New"/>
          <w:sz w:val="17"/>
          <w:szCs w:val="17"/>
          <w:color w:val="auto"/>
        </w:rPr>
        <w:t>The net loss decreased from $13,628,000 last year to $1,557,000 this year. The decrease was attributable to a prior period non-recurring charge of $13,157,000 for the cumulative effect of changes in accounting for postretirement benefits, net of tax and income taxes and was offset in part by lower income from operations this year.</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Financial Position as at January 1, 1994.</w:t>
      </w:r>
    </w:p>
    <w:p>
      <w:pPr>
        <w:spacing w:after="0" w:line="201" w:lineRule="exact"/>
        <w:rPr>
          <w:sz w:val="20"/>
          <w:szCs w:val="20"/>
          <w:color w:val="auto"/>
        </w:rPr>
      </w:pPr>
    </w:p>
    <w:p>
      <w:pPr>
        <w:ind w:right="2859"/>
        <w:spacing w:after="0" w:line="243" w:lineRule="auto"/>
        <w:rPr>
          <w:sz w:val="20"/>
          <w:szCs w:val="20"/>
          <w:color w:val="auto"/>
        </w:rPr>
      </w:pPr>
      <w:r>
        <w:rPr>
          <w:rFonts w:ascii="Courier New" w:cs="Courier New" w:eastAsia="Courier New" w:hAnsi="Courier New"/>
          <w:sz w:val="17"/>
          <w:szCs w:val="17"/>
          <w:color w:val="auto"/>
        </w:rPr>
        <w:t>Capital expenditures for the fiscal year ending September 30, 1994 are expected to be approximately $31,500,000 including capital expenditures of Sierra. The key capital project is a $13,000,000 investment in a new</w:t>
      </w:r>
    </w:p>
    <w:p>
      <w:pPr>
        <w:spacing w:after="0" w:line="200" w:lineRule="exact"/>
        <w:rPr>
          <w:sz w:val="20"/>
          <w:szCs w:val="20"/>
          <w:color w:val="auto"/>
        </w:rPr>
      </w:pPr>
    </w:p>
    <w:p>
      <w:pPr>
        <w:spacing w:after="0" w:line="391" w:lineRule="exact"/>
        <w:rPr>
          <w:sz w:val="20"/>
          <w:szCs w:val="20"/>
          <w:color w:val="auto"/>
        </w:rPr>
      </w:pPr>
    </w:p>
    <w:p>
      <w:pPr>
        <w:ind w:left="3380"/>
        <w:spacing w:after="0"/>
        <w:rPr>
          <w:sz w:val="20"/>
          <w:szCs w:val="20"/>
          <w:color w:val="auto"/>
        </w:rPr>
      </w:pPr>
      <w:r>
        <w:rPr>
          <w:rFonts w:ascii="Courier New" w:cs="Courier New" w:eastAsia="Courier New" w:hAnsi="Courier New"/>
          <w:sz w:val="17"/>
          <w:szCs w:val="17"/>
          <w:color w:val="auto"/>
        </w:rPr>
        <w:t>Page 11</w:t>
      </w:r>
    </w:p>
    <w:p>
      <w:pPr>
        <w:sectPr>
          <w:pgSz w:w="11900" w:h="16838" w:orient="portrait"/>
          <w:cols w:equalWidth="0" w:num="1">
            <w:col w:w="10219"/>
          </w:cols>
          <w:pgMar w:left="240" w:top="1096" w:right="1440" w:bottom="1440" w:gutter="0" w:footer="0" w:header="0"/>
        </w:sectPr>
      </w:pPr>
    </w:p>
    <w:bookmarkStart w:id="11" w:name="page12"/>
    <w:bookmarkEnd w:id="11"/>
    <w:p>
      <w:pPr>
        <w:ind w:right="3179"/>
        <w:spacing w:after="0" w:line="244" w:lineRule="auto"/>
        <w:rPr>
          <w:sz w:val="20"/>
          <w:szCs w:val="20"/>
          <w:color w:val="auto"/>
        </w:rPr>
      </w:pPr>
      <w:r>
        <w:rPr>
          <w:rFonts w:ascii="Courier New" w:cs="Courier New" w:eastAsia="Courier New" w:hAnsi="Courier New"/>
          <w:sz w:val="17"/>
          <w:szCs w:val="17"/>
          <w:color w:val="auto"/>
        </w:rPr>
        <w:t>production facility to increase capacity to meet demand for Scotts' Poly-SR controlled release fertilizers. Capital expenditures will be financed with cash provided by operations and utilization of existing credit facilities.</w:t>
      </w:r>
    </w:p>
    <w:p>
      <w:pPr>
        <w:spacing w:after="0" w:line="198" w:lineRule="exact"/>
        <w:rPr>
          <w:sz w:val="20"/>
          <w:szCs w:val="20"/>
          <w:color w:val="auto"/>
        </w:rPr>
      </w:pPr>
    </w:p>
    <w:p>
      <w:pPr>
        <w:ind w:right="2759"/>
        <w:spacing w:after="0" w:line="244" w:lineRule="auto"/>
        <w:rPr>
          <w:sz w:val="20"/>
          <w:szCs w:val="20"/>
          <w:color w:val="auto"/>
        </w:rPr>
      </w:pPr>
      <w:r>
        <w:rPr>
          <w:rFonts w:ascii="Courier New" w:cs="Courier New" w:eastAsia="Courier New" w:hAnsi="Courier New"/>
          <w:sz w:val="17"/>
          <w:szCs w:val="17"/>
          <w:color w:val="auto"/>
        </w:rPr>
        <w:t>Current assets of $236,149,000 increased by $92,407,000 compared with current assets as at September 30, 1993 and by $61,695,000 compared with current assets as at January 2, 1993. The increase compared with September 30, 1993 is partly attributable to the seasonal nature of Scotts' business with inventory and accounts receivable levels generally being higher in December relative to September. The increase was also caused in part, by inclusion of Sierra's current assets which amounted to $47,418,000. The increase compared with January 2, 1993 was primarily caused by inclusion of Sierra's current assets of $47,418,000 and also by higher inventory levels for Scotts and Hyponex products this year in anticipation of the upcoming peak selling season.</w:t>
      </w:r>
    </w:p>
    <w:p>
      <w:pPr>
        <w:spacing w:after="0" w:line="201" w:lineRule="exact"/>
        <w:rPr>
          <w:sz w:val="20"/>
          <w:szCs w:val="20"/>
          <w:color w:val="auto"/>
        </w:rPr>
      </w:pPr>
    </w:p>
    <w:p>
      <w:pPr>
        <w:ind w:right="2979"/>
        <w:spacing w:after="0" w:line="244" w:lineRule="auto"/>
        <w:rPr>
          <w:sz w:val="20"/>
          <w:szCs w:val="20"/>
          <w:color w:val="auto"/>
        </w:rPr>
      </w:pPr>
      <w:r>
        <w:rPr>
          <w:rFonts w:ascii="Courier New" w:cs="Courier New" w:eastAsia="Courier New" w:hAnsi="Courier New"/>
          <w:sz w:val="17"/>
          <w:szCs w:val="17"/>
          <w:color w:val="auto"/>
        </w:rPr>
        <w:t>Total assets of $508,742,000 increased by $187,152,000 compared with total assets as at September 30, 1993 and by $155,677,000 compared with total assets as at January 2, 1993. The increases were primarily attributable to the inclusion of Sierra's assets which amounted to $141,731,000 including goodwill in the amount of $62,440,000.</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Total liabilities of $367,550,000 increased by $188,973,000 compared with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total liabilities as at September 30, 1993 and by $176,792,000 compared</w:t>
      </w:r>
    </w:p>
    <w:p>
      <w:pPr>
        <w:spacing w:after="0" w:line="4" w:lineRule="exact"/>
        <w:rPr>
          <w:sz w:val="20"/>
          <w:szCs w:val="20"/>
          <w:color w:val="auto"/>
        </w:rPr>
      </w:pPr>
    </w:p>
    <w:p>
      <w:pPr>
        <w:spacing w:after="0"/>
        <w:tabs>
          <w:tab w:leader="none" w:pos="4780" w:val="left"/>
        </w:tabs>
        <w:rPr>
          <w:sz w:val="20"/>
          <w:szCs w:val="20"/>
          <w:color w:val="auto"/>
        </w:rPr>
      </w:pPr>
      <w:r>
        <w:rPr>
          <w:rFonts w:ascii="Courier New" w:cs="Courier New" w:eastAsia="Courier New" w:hAnsi="Courier New"/>
          <w:sz w:val="17"/>
          <w:szCs w:val="17"/>
          <w:color w:val="auto"/>
        </w:rPr>
        <w:t>with total liabilities as at January 2, 1993.</w:t>
        <w:tab/>
        <w:t>The increase compared with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September 30, 1993 is partly caused by the seasonability of the</w:t>
      </w:r>
    </w:p>
    <w:p>
      <w:pPr>
        <w:spacing w:after="0" w:line="4"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7"/>
          <w:szCs w:val="17"/>
          <w:color w:val="auto"/>
        </w:rPr>
        <w:t>business.</w:t>
        <w:tab/>
        <w:t>It is also caused, in large part, by $125,000,000 of term debt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incurred in December 1993 to facilitate the acquisition of Sierra and by</w:t>
      </w:r>
    </w:p>
    <w:p>
      <w:pPr>
        <w:spacing w:after="0" w:line="4"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7"/>
          <w:szCs w:val="17"/>
          <w:color w:val="auto"/>
        </w:rPr>
        <w:t>inclusion of Sierra's liabilities which amounted to $18,571,000.</w:t>
      </w:r>
      <w:r>
        <w:rPr>
          <w:sz w:val="20"/>
          <w:szCs w:val="20"/>
          <w:color w:val="auto"/>
        </w:rPr>
        <w:tab/>
      </w:r>
      <w:r>
        <w:rPr>
          <w:rFonts w:ascii="Courier New" w:cs="Courier New" w:eastAsia="Courier New" w:hAnsi="Courier New"/>
          <w:sz w:val="16"/>
          <w:szCs w:val="16"/>
          <w:color w:val="auto"/>
        </w:rPr>
        <w:t>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increase compared with January 2, 1993 was primarily attributable to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borrowings for the Sierra acquisition; borrowings in February, 1993 to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purchase a block of Scotts' Class A Common Stock for approximately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$41,400,000 and the inclusion of Sierra's liabilities.</w:t>
      </w:r>
    </w:p>
    <w:p>
      <w:pPr>
        <w:spacing w:after="0" w:line="201" w:lineRule="exact"/>
        <w:rPr>
          <w:sz w:val="20"/>
          <w:szCs w:val="20"/>
          <w:color w:val="auto"/>
        </w:rPr>
      </w:pPr>
    </w:p>
    <w:p>
      <w:pPr>
        <w:ind w:right="2859"/>
        <w:spacing w:after="0" w:line="244" w:lineRule="auto"/>
        <w:rPr>
          <w:sz w:val="20"/>
          <w:szCs w:val="20"/>
          <w:color w:val="auto"/>
        </w:rPr>
      </w:pPr>
      <w:r>
        <w:rPr>
          <w:rFonts w:ascii="Courier New" w:cs="Courier New" w:eastAsia="Courier New" w:hAnsi="Courier New"/>
          <w:sz w:val="17"/>
          <w:szCs w:val="17"/>
          <w:color w:val="auto"/>
        </w:rPr>
        <w:t>Shareholders' equity of $141,192,000 decreased by $1,821,000 compared with September 30, 1993 and by $21,115,000 compared with January 2, 1993. The decrease compared with January 2, 1993 was primarily due to a reduction in shareholders' equity in connection with the purchase of the Class A Common Stock in February 1993, offset by net earnings for the twelve month period ended January 1, 1994.</w:t>
      </w:r>
    </w:p>
    <w:p>
      <w:pPr>
        <w:spacing w:after="0" w:line="199" w:lineRule="exact"/>
        <w:rPr>
          <w:sz w:val="20"/>
          <w:szCs w:val="20"/>
          <w:color w:val="auto"/>
        </w:rPr>
      </w:pPr>
    </w:p>
    <w:p>
      <w:pPr>
        <w:ind w:right="2759"/>
        <w:spacing w:after="0" w:line="244" w:lineRule="auto"/>
        <w:rPr>
          <w:sz w:val="20"/>
          <w:szCs w:val="20"/>
          <w:color w:val="auto"/>
        </w:rPr>
      </w:pPr>
      <w:r>
        <w:rPr>
          <w:rFonts w:ascii="Courier New" w:cs="Courier New" w:eastAsia="Courier New" w:hAnsi="Courier New"/>
          <w:sz w:val="17"/>
          <w:szCs w:val="17"/>
          <w:color w:val="auto"/>
        </w:rPr>
        <w:t>The primary source of liquidity for Scotts' operations are funds generated by operations and borrowings under Scotts' Third Amended and Restated Credit Agreement ("Credit Agreement"). The Credit Agreement was amended in December 1993 to provide financing for and permit the acquisition of Sierra. As amended, the Credit Agreement provides a revolving credit commitment of $150.0 million through March 31, 1996 and $195.0 million of term debt with scheduled maturities commencing on April 30, 1994 and extending through September 30, 2000. The Credit Agreement contains financial covenants which, among other things, limit capital expenditures, require maintenance of Adjusted Operating Profit, Consolidated Net Worth and Interest Coverage (each as defined therein) and require Scotts to reduce revolving credit borrowings to no more than $30.0 million for 30 consecutive days each year.</w:t>
      </w:r>
    </w:p>
    <w:p>
      <w:pPr>
        <w:spacing w:after="0" w:line="200" w:lineRule="exact"/>
        <w:rPr>
          <w:sz w:val="20"/>
          <w:szCs w:val="20"/>
          <w:color w:val="auto"/>
        </w:rPr>
      </w:pPr>
    </w:p>
    <w:p>
      <w:pPr>
        <w:spacing w:after="0" w:line="393" w:lineRule="exact"/>
        <w:rPr>
          <w:sz w:val="20"/>
          <w:szCs w:val="20"/>
          <w:color w:val="auto"/>
        </w:rPr>
      </w:pPr>
    </w:p>
    <w:p>
      <w:pPr>
        <w:ind w:left="3380"/>
        <w:spacing w:after="0"/>
        <w:rPr>
          <w:sz w:val="20"/>
          <w:szCs w:val="20"/>
          <w:color w:val="auto"/>
        </w:rPr>
      </w:pPr>
      <w:r>
        <w:rPr>
          <w:rFonts w:ascii="Courier New" w:cs="Courier New" w:eastAsia="Courier New" w:hAnsi="Courier New"/>
          <w:sz w:val="17"/>
          <w:szCs w:val="17"/>
          <w:color w:val="auto"/>
        </w:rPr>
        <w:t>Page 12</w:t>
      </w:r>
    </w:p>
    <w:p>
      <w:pPr>
        <w:sectPr>
          <w:pgSz w:w="11900" w:h="16838" w:orient="portrait"/>
          <w:cols w:equalWidth="0" w:num="1">
            <w:col w:w="10219"/>
          </w:cols>
          <w:pgMar w:left="240" w:top="1097" w:right="1440" w:bottom="1440" w:gutter="0" w:footer="0" w:header="0"/>
        </w:sectPr>
      </w:pPr>
    </w:p>
    <w:bookmarkStart w:id="12" w:name="page13"/>
    <w:bookmarkEnd w:id="12"/>
    <w:p>
      <w:pPr>
        <w:ind w:right="2759"/>
        <w:spacing w:after="0" w:line="244" w:lineRule="auto"/>
        <w:rPr>
          <w:sz w:val="20"/>
          <w:szCs w:val="20"/>
          <w:color w:val="auto"/>
        </w:rPr>
      </w:pPr>
      <w:r>
        <w:rPr>
          <w:rFonts w:ascii="Courier New" w:cs="Courier New" w:eastAsia="Courier New" w:hAnsi="Courier New"/>
          <w:sz w:val="17"/>
          <w:szCs w:val="17"/>
          <w:color w:val="auto"/>
        </w:rPr>
        <w:t>The Company's business is highly seasonal which is reflected in working capital requirements. Working capital requirements are greatest from November through May, the peak production period, and are at their highest in March. Working capital needs are relatively low in the summer months.</w:t>
      </w:r>
    </w:p>
    <w:p>
      <w:pPr>
        <w:spacing w:after="0" w:line="198" w:lineRule="exact"/>
        <w:rPr>
          <w:sz w:val="20"/>
          <w:szCs w:val="20"/>
          <w:color w:val="auto"/>
        </w:rPr>
      </w:pPr>
    </w:p>
    <w:p>
      <w:pPr>
        <w:ind w:right="3279"/>
        <w:spacing w:after="0" w:line="243" w:lineRule="auto"/>
        <w:rPr>
          <w:sz w:val="20"/>
          <w:szCs w:val="20"/>
          <w:color w:val="auto"/>
        </w:rPr>
      </w:pPr>
      <w:r>
        <w:rPr>
          <w:rFonts w:ascii="Courier New" w:cs="Courier New" w:eastAsia="Courier New" w:hAnsi="Courier New"/>
          <w:sz w:val="17"/>
          <w:szCs w:val="17"/>
          <w:color w:val="auto"/>
        </w:rPr>
        <w:t>In the opinion of Scotts management, cash flow from operations and capital resources will be sufficient to meet future debt service and working capital needs.</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Accounting Issues</w:t>
      </w:r>
    </w:p>
    <w:p>
      <w:pPr>
        <w:spacing w:after="0" w:line="201" w:lineRule="exact"/>
        <w:rPr>
          <w:sz w:val="20"/>
          <w:szCs w:val="20"/>
          <w:color w:val="auto"/>
        </w:rPr>
      </w:pPr>
    </w:p>
    <w:p>
      <w:pPr>
        <w:ind w:right="3079"/>
        <w:spacing w:after="0" w:line="262" w:lineRule="auto"/>
        <w:rPr>
          <w:sz w:val="20"/>
          <w:szCs w:val="20"/>
          <w:color w:val="auto"/>
        </w:rPr>
      </w:pPr>
      <w:r>
        <w:rPr>
          <w:rFonts w:ascii="Courier New" w:cs="Courier New" w:eastAsia="Courier New" w:hAnsi="Courier New"/>
          <w:sz w:val="16"/>
          <w:szCs w:val="16"/>
          <w:color w:val="auto"/>
        </w:rPr>
        <w:t>In November 1992, the Board issued Statement of Financial Accounting Standards No. 112, "Employers' Accounting for Postemployment Benefits" ("SFAS 112"), which changes the prevalent method of accounting for benefits provided after employment but before retirement. Scotts must adopt SFAS 112 no later than the first quarter of fiscal 1995. Management is currently evaluating the provisions of SFAS 112 and, at this time, the effect of adopting SFAS 112 has not been determined.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380"/>
        <w:spacing w:after="0"/>
        <w:rPr>
          <w:sz w:val="20"/>
          <w:szCs w:val="20"/>
          <w:color w:val="auto"/>
        </w:rPr>
      </w:pPr>
      <w:r>
        <w:rPr>
          <w:rFonts w:ascii="Courier New" w:cs="Courier New" w:eastAsia="Courier New" w:hAnsi="Courier New"/>
          <w:sz w:val="17"/>
          <w:szCs w:val="17"/>
          <w:color w:val="auto"/>
        </w:rPr>
        <w:t>Page 13</w:t>
      </w:r>
    </w:p>
    <w:p>
      <w:pPr>
        <w:sectPr>
          <w:pgSz w:w="11900" w:h="16838" w:orient="portrait"/>
          <w:cols w:equalWidth="0" w:num="1">
            <w:col w:w="10219"/>
          </w:cols>
          <w:pgMar w:left="240" w:top="1097" w:right="1440" w:bottom="1440" w:gutter="0" w:footer="0" w:header="0"/>
        </w:sectPr>
      </w:pPr>
    </w:p>
    <w:bookmarkStart w:id="13" w:name="page14"/>
    <w:bookmarkEnd w:id="13"/>
    <w:p>
      <w:pPr>
        <w:ind w:left="2140"/>
        <w:spacing w:after="0"/>
        <w:rPr>
          <w:sz w:val="20"/>
          <w:szCs w:val="20"/>
          <w:color w:val="auto"/>
        </w:rPr>
      </w:pPr>
      <w:r>
        <w:rPr>
          <w:rFonts w:ascii="Courier New" w:cs="Courier New" w:eastAsia="Courier New" w:hAnsi="Courier New"/>
          <w:sz w:val="17"/>
          <w:szCs w:val="17"/>
          <w:color w:val="auto"/>
        </w:rPr>
        <w:t>PART II - OTHER INFORMATION</w:t>
      </w:r>
    </w:p>
    <w:p>
      <w:pPr>
        <w:spacing w:after="0" w:line="200" w:lineRule="exact"/>
        <w:rPr>
          <w:sz w:val="20"/>
          <w:szCs w:val="20"/>
          <w:color w:val="auto"/>
        </w:rPr>
      </w:pPr>
    </w:p>
    <w:p>
      <w:pPr>
        <w:spacing w:after="0" w:line="392"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200" w:lineRule="exact"/>
        <w:rPr>
          <w:sz w:val="20"/>
          <w:szCs w:val="20"/>
          <w:color w:val="auto"/>
        </w:rPr>
      </w:pPr>
    </w:p>
    <w:p>
      <w:pPr>
        <w:ind w:left="1020" w:hanging="505"/>
        <w:spacing w:after="0"/>
        <w:tabs>
          <w:tab w:leader="none" w:pos="102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Exhibits.</w:t>
      </w:r>
    </w:p>
    <w:p>
      <w:pPr>
        <w:spacing w:after="0" w:line="199" w:lineRule="exact"/>
        <w:rPr>
          <w:rFonts w:ascii="Courier New" w:cs="Courier New" w:eastAsia="Courier New" w:hAnsi="Courier New"/>
          <w:sz w:val="17"/>
          <w:szCs w:val="17"/>
          <w:color w:val="auto"/>
        </w:rPr>
      </w:pPr>
    </w:p>
    <w:p>
      <w:pPr>
        <w:ind w:left="10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11(a)  Computation of Net Income Per Common Share</w:t>
      </w:r>
    </w:p>
    <w:p>
      <w:pPr>
        <w:spacing w:after="0" w:line="199" w:lineRule="exact"/>
        <w:rPr>
          <w:rFonts w:ascii="Courier New" w:cs="Courier New" w:eastAsia="Courier New" w:hAnsi="Courier New"/>
          <w:sz w:val="17"/>
          <w:szCs w:val="17"/>
          <w:color w:val="auto"/>
        </w:rPr>
      </w:pPr>
    </w:p>
    <w:p>
      <w:pPr>
        <w:ind w:left="1020" w:hanging="505"/>
        <w:spacing w:after="0"/>
        <w:tabs>
          <w:tab w:leader="none" w:pos="102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Reports on Form 8-K.</w:t>
      </w:r>
    </w:p>
    <w:p>
      <w:pPr>
        <w:spacing w:after="0" w:line="200" w:lineRule="exact"/>
        <w:rPr>
          <w:rFonts w:ascii="Courier New" w:cs="Courier New" w:eastAsia="Courier New" w:hAnsi="Courier New"/>
          <w:sz w:val="17"/>
          <w:szCs w:val="17"/>
          <w:color w:val="auto"/>
        </w:rPr>
      </w:pPr>
    </w:p>
    <w:p>
      <w:pPr>
        <w:ind w:left="1020" w:right="3379"/>
        <w:spacing w:after="0" w:line="24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On December 30, 1993, Scotts filed a Form 8-K to report the acquisition of Grace-Sierra Horticultural Products Company by The O. M. Scott &amp; Sons Company. Form 8-K will be amended on or before February 28, 1994 to include the financial statements specified by Rule 11-01 of Regulation S-X of the Securities Exchange Act of 1934 and Items 7(a) and 7(b) of Form 8-K.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160"/>
        <w:spacing w:after="0"/>
        <w:rPr>
          <w:sz w:val="20"/>
          <w:szCs w:val="20"/>
          <w:color w:val="auto"/>
        </w:rPr>
      </w:pPr>
      <w:r>
        <w:rPr>
          <w:rFonts w:ascii="Courier New" w:cs="Courier New" w:eastAsia="Courier New" w:hAnsi="Courier New"/>
          <w:sz w:val="17"/>
          <w:szCs w:val="17"/>
          <w:color w:val="auto"/>
        </w:rPr>
        <w:t>Page 14</w:t>
      </w:r>
    </w:p>
    <w:p>
      <w:pPr>
        <w:sectPr>
          <w:pgSz w:w="11900" w:h="16838" w:orient="portrait"/>
          <w:cols w:equalWidth="0" w:num="1">
            <w:col w:w="10219"/>
          </w:cols>
          <w:pgMar w:left="240" w:top="1096" w:right="1440" w:bottom="1440" w:gutter="0" w:footer="0" w:header="0"/>
        </w:sectPr>
      </w:pPr>
    </w:p>
    <w:bookmarkStart w:id="14" w:name="page15"/>
    <w:bookmarkEnd w:id="14"/>
    <w:p>
      <w:pPr>
        <w:spacing w:after="0" w:line="200" w:lineRule="exact"/>
        <w:rPr>
          <w:sz w:val="20"/>
          <w:szCs w:val="20"/>
          <w:color w:val="auto"/>
        </w:rPr>
      </w:pPr>
    </w:p>
    <w:p>
      <w:pPr>
        <w:spacing w:after="0" w:line="241" w:lineRule="exact"/>
        <w:rPr>
          <w:sz w:val="20"/>
          <w:szCs w:val="20"/>
          <w:color w:val="auto"/>
        </w:rPr>
      </w:pPr>
    </w:p>
    <w:p>
      <w:pPr>
        <w:ind w:left="3060"/>
        <w:spacing w:after="0"/>
        <w:rPr>
          <w:sz w:val="20"/>
          <w:szCs w:val="20"/>
          <w:color w:val="auto"/>
        </w:rPr>
      </w:pPr>
      <w:r>
        <w:rPr>
          <w:rFonts w:ascii="Courier New" w:cs="Courier New" w:eastAsia="Courier New" w:hAnsi="Courier New"/>
          <w:sz w:val="17"/>
          <w:szCs w:val="17"/>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right="3279"/>
        <w:spacing w:after="0" w:line="243" w:lineRule="auto"/>
        <w:rPr>
          <w:sz w:val="20"/>
          <w:szCs w:val="20"/>
          <w:color w:val="auto"/>
        </w:rPr>
      </w:pPr>
      <w:r>
        <w:rPr>
          <w:rFonts w:ascii="Courier New" w:cs="Courier New" w:eastAsia="Courier New" w:hAnsi="Courier New"/>
          <w:sz w:val="17"/>
          <w:szCs w:val="17"/>
          <w:color w:val="auto"/>
        </w:rPr>
        <w:t>Pursuant to the requirements of the Securities Exchange Act of 1934, the Registrant has duly caused this report to be signed on its behalf by the undersigned, thereunto duly authorized.</w:t>
      </w:r>
    </w:p>
    <w:p>
      <w:pPr>
        <w:spacing w:after="0" w:line="395" w:lineRule="exact"/>
        <w:rPr>
          <w:sz w:val="20"/>
          <w:szCs w:val="20"/>
          <w:color w:val="auto"/>
        </w:rPr>
      </w:pPr>
    </w:p>
    <w:p>
      <w:pPr>
        <w:jc w:val="center"/>
        <w:ind w:right="419"/>
        <w:spacing w:after="0"/>
        <w:rPr>
          <w:sz w:val="20"/>
          <w:szCs w:val="20"/>
          <w:color w:val="auto"/>
        </w:rPr>
      </w:pPr>
      <w:r>
        <w:rPr>
          <w:rFonts w:ascii="Courier New" w:cs="Courier New" w:eastAsia="Courier New" w:hAnsi="Courier New"/>
          <w:sz w:val="17"/>
          <w:szCs w:val="17"/>
          <w:color w:val="auto"/>
        </w:rPr>
        <w:t>THE SCOTTS COMPANY</w:t>
      </w:r>
    </w:p>
    <w:p>
      <w:pPr>
        <w:sectPr>
          <w:pgSz w:w="11900" w:h="16838" w:orient="portrait"/>
          <w:cols w:equalWidth="0" w:num="1">
            <w:col w:w="10219"/>
          </w:cols>
          <w:pgMar w:left="240" w:top="1440" w:right="1440" w:bottom="1440" w:gutter="0" w:footer="0" w:header="0"/>
        </w:sect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February 15, 1994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Paul D. Yeager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Paul D. Yeager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Executive Vice President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Chief Financial Officer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Principal Accounting Officer</w:t>
      </w:r>
    </w:p>
    <w:p>
      <w:pPr>
        <w:spacing w:after="0" w:line="200" w:lineRule="exact"/>
        <w:rPr>
          <w:sz w:val="20"/>
          <w:szCs w:val="20"/>
          <w:color w:val="auto"/>
        </w:rPr>
      </w:pPr>
    </w:p>
    <w:p>
      <w:pPr>
        <w:sectPr>
          <w:pgSz w:w="11900" w:h="16838" w:orient="portrait"/>
          <w:cols w:equalWidth="0" w:num="3">
            <w:col w:w="420" w:space="200"/>
            <w:col w:w="2640" w:space="720"/>
            <w:col w:w="6239"/>
          </w:cols>
          <w:pgMar w:left="240" w:top="144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160"/>
        <w:spacing w:after="0"/>
        <w:rPr>
          <w:sz w:val="20"/>
          <w:szCs w:val="20"/>
          <w:color w:val="auto"/>
        </w:rPr>
      </w:pPr>
      <w:r>
        <w:rPr>
          <w:rFonts w:ascii="Courier New" w:cs="Courier New" w:eastAsia="Courier New" w:hAnsi="Courier New"/>
          <w:sz w:val="17"/>
          <w:szCs w:val="17"/>
          <w:color w:val="auto"/>
        </w:rPr>
        <w:t>Page 15</w:t>
      </w:r>
    </w:p>
    <w:p>
      <w:pPr>
        <w:sectPr>
          <w:pgSz w:w="11900" w:h="16838" w:orient="portrait"/>
          <w:cols w:equalWidth="0" w:num="1">
            <w:col w:w="10219"/>
          </w:cols>
          <w:pgMar w:left="240" w:top="1440" w:right="1440" w:bottom="1440" w:gutter="0" w:footer="0" w:header="0"/>
          <w:type w:val="continuous"/>
        </w:sectPr>
      </w:pPr>
    </w:p>
    <w:bookmarkStart w:id="15" w:name="page16"/>
    <w:bookmarkEnd w:id="15"/>
    <w:p>
      <w:pPr>
        <w:ind w:left="3160"/>
        <w:spacing w:after="0"/>
        <w:rPr>
          <w:sz w:val="20"/>
          <w:szCs w:val="20"/>
          <w:color w:val="auto"/>
        </w:rPr>
      </w:pPr>
      <w:r>
        <w:rPr>
          <w:rFonts w:ascii="Courier New" w:cs="Courier New" w:eastAsia="Courier New" w:hAnsi="Courier New"/>
          <w:sz w:val="17"/>
          <w:szCs w:val="17"/>
          <w:color w:val="auto"/>
        </w:rPr>
        <w:t>THE SCOTTS COMPANY</w:t>
      </w:r>
    </w:p>
    <w:p>
      <w:pPr>
        <w:spacing w:after="0" w:line="200" w:lineRule="exact"/>
        <w:rPr>
          <w:sz w:val="20"/>
          <w:szCs w:val="20"/>
          <w:color w:val="auto"/>
        </w:rPr>
      </w:pPr>
    </w:p>
    <w:p>
      <w:pPr>
        <w:ind w:left="2360"/>
        <w:spacing w:after="0"/>
        <w:rPr>
          <w:sz w:val="20"/>
          <w:szCs w:val="20"/>
          <w:color w:val="auto"/>
        </w:rPr>
      </w:pPr>
      <w:r>
        <w:rPr>
          <w:rFonts w:ascii="Courier New" w:cs="Courier New" w:eastAsia="Courier New" w:hAnsi="Courier New"/>
          <w:sz w:val="17"/>
          <w:szCs w:val="17"/>
          <w:color w:val="auto"/>
        </w:rPr>
        <w:t>QUARTERLY REPORT ON FORM 10-Q FOR</w:t>
      </w:r>
    </w:p>
    <w:p>
      <w:pPr>
        <w:spacing w:after="0" w:line="4" w:lineRule="exact"/>
        <w:rPr>
          <w:sz w:val="20"/>
          <w:szCs w:val="20"/>
          <w:color w:val="auto"/>
        </w:rPr>
      </w:pPr>
    </w:p>
    <w:p>
      <w:pPr>
        <w:ind w:left="2240"/>
        <w:spacing w:after="0"/>
        <w:rPr>
          <w:sz w:val="20"/>
          <w:szCs w:val="20"/>
          <w:color w:val="auto"/>
        </w:rPr>
      </w:pPr>
      <w:r>
        <w:rPr>
          <w:rFonts w:ascii="Courier New" w:cs="Courier New" w:eastAsia="Courier New" w:hAnsi="Courier New"/>
          <w:sz w:val="17"/>
          <w:szCs w:val="17"/>
          <w:color w:val="auto"/>
        </w:rPr>
        <w:t>FISCAL QUARTER ENDED JANUARY 1, 1994</w:t>
      </w:r>
    </w:p>
    <w:p>
      <w:pPr>
        <w:spacing w:after="0" w:line="396" w:lineRule="exact"/>
        <w:rPr>
          <w:sz w:val="20"/>
          <w:szCs w:val="20"/>
          <w:color w:val="auto"/>
        </w:rPr>
      </w:pPr>
    </w:p>
    <w:p>
      <w:pPr>
        <w:ind w:left="3380"/>
        <w:spacing w:after="0"/>
        <w:rPr>
          <w:sz w:val="20"/>
          <w:szCs w:val="20"/>
          <w:color w:val="auto"/>
        </w:rPr>
      </w:pPr>
      <w:r>
        <w:rPr>
          <w:rFonts w:ascii="Courier New" w:cs="Courier New" w:eastAsia="Courier New" w:hAnsi="Courier New"/>
          <w:sz w:val="17"/>
          <w:szCs w:val="17"/>
          <w:color w:val="auto"/>
        </w:rPr>
        <w:t>EXHIBIT INDEX</w:t>
      </w:r>
    </w:p>
    <w:p>
      <w:pPr>
        <w:sectPr>
          <w:pgSz w:w="11900" w:h="16838" w:orient="portrait"/>
          <w:cols w:equalWidth="0" w:num="1">
            <w:col w:w="10219"/>
          </w:cols>
          <w:pgMar w:left="240" w:top="1096" w:right="1440" w:bottom="1440" w:gutter="0" w:footer="0" w:header="0"/>
        </w:sect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Exhibit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2" w:lineRule="exact"/>
        <w:rPr>
          <w:sz w:val="20"/>
          <w:szCs w:val="20"/>
          <w:color w:val="auto"/>
        </w:rPr>
      </w:pPr>
    </w:p>
    <w:p>
      <w:pPr>
        <w:jc w:val="center"/>
        <w:ind w:right="2859"/>
        <w:spacing w:after="0"/>
        <w:rPr>
          <w:sz w:val="20"/>
          <w:szCs w:val="20"/>
          <w:color w:val="auto"/>
        </w:rPr>
      </w:pPr>
      <w:r>
        <w:rPr>
          <w:rFonts w:ascii="Courier New" w:cs="Courier New" w:eastAsia="Courier New" w:hAnsi="Courier New"/>
          <w:sz w:val="17"/>
          <w:szCs w:val="17"/>
          <w:color w:val="auto"/>
        </w:rPr>
        <w:t>Page</w:t>
      </w:r>
    </w:p>
    <w:p>
      <w:pPr>
        <w:spacing w:after="0" w:line="4" w:lineRule="exact"/>
        <w:rPr>
          <w:sz w:val="20"/>
          <w:szCs w:val="20"/>
          <w:color w:val="auto"/>
        </w:rPr>
      </w:pPr>
    </w:p>
    <w:p>
      <w:pPr>
        <w:jc w:val="center"/>
        <w:ind w:right="2859"/>
        <w:spacing w:after="0"/>
        <w:rPr>
          <w:sz w:val="20"/>
          <w:szCs w:val="20"/>
          <w:color w:val="auto"/>
        </w:rPr>
      </w:pPr>
      <w:r>
        <w:rPr>
          <w:rFonts w:ascii="Courier New" w:cs="Courier New" w:eastAsia="Courier New" w:hAnsi="Courier New"/>
          <w:sz w:val="17"/>
          <w:szCs w:val="17"/>
          <w:color w:val="auto"/>
        </w:rPr>
        <w:t>Number</w:t>
      </w:r>
    </w:p>
    <w:p>
      <w:pPr>
        <w:spacing w:after="0" w:line="200" w:lineRule="exact"/>
        <w:rPr>
          <w:sz w:val="20"/>
          <w:szCs w:val="20"/>
          <w:color w:val="auto"/>
        </w:rPr>
      </w:pPr>
    </w:p>
    <w:p>
      <w:pPr>
        <w:sectPr>
          <w:pgSz w:w="11900" w:h="16838" w:orient="portrait"/>
          <w:cols w:equalWidth="0" w:num="3">
            <w:col w:w="1640" w:space="720"/>
            <w:col w:w="3660" w:space="720"/>
            <w:col w:w="3479"/>
          </w:cols>
          <w:pgMar w:left="240" w:top="1096" w:right="1440" w:bottom="144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11(a)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Computation of Net Income Per Common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17</w:t>
      </w:r>
    </w:p>
    <w:p>
      <w:pPr>
        <w:spacing w:after="0" w:line="210" w:lineRule="exact"/>
        <w:rPr>
          <w:sz w:val="20"/>
          <w:szCs w:val="20"/>
          <w:color w:val="auto"/>
        </w:rPr>
      </w:pPr>
    </w:p>
    <w:p>
      <w:pPr>
        <w:sectPr>
          <w:pgSz w:w="11900" w:h="16838" w:orient="portrait"/>
          <w:cols w:equalWidth="0" w:num="3">
            <w:col w:w="520" w:space="500"/>
            <w:col w:w="5200" w:space="720"/>
            <w:col w:w="3279"/>
          </w:cols>
          <w:pgMar w:left="240" w:top="1096"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Page 16</w:t>
      </w:r>
    </w:p>
    <w:p>
      <w:pPr>
        <w:sectPr>
          <w:pgSz w:w="11900" w:h="16838" w:orient="portrait"/>
          <w:cols w:equalWidth="0" w:num="1">
            <w:col w:w="10219"/>
          </w:cols>
          <w:pgMar w:left="240" w:top="1096" w:right="1440" w:bottom="1440" w:gutter="0" w:footer="0" w:header="0"/>
          <w:type w:val="continuous"/>
        </w:sectPr>
      </w:pPr>
    </w:p>
    <w:bookmarkStart w:id="16" w:name="page17"/>
    <w:bookmarkEnd w:id="16"/>
    <w:p>
      <w:pPr>
        <w:ind w:left="7140"/>
        <w:spacing w:after="0"/>
        <w:rPr>
          <w:sz w:val="20"/>
          <w:szCs w:val="20"/>
          <w:color w:val="auto"/>
        </w:rPr>
      </w:pPr>
      <w:r>
        <w:rPr>
          <w:rFonts w:ascii="Courier New" w:cs="Courier New" w:eastAsia="Courier New" w:hAnsi="Courier New"/>
          <w:sz w:val="17"/>
          <w:szCs w:val="17"/>
          <w:color w:val="auto"/>
        </w:rPr>
        <w:t>Exhibit 11(a)</w:t>
      </w:r>
    </w:p>
    <w:p>
      <w:pPr>
        <w:spacing w:after="0" w:line="4" w:lineRule="exact"/>
        <w:rPr>
          <w:sz w:val="20"/>
          <w:szCs w:val="20"/>
          <w:color w:val="auto"/>
        </w:rPr>
      </w:pPr>
    </w:p>
    <w:p>
      <w:pPr>
        <w:jc w:val="center"/>
        <w:ind w:right="-400"/>
        <w:spacing w:after="0"/>
        <w:rPr>
          <w:sz w:val="20"/>
          <w:szCs w:val="20"/>
          <w:color w:val="auto"/>
        </w:rPr>
      </w:pPr>
      <w:r>
        <w:rPr>
          <w:rFonts w:ascii="Courier New" w:cs="Courier New" w:eastAsia="Courier New" w:hAnsi="Courier New"/>
          <w:sz w:val="17"/>
          <w:szCs w:val="17"/>
          <w:color w:val="auto"/>
        </w:rPr>
        <w:t>THE SCOTTS COMPANY</w:t>
      </w:r>
    </w:p>
    <w:p>
      <w:pPr>
        <w:spacing w:after="0" w:line="4" w:lineRule="exact"/>
        <w:rPr>
          <w:sz w:val="20"/>
          <w:szCs w:val="20"/>
          <w:color w:val="auto"/>
        </w:rPr>
      </w:pPr>
    </w:p>
    <w:p>
      <w:pPr>
        <w:jc w:val="center"/>
        <w:ind w:right="-400"/>
        <w:spacing w:after="0"/>
        <w:rPr>
          <w:sz w:val="20"/>
          <w:szCs w:val="20"/>
          <w:color w:val="auto"/>
        </w:rPr>
      </w:pPr>
      <w:r>
        <w:rPr>
          <w:rFonts w:ascii="Courier New" w:cs="Courier New" w:eastAsia="Courier New" w:hAnsi="Courier New"/>
          <w:sz w:val="17"/>
          <w:szCs w:val="17"/>
          <w:color w:val="auto"/>
        </w:rPr>
        <w:t>Computation of Net Income Per Common Share</w:t>
      </w:r>
    </w:p>
    <w:p>
      <w:pPr>
        <w:spacing w:after="0" w:line="4" w:lineRule="exact"/>
        <w:rPr>
          <w:sz w:val="20"/>
          <w:szCs w:val="20"/>
          <w:color w:val="auto"/>
        </w:rPr>
      </w:pPr>
    </w:p>
    <w:p>
      <w:pPr>
        <w:jc w:val="center"/>
        <w:ind w:right="-300"/>
        <w:spacing w:after="0"/>
        <w:rPr>
          <w:sz w:val="20"/>
          <w:szCs w:val="20"/>
          <w:color w:val="auto"/>
        </w:rPr>
      </w:pPr>
      <w:r>
        <w:rPr>
          <w:rFonts w:ascii="Courier New" w:cs="Courier New" w:eastAsia="Courier New" w:hAnsi="Courier New"/>
          <w:sz w:val="17"/>
          <w:szCs w:val="17"/>
          <w:color w:val="auto"/>
        </w:rPr>
        <w:t>Primary (Unaudited)</w:t>
      </w:r>
    </w:p>
    <w:p>
      <w:pPr>
        <w:spacing w:after="0" w:line="4" w:lineRule="exact"/>
        <w:rPr>
          <w:sz w:val="20"/>
          <w:szCs w:val="20"/>
          <w:color w:val="auto"/>
        </w:rPr>
      </w:pPr>
    </w:p>
    <w:p>
      <w:pPr>
        <w:jc w:val="center"/>
        <w:ind w:right="-300"/>
        <w:spacing w:after="0"/>
        <w:rPr>
          <w:sz w:val="20"/>
          <w:szCs w:val="20"/>
          <w:color w:val="auto"/>
        </w:rPr>
      </w:pPr>
      <w:r>
        <w:rPr>
          <w:rFonts w:ascii="Courier New" w:cs="Courier New" w:eastAsia="Courier New" w:hAnsi="Courier New"/>
          <w:sz w:val="17"/>
          <w:szCs w:val="17"/>
          <w:color w:val="auto"/>
        </w:rPr>
        <w:t>(Dollars in thousands except per share amounts)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5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20" w:type="dxa"/>
            <w:vAlign w:val="bottom"/>
            <w:gridSpan w:val="3"/>
          </w:tcPr>
          <w:p>
            <w:pPr>
              <w:jc w:val="right"/>
              <w:ind w:right="135"/>
              <w:spacing w:after="0"/>
              <w:rPr>
                <w:sz w:val="20"/>
                <w:szCs w:val="20"/>
                <w:color w:val="auto"/>
              </w:rPr>
            </w:pPr>
            <w:r>
              <w:rPr>
                <w:rFonts w:ascii="Courier New" w:cs="Courier New" w:eastAsia="Courier New" w:hAnsi="Courier New"/>
                <w:sz w:val="17"/>
                <w:szCs w:val="17"/>
                <w:color w:val="auto"/>
              </w:rPr>
              <w:t>For the Three Months Ended</w:t>
            </w:r>
          </w:p>
        </w:tc>
      </w:tr>
      <w:tr>
        <w:trPr>
          <w:trHeight w:val="196"/>
        </w:trPr>
        <w:tc>
          <w:tcPr>
            <w:tcW w:w="55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32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January 2</w:t>
            </w:r>
          </w:p>
        </w:tc>
        <w:tc>
          <w:tcPr>
            <w:tcW w:w="560" w:type="dxa"/>
            <w:vAlign w:val="bottom"/>
          </w:tcPr>
          <w:p>
            <w:pPr>
              <w:spacing w:after="0"/>
              <w:rPr>
                <w:sz w:val="17"/>
                <w:szCs w:val="17"/>
                <w:color w:val="auto"/>
              </w:rPr>
            </w:pPr>
          </w:p>
        </w:tc>
        <w:tc>
          <w:tcPr>
            <w:tcW w:w="1140" w:type="dxa"/>
            <w:vAlign w:val="bottom"/>
          </w:tcPr>
          <w:p>
            <w:pPr>
              <w:jc w:val="right"/>
              <w:ind w:right="135"/>
              <w:spacing w:after="0"/>
              <w:rPr>
                <w:sz w:val="20"/>
                <w:szCs w:val="20"/>
                <w:color w:val="auto"/>
              </w:rPr>
            </w:pPr>
            <w:r>
              <w:rPr>
                <w:rFonts w:ascii="Courier New" w:cs="Courier New" w:eastAsia="Courier New" w:hAnsi="Courier New"/>
                <w:sz w:val="17"/>
                <w:szCs w:val="17"/>
                <w:color w:val="auto"/>
                <w:w w:val="97"/>
              </w:rPr>
              <w:t>January 1</w:t>
            </w:r>
          </w:p>
        </w:tc>
      </w:tr>
      <w:tr>
        <w:trPr>
          <w:trHeight w:val="196"/>
        </w:trPr>
        <w:tc>
          <w:tcPr>
            <w:tcW w:w="55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320" w:type="dxa"/>
            <w:vAlign w:val="bottom"/>
          </w:tcPr>
          <w:p>
            <w:pPr>
              <w:jc w:val="right"/>
              <w:ind w:right="575"/>
              <w:spacing w:after="0"/>
              <w:rPr>
                <w:sz w:val="20"/>
                <w:szCs w:val="20"/>
                <w:color w:val="auto"/>
              </w:rPr>
            </w:pPr>
            <w:r>
              <w:rPr>
                <w:rFonts w:ascii="Courier New" w:cs="Courier New" w:eastAsia="Courier New" w:hAnsi="Courier New"/>
                <w:sz w:val="17"/>
                <w:szCs w:val="17"/>
                <w:color w:val="auto"/>
              </w:rPr>
              <w:t>1993</w:t>
            </w:r>
          </w:p>
        </w:tc>
        <w:tc>
          <w:tcPr>
            <w:tcW w:w="560" w:type="dxa"/>
            <w:vAlign w:val="bottom"/>
          </w:tcPr>
          <w:p>
            <w:pPr>
              <w:spacing w:after="0"/>
              <w:rPr>
                <w:sz w:val="17"/>
                <w:szCs w:val="17"/>
                <w:color w:val="auto"/>
              </w:rPr>
            </w:pPr>
          </w:p>
        </w:tc>
        <w:tc>
          <w:tcPr>
            <w:tcW w:w="1140" w:type="dxa"/>
            <w:vAlign w:val="bottom"/>
          </w:tcPr>
          <w:p>
            <w:pPr>
              <w:jc w:val="right"/>
              <w:ind w:right="635"/>
              <w:spacing w:after="0"/>
              <w:rPr>
                <w:sz w:val="20"/>
                <w:szCs w:val="20"/>
                <w:color w:val="auto"/>
              </w:rPr>
            </w:pPr>
            <w:r>
              <w:rPr>
                <w:rFonts w:ascii="Courier New" w:cs="Courier New" w:eastAsia="Courier New" w:hAnsi="Courier New"/>
                <w:sz w:val="17"/>
                <w:szCs w:val="17"/>
                <w:color w:val="auto"/>
                <w:w w:val="97"/>
              </w:rPr>
              <w:t>1994</w:t>
            </w:r>
          </w:p>
        </w:tc>
      </w:tr>
      <w:tr>
        <w:trPr>
          <w:trHeight w:val="392"/>
        </w:trPr>
        <w:tc>
          <w:tcPr>
            <w:tcW w:w="5560" w:type="dxa"/>
            <w:vAlign w:val="bottom"/>
          </w:tcPr>
          <w:p>
            <w:pPr>
              <w:spacing w:after="0"/>
              <w:rPr>
                <w:sz w:val="20"/>
                <w:szCs w:val="20"/>
                <w:color w:val="auto"/>
              </w:rPr>
            </w:pPr>
            <w:r>
              <w:rPr>
                <w:rFonts w:ascii="Courier New" w:cs="Courier New" w:eastAsia="Courier New" w:hAnsi="Courier New"/>
                <w:sz w:val="17"/>
                <w:szCs w:val="17"/>
                <w:color w:val="auto"/>
              </w:rPr>
              <w:t>Net loss for computing net income</w:t>
            </w:r>
          </w:p>
        </w:tc>
        <w:tc>
          <w:tcPr>
            <w:tcW w:w="8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96"/>
        </w:trPr>
        <w:tc>
          <w:tcPr>
            <w:tcW w:w="5560" w:type="dxa"/>
            <w:vAlign w:val="bottom"/>
          </w:tcPr>
          <w:p>
            <w:pPr>
              <w:ind w:left="200"/>
              <w:spacing w:after="0"/>
              <w:rPr>
                <w:sz w:val="20"/>
                <w:szCs w:val="20"/>
                <w:color w:val="auto"/>
              </w:rPr>
            </w:pPr>
            <w:r>
              <w:rPr>
                <w:rFonts w:ascii="Courier New" w:cs="Courier New" w:eastAsia="Courier New" w:hAnsi="Courier New"/>
                <w:sz w:val="17"/>
                <w:szCs w:val="17"/>
                <w:color w:val="auto"/>
              </w:rPr>
              <w:t>per common share:</w:t>
            </w:r>
          </w:p>
        </w:tc>
        <w:tc>
          <w:tcPr>
            <w:tcW w:w="8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392"/>
        </w:trPr>
        <w:tc>
          <w:tcPr>
            <w:tcW w:w="5560" w:type="dxa"/>
            <w:vAlign w:val="bottom"/>
          </w:tcPr>
          <w:p>
            <w:pPr>
              <w:spacing w:after="0"/>
              <w:rPr>
                <w:sz w:val="20"/>
                <w:szCs w:val="20"/>
                <w:color w:val="auto"/>
              </w:rPr>
            </w:pPr>
            <w:r>
              <w:rPr>
                <w:rFonts w:ascii="Courier New" w:cs="Courier New" w:eastAsia="Courier New" w:hAnsi="Courier New"/>
                <w:sz w:val="17"/>
                <w:szCs w:val="17"/>
                <w:color w:val="auto"/>
              </w:rPr>
              <w:t>Loss before cumulative effect of</w:t>
            </w: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jc w:val="right"/>
              <w:ind w:right="55"/>
              <w:spacing w:after="0"/>
              <w:rPr>
                <w:sz w:val="20"/>
                <w:szCs w:val="20"/>
                <w:color w:val="auto"/>
              </w:rPr>
            </w:pPr>
            <w:r>
              <w:rPr>
                <w:rFonts w:ascii="Courier New" w:cs="Courier New" w:eastAsia="Courier New" w:hAnsi="Courier New"/>
                <w:sz w:val="17"/>
                <w:szCs w:val="17"/>
                <w:color w:val="auto"/>
              </w:rPr>
              <w:t>(471)(1)</w:t>
            </w:r>
          </w:p>
        </w:tc>
        <w:tc>
          <w:tcPr>
            <w:tcW w:w="1700" w:type="dxa"/>
            <w:vAlign w:val="bottom"/>
            <w:gridSpan w:val="2"/>
          </w:tcPr>
          <w:p>
            <w:pPr>
              <w:jc w:val="right"/>
              <w:ind w:right="435"/>
              <w:spacing w:after="0"/>
              <w:rPr>
                <w:sz w:val="20"/>
                <w:szCs w:val="20"/>
                <w:color w:val="auto"/>
              </w:rPr>
            </w:pPr>
            <w:r>
              <w:rPr>
                <w:rFonts w:ascii="Courier New" w:cs="Courier New" w:eastAsia="Courier New" w:hAnsi="Courier New"/>
                <w:sz w:val="17"/>
                <w:szCs w:val="17"/>
                <w:color w:val="auto"/>
              </w:rPr>
              <w:t>$  (1,557)</w:t>
            </w:r>
          </w:p>
        </w:tc>
      </w:tr>
      <w:tr>
        <w:trPr>
          <w:trHeight w:val="196"/>
        </w:trPr>
        <w:tc>
          <w:tcPr>
            <w:tcW w:w="5560" w:type="dxa"/>
            <w:vAlign w:val="bottom"/>
          </w:tcPr>
          <w:p>
            <w:pPr>
              <w:ind w:left="100"/>
              <w:spacing w:after="0"/>
              <w:rPr>
                <w:sz w:val="20"/>
                <w:szCs w:val="20"/>
                <w:color w:val="auto"/>
              </w:rPr>
            </w:pPr>
            <w:r>
              <w:rPr>
                <w:rFonts w:ascii="Courier New" w:cs="Courier New" w:eastAsia="Courier New" w:hAnsi="Courier New"/>
                <w:sz w:val="17"/>
                <w:szCs w:val="17"/>
                <w:color w:val="auto"/>
              </w:rPr>
              <w:t>accounting changes</w:t>
            </w:r>
          </w:p>
        </w:tc>
        <w:tc>
          <w:tcPr>
            <w:tcW w:w="8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392"/>
        </w:trPr>
        <w:tc>
          <w:tcPr>
            <w:tcW w:w="5560" w:type="dxa"/>
            <w:vAlign w:val="bottom"/>
          </w:tcPr>
          <w:p>
            <w:pPr>
              <w:ind w:left="200"/>
              <w:spacing w:after="0"/>
              <w:rPr>
                <w:sz w:val="20"/>
                <w:szCs w:val="20"/>
                <w:color w:val="auto"/>
              </w:rPr>
            </w:pPr>
            <w:r>
              <w:rPr>
                <w:rFonts w:ascii="Courier New" w:cs="Courier New" w:eastAsia="Courier New" w:hAnsi="Courier New"/>
                <w:sz w:val="17"/>
                <w:szCs w:val="17"/>
                <w:color w:val="auto"/>
              </w:rPr>
              <w:t>Cumulative effect of changes in accounting for</w:t>
            </w:r>
          </w:p>
        </w:tc>
        <w:tc>
          <w:tcPr>
            <w:tcW w:w="8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96"/>
        </w:trPr>
        <w:tc>
          <w:tcPr>
            <w:tcW w:w="5560" w:type="dxa"/>
            <w:vAlign w:val="bottom"/>
          </w:tcPr>
          <w:p>
            <w:pPr>
              <w:ind w:left="420"/>
              <w:spacing w:after="0"/>
              <w:rPr>
                <w:sz w:val="20"/>
                <w:szCs w:val="20"/>
                <w:color w:val="auto"/>
              </w:rPr>
            </w:pPr>
            <w:r>
              <w:rPr>
                <w:rFonts w:ascii="Courier New" w:cs="Courier New" w:eastAsia="Courier New" w:hAnsi="Courier New"/>
                <w:sz w:val="17"/>
                <w:szCs w:val="17"/>
                <w:color w:val="auto"/>
              </w:rPr>
              <w:t>postretirement benefits, net of tax and</w:t>
            </w:r>
          </w:p>
        </w:tc>
        <w:tc>
          <w:tcPr>
            <w:tcW w:w="8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6"/>
        </w:trPr>
        <w:tc>
          <w:tcPr>
            <w:tcW w:w="5560" w:type="dxa"/>
            <w:vAlign w:val="bottom"/>
          </w:tcPr>
          <w:p>
            <w:pPr>
              <w:ind w:left="420"/>
              <w:spacing w:after="0"/>
              <w:rPr>
                <w:sz w:val="20"/>
                <w:szCs w:val="20"/>
                <w:color w:val="auto"/>
              </w:rPr>
            </w:pPr>
            <w:r>
              <w:rPr>
                <w:rFonts w:ascii="Courier New" w:cs="Courier New" w:eastAsia="Courier New" w:hAnsi="Courier New"/>
                <w:sz w:val="17"/>
                <w:szCs w:val="17"/>
                <w:color w:val="auto"/>
              </w:rPr>
              <w:t>income taxes</w:t>
            </w: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(13,157)</w:t>
            </w:r>
          </w:p>
        </w:tc>
        <w:tc>
          <w:tcPr>
            <w:tcW w:w="560" w:type="dxa"/>
            <w:vAlign w:val="bottom"/>
          </w:tcPr>
          <w:p>
            <w:pPr>
              <w:spacing w:after="0"/>
              <w:rPr>
                <w:sz w:val="17"/>
                <w:szCs w:val="17"/>
                <w:color w:val="auto"/>
              </w:rPr>
            </w:pPr>
          </w:p>
        </w:tc>
        <w:tc>
          <w:tcPr>
            <w:tcW w:w="114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w:t>
            </w:r>
          </w:p>
        </w:tc>
      </w:tr>
      <w:tr>
        <w:trPr>
          <w:trHeight w:val="392"/>
        </w:trPr>
        <w:tc>
          <w:tcPr>
            <w:tcW w:w="5560" w:type="dxa"/>
            <w:vAlign w:val="bottom"/>
          </w:tcPr>
          <w:p>
            <w:pPr>
              <w:spacing w:after="0"/>
              <w:rPr>
                <w:sz w:val="20"/>
                <w:szCs w:val="20"/>
                <w:color w:val="auto"/>
              </w:rPr>
            </w:pPr>
            <w:r>
              <w:rPr>
                <w:rFonts w:ascii="Courier New" w:cs="Courier New" w:eastAsia="Courier New" w:hAnsi="Courier New"/>
                <w:sz w:val="17"/>
                <w:szCs w:val="17"/>
                <w:color w:val="auto"/>
              </w:rPr>
              <w:t>Net loss</w:t>
            </w: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jc w:val="right"/>
              <w:ind w:right="55"/>
              <w:spacing w:after="0"/>
              <w:rPr>
                <w:sz w:val="20"/>
                <w:szCs w:val="20"/>
                <w:color w:val="auto"/>
              </w:rPr>
            </w:pPr>
            <w:r>
              <w:rPr>
                <w:rFonts w:ascii="Courier New" w:cs="Courier New" w:eastAsia="Courier New" w:hAnsi="Courier New"/>
                <w:sz w:val="17"/>
                <w:szCs w:val="17"/>
                <w:color w:val="auto"/>
              </w:rPr>
              <w:t>(13,628)(2)</w:t>
            </w:r>
          </w:p>
        </w:tc>
        <w:tc>
          <w:tcPr>
            <w:tcW w:w="1700" w:type="dxa"/>
            <w:vAlign w:val="bottom"/>
            <w:gridSpan w:val="2"/>
          </w:tcPr>
          <w:p>
            <w:pPr>
              <w:jc w:val="right"/>
              <w:ind w:right="435"/>
              <w:spacing w:after="0"/>
              <w:rPr>
                <w:sz w:val="20"/>
                <w:szCs w:val="20"/>
                <w:color w:val="auto"/>
              </w:rPr>
            </w:pPr>
            <w:r>
              <w:rPr>
                <w:rFonts w:ascii="Courier New" w:cs="Courier New" w:eastAsia="Courier New" w:hAnsi="Courier New"/>
                <w:sz w:val="17"/>
                <w:szCs w:val="17"/>
                <w:color w:val="auto"/>
              </w:rPr>
              <w:t>$ (1,557)</w:t>
            </w:r>
          </w:p>
        </w:tc>
      </w:tr>
      <w:tr>
        <w:trPr>
          <w:trHeight w:val="392"/>
        </w:trPr>
        <w:tc>
          <w:tcPr>
            <w:tcW w:w="5560" w:type="dxa"/>
            <w:vAlign w:val="bottom"/>
          </w:tcPr>
          <w:p>
            <w:pPr>
              <w:spacing w:after="0"/>
              <w:rPr>
                <w:sz w:val="20"/>
                <w:szCs w:val="20"/>
                <w:color w:val="auto"/>
              </w:rPr>
            </w:pPr>
            <w:r>
              <w:rPr>
                <w:rFonts w:ascii="Courier New" w:cs="Courier New" w:eastAsia="Courier New" w:hAnsi="Courier New"/>
                <w:sz w:val="17"/>
                <w:szCs w:val="17"/>
                <w:color w:val="auto"/>
              </w:rPr>
              <w:t>Net Income Per Common Share:</w:t>
            </w:r>
          </w:p>
        </w:tc>
        <w:tc>
          <w:tcPr>
            <w:tcW w:w="8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92"/>
        </w:trPr>
        <w:tc>
          <w:tcPr>
            <w:tcW w:w="5560" w:type="dxa"/>
            <w:vAlign w:val="bottom"/>
          </w:tcPr>
          <w:p>
            <w:pPr>
              <w:spacing w:after="0"/>
              <w:rPr>
                <w:sz w:val="20"/>
                <w:szCs w:val="20"/>
                <w:color w:val="auto"/>
              </w:rPr>
            </w:pPr>
            <w:r>
              <w:rPr>
                <w:rFonts w:ascii="Courier New" w:cs="Courier New" w:eastAsia="Courier New" w:hAnsi="Courier New"/>
                <w:sz w:val="17"/>
                <w:szCs w:val="17"/>
                <w:color w:val="auto"/>
              </w:rPr>
              <w:t>Loss before cumulative effect of</w:t>
            </w:r>
          </w:p>
        </w:tc>
        <w:tc>
          <w:tcPr>
            <w:tcW w:w="8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96"/>
        </w:trPr>
        <w:tc>
          <w:tcPr>
            <w:tcW w:w="5560" w:type="dxa"/>
            <w:vAlign w:val="bottom"/>
          </w:tcPr>
          <w:p>
            <w:pPr>
              <w:ind w:left="420"/>
              <w:spacing w:after="0"/>
              <w:rPr>
                <w:sz w:val="20"/>
                <w:szCs w:val="20"/>
                <w:color w:val="auto"/>
              </w:rPr>
            </w:pPr>
            <w:r>
              <w:rPr>
                <w:rFonts w:ascii="Courier New" w:cs="Courier New" w:eastAsia="Courier New" w:hAnsi="Courier New"/>
                <w:sz w:val="17"/>
                <w:szCs w:val="17"/>
                <w:color w:val="auto"/>
              </w:rPr>
              <w:t>accounting changes</w:t>
            </w: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(.02)</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(.08)</w:t>
            </w:r>
          </w:p>
        </w:tc>
      </w:tr>
      <w:tr>
        <w:trPr>
          <w:trHeight w:val="196"/>
        </w:trPr>
        <w:tc>
          <w:tcPr>
            <w:tcW w:w="5560" w:type="dxa"/>
            <w:vAlign w:val="bottom"/>
          </w:tcPr>
          <w:p>
            <w:pPr>
              <w:ind w:left="200"/>
              <w:spacing w:after="0"/>
              <w:rPr>
                <w:sz w:val="20"/>
                <w:szCs w:val="20"/>
                <w:color w:val="auto"/>
              </w:rPr>
            </w:pPr>
            <w:r>
              <w:rPr>
                <w:rFonts w:ascii="Courier New" w:cs="Courier New" w:eastAsia="Courier New" w:hAnsi="Courier New"/>
                <w:sz w:val="17"/>
                <w:szCs w:val="17"/>
                <w:color w:val="auto"/>
              </w:rPr>
              <w:t>Cumulative effect of changes in accounting for</w:t>
            </w:r>
          </w:p>
        </w:tc>
        <w:tc>
          <w:tcPr>
            <w:tcW w:w="8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6"/>
        </w:trPr>
        <w:tc>
          <w:tcPr>
            <w:tcW w:w="5560" w:type="dxa"/>
            <w:vAlign w:val="bottom"/>
          </w:tcPr>
          <w:p>
            <w:pPr>
              <w:ind w:left="420"/>
              <w:spacing w:after="0"/>
              <w:rPr>
                <w:sz w:val="20"/>
                <w:szCs w:val="20"/>
                <w:color w:val="auto"/>
              </w:rPr>
            </w:pPr>
            <w:r>
              <w:rPr>
                <w:rFonts w:ascii="Courier New" w:cs="Courier New" w:eastAsia="Courier New" w:hAnsi="Courier New"/>
                <w:sz w:val="17"/>
                <w:szCs w:val="17"/>
                <w:color w:val="auto"/>
              </w:rPr>
              <w:t>postretirement benefits, net of tax and</w:t>
            </w:r>
          </w:p>
        </w:tc>
        <w:tc>
          <w:tcPr>
            <w:tcW w:w="8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6"/>
        </w:trPr>
        <w:tc>
          <w:tcPr>
            <w:tcW w:w="5560" w:type="dxa"/>
            <w:vAlign w:val="bottom"/>
          </w:tcPr>
          <w:p>
            <w:pPr>
              <w:ind w:left="420"/>
              <w:spacing w:after="0"/>
              <w:rPr>
                <w:sz w:val="20"/>
                <w:szCs w:val="20"/>
                <w:color w:val="auto"/>
              </w:rPr>
            </w:pPr>
            <w:r>
              <w:rPr>
                <w:rFonts w:ascii="Courier New" w:cs="Courier New" w:eastAsia="Courier New" w:hAnsi="Courier New"/>
                <w:sz w:val="17"/>
                <w:szCs w:val="17"/>
                <w:color w:val="auto"/>
              </w:rPr>
              <w:t>income taxes</w:t>
            </w:r>
          </w:p>
        </w:tc>
        <w:tc>
          <w:tcPr>
            <w:tcW w:w="820" w:type="dxa"/>
            <w:vAlign w:val="bottom"/>
          </w:tcPr>
          <w:p>
            <w:pPr>
              <w:spacing w:after="0"/>
              <w:rPr>
                <w:sz w:val="17"/>
                <w:szCs w:val="17"/>
                <w:color w:val="auto"/>
              </w:rPr>
            </w:pPr>
          </w:p>
        </w:tc>
        <w:tc>
          <w:tcPr>
            <w:tcW w:w="132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(.63)</w:t>
            </w:r>
          </w:p>
        </w:tc>
        <w:tc>
          <w:tcPr>
            <w:tcW w:w="560" w:type="dxa"/>
            <w:vAlign w:val="bottom"/>
          </w:tcPr>
          <w:p>
            <w:pPr>
              <w:spacing w:after="0"/>
              <w:rPr>
                <w:sz w:val="17"/>
                <w:szCs w:val="17"/>
                <w:color w:val="auto"/>
              </w:rPr>
            </w:pPr>
          </w:p>
        </w:tc>
        <w:tc>
          <w:tcPr>
            <w:tcW w:w="114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w:t>
            </w:r>
          </w:p>
        </w:tc>
      </w:tr>
      <w:tr>
        <w:trPr>
          <w:trHeight w:val="392"/>
        </w:trPr>
        <w:tc>
          <w:tcPr>
            <w:tcW w:w="5560" w:type="dxa"/>
            <w:vAlign w:val="bottom"/>
          </w:tcPr>
          <w:p>
            <w:pPr>
              <w:spacing w:after="0"/>
              <w:rPr>
                <w:sz w:val="20"/>
                <w:szCs w:val="20"/>
                <w:color w:val="auto"/>
              </w:rPr>
            </w:pPr>
            <w:r>
              <w:rPr>
                <w:rFonts w:ascii="Courier New" w:cs="Courier New" w:eastAsia="Courier New" w:hAnsi="Courier New"/>
                <w:sz w:val="17"/>
                <w:szCs w:val="17"/>
                <w:color w:val="auto"/>
              </w:rPr>
              <w:t>Net loss per common share</w:t>
            </w: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(.65)</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(.08)</w:t>
            </w:r>
          </w:p>
        </w:tc>
      </w:tr>
      <w:tr>
        <w:trPr>
          <w:trHeight w:val="589"/>
        </w:trPr>
        <w:tc>
          <w:tcPr>
            <w:tcW w:w="7700" w:type="dxa"/>
            <w:vAlign w:val="bottom"/>
            <w:gridSpan w:val="3"/>
          </w:tcPr>
          <w:p>
            <w:pPr>
              <w:ind w:left="3380"/>
              <w:spacing w:after="0"/>
              <w:rPr>
                <w:sz w:val="20"/>
                <w:szCs w:val="20"/>
                <w:color w:val="auto"/>
              </w:rPr>
            </w:pPr>
            <w:r>
              <w:rPr>
                <w:rFonts w:ascii="Courier New" w:cs="Courier New" w:eastAsia="Courier New" w:hAnsi="Courier New"/>
                <w:sz w:val="17"/>
                <w:szCs w:val="17"/>
                <w:color w:val="auto"/>
              </w:rPr>
              <w:t>Computation of Weighted Average Number</w:t>
            </w: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96"/>
        </w:trPr>
        <w:tc>
          <w:tcPr>
            <w:tcW w:w="7700" w:type="dxa"/>
            <w:vAlign w:val="bottom"/>
            <w:gridSpan w:val="3"/>
          </w:tcPr>
          <w:p>
            <w:pPr>
              <w:ind w:left="3260"/>
              <w:spacing w:after="0"/>
              <w:rPr>
                <w:sz w:val="20"/>
                <w:szCs w:val="20"/>
                <w:color w:val="auto"/>
              </w:rPr>
            </w:pPr>
            <w:r>
              <w:rPr>
                <w:rFonts w:ascii="Courier New" w:cs="Courier New" w:eastAsia="Courier New" w:hAnsi="Courier New"/>
                <w:sz w:val="17"/>
                <w:szCs w:val="17"/>
                <w:color w:val="auto"/>
              </w:rPr>
              <w:t>of Common Shares Outstanding (Unaudited)</w:t>
            </w:r>
          </w:p>
        </w:tc>
        <w:tc>
          <w:tcPr>
            <w:tcW w:w="5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392"/>
        </w:trPr>
        <w:tc>
          <w:tcPr>
            <w:tcW w:w="5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20" w:type="dxa"/>
            <w:vAlign w:val="bottom"/>
            <w:gridSpan w:val="3"/>
          </w:tcPr>
          <w:p>
            <w:pPr>
              <w:jc w:val="right"/>
              <w:ind w:right="135"/>
              <w:spacing w:after="0"/>
              <w:rPr>
                <w:sz w:val="20"/>
                <w:szCs w:val="20"/>
                <w:color w:val="auto"/>
              </w:rPr>
            </w:pPr>
            <w:r>
              <w:rPr>
                <w:rFonts w:ascii="Courier New" w:cs="Courier New" w:eastAsia="Courier New" w:hAnsi="Courier New"/>
                <w:sz w:val="17"/>
                <w:szCs w:val="17"/>
                <w:color w:val="auto"/>
              </w:rPr>
              <w:t>For the Three Months Ended</w:t>
            </w:r>
          </w:p>
        </w:tc>
      </w:tr>
      <w:tr>
        <w:trPr>
          <w:trHeight w:val="196"/>
        </w:trPr>
        <w:tc>
          <w:tcPr>
            <w:tcW w:w="55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32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January 2</w:t>
            </w:r>
          </w:p>
        </w:tc>
        <w:tc>
          <w:tcPr>
            <w:tcW w:w="560" w:type="dxa"/>
            <w:vAlign w:val="bottom"/>
          </w:tcPr>
          <w:p>
            <w:pPr>
              <w:spacing w:after="0"/>
              <w:rPr>
                <w:sz w:val="17"/>
                <w:szCs w:val="17"/>
                <w:color w:val="auto"/>
              </w:rPr>
            </w:pPr>
          </w:p>
        </w:tc>
        <w:tc>
          <w:tcPr>
            <w:tcW w:w="1140" w:type="dxa"/>
            <w:vAlign w:val="bottom"/>
          </w:tcPr>
          <w:p>
            <w:pPr>
              <w:jc w:val="right"/>
              <w:ind w:right="135"/>
              <w:spacing w:after="0"/>
              <w:rPr>
                <w:sz w:val="20"/>
                <w:szCs w:val="20"/>
                <w:color w:val="auto"/>
              </w:rPr>
            </w:pPr>
            <w:r>
              <w:rPr>
                <w:rFonts w:ascii="Courier New" w:cs="Courier New" w:eastAsia="Courier New" w:hAnsi="Courier New"/>
                <w:sz w:val="17"/>
                <w:szCs w:val="17"/>
                <w:color w:val="auto"/>
                <w:w w:val="97"/>
              </w:rPr>
              <w:t>January 1</w:t>
            </w:r>
          </w:p>
        </w:tc>
      </w:tr>
      <w:tr>
        <w:trPr>
          <w:trHeight w:val="196"/>
        </w:trPr>
        <w:tc>
          <w:tcPr>
            <w:tcW w:w="55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32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1993</w:t>
            </w:r>
          </w:p>
        </w:tc>
        <w:tc>
          <w:tcPr>
            <w:tcW w:w="560" w:type="dxa"/>
            <w:vAlign w:val="bottom"/>
          </w:tcPr>
          <w:p>
            <w:pPr>
              <w:spacing w:after="0"/>
              <w:rPr>
                <w:sz w:val="17"/>
                <w:szCs w:val="17"/>
                <w:color w:val="auto"/>
              </w:rPr>
            </w:pPr>
          </w:p>
        </w:tc>
        <w:tc>
          <w:tcPr>
            <w:tcW w:w="114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1994</w:t>
            </w:r>
          </w:p>
        </w:tc>
      </w:tr>
      <w:tr>
        <w:trPr>
          <w:trHeight w:val="392"/>
        </w:trPr>
        <w:tc>
          <w:tcPr>
            <w:tcW w:w="5560" w:type="dxa"/>
            <w:vAlign w:val="bottom"/>
          </w:tcPr>
          <w:p>
            <w:pPr>
              <w:spacing w:after="0"/>
              <w:rPr>
                <w:sz w:val="20"/>
                <w:szCs w:val="20"/>
                <w:color w:val="auto"/>
              </w:rPr>
            </w:pPr>
            <w:r>
              <w:rPr>
                <w:rFonts w:ascii="Courier New" w:cs="Courier New" w:eastAsia="Courier New" w:hAnsi="Courier New"/>
                <w:sz w:val="17"/>
                <w:szCs w:val="17"/>
                <w:color w:val="auto"/>
              </w:rPr>
              <w:t>Weighted average number</w:t>
            </w:r>
          </w:p>
        </w:tc>
        <w:tc>
          <w:tcPr>
            <w:tcW w:w="8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96"/>
        </w:trPr>
        <w:tc>
          <w:tcPr>
            <w:tcW w:w="5560" w:type="dxa"/>
            <w:vAlign w:val="bottom"/>
          </w:tcPr>
          <w:p>
            <w:pPr>
              <w:ind w:left="200"/>
              <w:spacing w:after="0"/>
              <w:rPr>
                <w:sz w:val="20"/>
                <w:szCs w:val="20"/>
                <w:color w:val="auto"/>
              </w:rPr>
            </w:pPr>
            <w:r>
              <w:rPr>
                <w:rFonts w:ascii="Courier New" w:cs="Courier New" w:eastAsia="Courier New" w:hAnsi="Courier New"/>
                <w:sz w:val="17"/>
                <w:szCs w:val="17"/>
                <w:color w:val="auto"/>
              </w:rPr>
              <w:t>of shares outstanding</w:t>
            </w:r>
          </w:p>
        </w:tc>
        <w:tc>
          <w:tcPr>
            <w:tcW w:w="820" w:type="dxa"/>
            <w:vAlign w:val="bottom"/>
          </w:tcPr>
          <w:p>
            <w:pPr>
              <w:spacing w:after="0"/>
              <w:rPr>
                <w:sz w:val="17"/>
                <w:szCs w:val="17"/>
                <w:color w:val="auto"/>
              </w:rPr>
            </w:pPr>
          </w:p>
        </w:tc>
        <w:tc>
          <w:tcPr>
            <w:tcW w:w="132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21,073,430</w:t>
            </w:r>
          </w:p>
        </w:tc>
        <w:tc>
          <w:tcPr>
            <w:tcW w:w="1700" w:type="dxa"/>
            <w:vAlign w:val="bottom"/>
            <w:gridSpan w:val="2"/>
          </w:tcPr>
          <w:p>
            <w:pPr>
              <w:ind w:left="360"/>
              <w:spacing w:after="0"/>
              <w:rPr>
                <w:sz w:val="20"/>
                <w:szCs w:val="20"/>
                <w:color w:val="auto"/>
              </w:rPr>
            </w:pPr>
            <w:r>
              <w:rPr>
                <w:rFonts w:ascii="Courier New" w:cs="Courier New" w:eastAsia="Courier New" w:hAnsi="Courier New"/>
                <w:sz w:val="17"/>
                <w:szCs w:val="17"/>
                <w:color w:val="auto"/>
              </w:rPr>
              <w:t>18,658,535</w:t>
            </w:r>
          </w:p>
        </w:tc>
      </w:tr>
      <w:tr>
        <w:trPr>
          <w:trHeight w:val="392"/>
        </w:trPr>
        <w:tc>
          <w:tcPr>
            <w:tcW w:w="5560" w:type="dxa"/>
            <w:vAlign w:val="bottom"/>
          </w:tcPr>
          <w:p>
            <w:pPr>
              <w:spacing w:after="0"/>
              <w:rPr>
                <w:sz w:val="20"/>
                <w:szCs w:val="20"/>
                <w:color w:val="auto"/>
              </w:rPr>
            </w:pPr>
            <w:r>
              <w:rPr>
                <w:rFonts w:ascii="Courier New" w:cs="Courier New" w:eastAsia="Courier New" w:hAnsi="Courier New"/>
                <w:sz w:val="17"/>
                <w:szCs w:val="17"/>
                <w:color w:val="auto"/>
              </w:rPr>
              <w:t>Effect of options based upon</w:t>
            </w:r>
          </w:p>
        </w:tc>
        <w:tc>
          <w:tcPr>
            <w:tcW w:w="8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96"/>
        </w:trPr>
        <w:tc>
          <w:tcPr>
            <w:tcW w:w="5560" w:type="dxa"/>
            <w:vAlign w:val="bottom"/>
          </w:tcPr>
          <w:p>
            <w:pPr>
              <w:ind w:left="200"/>
              <w:spacing w:after="0"/>
              <w:rPr>
                <w:sz w:val="20"/>
                <w:szCs w:val="20"/>
                <w:color w:val="auto"/>
              </w:rPr>
            </w:pPr>
            <w:r>
              <w:rPr>
                <w:rFonts w:ascii="Courier New" w:cs="Courier New" w:eastAsia="Courier New" w:hAnsi="Courier New"/>
                <w:sz w:val="17"/>
                <w:szCs w:val="17"/>
                <w:color w:val="auto"/>
              </w:rPr>
              <w:t>the Treasury Stock Method:</w:t>
            </w:r>
          </w:p>
        </w:tc>
        <w:tc>
          <w:tcPr>
            <w:tcW w:w="8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392"/>
        </w:trPr>
        <w:tc>
          <w:tcPr>
            <w:tcW w:w="5560" w:type="dxa"/>
            <w:vAlign w:val="bottom"/>
          </w:tcPr>
          <w:p>
            <w:pPr>
              <w:ind w:left="200"/>
              <w:spacing w:after="0"/>
              <w:rPr>
                <w:sz w:val="20"/>
                <w:szCs w:val="20"/>
                <w:color w:val="auto"/>
              </w:rPr>
            </w:pPr>
            <w:r>
              <w:rPr>
                <w:rFonts w:ascii="Courier New" w:cs="Courier New" w:eastAsia="Courier New" w:hAnsi="Courier New"/>
                <w:sz w:val="17"/>
                <w:szCs w:val="17"/>
                <w:color w:val="auto"/>
              </w:rPr>
              <w:t>January 1992 -  136,364 at $ 9.90</w:t>
            </w:r>
          </w:p>
        </w:tc>
        <w:tc>
          <w:tcPr>
            <w:tcW w:w="820" w:type="dxa"/>
            <w:vAlign w:val="bottom"/>
          </w:tcPr>
          <w:p>
            <w:pPr>
              <w:spacing w:after="0"/>
              <w:rPr>
                <w:sz w:val="24"/>
                <w:szCs w:val="24"/>
                <w:color w:val="auto"/>
              </w:rPr>
            </w:pPr>
          </w:p>
        </w:tc>
        <w:tc>
          <w:tcPr>
            <w:tcW w:w="132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53,003</w:t>
            </w:r>
          </w:p>
        </w:tc>
        <w:tc>
          <w:tcPr>
            <w:tcW w:w="560" w:type="dxa"/>
            <w:vAlign w:val="bottom"/>
          </w:tcPr>
          <w:p>
            <w:pPr>
              <w:spacing w:after="0"/>
              <w:rPr>
                <w:sz w:val="24"/>
                <w:szCs w:val="24"/>
                <w:color w:val="auto"/>
              </w:rPr>
            </w:pPr>
          </w:p>
        </w:tc>
        <w:tc>
          <w:tcPr>
            <w:tcW w:w="114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w:t>
            </w:r>
          </w:p>
        </w:tc>
      </w:tr>
      <w:tr>
        <w:trPr>
          <w:trHeight w:val="196"/>
        </w:trPr>
        <w:tc>
          <w:tcPr>
            <w:tcW w:w="5560" w:type="dxa"/>
            <w:vAlign w:val="bottom"/>
          </w:tcPr>
          <w:p>
            <w:pPr>
              <w:ind w:left="200"/>
              <w:spacing w:after="0"/>
              <w:rPr>
                <w:sz w:val="20"/>
                <w:szCs w:val="20"/>
                <w:color w:val="auto"/>
              </w:rPr>
            </w:pPr>
            <w:r>
              <w:rPr>
                <w:rFonts w:ascii="Courier New" w:cs="Courier New" w:eastAsia="Courier New" w:hAnsi="Courier New"/>
                <w:sz w:val="17"/>
                <w:szCs w:val="17"/>
                <w:color w:val="auto"/>
              </w:rPr>
              <w:t>November 1992 - 123,925 at $16.25</w:t>
            </w:r>
          </w:p>
        </w:tc>
        <w:tc>
          <w:tcPr>
            <w:tcW w:w="820" w:type="dxa"/>
            <w:vAlign w:val="bottom"/>
          </w:tcPr>
          <w:p>
            <w:pPr>
              <w:spacing w:after="0"/>
              <w:rPr>
                <w:sz w:val="17"/>
                <w:szCs w:val="17"/>
                <w:color w:val="auto"/>
              </w:rPr>
            </w:pPr>
          </w:p>
        </w:tc>
        <w:tc>
          <w:tcPr>
            <w:tcW w:w="132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2,131</w:t>
            </w:r>
          </w:p>
        </w:tc>
        <w:tc>
          <w:tcPr>
            <w:tcW w:w="560" w:type="dxa"/>
            <w:vAlign w:val="bottom"/>
          </w:tcPr>
          <w:p>
            <w:pPr>
              <w:spacing w:after="0"/>
              <w:rPr>
                <w:sz w:val="17"/>
                <w:szCs w:val="17"/>
                <w:color w:val="auto"/>
              </w:rPr>
            </w:pPr>
          </w:p>
        </w:tc>
        <w:tc>
          <w:tcPr>
            <w:tcW w:w="114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w:t>
            </w:r>
          </w:p>
        </w:tc>
      </w:tr>
      <w:tr>
        <w:trPr>
          <w:trHeight w:val="196"/>
        </w:trPr>
        <w:tc>
          <w:tcPr>
            <w:tcW w:w="5560" w:type="dxa"/>
            <w:vAlign w:val="bottom"/>
          </w:tcPr>
          <w:p>
            <w:pPr>
              <w:ind w:left="200"/>
              <w:spacing w:after="0"/>
              <w:rPr>
                <w:sz w:val="20"/>
                <w:szCs w:val="20"/>
                <w:color w:val="auto"/>
              </w:rPr>
            </w:pPr>
            <w:r>
              <w:rPr>
                <w:rFonts w:ascii="Courier New" w:cs="Courier New" w:eastAsia="Courier New" w:hAnsi="Courier New"/>
                <w:sz w:val="17"/>
                <w:szCs w:val="17"/>
                <w:color w:val="auto"/>
              </w:rPr>
              <w:t>December 1992 - 300,000 at $18.00</w:t>
            </w:r>
          </w:p>
        </w:tc>
        <w:tc>
          <w:tcPr>
            <w:tcW w:w="820" w:type="dxa"/>
            <w:vAlign w:val="bottom"/>
          </w:tcPr>
          <w:p>
            <w:pPr>
              <w:spacing w:after="0"/>
              <w:rPr>
                <w:sz w:val="17"/>
                <w:szCs w:val="17"/>
                <w:color w:val="auto"/>
              </w:rPr>
            </w:pPr>
          </w:p>
        </w:tc>
        <w:tc>
          <w:tcPr>
            <w:tcW w:w="132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w:t>
            </w:r>
          </w:p>
        </w:tc>
        <w:tc>
          <w:tcPr>
            <w:tcW w:w="560" w:type="dxa"/>
            <w:vAlign w:val="bottom"/>
          </w:tcPr>
          <w:p>
            <w:pPr>
              <w:spacing w:after="0"/>
              <w:rPr>
                <w:sz w:val="17"/>
                <w:szCs w:val="17"/>
                <w:color w:val="auto"/>
              </w:rPr>
            </w:pPr>
          </w:p>
        </w:tc>
        <w:tc>
          <w:tcPr>
            <w:tcW w:w="114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w:t>
            </w:r>
          </w:p>
        </w:tc>
      </w:tr>
      <w:tr>
        <w:trPr>
          <w:trHeight w:val="392"/>
        </w:trPr>
        <w:tc>
          <w:tcPr>
            <w:tcW w:w="5560" w:type="dxa"/>
            <w:vAlign w:val="bottom"/>
          </w:tcPr>
          <w:p>
            <w:pPr>
              <w:spacing w:after="0"/>
              <w:rPr>
                <w:sz w:val="20"/>
                <w:szCs w:val="20"/>
                <w:color w:val="auto"/>
              </w:rPr>
            </w:pPr>
            <w:r>
              <w:rPr>
                <w:rFonts w:ascii="Courier New" w:cs="Courier New" w:eastAsia="Courier New" w:hAnsi="Courier New"/>
                <w:sz w:val="17"/>
                <w:szCs w:val="17"/>
                <w:color w:val="auto"/>
              </w:rPr>
              <w:t>Weighted average number of</w:t>
            </w:r>
          </w:p>
        </w:tc>
        <w:tc>
          <w:tcPr>
            <w:tcW w:w="8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96"/>
        </w:trPr>
        <w:tc>
          <w:tcPr>
            <w:tcW w:w="5560" w:type="dxa"/>
            <w:vAlign w:val="bottom"/>
          </w:tcPr>
          <w:p>
            <w:pPr>
              <w:ind w:left="200"/>
              <w:spacing w:after="0"/>
              <w:rPr>
                <w:sz w:val="20"/>
                <w:szCs w:val="20"/>
                <w:color w:val="auto"/>
              </w:rPr>
            </w:pPr>
            <w:r>
              <w:rPr>
                <w:rFonts w:ascii="Courier New" w:cs="Courier New" w:eastAsia="Courier New" w:hAnsi="Courier New"/>
                <w:sz w:val="17"/>
                <w:szCs w:val="17"/>
                <w:color w:val="auto"/>
              </w:rPr>
              <w:t>shares for computing net loss</w:t>
            </w:r>
          </w:p>
        </w:tc>
        <w:tc>
          <w:tcPr>
            <w:tcW w:w="8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6"/>
        </w:trPr>
        <w:tc>
          <w:tcPr>
            <w:tcW w:w="5560" w:type="dxa"/>
            <w:vAlign w:val="bottom"/>
          </w:tcPr>
          <w:p>
            <w:pPr>
              <w:ind w:left="200"/>
              <w:spacing w:after="0"/>
              <w:rPr>
                <w:sz w:val="20"/>
                <w:szCs w:val="20"/>
                <w:color w:val="auto"/>
              </w:rPr>
            </w:pPr>
            <w:r>
              <w:rPr>
                <w:rFonts w:ascii="Courier New" w:cs="Courier New" w:eastAsia="Courier New" w:hAnsi="Courier New"/>
                <w:sz w:val="17"/>
                <w:szCs w:val="17"/>
                <w:color w:val="auto"/>
              </w:rPr>
              <w:t>per common share</w:t>
            </w:r>
          </w:p>
        </w:tc>
        <w:tc>
          <w:tcPr>
            <w:tcW w:w="820" w:type="dxa"/>
            <w:vAlign w:val="bottom"/>
          </w:tcPr>
          <w:p>
            <w:pPr>
              <w:spacing w:after="0"/>
              <w:rPr>
                <w:sz w:val="17"/>
                <w:szCs w:val="17"/>
                <w:color w:val="auto"/>
              </w:rPr>
            </w:pPr>
          </w:p>
        </w:tc>
        <w:tc>
          <w:tcPr>
            <w:tcW w:w="132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21,128,564</w:t>
            </w:r>
          </w:p>
        </w:tc>
        <w:tc>
          <w:tcPr>
            <w:tcW w:w="1700" w:type="dxa"/>
            <w:vAlign w:val="bottom"/>
            <w:gridSpan w:val="2"/>
          </w:tcPr>
          <w:p>
            <w:pPr>
              <w:ind w:left="360"/>
              <w:spacing w:after="0"/>
              <w:rPr>
                <w:sz w:val="20"/>
                <w:szCs w:val="20"/>
                <w:color w:val="auto"/>
              </w:rPr>
            </w:pPr>
            <w:r>
              <w:rPr>
                <w:rFonts w:ascii="Courier New" w:cs="Courier New" w:eastAsia="Courier New" w:hAnsi="Courier New"/>
                <w:sz w:val="17"/>
                <w:szCs w:val="17"/>
                <w:color w:val="auto"/>
                <w:w w:val="99"/>
              </w:rPr>
              <w:t>18,658,535(3)</w:t>
            </w:r>
          </w:p>
        </w:tc>
      </w:tr>
    </w:tbl>
    <w:p>
      <w:pPr>
        <w:spacing w:after="0" w:line="200"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Loss before cumulative effect of accounting changes for the three months ended January 2, 1993</w:t>
      </w:r>
    </w:p>
    <w:p>
      <w:pPr>
        <w:spacing w:after="0" w:line="5" w:lineRule="exact"/>
        <w:rPr>
          <w:sz w:val="20"/>
          <w:szCs w:val="20"/>
          <w:color w:val="auto"/>
        </w:rPr>
      </w:pPr>
    </w:p>
    <w:p>
      <w:pPr>
        <w:ind w:left="720"/>
        <w:spacing w:after="0"/>
        <w:rPr>
          <w:sz w:val="20"/>
          <w:szCs w:val="20"/>
          <w:color w:val="auto"/>
        </w:rPr>
      </w:pPr>
      <w:r>
        <w:rPr>
          <w:rFonts w:ascii="Courier New" w:cs="Courier New" w:eastAsia="Courier New" w:hAnsi="Courier New"/>
          <w:sz w:val="16"/>
          <w:szCs w:val="16"/>
          <w:color w:val="auto"/>
        </w:rPr>
        <w:t>has been restated to reflect an ongoing net of tax charge of $462 or $.02 resulting from the</w:t>
      </w:r>
    </w:p>
    <w:p>
      <w:pPr>
        <w:spacing w:after="0" w:line="14" w:lineRule="exact"/>
        <w:rPr>
          <w:sz w:val="20"/>
          <w:szCs w:val="20"/>
          <w:color w:val="auto"/>
        </w:rPr>
      </w:pPr>
    </w:p>
    <w:p>
      <w:pPr>
        <w:ind w:left="720"/>
        <w:spacing w:after="0"/>
        <w:rPr>
          <w:sz w:val="20"/>
          <w:szCs w:val="20"/>
          <w:color w:val="auto"/>
        </w:rPr>
      </w:pPr>
      <w:r>
        <w:rPr>
          <w:rFonts w:ascii="Courier New" w:cs="Courier New" w:eastAsia="Courier New" w:hAnsi="Courier New"/>
          <w:sz w:val="17"/>
          <w:szCs w:val="17"/>
          <w:color w:val="auto"/>
        </w:rPr>
        <w:t>adoption of SFAS No. 106 effective October 1, 1992.</w:t>
      </w:r>
    </w:p>
    <w:p>
      <w:pPr>
        <w:spacing w:after="0" w:line="5" w:lineRule="exact"/>
        <w:rPr>
          <w:sz w:val="20"/>
          <w:szCs w:val="20"/>
          <w:color w:val="auto"/>
        </w:rPr>
      </w:pPr>
    </w:p>
    <w:p>
      <w:pPr>
        <w:ind w:left="720" w:right="219" w:hanging="611"/>
        <w:spacing w:after="0" w:line="259" w:lineRule="auto"/>
        <w:rPr>
          <w:sz w:val="20"/>
          <w:szCs w:val="20"/>
          <w:color w:val="auto"/>
        </w:rPr>
      </w:pPr>
      <w:r>
        <w:rPr>
          <w:rFonts w:ascii="Courier New" w:cs="Courier New" w:eastAsia="Courier New" w:hAnsi="Courier New"/>
          <w:sz w:val="16"/>
          <w:szCs w:val="16"/>
          <w:color w:val="auto"/>
        </w:rPr>
        <w:t>The net loss for the three months ended January 2, 1993 has been restated to reflect the cumulative effect of changes in accounting for postretirement benefits (a net of tax change of $14,932 or $.71 per share) and income taxes (a benefit of $1,775 or $.08 per share).</w:t>
      </w:r>
    </w:p>
    <w:p>
      <w:pPr>
        <w:spacing w:after="0" w:line="2" w:lineRule="exact"/>
        <w:rPr>
          <w:sz w:val="20"/>
          <w:szCs w:val="20"/>
          <w:color w:val="auto"/>
        </w:rPr>
      </w:pPr>
    </w:p>
    <w:p>
      <w:pPr>
        <w:ind w:left="720" w:right="519" w:hanging="611"/>
        <w:spacing w:after="0" w:line="243" w:lineRule="auto"/>
        <w:rPr>
          <w:sz w:val="20"/>
          <w:szCs w:val="20"/>
          <w:color w:val="auto"/>
        </w:rPr>
      </w:pPr>
      <w:r>
        <w:rPr>
          <w:rFonts w:ascii="Courier New" w:cs="Courier New" w:eastAsia="Courier New" w:hAnsi="Courier New"/>
          <w:sz w:val="17"/>
          <w:szCs w:val="17"/>
          <w:color w:val="auto"/>
        </w:rPr>
        <w:t>On a fully diluted basis, weighted average shares outstanding did not differ from the primary calculation due to the antidilutive effect of common stock equivalents in a loss period.</w:t>
      </w:r>
    </w:p>
    <w:sectPr>
      <w:pgSz w:w="11900" w:h="16838" w:orient="portrait"/>
      <w:cols w:equalWidth="0" w:num="1">
        <w:col w:w="10219"/>
      </w:cols>
      <w:pgMar w:left="240" w:top="89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decimal"/>
      <w:start w:val="2"/>
    </w:lvl>
  </w:abstractNum>
  <w:abstractNum w:abstractNumId="3">
    <w:nsid w:val="3D1B58BA"/>
    <w:multiLevelType w:val="hybridMultilevel"/>
    <w:lvl w:ilvl="0">
      <w:lvlJc w:val="left"/>
      <w:lvlText w:val="%1."/>
      <w:numFmt w:val="decimal"/>
      <w:start w:val="3"/>
    </w:lvl>
  </w:abstractNum>
  <w:abstractNum w:abstractNumId="4">
    <w:nsid w:val="507ED7AB"/>
    <w:multiLevelType w:val="hybridMultilevel"/>
    <w:lvl w:ilvl="0">
      <w:lvlJc w:val="left"/>
      <w:lvlText w:val="%1."/>
      <w:numFmt w:val="decimal"/>
      <w:start w:val="4"/>
    </w:lvl>
  </w:abstractNum>
  <w:abstractNum w:abstractNumId="5">
    <w:nsid w:val="2EB141F2"/>
    <w:multiLevelType w:val="hybridMultilevel"/>
    <w:lvl w:ilvl="0">
      <w:lvlJc w:val="left"/>
      <w:lvlText w:val="%1."/>
      <w:numFmt w:val="decimal"/>
      <w:start w:val="6"/>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2019-12-12T07:52:09Z</dcterms:created>
  <dcterms:modified xsi:type="dcterms:W3CDTF">2019-12-12T07:52:09Z</dcterms:modified>
</cp:coreProperties>
</file>