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 SECURITIES AND</w:t>
      </w:r>
    </w:p>
    <w:p>
      <w:pPr>
        <w:spacing w:after="0" w:line="238" w:lineRule="auto"/>
        <w:rPr>
          <w:sz w:val="20"/>
          <w:szCs w:val="20"/>
          <w:color w:val="auto"/>
        </w:rPr>
      </w:pPr>
      <w:r>
        <w:rPr>
          <w:rFonts w:ascii="Courier New" w:cs="Courier New" w:eastAsia="Courier New" w:hAnsi="Courier New"/>
          <w:sz w:val="18"/>
          <w:szCs w:val="18"/>
          <w:color w:val="auto"/>
        </w:rPr>
        <w:t>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w:t>
      </w:r>
    </w:p>
    <w:p>
      <w:pPr>
        <w:spacing w:after="0" w:line="4"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pursuant to Rule 13d-1 (b) (c) and (d) and Amendments thereto filed pursuant to Rule 13d-2 (b).</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Scotts Miracle-Gro Company</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810186106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(d)</w:t>
      </w:r>
    </w:p>
    <w:p>
      <w:pPr>
        <w:spacing w:after="0" w:line="207" w:lineRule="exact"/>
        <w:rPr>
          <w:sz w:val="24"/>
          <w:szCs w:val="24"/>
          <w:color w:val="auto"/>
        </w:rPr>
      </w:pPr>
    </w:p>
    <w:p>
      <w:pPr>
        <w:ind w:right="3159" w:firstLine="843"/>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7" w:lineRule="exact"/>
        <w:rPr>
          <w:sz w:val="20"/>
          <w:szCs w:val="20"/>
          <w:color w:val="auto"/>
        </w:rPr>
      </w:pPr>
    </w:p>
    <w:p>
      <w:pPr>
        <w:ind w:left="860" w:right="5579" w:hanging="852"/>
        <w:spacing w:after="0" w:line="290" w:lineRule="auto"/>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NOS. OF ABOVE PERSONS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First Eagle Investment Management, LLC</w:t>
      </w:r>
    </w:p>
    <w:p>
      <w:pPr>
        <w:ind w:left="860"/>
        <w:spacing w:after="0" w:line="238" w:lineRule="auto"/>
        <w:rPr>
          <w:sz w:val="20"/>
          <w:szCs w:val="20"/>
          <w:color w:val="auto"/>
        </w:rPr>
      </w:pPr>
      <w:r>
        <w:rPr>
          <w:rFonts w:ascii="Courier New" w:cs="Courier New" w:eastAsia="Courier New" w:hAnsi="Courier New"/>
          <w:sz w:val="18"/>
          <w:szCs w:val="18"/>
          <w:color w:val="auto"/>
        </w:rPr>
        <w:t>Tax ID # 57-1156902</w:t>
      </w:r>
    </w:p>
    <w:p>
      <w:pPr>
        <w:spacing w:after="0" w:line="207" w:lineRule="exact"/>
        <w:rPr>
          <w:sz w:val="20"/>
          <w:szCs w:val="20"/>
          <w:color w:val="auto"/>
        </w:rPr>
      </w:pPr>
    </w:p>
    <w:p>
      <w:pPr>
        <w:ind w:left="860" w:right="5479" w:hanging="852"/>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55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31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VOTING POWER - 5,734,370</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VOTING POWER -  0</w:t>
            </w:r>
          </w:p>
        </w:tc>
        <w:tc>
          <w:tcPr>
            <w:tcW w:w="10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DISPOSITIVE POWER -</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5,933,817</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DISPOSITIVE POWER</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860" w:right="5679" w:hanging="852"/>
        <w:spacing w:after="0" w:line="235"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5,933,817</w:t>
      </w:r>
    </w:p>
    <w:p>
      <w:pPr>
        <w:spacing w:after="0" w:line="207" w:lineRule="exact"/>
        <w:rPr>
          <w:sz w:val="20"/>
          <w:szCs w:val="20"/>
          <w:color w:val="auto"/>
        </w:rPr>
      </w:pPr>
    </w:p>
    <w:p>
      <w:pPr>
        <w:jc w:val="both"/>
        <w:ind w:left="860" w:right="5999" w:hanging="852"/>
        <w:spacing w:after="0" w:line="290"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w:t>
      </w:r>
    </w:p>
    <w:p>
      <w:pPr>
        <w:spacing w:after="0" w:line="164"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w:t>
      </w:r>
    </w:p>
    <w:p>
      <w:pPr>
        <w:spacing w:after="0" w:line="206" w:lineRule="exact"/>
        <w:rPr>
          <w:rFonts w:ascii="Courier New" w:cs="Courier New" w:eastAsia="Courier New" w:hAnsi="Courier New"/>
          <w:sz w:val="16"/>
          <w:szCs w:val="16"/>
          <w:color w:val="auto"/>
        </w:rPr>
      </w:pPr>
    </w:p>
    <w:p>
      <w:pPr>
        <w:ind w:left="860" w:right="5359" w:hanging="852"/>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9.55%</w:t>
      </w:r>
    </w:p>
    <w:p>
      <w:pPr>
        <w:spacing w:after="0" w:line="206" w:lineRule="exact"/>
        <w:rPr>
          <w:rFonts w:ascii="Courier New" w:cs="Courier New" w:eastAsia="Courier New" w:hAnsi="Courier New"/>
          <w:sz w:val="18"/>
          <w:szCs w:val="18"/>
          <w:color w:val="auto"/>
        </w:rPr>
      </w:pPr>
    </w:p>
    <w:p>
      <w:pPr>
        <w:ind w:left="860" w:right="68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IC</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Scotts Miracle-Gro Company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14111 Scottslawn Road</w:t>
      </w:r>
    </w:p>
    <w:p>
      <w:pPr>
        <w:ind w:left="860"/>
        <w:spacing w:after="0" w:line="238" w:lineRule="auto"/>
        <w:rPr>
          <w:sz w:val="20"/>
          <w:szCs w:val="20"/>
          <w:color w:val="auto"/>
        </w:rPr>
      </w:pPr>
      <w:r>
        <w:rPr>
          <w:rFonts w:ascii="Courier New" w:cs="Courier New" w:eastAsia="Courier New" w:hAnsi="Courier New"/>
          <w:sz w:val="18"/>
          <w:szCs w:val="18"/>
          <w:color w:val="auto"/>
        </w:rPr>
        <w:t>Marysville, Ohio 43041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First Eagle Investment Management, LLC</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860" w:right="6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1345 Avenue of the Americas New York, NY 10105</w:t>
      </w:r>
    </w:p>
    <w:p>
      <w:pPr>
        <w:spacing w:after="0" w:line="36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 USA (Place of Incorporation)</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810186106</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Sections 240.</w:t>
      </w:r>
    </w:p>
    <w:p>
      <w:pPr>
        <w:spacing w:after="0" w:line="238" w:lineRule="auto"/>
        <w:rPr>
          <w:sz w:val="20"/>
          <w:szCs w:val="20"/>
          <w:color w:val="auto"/>
        </w:rPr>
      </w:pPr>
      <w:r>
        <w:rPr>
          <w:rFonts w:ascii="Courier New" w:cs="Courier New" w:eastAsia="Courier New" w:hAnsi="Courier New"/>
          <w:sz w:val="18"/>
          <w:szCs w:val="18"/>
          <w:color w:val="auto"/>
        </w:rPr>
        <w:t>13d-1(b), or 240.13d-2(b) or (c), check whether</w:t>
      </w:r>
    </w:p>
    <w:p>
      <w:pPr>
        <w:spacing w:after="0"/>
        <w:rPr>
          <w:sz w:val="20"/>
          <w:szCs w:val="20"/>
          <w:color w:val="auto"/>
        </w:rPr>
      </w:pPr>
      <w:r>
        <w:rPr>
          <w:rFonts w:ascii="Courier New" w:cs="Courier New" w:eastAsia="Courier New" w:hAnsi="Courier New"/>
          <w:sz w:val="18"/>
          <w:szCs w:val="18"/>
          <w:color w:val="auto"/>
        </w:rPr>
        <w:t>the person filing is a:</w:t>
      </w:r>
    </w:p>
    <w:p>
      <w:pPr>
        <w:spacing w:after="0" w:line="206" w:lineRule="exact"/>
        <w:rPr>
          <w:sz w:val="20"/>
          <w:szCs w:val="20"/>
          <w:color w:val="auto"/>
        </w:rPr>
      </w:pPr>
    </w:p>
    <w:p>
      <w:pPr>
        <w:ind w:left="1700" w:right="4519" w:hanging="1692"/>
        <w:spacing w:after="0" w:line="290" w:lineRule="auto"/>
        <w:tabs>
          <w:tab w:leader="none" w:pos="8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Broker or dealer registered under Section 15 of the Act (15 U.S.C. 78o);</w:t>
      </w:r>
    </w:p>
    <w:p>
      <w:pPr>
        <w:spacing w:after="0" w:line="164"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 (15 U.S.C. 78c);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Insurance Company as defined in section</w:t>
      </w:r>
    </w:p>
    <w:p>
      <w:pPr>
        <w:ind w:left="1700"/>
        <w:spacing w:after="0" w:line="238" w:lineRule="auto"/>
        <w:rPr>
          <w:sz w:val="20"/>
          <w:szCs w:val="20"/>
          <w:color w:val="auto"/>
        </w:rPr>
      </w:pPr>
      <w:r>
        <w:rPr>
          <w:rFonts w:ascii="Courier New" w:cs="Courier New" w:eastAsia="Courier New" w:hAnsi="Courier New"/>
          <w:sz w:val="18"/>
          <w:szCs w:val="18"/>
          <w:color w:val="auto"/>
        </w:rPr>
        <w:t>3(a)(19) of the Act (15 U.S.C. 78C);</w:t>
      </w:r>
    </w:p>
    <w:p>
      <w:pPr>
        <w:spacing w:after="0" w:line="207" w:lineRule="exact"/>
        <w:rPr>
          <w:sz w:val="20"/>
          <w:szCs w:val="20"/>
          <w:color w:val="auto"/>
        </w:rPr>
      </w:pPr>
    </w:p>
    <w:p>
      <w:pPr>
        <w:ind w:left="1700" w:right="3999" w:hanging="1692"/>
        <w:spacing w:after="0" w:line="236"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[X]Investment company registered under Section 8 of the Investment Company Act if 1940 (15 U.S.C. 80a-8);</w:t>
      </w:r>
    </w:p>
    <w:p>
      <w:pPr>
        <w:spacing w:after="0" w:line="208" w:lineRule="exact"/>
        <w:rPr>
          <w:rFonts w:ascii="Courier New" w:cs="Courier New" w:eastAsia="Courier New" w:hAnsi="Courier New"/>
          <w:sz w:val="18"/>
          <w:szCs w:val="18"/>
          <w:color w:val="auto"/>
        </w:rPr>
      </w:pPr>
    </w:p>
    <w:p>
      <w:pPr>
        <w:ind w:left="1700" w:right="345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1700" w:right="261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church plan that is excluded from the</w:t>
      </w:r>
    </w:p>
    <w:p>
      <w:pPr>
        <w:spacing w:after="0" w:line="4" w:lineRule="exact"/>
        <w:rPr>
          <w:sz w:val="20"/>
          <w:szCs w:val="20"/>
          <w:color w:val="auto"/>
        </w:rPr>
      </w:pPr>
    </w:p>
    <w:p>
      <w:pPr>
        <w:ind w:left="1700" w:right="2099"/>
        <w:spacing w:after="0" w:line="235" w:lineRule="auto"/>
        <w:rPr>
          <w:sz w:val="20"/>
          <w:szCs w:val="20"/>
          <w:color w:val="auto"/>
        </w:rPr>
      </w:pPr>
      <w:r>
        <w:rPr>
          <w:rFonts w:ascii="Courier New" w:cs="Courier New" w:eastAsia="Courier New" w:hAnsi="Courier New"/>
          <w:sz w:val="18"/>
          <w:szCs w:val="18"/>
          <w:color w:val="auto"/>
        </w:rPr>
        <w:t>definition of an insurance company under Section 3 (c)(14) of the Investment Company Act of 1940 (15 U.S.C. 80a-3);</w:t>
      </w:r>
    </w:p>
    <w:p>
      <w:pPr>
        <w:spacing w:after="0" w:line="203" w:lineRule="exact"/>
        <w:rPr>
          <w:sz w:val="20"/>
          <w:szCs w:val="20"/>
          <w:color w:val="auto"/>
        </w:rPr>
      </w:pPr>
    </w:p>
    <w:p>
      <w:pPr>
        <w:spacing w:after="0"/>
        <w:tabs>
          <w:tab w:leader="none" w:pos="840" w:val="left"/>
          <w:tab w:leader="none" w:pos="1140" w:val="left"/>
          <w:tab w:leader="none" w:pos="1680" w:val="left"/>
        </w:tabs>
        <w:rPr>
          <w:sz w:val="20"/>
          <w:szCs w:val="20"/>
          <w:color w:val="auto"/>
        </w:rPr>
      </w:pPr>
      <w:r>
        <w:rPr>
          <w:rFonts w:ascii="Courier New" w:cs="Courier New" w:eastAsia="Courier New" w:hAnsi="Courier New"/>
          <w:sz w:val="18"/>
          <w:szCs w:val="18"/>
          <w:color w:val="auto"/>
        </w:rPr>
        <w:t>(j)</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Group, in accordance with section 240.13d-1 (b)(1)(ii)(J).</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First Eagle Investment Management, LLC (FEIM), an investment</w:t>
      </w:r>
    </w:p>
    <w:p>
      <w:pPr>
        <w:spacing w:after="0" w:line="238" w:lineRule="auto"/>
        <w:rPr>
          <w:sz w:val="20"/>
          <w:szCs w:val="20"/>
          <w:color w:val="auto"/>
        </w:rPr>
      </w:pPr>
      <w:r>
        <w:rPr>
          <w:rFonts w:ascii="Courier New" w:cs="Courier New" w:eastAsia="Courier New" w:hAnsi="Courier New"/>
          <w:sz w:val="18"/>
          <w:szCs w:val="18"/>
          <w:color w:val="auto"/>
        </w:rPr>
        <w:t>adviser registered under Section 203 of the Investment Advisers Act</w:t>
      </w:r>
    </w:p>
    <w:p>
      <w:pPr>
        <w:spacing w:after="0"/>
        <w:rPr>
          <w:sz w:val="20"/>
          <w:szCs w:val="20"/>
          <w:color w:val="auto"/>
        </w:rPr>
      </w:pPr>
      <w:r>
        <w:rPr>
          <w:rFonts w:ascii="Courier New" w:cs="Courier New" w:eastAsia="Courier New" w:hAnsi="Courier New"/>
          <w:sz w:val="18"/>
          <w:szCs w:val="18"/>
          <w:color w:val="auto"/>
        </w:rPr>
        <w:t>of 1940, may be deemed currently to be the beneficial owner of</w:t>
      </w:r>
    </w:p>
    <w:p>
      <w:pPr>
        <w:spacing w:after="0" w:line="237" w:lineRule="auto"/>
        <w:rPr>
          <w:sz w:val="20"/>
          <w:szCs w:val="20"/>
          <w:color w:val="auto"/>
        </w:rPr>
      </w:pPr>
      <w:r>
        <w:rPr>
          <w:rFonts w:ascii="Courier New" w:cs="Courier New" w:eastAsia="Courier New" w:hAnsi="Courier New"/>
          <w:sz w:val="18"/>
          <w:szCs w:val="18"/>
          <w:color w:val="auto"/>
        </w:rPr>
        <w:t>5,933,817 shares, or 9.55% of the Common Stock believed to be outstanding,</w:t>
      </w:r>
    </w:p>
    <w:p>
      <w:pPr>
        <w:spacing w:after="0" w:line="238" w:lineRule="auto"/>
        <w:rPr>
          <w:sz w:val="20"/>
          <w:szCs w:val="20"/>
          <w:color w:val="auto"/>
        </w:rPr>
      </w:pPr>
      <w:r>
        <w:rPr>
          <w:rFonts w:ascii="Courier New" w:cs="Courier New" w:eastAsia="Courier New" w:hAnsi="Courier New"/>
          <w:sz w:val="18"/>
          <w:szCs w:val="18"/>
          <w:color w:val="auto"/>
        </w:rPr>
        <w:t>as a result of acting as investment adviser to various clients.</w:t>
      </w:r>
    </w:p>
    <w:p>
      <w:pPr>
        <w:spacing w:after="0"/>
        <w:rPr>
          <w:sz w:val="20"/>
          <w:szCs w:val="20"/>
          <w:color w:val="auto"/>
        </w:rPr>
      </w:pPr>
      <w:r>
        <w:rPr>
          <w:rFonts w:ascii="Courier New" w:cs="Courier New" w:eastAsia="Courier New" w:hAnsi="Courier New"/>
          <w:sz w:val="18"/>
          <w:szCs w:val="18"/>
          <w:color w:val="auto"/>
        </w:rPr>
        <w:t>Clients of FEIM have the right to receive and the ultimate power</w:t>
      </w:r>
    </w:p>
    <w:p>
      <w:pPr>
        <w:spacing w:after="0" w:line="4"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to direct the receipt of dividends from, or the proceeds of the sale of, such securities. The First Eagle Global Fund, a registered investment Company for which FEIM acts as investment adviser, may be deemed to beneficially own 4,172,577 of these 5,778,606 shares, or 6.72% of the Company's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 ACQUIRED</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that purpose of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140" w:type="dxa"/>
            <w:vAlign w:val="bottom"/>
          </w:tcPr>
          <w:p>
            <w:pPr>
              <w:ind w:left="260"/>
              <w:spacing w:after="0"/>
              <w:rPr>
                <w:sz w:val="20"/>
                <w:szCs w:val="20"/>
                <w:color w:val="auto"/>
              </w:rPr>
            </w:pPr>
            <w:r>
              <w:rPr>
                <w:rFonts w:ascii="Courier New" w:cs="Courier New" w:eastAsia="Courier New" w:hAnsi="Courier New"/>
                <w:sz w:val="18"/>
                <w:szCs w:val="18"/>
                <w:color w:val="auto"/>
                <w:w w:val="99"/>
              </w:rPr>
              <w:t>February</w:t>
            </w:r>
          </w:p>
        </w:tc>
        <w:tc>
          <w:tcPr>
            <w:tcW w:w="3020" w:type="dxa"/>
            <w:vAlign w:val="bottom"/>
          </w:tcPr>
          <w:p>
            <w:pPr>
              <w:ind w:left="60"/>
              <w:spacing w:after="0"/>
              <w:rPr>
                <w:sz w:val="20"/>
                <w:szCs w:val="20"/>
                <w:color w:val="auto"/>
              </w:rPr>
            </w:pPr>
            <w:r>
              <w:rPr>
                <w:rFonts w:ascii="Courier New" w:cs="Courier New" w:eastAsia="Courier New" w:hAnsi="Courier New"/>
                <w:sz w:val="18"/>
                <w:szCs w:val="18"/>
                <w:color w:val="auto"/>
              </w:rPr>
              <w:t>14, 2014</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1140" w:type="dxa"/>
            <w:vAlign w:val="bottom"/>
          </w:tcPr>
          <w:p>
            <w:pPr>
              <w:ind w:left="260"/>
              <w:spacing w:after="0"/>
              <w:rPr>
                <w:sz w:val="20"/>
                <w:szCs w:val="20"/>
                <w:color w:val="auto"/>
              </w:rPr>
            </w:pPr>
            <w:r>
              <w:rPr>
                <w:rFonts w:ascii="Courier New" w:cs="Courier New" w:eastAsia="Courier New" w:hAnsi="Courier New"/>
                <w:sz w:val="18"/>
                <w:szCs w:val="18"/>
                <w:color w:val="auto"/>
                <w:w w:val="99"/>
              </w:rPr>
              <w:t>/s/ Mark</w:t>
            </w:r>
          </w:p>
        </w:tc>
        <w:tc>
          <w:tcPr>
            <w:tcW w:w="3020" w:type="dxa"/>
            <w:vAlign w:val="bottom"/>
          </w:tcPr>
          <w:p>
            <w:pPr>
              <w:ind w:left="60"/>
              <w:spacing w:after="0"/>
              <w:rPr>
                <w:sz w:val="20"/>
                <w:szCs w:val="20"/>
                <w:color w:val="auto"/>
              </w:rPr>
            </w:pPr>
            <w:r>
              <w:rPr>
                <w:rFonts w:ascii="Courier New" w:cs="Courier New" w:eastAsia="Courier New" w:hAnsi="Courier New"/>
                <w:sz w:val="18"/>
                <w:szCs w:val="18"/>
                <w:color w:val="auto"/>
              </w:rPr>
              <w:t>Goldstein</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Name/Title:</w:t>
            </w:r>
          </w:p>
        </w:tc>
        <w:tc>
          <w:tcPr>
            <w:tcW w:w="416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Mark Goldstein, Senior Vice President</w:t>
            </w:r>
          </w:p>
        </w:tc>
      </w:tr>
    </w:tbl>
    <w:p>
      <w:pPr>
        <w:spacing w:after="0" w:line="1" w:lineRule="exact"/>
        <w:rPr>
          <w:sz w:val="20"/>
          <w:szCs w:val="20"/>
          <w:color w:val="auto"/>
        </w:rPr>
      </w:pP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2019-12-06T00:57:40Z</dcterms:created>
  <dcterms:modified xsi:type="dcterms:W3CDTF">2019-12-06T00:57:40Z</dcterms:modified>
</cp:coreProperties>
</file>