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filed with the Securities and Exchange Commission on October 9, 2008</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Registration No. 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-19050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24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r>
      <w:tr>
        <w:trPr>
          <w:trHeight w:val="411"/>
        </w:trPr>
        <w:tc>
          <w:tcPr>
            <w:tcW w:w="1520" w:type="dxa"/>
            <w:vAlign w:val="bottom"/>
          </w:tcPr>
          <w:p>
            <w:pPr>
              <w:spacing w:after="0"/>
              <w:rPr>
                <w:sz w:val="24"/>
                <w:szCs w:val="24"/>
                <w:color w:val="auto"/>
              </w:rPr>
            </w:pPr>
          </w:p>
        </w:tc>
        <w:tc>
          <w:tcPr>
            <w:tcW w:w="6140" w:type="dxa"/>
            <w:vAlign w:val="bottom"/>
            <w:gridSpan w:val="6"/>
          </w:tcPr>
          <w:p>
            <w:pPr>
              <w:jc w:val="center"/>
              <w:ind w:right="3740"/>
              <w:spacing w:after="0"/>
              <w:rPr>
                <w:sz w:val="20"/>
                <w:szCs w:val="20"/>
                <w:color w:val="auto"/>
              </w:rPr>
            </w:pPr>
            <w:r>
              <w:rPr>
                <w:rFonts w:ascii="Arial" w:cs="Arial" w:eastAsia="Arial" w:hAnsi="Arial"/>
                <w:sz w:val="18"/>
                <w:szCs w:val="18"/>
                <w:color w:val="auto"/>
                <w:w w:val="94"/>
              </w:rPr>
              <w:t>Ohio</w:t>
            </w:r>
          </w:p>
        </w:tc>
        <w:tc>
          <w:tcPr>
            <w:tcW w:w="2240" w:type="dxa"/>
            <w:vAlign w:val="bottom"/>
          </w:tcPr>
          <w:p>
            <w:pPr>
              <w:jc w:val="right"/>
              <w:ind w:right="670"/>
              <w:spacing w:after="0"/>
              <w:rPr>
                <w:sz w:val="20"/>
                <w:szCs w:val="20"/>
                <w:color w:val="auto"/>
              </w:rPr>
            </w:pPr>
            <w:r>
              <w:rPr>
                <w:rFonts w:ascii="Arial" w:cs="Arial" w:eastAsia="Arial" w:hAnsi="Arial"/>
                <w:sz w:val="18"/>
                <w:szCs w:val="18"/>
                <w:color w:val="auto"/>
              </w:rPr>
              <w:t>31-1414921</w:t>
            </w:r>
          </w:p>
        </w:tc>
        <w:tc>
          <w:tcPr>
            <w:tcW w:w="1520" w:type="dxa"/>
            <w:vAlign w:val="bottom"/>
          </w:tcPr>
          <w:p>
            <w:pPr>
              <w:spacing w:after="0"/>
              <w:rPr>
                <w:sz w:val="24"/>
                <w:szCs w:val="24"/>
                <w:color w:val="auto"/>
              </w:rPr>
            </w:pPr>
          </w:p>
        </w:tc>
      </w:tr>
      <w:tr>
        <w:trPr>
          <w:trHeight w:val="209"/>
        </w:trPr>
        <w:tc>
          <w:tcPr>
            <w:tcW w:w="15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gridSpan w:val="3"/>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gridSpan w:val="2"/>
          </w:tcPr>
          <w:p>
            <w:pPr>
              <w:jc w:val="center"/>
              <w:ind w:right="1660"/>
              <w:spacing w:after="0"/>
              <w:rPr>
                <w:sz w:val="20"/>
                <w:szCs w:val="20"/>
                <w:color w:val="auto"/>
              </w:rPr>
            </w:pPr>
            <w:r>
              <w:rPr>
                <w:rFonts w:ascii="Arial" w:cs="Arial" w:eastAsia="Arial" w:hAnsi="Arial"/>
                <w:sz w:val="18"/>
                <w:szCs w:val="18"/>
                <w:color w:val="auto"/>
                <w:w w:val="92"/>
              </w:rPr>
              <w:t>(I.R.S. Employer</w:t>
            </w:r>
          </w:p>
        </w:tc>
      </w:tr>
      <w:tr>
        <w:trPr>
          <w:trHeight w:val="230"/>
        </w:trPr>
        <w:tc>
          <w:tcPr>
            <w:tcW w:w="1520" w:type="dxa"/>
            <w:vAlign w:val="bottom"/>
          </w:tcPr>
          <w:p>
            <w:pPr>
              <w:spacing w:after="0"/>
              <w:rPr>
                <w:sz w:val="20"/>
                <w:szCs w:val="20"/>
                <w:color w:val="auto"/>
              </w:rPr>
            </w:pPr>
          </w:p>
        </w:tc>
        <w:tc>
          <w:tcPr>
            <w:tcW w:w="6140" w:type="dxa"/>
            <w:vAlign w:val="bottom"/>
            <w:gridSpan w:val="6"/>
          </w:tcPr>
          <w:p>
            <w:pPr>
              <w:jc w:val="center"/>
              <w:ind w:right="3740"/>
              <w:spacing w:after="0"/>
              <w:rPr>
                <w:sz w:val="20"/>
                <w:szCs w:val="20"/>
                <w:color w:val="auto"/>
              </w:rPr>
            </w:pPr>
            <w:r>
              <w:rPr>
                <w:rFonts w:ascii="Arial" w:cs="Arial" w:eastAsia="Arial" w:hAnsi="Arial"/>
                <w:sz w:val="18"/>
                <w:szCs w:val="18"/>
                <w:color w:val="auto"/>
                <w:w w:val="92"/>
              </w:rPr>
              <w:t>incorporation or organization)</w:t>
            </w:r>
          </w:p>
        </w:tc>
        <w:tc>
          <w:tcPr>
            <w:tcW w:w="3760" w:type="dxa"/>
            <w:vAlign w:val="bottom"/>
            <w:gridSpan w:val="2"/>
          </w:tcPr>
          <w:p>
            <w:pPr>
              <w:jc w:val="center"/>
              <w:ind w:right="166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660" w:type="dxa"/>
            <w:vAlign w:val="bottom"/>
            <w:tcBorders>
              <w:bottom w:val="single" w:sz="8" w:color="auto"/>
            </w:tcBorders>
            <w:gridSpan w:val="7"/>
          </w:tcPr>
          <w:p>
            <w:pPr>
              <w:jc w:val="center"/>
              <w:ind w:right="2240"/>
              <w:spacing w:after="0"/>
              <w:rPr>
                <w:sz w:val="20"/>
                <w:szCs w:val="20"/>
                <w:color w:val="auto"/>
              </w:rPr>
            </w:pPr>
            <w:r>
              <w:rPr>
                <w:rFonts w:ascii="Arial" w:cs="Arial" w:eastAsia="Arial" w:hAnsi="Arial"/>
                <w:sz w:val="18"/>
                <w:szCs w:val="18"/>
                <w:color w:val="auto"/>
                <w:w w:val="92"/>
              </w:rPr>
              <w:t>14111 Scottslawn Road, Marysville, Ohio</w:t>
            </w:r>
          </w:p>
        </w:tc>
        <w:tc>
          <w:tcPr>
            <w:tcW w:w="22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43041</w:t>
            </w:r>
          </w:p>
        </w:tc>
        <w:tc>
          <w:tcPr>
            <w:tcW w:w="1520" w:type="dxa"/>
            <w:vAlign w:val="bottom"/>
            <w:tcBorders>
              <w:bottom w:val="single" w:sz="8" w:color="auto"/>
            </w:tcBorders>
          </w:tcPr>
          <w:p>
            <w:pPr>
              <w:spacing w:after="0"/>
              <w:rPr>
                <w:sz w:val="24"/>
                <w:szCs w:val="24"/>
                <w:color w:val="auto"/>
              </w:rPr>
            </w:pPr>
          </w:p>
        </w:tc>
      </w:tr>
      <w:tr>
        <w:trPr>
          <w:trHeight w:val="224"/>
        </w:trPr>
        <w:tc>
          <w:tcPr>
            <w:tcW w:w="7660" w:type="dxa"/>
            <w:vAlign w:val="bottom"/>
            <w:gridSpan w:val="7"/>
          </w:tcPr>
          <w:p>
            <w:pPr>
              <w:jc w:val="center"/>
              <w:ind w:right="224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gridSpan w:val="2"/>
          </w:tcPr>
          <w:p>
            <w:pPr>
              <w:jc w:val="center"/>
              <w:ind w:right="1680"/>
              <w:spacing w:after="0"/>
              <w:rPr>
                <w:sz w:val="20"/>
                <w:szCs w:val="20"/>
                <w:color w:val="auto"/>
              </w:rPr>
            </w:pPr>
            <w:r>
              <w:rPr>
                <w:rFonts w:ascii="Arial" w:cs="Arial" w:eastAsia="Arial" w:hAnsi="Arial"/>
                <w:sz w:val="18"/>
                <w:szCs w:val="18"/>
                <w:color w:val="auto"/>
                <w:w w:val="94"/>
              </w:rPr>
              <w:t>(Zip Code)</w:t>
            </w:r>
          </w:p>
        </w:tc>
      </w:tr>
      <w:tr>
        <w:trPr>
          <w:trHeight w:val="418"/>
        </w:trPr>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1"/>
              </w:rPr>
              <w:t>The Scotts Company LLC Executive Retirement Plan</w:t>
            </w:r>
          </w:p>
        </w:tc>
        <w:tc>
          <w:tcPr>
            <w:tcW w:w="2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4"/>
        </w:trPr>
        <w:tc>
          <w:tcPr>
            <w:tcW w:w="1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gridSpan w:val="4"/>
          </w:tcPr>
          <w:p>
            <w:pPr>
              <w:jc w:val="center"/>
              <w:ind w:right="520"/>
              <w:spacing w:after="0"/>
              <w:rPr>
                <w:sz w:val="20"/>
                <w:szCs w:val="20"/>
                <w:color w:val="auto"/>
              </w:rPr>
            </w:pPr>
            <w:r>
              <w:rPr>
                <w:rFonts w:ascii="Arial" w:cs="Arial" w:eastAsia="Arial" w:hAnsi="Arial"/>
                <w:sz w:val="18"/>
                <w:szCs w:val="18"/>
                <w:color w:val="auto"/>
                <w:w w:val="94"/>
              </w:rPr>
              <w:t>(Full title of the plan)</w:t>
            </w:r>
          </w:p>
        </w:tc>
        <w:tc>
          <w:tcPr>
            <w:tcW w:w="2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04"/>
        </w:trPr>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gridSpan w:val="4"/>
          </w:tcPr>
          <w:p>
            <w:pPr>
              <w:jc w:val="center"/>
              <w:ind w:right="520"/>
              <w:spacing w:after="0"/>
              <w:rPr>
                <w:sz w:val="20"/>
                <w:szCs w:val="20"/>
                <w:color w:val="auto"/>
              </w:rPr>
            </w:pPr>
            <w:r>
              <w:rPr>
                <w:rFonts w:ascii="Arial" w:cs="Arial" w:eastAsia="Arial" w:hAnsi="Arial"/>
                <w:sz w:val="18"/>
                <w:szCs w:val="18"/>
                <w:color w:val="auto"/>
                <w:w w:val="91"/>
              </w:rPr>
              <w:t>David C. Evans</w:t>
            </w:r>
          </w:p>
        </w:tc>
        <w:tc>
          <w:tcPr>
            <w:tcW w:w="2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gridSpan w:val="4"/>
          </w:tcPr>
          <w:p>
            <w:pPr>
              <w:jc w:val="center"/>
              <w:ind w:right="520"/>
              <w:spacing w:after="0"/>
              <w:rPr>
                <w:sz w:val="20"/>
                <w:szCs w:val="20"/>
                <w:color w:val="auto"/>
              </w:rPr>
            </w:pPr>
            <w:r>
              <w:rPr>
                <w:rFonts w:ascii="Arial" w:cs="Arial" w:eastAsia="Arial" w:hAnsi="Arial"/>
                <w:sz w:val="18"/>
                <w:szCs w:val="18"/>
                <w:color w:val="auto"/>
                <w:w w:val="91"/>
              </w:rPr>
              <w:t>Executive Vice President</w:t>
            </w: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gridSpan w:val="4"/>
          </w:tcPr>
          <w:p>
            <w:pPr>
              <w:jc w:val="center"/>
              <w:ind w:right="520"/>
              <w:spacing w:after="0"/>
              <w:rPr>
                <w:sz w:val="20"/>
                <w:szCs w:val="20"/>
                <w:color w:val="auto"/>
              </w:rPr>
            </w:pPr>
            <w:r>
              <w:rPr>
                <w:rFonts w:ascii="Arial" w:cs="Arial" w:eastAsia="Arial" w:hAnsi="Arial"/>
                <w:sz w:val="18"/>
                <w:szCs w:val="18"/>
                <w:color w:val="auto"/>
                <w:w w:val="93"/>
              </w:rPr>
              <w:t>and Chief Financial Officer</w:t>
            </w: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gridSpan w:val="4"/>
          </w:tcPr>
          <w:p>
            <w:pPr>
              <w:jc w:val="center"/>
              <w:ind w:right="520"/>
              <w:spacing w:after="0"/>
              <w:rPr>
                <w:sz w:val="20"/>
                <w:szCs w:val="20"/>
                <w:color w:val="auto"/>
              </w:rPr>
            </w:pPr>
            <w:r>
              <w:rPr>
                <w:rFonts w:ascii="Arial" w:cs="Arial" w:eastAsia="Arial" w:hAnsi="Arial"/>
                <w:sz w:val="18"/>
                <w:szCs w:val="18"/>
                <w:color w:val="auto"/>
                <w:w w:val="92"/>
              </w:rPr>
              <w:t>The Scotts Miracle-Gro Company</w:t>
            </w: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80" w:type="dxa"/>
            <w:vAlign w:val="bottom"/>
            <w:gridSpan w:val="4"/>
          </w:tcPr>
          <w:p>
            <w:pPr>
              <w:jc w:val="center"/>
              <w:ind w:right="520"/>
              <w:spacing w:after="0"/>
              <w:rPr>
                <w:sz w:val="20"/>
                <w:szCs w:val="20"/>
                <w:color w:val="auto"/>
              </w:rPr>
            </w:pPr>
            <w:r>
              <w:rPr>
                <w:rFonts w:ascii="Arial" w:cs="Arial" w:eastAsia="Arial" w:hAnsi="Arial"/>
                <w:sz w:val="18"/>
                <w:szCs w:val="18"/>
                <w:color w:val="auto"/>
                <w:w w:val="89"/>
              </w:rPr>
              <w:t>14111 Scottslawn Road</w:t>
            </w: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80" w:type="dxa"/>
            <w:vAlign w:val="bottom"/>
            <w:gridSpan w:val="4"/>
          </w:tcPr>
          <w:p>
            <w:pPr>
              <w:jc w:val="center"/>
              <w:ind w:right="500"/>
              <w:spacing w:after="0"/>
              <w:rPr>
                <w:sz w:val="20"/>
                <w:szCs w:val="20"/>
                <w:color w:val="auto"/>
              </w:rPr>
            </w:pPr>
            <w:r>
              <w:rPr>
                <w:rFonts w:ascii="Arial" w:cs="Arial" w:eastAsia="Arial" w:hAnsi="Arial"/>
                <w:sz w:val="18"/>
                <w:szCs w:val="18"/>
                <w:color w:val="auto"/>
                <w:w w:val="93"/>
              </w:rPr>
              <w:t>Marysville, Ohio 43041</w:t>
            </w:r>
          </w:p>
        </w:tc>
        <w:tc>
          <w:tcPr>
            <w:tcW w:w="2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4"/>
        </w:trPr>
        <w:tc>
          <w:tcPr>
            <w:tcW w:w="1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and address of agent for service)</w:t>
            </w:r>
          </w:p>
        </w:tc>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151765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-130810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420" w:type="dxa"/>
            <w:vAlign w:val="bottom"/>
          </w:tcPr>
          <w:p>
            <w:pPr>
              <w:ind w:left="1060"/>
              <w:spacing w:after="0"/>
              <w:rPr>
                <w:sz w:val="20"/>
                <w:szCs w:val="20"/>
                <w:color w:val="auto"/>
              </w:rPr>
            </w:pPr>
            <w:r>
              <w:rPr>
                <w:rFonts w:ascii="Arial" w:cs="Arial" w:eastAsia="Arial" w:hAnsi="Arial"/>
                <w:sz w:val="18"/>
                <w:szCs w:val="18"/>
                <w:color w:val="auto"/>
                <w:w w:val="92"/>
              </w:rPr>
              <w:t>Accelerated filer o</w:t>
            </w:r>
          </w:p>
        </w:tc>
        <w:tc>
          <w:tcPr>
            <w:tcW w:w="1300" w:type="dxa"/>
            <w:vAlign w:val="bottom"/>
          </w:tcPr>
          <w:p>
            <w:pPr>
              <w:spacing w:after="0"/>
              <w:rPr>
                <w:sz w:val="21"/>
                <w:szCs w:val="21"/>
                <w:color w:val="auto"/>
              </w:rPr>
            </w:pPr>
          </w:p>
        </w:tc>
        <w:tc>
          <w:tcPr>
            <w:tcW w:w="2960" w:type="dxa"/>
            <w:vAlign w:val="bottom"/>
            <w:gridSpan w:val="2"/>
          </w:tcPr>
          <w:p>
            <w:pPr>
              <w:jc w:val="center"/>
              <w:ind w:right="541"/>
              <w:spacing w:after="0"/>
              <w:rPr>
                <w:sz w:val="20"/>
                <w:szCs w:val="20"/>
                <w:color w:val="auto"/>
              </w:rPr>
            </w:pPr>
            <w:r>
              <w:rPr>
                <w:rFonts w:ascii="Arial" w:cs="Arial" w:eastAsia="Arial" w:hAnsi="Arial"/>
                <w:sz w:val="18"/>
                <w:szCs w:val="18"/>
                <w:color w:val="auto"/>
                <w:w w:val="91"/>
              </w:rPr>
              <w:t>Non-accelerated filer o</w:t>
            </w:r>
          </w:p>
        </w:tc>
        <w:tc>
          <w:tcPr>
            <w:tcW w:w="2660" w:type="dxa"/>
            <w:vAlign w:val="bottom"/>
            <w:gridSpan w:val="2"/>
          </w:tcPr>
          <w:p>
            <w:pPr>
              <w:ind w:left="380"/>
              <w:spacing w:after="0"/>
              <w:rPr>
                <w:sz w:val="20"/>
                <w:szCs w:val="20"/>
                <w:color w:val="auto"/>
              </w:rPr>
            </w:pPr>
            <w:r>
              <w:rPr>
                <w:rFonts w:ascii="Arial" w:cs="Arial" w:eastAsia="Arial" w:hAnsi="Arial"/>
                <w:sz w:val="18"/>
                <w:szCs w:val="18"/>
                <w:color w:val="auto"/>
                <w:w w:val="98"/>
              </w:rPr>
              <w:t>Smaller reporting company o</w:t>
            </w:r>
          </w:p>
        </w:tc>
      </w:tr>
      <w:tr>
        <w:trPr>
          <w:trHeight w:val="230"/>
        </w:trPr>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6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(Do not check if a smaller reporting company)</w:t>
            </w: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b w:val="1"/>
                <w:bCs w:val="1"/>
                <w:color w:val="auto"/>
              </w:rPr>
              <w:t>Calculation of Registration Fee</w:t>
            </w: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20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0"/>
        </w:trPr>
        <w:tc>
          <w:tcPr>
            <w:tcW w:w="2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15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 maximum</w:t>
            </w:r>
          </w:p>
        </w:tc>
        <w:tc>
          <w:tcPr>
            <w:tcW w:w="1080" w:type="dxa"/>
            <w:vAlign w:val="bottom"/>
          </w:tcPr>
          <w:p>
            <w:pPr>
              <w:spacing w:after="0"/>
              <w:rPr>
                <w:sz w:val="9"/>
                <w:szCs w:val="9"/>
                <w:color w:val="auto"/>
              </w:rPr>
            </w:pPr>
          </w:p>
        </w:tc>
      </w:tr>
      <w:tr>
        <w:trPr>
          <w:trHeight w:val="149"/>
        </w:trPr>
        <w:tc>
          <w:tcPr>
            <w:tcW w:w="2080" w:type="dxa"/>
            <w:vAlign w:val="bottom"/>
          </w:tcPr>
          <w:p>
            <w:pPr>
              <w:spacing w:after="0"/>
              <w:rPr>
                <w:sz w:val="12"/>
                <w:szCs w:val="12"/>
                <w:color w:val="auto"/>
              </w:rPr>
            </w:pPr>
          </w:p>
        </w:tc>
        <w:tc>
          <w:tcPr>
            <w:tcW w:w="2420" w:type="dxa"/>
            <w:vAlign w:val="bottom"/>
          </w:tcPr>
          <w:p>
            <w:pPr>
              <w:jc w:val="center"/>
              <w:ind w:right="722"/>
              <w:spacing w:after="0" w:line="149" w:lineRule="exact"/>
              <w:rPr>
                <w:sz w:val="20"/>
                <w:szCs w:val="20"/>
                <w:color w:val="auto"/>
              </w:rPr>
            </w:pPr>
            <w:r>
              <w:rPr>
                <w:rFonts w:ascii="Arial" w:cs="Arial" w:eastAsia="Arial" w:hAnsi="Arial"/>
                <w:sz w:val="14"/>
                <w:szCs w:val="14"/>
                <w:color w:val="auto"/>
                <w:w w:val="94"/>
              </w:rPr>
              <w:t>Title of securities to</w:t>
            </w:r>
          </w:p>
        </w:tc>
        <w:tc>
          <w:tcPr>
            <w:tcW w:w="13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Amount to be</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offering price per</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aggregate offering</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r>
      <w:tr>
        <w:trPr>
          <w:trHeight w:val="167"/>
        </w:trPr>
        <w:tc>
          <w:tcPr>
            <w:tcW w:w="20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center"/>
              <w:ind w:right="722"/>
              <w:spacing w:after="0"/>
              <w:rPr>
                <w:sz w:val="20"/>
                <w:szCs w:val="20"/>
                <w:color w:val="auto"/>
              </w:rPr>
            </w:pPr>
            <w:r>
              <w:rPr>
                <w:rFonts w:ascii="Arial" w:cs="Arial" w:eastAsia="Arial" w:hAnsi="Arial"/>
                <w:sz w:val="14"/>
                <w:szCs w:val="14"/>
                <w:color w:val="auto"/>
                <w:w w:val="90"/>
              </w:rPr>
              <w:t>be registered</w:t>
            </w:r>
          </w:p>
        </w:tc>
        <w:tc>
          <w:tcPr>
            <w:tcW w:w="13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registered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price (2)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registration fee</w:t>
            </w:r>
          </w:p>
        </w:tc>
      </w:tr>
      <w:tr>
        <w:trPr>
          <w:trHeight w:val="210"/>
        </w:trPr>
        <w:tc>
          <w:tcPr>
            <w:tcW w:w="4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Deferred Compensation Obligations (1)</w:t>
            </w:r>
          </w:p>
        </w:tc>
        <w:tc>
          <w:tcPr>
            <w:tcW w:w="13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276"/>
              <w:spacing w:after="0"/>
              <w:rPr>
                <w:sz w:val="20"/>
                <w:szCs w:val="20"/>
                <w:color w:val="auto"/>
              </w:rPr>
            </w:pPr>
            <w:r>
              <w:rPr>
                <w:rFonts w:ascii="Arial" w:cs="Arial" w:eastAsia="Arial" w:hAnsi="Arial"/>
                <w:sz w:val="18"/>
                <w:szCs w:val="18"/>
                <w:color w:val="auto"/>
              </w:rPr>
              <w:t>$12,000,000</w:t>
            </w:r>
          </w:p>
        </w:tc>
        <w:tc>
          <w:tcPr>
            <w:tcW w:w="138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$12,000,000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$471.60</w:t>
            </w:r>
          </w:p>
        </w:tc>
      </w:tr>
      <w:tr>
        <w:trPr>
          <w:trHeight w:val="210"/>
        </w:trPr>
        <w:tc>
          <w:tcPr>
            <w:tcW w:w="4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Common Shares, without par value (1)</w:t>
            </w:r>
          </w:p>
        </w:tc>
        <w:tc>
          <w:tcPr>
            <w:tcW w:w="13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416"/>
              <w:spacing w:after="0"/>
              <w:rPr>
                <w:sz w:val="20"/>
                <w:szCs w:val="20"/>
                <w:color w:val="auto"/>
              </w:rPr>
            </w:pPr>
            <w:r>
              <w:rPr>
                <w:rFonts w:ascii="Arial" w:cs="Arial" w:eastAsia="Arial" w:hAnsi="Arial"/>
                <w:sz w:val="18"/>
                <w:szCs w:val="18"/>
                <w:color w:val="auto"/>
              </w:rPr>
              <w:t>548,446</w:t>
            </w:r>
          </w:p>
        </w:tc>
        <w:tc>
          <w:tcPr>
            <w:tcW w:w="138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18"/>
                <w:szCs w:val="18"/>
                <w:color w:val="auto"/>
              </w:rPr>
              <w:t>$21.88 (3)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$12,000,000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10"/>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Registration Fee</w:t>
            </w:r>
          </w:p>
        </w:tc>
        <w:tc>
          <w:tcPr>
            <w:tcW w:w="2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$471.60</w:t>
            </w: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460" w:right="120" w:hanging="452"/>
        <w:spacing w:after="0" w:line="29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Deferred Compensation Obligations being registered are general unsecured obligations of The Scotts Company LLC (“Scotts LLC”), a wholly-owned subsidiary of The Scotts Miracle-Gro Company (the “Registrant” or “SMG”), and of affiliates of Scotts LLC including the Registrant (collectively, the “Company”) under The Scotts Company LLC Executive Retirement Plan (the “Plan”). Participants in the Plan may direct that Deferred Compensation Obligations be treated as credited to one or more benchmarked investment funds, including an SMG stock fund (reflecting common shares of the Registrant). Distributions in respect of Deferred Compensation Obligations which are treated as credited to the SMG stock fund are made in common shares of the Registrant. Accordingly, reference is made in the above table to the maximum number of common shares of the Registrant that may be distributed in respect of such Deferred Compensation Obligations if they are all treated as credited to the SMG stock fund.</w:t>
      </w:r>
    </w:p>
    <w:p>
      <w:pPr>
        <w:spacing w:after="0" w:line="17"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457(h) under the Securities Act of 1933, as amended, solely for the purpose of calculating the registration fee.</w:t>
      </w:r>
    </w:p>
    <w:p>
      <w:pPr>
        <w:spacing w:after="0" w:line="76" w:lineRule="exact"/>
        <w:rPr>
          <w:rFonts w:ascii="Arial" w:cs="Arial" w:eastAsia="Arial" w:hAnsi="Arial"/>
          <w:sz w:val="18"/>
          <w:szCs w:val="18"/>
          <w:color w:val="auto"/>
        </w:rPr>
      </w:pPr>
    </w:p>
    <w:p>
      <w:pPr>
        <w:ind w:left="460" w:right="24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Rule 457(c) under the Securities Act of 1933, as amended, solely for the purpose of calculating the registration fee based upon the average of the high and low prices of the Registrant’s common shares as reported on the New York Stock Exchange on October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16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INDEX TO EXHIBITS</w:t>
        </w:r>
      </w:hyperlink>
    </w:p>
    <w:p>
      <w:pPr>
        <w:spacing w:after="0" w:line="230" w:lineRule="auto"/>
        <w:rPr>
          <w:sz w:val="20"/>
          <w:szCs w:val="20"/>
          <w:color w:val="auto"/>
        </w:rPr>
      </w:pPr>
      <w:r>
        <w:rPr>
          <w:rFonts w:ascii="Arial" w:cs="Arial" w:eastAsia="Arial" w:hAnsi="Arial"/>
          <w:sz w:val="22"/>
          <w:szCs w:val="22"/>
          <w:u w:val="single" w:color="auto"/>
          <w:color w:val="0000EE"/>
        </w:rPr>
        <w:t>EX-4.4</w:t>
      </w:r>
    </w:p>
    <w:p>
      <w:pPr>
        <w:spacing w:after="0" w:line="231" w:lineRule="auto"/>
        <w:rPr>
          <w:sz w:val="20"/>
          <w:szCs w:val="20"/>
          <w:color w:val="auto"/>
        </w:rPr>
      </w:pPr>
      <w:r>
        <w:rPr>
          <w:rFonts w:ascii="Arial" w:cs="Arial" w:eastAsia="Arial" w:hAnsi="Arial"/>
          <w:sz w:val="22"/>
          <w:szCs w:val="22"/>
          <w:u w:val="single" w:color="auto"/>
          <w:color w:val="0000EE"/>
        </w:rPr>
        <w:t>EX-4.5</w:t>
      </w:r>
    </w:p>
    <w:p>
      <w:pPr>
        <w:spacing w:after="0" w:line="230" w:lineRule="auto"/>
        <w:rPr>
          <w:sz w:val="20"/>
          <w:szCs w:val="20"/>
          <w:color w:val="auto"/>
        </w:rPr>
      </w:pPr>
      <w:r>
        <w:rPr>
          <w:rFonts w:ascii="Arial" w:cs="Arial" w:eastAsia="Arial" w:hAnsi="Arial"/>
          <w:sz w:val="22"/>
          <w:szCs w:val="22"/>
          <w:u w:val="single" w:color="auto"/>
          <w:color w:val="0000EE"/>
        </w:rPr>
        <w:t>EX-4.6</w:t>
      </w:r>
    </w:p>
    <w:p>
      <w:pPr>
        <w:spacing w:after="0" w:line="231" w:lineRule="auto"/>
        <w:rPr>
          <w:sz w:val="20"/>
          <w:szCs w:val="20"/>
          <w:color w:val="auto"/>
        </w:rPr>
      </w:pPr>
      <w:r>
        <w:rPr>
          <w:rFonts w:ascii="Arial" w:cs="Arial" w:eastAsia="Arial" w:hAnsi="Arial"/>
          <w:sz w:val="22"/>
          <w:szCs w:val="22"/>
          <w:u w:val="single" w:color="auto"/>
          <w:color w:val="0000EE"/>
        </w:rPr>
        <w:t>EX-4.7</w:t>
      </w:r>
    </w:p>
    <w:p>
      <w:pPr>
        <w:spacing w:after="0" w:line="231" w:lineRule="auto"/>
        <w:rPr>
          <w:sz w:val="20"/>
          <w:szCs w:val="20"/>
          <w:color w:val="auto"/>
        </w:rPr>
      </w:pPr>
      <w:r>
        <w:rPr>
          <w:rFonts w:ascii="Arial" w:cs="Arial" w:eastAsia="Arial" w:hAnsi="Arial"/>
          <w:sz w:val="22"/>
          <w:szCs w:val="22"/>
          <w:u w:val="single" w:color="auto"/>
          <w:color w:val="0000EE"/>
        </w:rPr>
        <w:t>EX-4.8</w:t>
      </w:r>
    </w:p>
    <w:p>
      <w:pPr>
        <w:spacing w:after="0" w:line="230" w:lineRule="auto"/>
        <w:rPr>
          <w:sz w:val="20"/>
          <w:szCs w:val="20"/>
          <w:color w:val="auto"/>
        </w:rPr>
      </w:pPr>
      <w:r>
        <w:rPr>
          <w:rFonts w:ascii="Arial" w:cs="Arial" w:eastAsia="Arial" w:hAnsi="Arial"/>
          <w:sz w:val="22"/>
          <w:szCs w:val="22"/>
          <w:u w:val="single" w:color="auto"/>
          <w:color w:val="0000EE"/>
        </w:rPr>
        <w:t>EX-4.9</w:t>
      </w:r>
    </w:p>
    <w:p>
      <w:pPr>
        <w:spacing w:after="0" w:line="231" w:lineRule="auto"/>
        <w:rPr>
          <w:sz w:val="20"/>
          <w:szCs w:val="20"/>
          <w:color w:val="auto"/>
        </w:rPr>
      </w:pPr>
      <w:r>
        <w:rPr>
          <w:rFonts w:ascii="Arial" w:cs="Arial" w:eastAsia="Arial" w:hAnsi="Arial"/>
          <w:sz w:val="22"/>
          <w:szCs w:val="22"/>
          <w:u w:val="single" w:color="auto"/>
          <w:color w:val="0000EE"/>
        </w:rPr>
        <w:t>EX-4.10</w:t>
      </w:r>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230" w:lineRule="auto"/>
        <w:rPr>
          <w:sz w:val="20"/>
          <w:szCs w:val="20"/>
          <w:color w:val="auto"/>
        </w:rPr>
      </w:pPr>
      <w:r>
        <w:rPr>
          <w:rFonts w:ascii="Arial" w:cs="Arial" w:eastAsia="Arial" w:hAnsi="Arial"/>
          <w:sz w:val="22"/>
          <w:szCs w:val="22"/>
          <w:u w:val="single" w:color="auto"/>
          <w:color w:val="0000EE"/>
        </w:rPr>
        <w:t>EX-23.2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INFORMATION REQUIRED IN THE SECTION 10(a) PROSPECTUS</w:t>
      </w:r>
    </w:p>
    <w:p>
      <w:pPr>
        <w:spacing w:after="0" w:line="117" w:lineRule="exact"/>
        <w:rPr>
          <w:sz w:val="20"/>
          <w:szCs w:val="20"/>
          <w:color w:val="auto"/>
        </w:rPr>
      </w:pPr>
    </w:p>
    <w:p>
      <w:pPr>
        <w:ind w:right="240" w:firstLine="222"/>
        <w:spacing w:after="0" w:line="273" w:lineRule="auto"/>
        <w:rPr>
          <w:sz w:val="20"/>
          <w:szCs w:val="20"/>
          <w:color w:val="auto"/>
        </w:rPr>
      </w:pPr>
      <w:r>
        <w:rPr>
          <w:rFonts w:ascii="Arial" w:cs="Arial" w:eastAsia="Arial" w:hAnsi="Arial"/>
          <w:sz w:val="17"/>
          <w:szCs w:val="17"/>
          <w:color w:val="auto"/>
        </w:rPr>
        <w:t>The documents containing the information specified in Part I of Form S-8 will be sent or given to participants in The Scotts Company LLC Executive Retirement Plan as specified by Rule 428(b)(1) under the Securities Act of 1933, as amended (the “Securities Act”). In accordance with the instructions to Part I of Form S-8, such documents will not be filed with the Securities and Exchange Commission (the “Commission”) either as part of this Registration Statement on Form S-8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17"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Commission allows the Registrant to “incorporate by reference” in this Registration Statement the information in the documents that the Registrant files with the Commission, which means that important information can be disclosed to you by referring you to those documents. The information incorporated by reference is considered to be a part of this Registration Statement. The following documents, filed by the Registrant with the Commission pursuant to the Securities Exchange Act of 1934, as amended (the “Exchange Act”), shall be deemed to be incorporated by reference into this Registration Statement and to be a part hereof:</w:t>
      </w:r>
    </w:p>
    <w:p>
      <w:pPr>
        <w:spacing w:after="0" w:line="80" w:lineRule="exact"/>
        <w:rPr>
          <w:sz w:val="20"/>
          <w:szCs w:val="20"/>
          <w:color w:val="auto"/>
        </w:rPr>
      </w:pPr>
    </w:p>
    <w:p>
      <w:pPr>
        <w:ind w:left="660" w:right="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Registrant for the fiscal year ended September 30, 2007, filed with the Commission on November 29, 2007 (File No. 1-13292);</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Quarterly Report on Form 10-Q of the Registrant for the quarterly period ended December 29, 2007, filed with the Commission on February 7, 2008 (File No. 1-13292);</w:t>
      </w:r>
    </w:p>
    <w:p>
      <w:pPr>
        <w:spacing w:after="0" w:line="75"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Quarterly Report on Form 10-Q of the Registrant for the quarterly period ended March 29, 2008, filed with the Commission on May 8, 2008 (File No. 1-13292);</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Quarterly Report on Form 10-Q of the Registrant for the quarterly period ended June 28, 2008, filed with the Commission on August 7, 2008 (File No. 1-13292);</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Current Reports on Form 8-K filed by the Registrant with the Commission on November 1, 2007, December 7, 2007, December 17, 2007, December 20, 2007, December 21, 2007, January 29, 2008, February 6, 2008, April 15, 2008, April 24, 2008, April 25, 2008, May 5, 2008, May 22, 2008, June 4, 2008, July 1, 2008, July 3,</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2008, August 1, 2008, August 22, 2008, September 12, 2008, September 17, 2008, and September 18, 2008 (File No. 1-13292); and</w:t>
      </w:r>
    </w:p>
    <w:p>
      <w:pPr>
        <w:spacing w:after="0" w:line="131" w:lineRule="exact"/>
        <w:rPr>
          <w:sz w:val="20"/>
          <w:szCs w:val="20"/>
          <w:color w:val="auto"/>
        </w:rPr>
      </w:pPr>
    </w:p>
    <w:p>
      <w:pPr>
        <w:ind w:left="660" w:right="32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description of the Registrant’s common shares, without par value, contained in the Registrant’s Current Report on Form 8-K filed with the Commission on March 24, 2005, together with any subsequent registration statement or report filed for the purpose of updating such description.</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documents which may be filed by the Registrant with the Commission pursuant to Section 13(a), Section 13(c), Section 14 or</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Section 15(d) of the Exchange Act subsequent to the date of this Registration Statement and prior to the filing of a post-effective amendment which indicates that all securities offered under The Scotts Company LLC Executive Retirement Plan pursuant to this Registration Statement have been sold or which deregisters all securities then remaining unsold, shall also be deemed to be incorporated by reference in this Registration Statement and to be made a part hereof from the date of filing of such documents. To the extent that any information contained in any Current Report on Form 8-K, or any exhibit thereto, was or is furnished to, rather than filed with, the Commission in accordance with the Commission’s rules, such information or exhibit is specifically not incorporated by reference into this Registration Statement.</w:t>
      </w:r>
    </w:p>
    <w:p>
      <w:pPr>
        <w:spacing w:after="0" w:line="86" w:lineRule="exact"/>
        <w:rPr>
          <w:sz w:val="20"/>
          <w:szCs w:val="20"/>
          <w:color w:val="auto"/>
        </w:rPr>
      </w:pPr>
    </w:p>
    <w:p>
      <w:pPr>
        <w:ind w:right="220" w:firstLine="215"/>
        <w:spacing w:after="0" w:line="257" w:lineRule="auto"/>
        <w:rPr>
          <w:sz w:val="20"/>
          <w:szCs w:val="20"/>
          <w:color w:val="auto"/>
        </w:rPr>
      </w:pPr>
      <w:r>
        <w:rPr>
          <w:rFonts w:ascii="Arial" w:cs="Arial" w:eastAsia="Arial" w:hAnsi="Arial"/>
          <w:sz w:val="18"/>
          <w:szCs w:val="18"/>
          <w:color w:val="auto"/>
        </w:rPr>
        <w:t>Any statement contained in a document incorporated or deemed to be incorporated in this Registration Statement by reference, or contained in this Registration Statement, shall be deemed to be modified or superseded for purposes of this Registration Statement to the extent that a statement contained in any subsequently filed document which also is or is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common shares, without par value, of the Registrant are registered under Section 12 of the Exchange Act. Accordingly, in accordance with the instructions to Item 4 of Part II of Form S-8, no description of such common shares is provided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Obligations</w:t>
      </w:r>
    </w:p>
    <w:p>
      <w:pPr>
        <w:spacing w:after="0" w:line="11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Deferred Compensation Obligations being registered are general unsecured obligations of The Scotts Company LLC (“Scotts LLC”), a wholly-owned subsidiary of the Registrant, and of affiliates of Scotts LLC including the Registrant (collectively, the “Company”) under The Scotts Company LLC Executive Retirement Plan (the “ERP”).</w:t>
      </w:r>
    </w:p>
    <w:p>
      <w:pPr>
        <w:spacing w:after="0" w:line="73"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ERP is a non-qualified deferred compensation plan which, among other things, provides eligible employees the opportunity to defer compensation above specified statutory limits applicable to The Scotts Company LLC Retirement Savings Plan (the “RSP”) and with respect to Executive Incentive Pay (as defined in the ERP) awarded to such eligible employees.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amounts which may be deferred by participants, the contributions which may be made by the Company, details regarding the treatment of deferred compensation obligations as credited to one or more benchmarked investment funds, including an SMG stock fund (reflecting common shares of the Registrant), vesting requirements and distribution rules are set forth in the ERP.</w:t>
      </w:r>
    </w:p>
    <w:p>
      <w:pPr>
        <w:spacing w:after="0" w:line="73"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Company is also authorized to grant retention awards under the ERP to participants and in amounts, each as determined in the sole discretion of the Company. The retention awards will be governed by agreements between each participant and the participant’s employer, which will specify, among other things, the vesting requirements and distribution rules that apply to each retention award.</w:t>
      </w:r>
    </w:p>
    <w:p>
      <w:pPr>
        <w:spacing w:after="0" w:line="73"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ERP is an unfunded plan and is subject to the claims of the Company’s general creditors. Any and all payments made to any participant pursuant to the ERP will be made only from the general assets of the Company. All ERP accounts are bookkeeping accounts only and do not represent a claim against specific assets of the Company. As permitted by the terms of the ERP, the Company has established a rabbi trust to assist it in discharging its obligations under the ERP. The assets of the rabbi trust remain, at all times, the assets of the Company subject to the claims of its creditors.</w:t>
      </w:r>
    </w:p>
    <w:p>
      <w:pPr>
        <w:spacing w:after="0" w:line="46"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ERP contains no limitations on the rights of the Company to issue senior debt or other securities. No events of default exist under the ERP nor is any absence of default evidence required.</w:t>
      </w:r>
    </w:p>
    <w:p>
      <w:pPr>
        <w:spacing w:after="0" w:line="62" w:lineRule="exact"/>
        <w:rPr>
          <w:sz w:val="20"/>
          <w:szCs w:val="20"/>
          <w:color w:val="auto"/>
        </w:rPr>
      </w:pPr>
    </w:p>
    <w:p>
      <w:pPr>
        <w:ind w:right="340" w:firstLine="222"/>
        <w:spacing w:after="0" w:line="286" w:lineRule="auto"/>
        <w:rPr>
          <w:sz w:val="20"/>
          <w:szCs w:val="20"/>
          <w:color w:val="auto"/>
        </w:rPr>
      </w:pPr>
      <w:r>
        <w:rPr>
          <w:rFonts w:ascii="Arial" w:cs="Arial" w:eastAsia="Arial" w:hAnsi="Arial"/>
          <w:sz w:val="17"/>
          <w:szCs w:val="17"/>
          <w:color w:val="auto"/>
        </w:rPr>
        <w:t>The ERP may, at any time, be amended, modified or terminated by the Compensation and Organization Committee of the Board of Directors of the Registrant. However, no amendment, modification or termination of the ERP may, without the consent of a participant, adversely affect such participant’s rights with respect to amounts then credited to the participant’s account under the ERP. The ERP will remain in effect until terminated.</w:t>
      </w:r>
    </w:p>
    <w:p>
      <w:pPr>
        <w:spacing w:after="0" w:line="5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foregoing description of the ERP and the deferred compensation obligations registered pursuant to this Registration Statement is qualified in its entirety by reference to the full text of the ERP and the amendments thereto that are in effect as of the date of this Registration Statement, which are filed as Exhibits 4.4 through 4.10 to this Registration Statement. Each such exhibit is incorporated herein by reference in its entirety pursuant to Rule 411(b)(3)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29" w:lineRule="exact"/>
        <w:rPr>
          <w:sz w:val="20"/>
          <w:szCs w:val="20"/>
          <w:color w:val="auto"/>
        </w:rPr>
      </w:pPr>
    </w:p>
    <w:p>
      <w:pPr>
        <w:jc w:val="center"/>
        <w:ind w:right="220"/>
        <w:spacing w:after="0"/>
        <w:rPr>
          <w:sz w:val="20"/>
          <w:szCs w:val="20"/>
          <w:color w:val="auto"/>
        </w:rPr>
      </w:pPr>
      <w:r>
        <w:rPr>
          <w:rFonts w:ascii="Arial" w:cs="Arial" w:eastAsia="Arial" w:hAnsi="Arial"/>
          <w:sz w:val="18"/>
          <w:szCs w:val="18"/>
          <w:u w:val="single" w:color="auto"/>
          <w:color w:val="auto"/>
        </w:rPr>
        <w:t>Section 5.01. Mandatory Indemnification</w:t>
      </w:r>
      <w:r>
        <w:rPr>
          <w:rFonts w:ascii="Arial" w:cs="Arial" w:eastAsia="Arial" w:hAnsi="Arial"/>
          <w:sz w:val="18"/>
          <w:szCs w:val="18"/>
          <w:color w:val="auto"/>
        </w:rPr>
        <w:t>. The corporation shall indemnify any officer or director of the corporation who was or is a party or 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69" w:lineRule="auto"/>
        <w:rPr>
          <w:sz w:val="20"/>
          <w:szCs w:val="20"/>
          <w:color w:val="auto"/>
        </w:rPr>
      </w:pPr>
      <w:r>
        <w:rPr>
          <w:rFonts w:ascii="Arial" w:cs="Arial" w:eastAsia="Arial" w:hAnsi="Arial"/>
          <w:sz w:val="17"/>
          <w:szCs w:val="17"/>
          <w:color w:val="auto"/>
        </w:rPr>
        <w:t>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17" w:lineRule="exact"/>
        <w:rPr>
          <w:sz w:val="20"/>
          <w:szCs w:val="20"/>
          <w:color w:val="auto"/>
        </w:rPr>
      </w:pPr>
    </w:p>
    <w:p>
      <w:pPr>
        <w:ind w:left="240" w:right="20" w:firstLine="221"/>
        <w:spacing w:after="0" w:line="25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89" w:lineRule="exact"/>
        <w:rPr>
          <w:rFonts w:ascii="Arial" w:cs="Arial" w:eastAsia="Arial" w:hAnsi="Arial"/>
          <w:sz w:val="18"/>
          <w:szCs w:val="18"/>
          <w:color w:val="auto"/>
        </w:rPr>
      </w:pPr>
    </w:p>
    <w:p>
      <w:pPr>
        <w:ind w:left="740" w:hanging="279"/>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corporation shall promptly make any such unpaid indemnification as is determined by a court to be proper as contemplated by this Section 5.02.</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firstLine="225"/>
        <w:spacing w:after="0" w:line="302"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46" w:lineRule="exact"/>
        <w:rPr>
          <w:sz w:val="20"/>
          <w:szCs w:val="20"/>
          <w:color w:val="auto"/>
        </w:rPr>
      </w:pPr>
    </w:p>
    <w:p>
      <w:pPr>
        <w:ind w:left="240" w:firstLine="225"/>
        <w:spacing w:after="0" w:line="285"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67" w:lineRule="exact"/>
        <w:rPr>
          <w:sz w:val="20"/>
          <w:szCs w:val="20"/>
          <w:color w:val="auto"/>
        </w:rPr>
      </w:pPr>
    </w:p>
    <w:p>
      <w:pPr>
        <w:ind w:left="240" w:right="120" w:firstLine="225"/>
        <w:spacing w:after="0" w:line="264"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color w:val="auto"/>
        </w:rPr>
        <w:t>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73" w:lineRule="exact"/>
        <w:rPr>
          <w:sz w:val="20"/>
          <w:szCs w:val="20"/>
          <w:color w:val="auto"/>
        </w:rPr>
      </w:pPr>
    </w:p>
    <w:p>
      <w:pPr>
        <w:ind w:left="240" w:right="580" w:firstLine="221"/>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62" w:lineRule="exact"/>
        <w:rPr>
          <w:rFonts w:ascii="Arial" w:cs="Arial" w:eastAsia="Arial" w:hAnsi="Arial"/>
          <w:sz w:val="18"/>
          <w:szCs w:val="18"/>
          <w:color w:val="auto"/>
        </w:rPr>
      </w:pPr>
    </w:p>
    <w:p>
      <w:pPr>
        <w:ind w:left="240" w:right="20" w:firstLine="221"/>
        <w:spacing w:after="0" w:line="257" w:lineRule="auto"/>
        <w:tabs>
          <w:tab w:leader="none" w:pos="75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80" w:lineRule="exact"/>
        <w:rPr>
          <w:sz w:val="20"/>
          <w:szCs w:val="20"/>
          <w:color w:val="auto"/>
        </w:rPr>
      </w:pPr>
    </w:p>
    <w:p>
      <w:pPr>
        <w:ind w:left="240" w:right="8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80" w:lineRule="exact"/>
        <w:rPr>
          <w:sz w:val="20"/>
          <w:szCs w:val="20"/>
          <w:color w:val="auto"/>
        </w:rPr>
      </w:pPr>
    </w:p>
    <w:p>
      <w:pPr>
        <w:ind w:left="24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17" w:lineRule="exact"/>
        <w:rPr>
          <w:sz w:val="20"/>
          <w:szCs w:val="20"/>
          <w:color w:val="auto"/>
        </w:rPr>
      </w:pPr>
    </w:p>
    <w:p>
      <w:pPr>
        <w:jc w:val="center"/>
        <w:ind w:left="5600" w:right="240" w:hanging="5139"/>
        <w:spacing w:after="0" w:line="496" w:lineRule="auto"/>
        <w:tabs>
          <w:tab w:leader="none" w:pos="747"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person claiming indemnification under this Article FIVE shall be deemed to have been successful on the merits or otherwise in defense of any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0"/>
        <w:spacing w:after="0" w:line="302" w:lineRule="auto"/>
        <w:rPr>
          <w:sz w:val="20"/>
          <w:szCs w:val="20"/>
          <w:color w:val="auto"/>
        </w:rPr>
      </w:pPr>
      <w:r>
        <w:rPr>
          <w:rFonts w:ascii="Arial" w:cs="Arial" w:eastAsia="Arial" w:hAnsi="Arial"/>
          <w:sz w:val="16"/>
          <w:szCs w:val="16"/>
          <w:color w:val="auto"/>
        </w:rPr>
        <w:t>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46" w:lineRule="exact"/>
        <w:rPr>
          <w:sz w:val="20"/>
          <w:szCs w:val="20"/>
          <w:color w:val="auto"/>
        </w:rPr>
      </w:pPr>
    </w:p>
    <w:p>
      <w:pPr>
        <w:ind w:left="240" w:right="40" w:firstLine="221"/>
        <w:spacing w:after="0" w:line="273" w:lineRule="auto"/>
        <w:tabs>
          <w:tab w:leader="none" w:pos="75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70" w:lineRule="exact"/>
        <w:rPr>
          <w:sz w:val="20"/>
          <w:szCs w:val="20"/>
          <w:color w:val="auto"/>
        </w:rPr>
      </w:pPr>
    </w:p>
    <w:p>
      <w:pPr>
        <w:ind w:lef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17" w:lineRule="exact"/>
        <w:rPr>
          <w:sz w:val="20"/>
          <w:szCs w:val="20"/>
          <w:color w:val="auto"/>
        </w:rPr>
      </w:pPr>
    </w:p>
    <w:p>
      <w:pPr>
        <w:ind w:left="240" w:firstLine="225"/>
        <w:spacing w:after="0" w:line="290" w:lineRule="auto"/>
        <w:rPr>
          <w:sz w:val="20"/>
          <w:szCs w:val="20"/>
          <w:color w:val="auto"/>
        </w:rPr>
      </w:pPr>
      <w:r>
        <w:rPr>
          <w:rFonts w:ascii="Arial" w:cs="Arial" w:eastAsia="Arial" w:hAnsi="Arial"/>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40"/>
        <w:spacing w:after="0" w:line="264" w:lineRule="auto"/>
        <w:rPr>
          <w:sz w:val="20"/>
          <w:szCs w:val="20"/>
          <w:color w:val="auto"/>
        </w:rPr>
      </w:pPr>
      <w:r>
        <w:rPr>
          <w:rFonts w:ascii="Arial" w:cs="Arial" w:eastAsia="Arial" w:hAnsi="Arial"/>
          <w:sz w:val="18"/>
          <w:szCs w:val="18"/>
          <w:color w:val="auto"/>
        </w:rPr>
        <w:t>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73" w:lineRule="exact"/>
        <w:rPr>
          <w:sz w:val="20"/>
          <w:szCs w:val="20"/>
          <w:color w:val="auto"/>
        </w:rPr>
      </w:pPr>
    </w:p>
    <w:p>
      <w:pPr>
        <w:ind w:left="240" w:firstLine="221"/>
        <w:spacing w:after="0" w:line="272"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70" w:lineRule="exact"/>
        <w:rPr>
          <w:sz w:val="20"/>
          <w:szCs w:val="20"/>
          <w:color w:val="auto"/>
        </w:rPr>
      </w:pPr>
    </w:p>
    <w:p>
      <w:pPr>
        <w:ind w:left="240" w:right="460" w:firstLine="221"/>
        <w:spacing w:after="0" w:line="279" w:lineRule="auto"/>
        <w:tabs>
          <w:tab w:leader="none" w:pos="71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63" w:lineRule="exact"/>
        <w:rPr>
          <w:rFonts w:ascii="Arial" w:cs="Arial" w:eastAsia="Arial" w:hAnsi="Arial"/>
          <w:sz w:val="17"/>
          <w:szCs w:val="17"/>
          <w:color w:val="auto"/>
        </w:rPr>
      </w:pPr>
    </w:p>
    <w:p>
      <w:pPr>
        <w:ind w:left="720" w:hanging="25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17" w:lineRule="exact"/>
        <w:rPr>
          <w:sz w:val="20"/>
          <w:szCs w:val="20"/>
          <w:color w:val="auto"/>
        </w:rPr>
      </w:pPr>
    </w:p>
    <w:p>
      <w:pPr>
        <w:ind w:left="240" w:right="100" w:firstLine="221"/>
        <w:spacing w:after="0" w:line="31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38" w:lineRule="exact"/>
        <w:rPr>
          <w:rFonts w:ascii="Arial" w:cs="Arial" w:eastAsia="Arial" w:hAnsi="Arial"/>
          <w:sz w:val="16"/>
          <w:szCs w:val="16"/>
          <w:color w:val="auto"/>
        </w:rPr>
      </w:pPr>
    </w:p>
    <w:p>
      <w:pPr>
        <w:ind w:left="240" w:right="100" w:firstLine="221"/>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firstLine="221"/>
        <w:spacing w:after="0" w:line="277"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62" w:lineRule="exact"/>
        <w:rPr>
          <w:rFonts w:ascii="Arial" w:cs="Arial" w:eastAsia="Arial" w:hAnsi="Arial"/>
          <w:sz w:val="18"/>
          <w:szCs w:val="18"/>
          <w:color w:val="auto"/>
        </w:rPr>
      </w:pPr>
    </w:p>
    <w:p>
      <w:pPr>
        <w:ind w:left="240" w:firstLine="221"/>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140" w:lineRule="exact"/>
        <w:rPr>
          <w:sz w:val="20"/>
          <w:szCs w:val="20"/>
          <w:color w:val="auto"/>
        </w:rPr>
      </w:pPr>
    </w:p>
    <w:p>
      <w:pPr>
        <w:ind w:left="240" w:right="140" w:firstLine="215"/>
        <w:spacing w:after="0" w:line="279" w:lineRule="auto"/>
        <w:rPr>
          <w:sz w:val="20"/>
          <w:szCs w:val="20"/>
          <w:color w:val="auto"/>
        </w:rPr>
      </w:pPr>
      <w:r>
        <w:rPr>
          <w:rFonts w:ascii="Arial" w:cs="Arial" w:eastAsia="Arial" w:hAnsi="Arial"/>
          <w:sz w:val="17"/>
          <w:szCs w:val="17"/>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63" w:lineRule="exact"/>
        <w:rPr>
          <w:sz w:val="20"/>
          <w:szCs w:val="20"/>
          <w:color w:val="auto"/>
        </w:rPr>
      </w:pPr>
    </w:p>
    <w:p>
      <w:pPr>
        <w:ind w:left="240" w:right="2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70" w:lineRule="exact"/>
        <w:rPr>
          <w:sz w:val="20"/>
          <w:szCs w:val="20"/>
          <w:color w:val="auto"/>
        </w:rPr>
      </w:pPr>
    </w:p>
    <w:p>
      <w:pPr>
        <w:ind w:left="240" w:right="180" w:firstLine="221"/>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73" w:lineRule="exact"/>
        <w:rPr>
          <w:rFonts w:ascii="Arial" w:cs="Arial" w:eastAsia="Arial" w:hAnsi="Arial"/>
          <w:sz w:val="18"/>
          <w:szCs w:val="18"/>
          <w:color w:val="auto"/>
        </w:rPr>
      </w:pPr>
    </w:p>
    <w:p>
      <w:pPr>
        <w:ind w:left="720" w:hanging="25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17" w:lineRule="exact"/>
        <w:rPr>
          <w:sz w:val="20"/>
          <w:szCs w:val="20"/>
          <w:color w:val="auto"/>
        </w:rPr>
      </w:pPr>
    </w:p>
    <w:p>
      <w:pPr>
        <w:ind w:left="240" w:right="220" w:firstLine="221"/>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color w:val="auto"/>
        </w:rPr>
        <w:t>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73" w:lineRule="exact"/>
        <w:rPr>
          <w:sz w:val="20"/>
          <w:szCs w:val="20"/>
          <w:color w:val="auto"/>
        </w:rPr>
      </w:pPr>
    </w:p>
    <w:p>
      <w:pPr>
        <w:ind w:left="240" w:right="80" w:firstLine="221"/>
        <w:spacing w:after="0" w:line="30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46" w:lineRule="exact"/>
        <w:rPr>
          <w:rFonts w:ascii="Arial" w:cs="Arial" w:eastAsia="Arial" w:hAnsi="Arial"/>
          <w:sz w:val="16"/>
          <w:szCs w:val="16"/>
          <w:color w:val="auto"/>
        </w:rPr>
      </w:pPr>
    </w:p>
    <w:p>
      <w:pPr>
        <w:ind w:left="240" w:right="80" w:firstLine="221"/>
        <w:spacing w:after="0" w:line="293"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56" w:lineRule="exact"/>
        <w:rPr>
          <w:rFonts w:ascii="Arial" w:cs="Arial" w:eastAsia="Arial" w:hAnsi="Arial"/>
          <w:sz w:val="16"/>
          <w:szCs w:val="16"/>
          <w:color w:val="auto"/>
        </w:rPr>
      </w:pPr>
    </w:p>
    <w:p>
      <w:pPr>
        <w:jc w:val="both"/>
        <w:ind w:left="240" w:firstLine="221"/>
        <w:spacing w:after="0" w:line="31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38" w:lineRule="exact"/>
        <w:rPr>
          <w:rFonts w:ascii="Arial" w:cs="Arial" w:eastAsia="Arial" w:hAnsi="Arial"/>
          <w:sz w:val="16"/>
          <w:szCs w:val="16"/>
          <w:color w:val="auto"/>
        </w:rPr>
      </w:pPr>
    </w:p>
    <w:p>
      <w:pPr>
        <w:ind w:left="240" w:right="80" w:firstLine="221"/>
        <w:spacing w:after="0" w:line="297"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15"/>
        <w:spacing w:after="0" w:line="259" w:lineRule="auto"/>
        <w:rPr>
          <w:sz w:val="20"/>
          <w:szCs w:val="20"/>
          <w:color w:val="auto"/>
        </w:rPr>
      </w:pPr>
      <w:r>
        <w:rPr>
          <w:rFonts w:ascii="Arial" w:cs="Arial" w:eastAsia="Arial" w:hAnsi="Arial"/>
          <w:sz w:val="18"/>
          <w:szCs w:val="18"/>
          <w:color w:val="auto"/>
        </w:rPr>
        <w:t>Article 13 of the Employment Agreement between The Scotts Company LLC and each of the following executive officers of the Registrant — Mark R. Baker, President and Chief Operating Officer; David C. Evans, Executive Vice President and Chief Financial Officer; Barry W. Sanders, Executive Vice President, North America; Denise S. Stump, Executive Vice President, Global Human Resources; and Vincent C. Brockman, Executive Vice President and General Counsel — addresses indemnification of such executive officers as follows: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Article 13. Indemnification</w:t>
      </w:r>
    </w:p>
    <w:p>
      <w:pPr>
        <w:spacing w:after="0" w:line="121"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The Company [The Scotts Company LLC] hereby covenants and agrees to indemnify and hold harmless the Executive against and in respect to any and all actions, suits, proceedings, claims, demands, judgments, costs, expenses, losses, and damages resulting from the Executive’s performance of his [her] duties and obligations under the terms of this Agreement; provided however, the Executive acted in good faith and in a manner he [she] reasonably believed to be in or not opposed to the best interests of the Company or its shareholders, and with respect to a criminal action or proceeding, the Executive had no reasonable cause to believe his [her] conduct was unlawful.</w:t>
      </w:r>
    </w:p>
    <w:p>
      <w:pPr>
        <w:spacing w:after="0" w:line="80"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Registrant maintains insurance policies providing for indemnification of directors and officers and for reimbursement to the Registrant for monies which it may pay as indemnity to any director or officer, subject to the conditions and exclusions of the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Exhibit No.</w:t>
            </w:r>
          </w:p>
        </w:tc>
        <w:tc>
          <w:tcPr>
            <w:tcW w:w="560" w:type="dxa"/>
            <w:vAlign w:val="bottom"/>
          </w:tcPr>
          <w:p>
            <w:pPr>
              <w:spacing w:after="0"/>
              <w:rPr>
                <w:sz w:val="14"/>
                <w:szCs w:val="1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520" w:type="dxa"/>
            <w:vAlign w:val="bottom"/>
            <w:gridSpan w:val="2"/>
          </w:tcPr>
          <w:p>
            <w:pPr>
              <w:ind w:left="560"/>
              <w:spacing w:after="0"/>
              <w:rPr>
                <w:sz w:val="20"/>
                <w:szCs w:val="20"/>
                <w:color w:val="auto"/>
              </w:rPr>
            </w:pPr>
            <w:r>
              <w:rPr>
                <w:rFonts w:ascii="Arial" w:cs="Arial" w:eastAsia="Arial" w:hAnsi="Arial"/>
                <w:sz w:val="18"/>
                <w:szCs w:val="18"/>
                <w:color w:val="auto"/>
                <w:w w:val="95"/>
              </w:rPr>
              <w:t>Initial Articles of Incorporation of The Scotts Miracle-Gro Company as filed with the Ohio Secretary of State on November 22, 2004,</w:t>
            </w:r>
          </w:p>
        </w:tc>
      </w:tr>
      <w:tr>
        <w:trPr>
          <w:trHeight w:val="216"/>
        </w:trPr>
        <w:tc>
          <w:tcPr>
            <w:tcW w:w="900" w:type="dxa"/>
            <w:vAlign w:val="bottom"/>
          </w:tcPr>
          <w:p>
            <w:pPr>
              <w:spacing w:after="0"/>
              <w:rPr>
                <w:sz w:val="18"/>
                <w:szCs w:val="18"/>
                <w:color w:val="auto"/>
              </w:rPr>
            </w:pPr>
          </w:p>
        </w:tc>
        <w:tc>
          <w:tcPr>
            <w:tcW w:w="10520" w:type="dxa"/>
            <w:vAlign w:val="bottom"/>
            <w:gridSpan w:val="2"/>
          </w:tcPr>
          <w:p>
            <w:pPr>
              <w:ind w:left="560"/>
              <w:spacing w:after="0"/>
              <w:rPr>
                <w:sz w:val="20"/>
                <w:szCs w:val="20"/>
                <w:color w:val="auto"/>
              </w:rPr>
            </w:pPr>
            <w:r>
              <w:rPr>
                <w:rFonts w:ascii="Arial" w:cs="Arial" w:eastAsia="Arial" w:hAnsi="Arial"/>
                <w:sz w:val="18"/>
                <w:szCs w:val="18"/>
                <w:color w:val="auto"/>
                <w:w w:val="96"/>
              </w:rPr>
              <w:t>incorporated herein by reference to Exhibit 3.1 to the Registrant’s Current Report on Form 8-K filed on March 24, 2005 [File No. 1-</w:t>
            </w:r>
          </w:p>
        </w:tc>
      </w:tr>
      <w:tr>
        <w:trPr>
          <w:trHeight w:val="230"/>
        </w:trPr>
        <w:tc>
          <w:tcPr>
            <w:tcW w:w="900" w:type="dxa"/>
            <w:vAlign w:val="bottom"/>
          </w:tcPr>
          <w:p>
            <w:pPr>
              <w:spacing w:after="0"/>
              <w:rPr>
                <w:sz w:val="20"/>
                <w:szCs w:val="20"/>
                <w:color w:val="auto"/>
              </w:rPr>
            </w:pPr>
          </w:p>
        </w:tc>
        <w:tc>
          <w:tcPr>
            <w:tcW w:w="10520" w:type="dxa"/>
            <w:vAlign w:val="bottom"/>
            <w:gridSpan w:val="2"/>
          </w:tcPr>
          <w:p>
            <w:pPr>
              <w:ind w:left="560"/>
              <w:spacing w:after="0"/>
              <w:rPr>
                <w:sz w:val="20"/>
                <w:szCs w:val="20"/>
                <w:color w:val="auto"/>
              </w:rPr>
            </w:pPr>
            <w:r>
              <w:rPr>
                <w:rFonts w:ascii="Arial" w:cs="Arial" w:eastAsia="Arial" w:hAnsi="Arial"/>
                <w:sz w:val="18"/>
                <w:szCs w:val="18"/>
                <w:color w:val="auto"/>
              </w:rPr>
              <w:t>13292]</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520" w:type="dxa"/>
            <w:vAlign w:val="bottom"/>
            <w:gridSpan w:val="2"/>
          </w:tcPr>
          <w:p>
            <w:pPr>
              <w:ind w:left="560"/>
              <w:spacing w:after="0"/>
              <w:rPr>
                <w:sz w:val="20"/>
                <w:szCs w:val="20"/>
                <w:color w:val="auto"/>
              </w:rPr>
            </w:pPr>
            <w:r>
              <w:rPr>
                <w:rFonts w:ascii="Arial" w:cs="Arial" w:eastAsia="Arial" w:hAnsi="Arial"/>
                <w:sz w:val="18"/>
                <w:szCs w:val="18"/>
                <w:color w:val="auto"/>
                <w:w w:val="97"/>
              </w:rPr>
              <w:t>Certificate of Amendment by Shareholders to Articles of Incorporation of The Scotts Miracle-Gro Company as filed with the Ohio</w:t>
            </w:r>
          </w:p>
        </w:tc>
      </w:tr>
      <w:tr>
        <w:trPr>
          <w:trHeight w:val="216"/>
        </w:trPr>
        <w:tc>
          <w:tcPr>
            <w:tcW w:w="900" w:type="dxa"/>
            <w:vAlign w:val="bottom"/>
          </w:tcPr>
          <w:p>
            <w:pPr>
              <w:spacing w:after="0"/>
              <w:rPr>
                <w:sz w:val="18"/>
                <w:szCs w:val="18"/>
                <w:color w:val="auto"/>
              </w:rPr>
            </w:pPr>
          </w:p>
        </w:tc>
        <w:tc>
          <w:tcPr>
            <w:tcW w:w="10520" w:type="dxa"/>
            <w:vAlign w:val="bottom"/>
            <w:gridSpan w:val="2"/>
          </w:tcPr>
          <w:p>
            <w:pPr>
              <w:ind w:left="560"/>
              <w:spacing w:after="0"/>
              <w:rPr>
                <w:sz w:val="20"/>
                <w:szCs w:val="20"/>
                <w:color w:val="auto"/>
              </w:rPr>
            </w:pPr>
            <w:r>
              <w:rPr>
                <w:rFonts w:ascii="Arial" w:cs="Arial" w:eastAsia="Arial" w:hAnsi="Arial"/>
                <w:sz w:val="18"/>
                <w:szCs w:val="18"/>
                <w:color w:val="auto"/>
                <w:w w:val="93"/>
              </w:rPr>
              <w:t>Secretary of State on March 18, 2005, incorporated herein by reference to Exhibit 3.2 to the Registrant’s Current Report on Form 8-K</w:t>
            </w:r>
          </w:p>
        </w:tc>
      </w:tr>
      <w:tr>
        <w:trPr>
          <w:trHeight w:val="230"/>
        </w:trPr>
        <w:tc>
          <w:tcPr>
            <w:tcW w:w="900" w:type="dxa"/>
            <w:vAlign w:val="bottom"/>
          </w:tcPr>
          <w:p>
            <w:pPr>
              <w:spacing w:after="0"/>
              <w:rPr>
                <w:sz w:val="20"/>
                <w:szCs w:val="20"/>
                <w:color w:val="auto"/>
              </w:rPr>
            </w:pPr>
          </w:p>
        </w:tc>
        <w:tc>
          <w:tcPr>
            <w:tcW w:w="10520" w:type="dxa"/>
            <w:vAlign w:val="bottom"/>
            <w:gridSpan w:val="2"/>
          </w:tcPr>
          <w:p>
            <w:pPr>
              <w:ind w:left="560"/>
              <w:spacing w:after="0"/>
              <w:rPr>
                <w:sz w:val="20"/>
                <w:szCs w:val="20"/>
                <w:color w:val="auto"/>
              </w:rPr>
            </w:pPr>
            <w:r>
              <w:rPr>
                <w:rFonts w:ascii="Arial" w:cs="Arial" w:eastAsia="Arial" w:hAnsi="Arial"/>
                <w:sz w:val="18"/>
                <w:szCs w:val="18"/>
                <w:color w:val="auto"/>
              </w:rPr>
              <w:t>filed on March 24, 2005 [File No. 1-13292]</w:t>
            </w:r>
          </w:p>
        </w:tc>
      </w:tr>
      <w:tr>
        <w:trPr>
          <w:trHeight w:val="405"/>
        </w:trPr>
        <w:tc>
          <w:tcPr>
            <w:tcW w:w="900" w:type="dxa"/>
            <w:vAlign w:val="bottom"/>
          </w:tcPr>
          <w:p>
            <w:pPr>
              <w:spacing w:after="0"/>
              <w:rPr>
                <w:sz w:val="24"/>
                <w:szCs w:val="24"/>
                <w:color w:val="auto"/>
              </w:rPr>
            </w:pPr>
          </w:p>
        </w:tc>
        <w:tc>
          <w:tcPr>
            <w:tcW w:w="10520" w:type="dxa"/>
            <w:vAlign w:val="bottom"/>
            <w:gridSpan w:val="2"/>
          </w:tcPr>
          <w:p>
            <w:pPr>
              <w:jc w:val="right"/>
              <w:ind w:right="5488"/>
              <w:spacing w:after="0"/>
              <w:rPr>
                <w:sz w:val="20"/>
                <w:szCs w:val="20"/>
                <w:color w:val="auto"/>
              </w:rPr>
            </w:pPr>
            <w:r>
              <w:rPr>
                <w:rFonts w:ascii="Arial" w:cs="Arial" w:eastAsia="Arial" w:hAnsi="Arial"/>
                <w:sz w:val="18"/>
                <w:szCs w:val="18"/>
                <w:color w:val="auto"/>
              </w:rPr>
              <w:t>-12-</w:t>
            </w:r>
          </w:p>
        </w:tc>
      </w:tr>
      <w:tr>
        <w:trPr>
          <w:trHeight w:val="226"/>
        </w:trPr>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14"/>
                <w:szCs w:val="14"/>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3"/>
              </w:rPr>
              <w:t>Code of Regulations of The Scotts Miracle-Gro Company, incorporated herein by reference to Exhibit 3.3 to the Registrant’s Current</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Report on Form 8-K filed on March 24, 2005 [File No. 1-13292]</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The Scotts Company Executive Retirement Plan (executed on November 19, 1998 and effective as of January 1, 1999)</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First Amendment to The Scotts Company Executive Retirement Plan (executed as of December 23, 1998 and effective as of January 1,</w:t>
            </w:r>
          </w:p>
        </w:tc>
      </w:tr>
      <w:tr>
        <w:trPr>
          <w:trHeight w:val="230"/>
        </w:trPr>
        <w:tc>
          <w:tcPr>
            <w:tcW w:w="1000" w:type="dxa"/>
            <w:vAlign w:val="bottom"/>
          </w:tcPr>
          <w:p>
            <w:pPr>
              <w:spacing w:after="0"/>
              <w:rPr>
                <w:sz w:val="20"/>
                <w:szCs w:val="20"/>
                <w:color w:val="auto"/>
              </w:rPr>
            </w:pPr>
          </w:p>
        </w:tc>
        <w:tc>
          <w:tcPr>
            <w:tcW w:w="10420" w:type="dxa"/>
            <w:vAlign w:val="bottom"/>
            <w:gridSpan w:val="2"/>
          </w:tcPr>
          <w:p>
            <w:pPr>
              <w:ind w:left="560"/>
              <w:spacing w:after="0"/>
              <w:rPr>
                <w:sz w:val="20"/>
                <w:szCs w:val="20"/>
                <w:color w:val="auto"/>
              </w:rPr>
            </w:pPr>
            <w:r>
              <w:rPr>
                <w:rFonts w:ascii="Arial" w:cs="Arial" w:eastAsia="Arial" w:hAnsi="Arial"/>
                <w:sz w:val="18"/>
                <w:szCs w:val="18"/>
                <w:color w:val="auto"/>
              </w:rPr>
              <w:t>1999)</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0"/>
              </w:rPr>
              <w:t>Second Amendment to The Scotts Company Executive Retirement Plan (executed as of January 14, 2000 and effective as of January 1,</w:t>
            </w:r>
          </w:p>
        </w:tc>
      </w:tr>
      <w:tr>
        <w:trPr>
          <w:trHeight w:val="230"/>
        </w:trPr>
        <w:tc>
          <w:tcPr>
            <w:tcW w:w="1000" w:type="dxa"/>
            <w:vAlign w:val="bottom"/>
          </w:tcPr>
          <w:p>
            <w:pPr>
              <w:spacing w:after="0"/>
              <w:rPr>
                <w:sz w:val="20"/>
                <w:szCs w:val="20"/>
                <w:color w:val="auto"/>
              </w:rPr>
            </w:pPr>
          </w:p>
        </w:tc>
        <w:tc>
          <w:tcPr>
            <w:tcW w:w="10420" w:type="dxa"/>
            <w:vAlign w:val="bottom"/>
            <w:gridSpan w:val="2"/>
          </w:tcPr>
          <w:p>
            <w:pPr>
              <w:ind w:left="560"/>
              <w:spacing w:after="0"/>
              <w:rPr>
                <w:sz w:val="20"/>
                <w:szCs w:val="20"/>
                <w:color w:val="auto"/>
              </w:rPr>
            </w:pPr>
            <w:r>
              <w:rPr>
                <w:rFonts w:ascii="Arial" w:cs="Arial" w:eastAsia="Arial" w:hAnsi="Arial"/>
                <w:sz w:val="18"/>
                <w:szCs w:val="18"/>
                <w:color w:val="auto"/>
              </w:rPr>
              <w:t>2000)</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Third Amendment to The Scotts Company Executive Retirement Plan (executed as of December 1, 2002 and effective as of January 1,</w:t>
            </w:r>
          </w:p>
        </w:tc>
      </w:tr>
      <w:tr>
        <w:trPr>
          <w:trHeight w:val="230"/>
        </w:trPr>
        <w:tc>
          <w:tcPr>
            <w:tcW w:w="1000" w:type="dxa"/>
            <w:vAlign w:val="bottom"/>
          </w:tcPr>
          <w:p>
            <w:pPr>
              <w:spacing w:after="0"/>
              <w:rPr>
                <w:sz w:val="20"/>
                <w:szCs w:val="20"/>
                <w:color w:val="auto"/>
              </w:rPr>
            </w:pPr>
          </w:p>
        </w:tc>
        <w:tc>
          <w:tcPr>
            <w:tcW w:w="10420" w:type="dxa"/>
            <w:vAlign w:val="bottom"/>
            <w:gridSpan w:val="2"/>
          </w:tcPr>
          <w:p>
            <w:pPr>
              <w:ind w:left="560"/>
              <w:spacing w:after="0"/>
              <w:rPr>
                <w:sz w:val="20"/>
                <w:szCs w:val="20"/>
                <w:color w:val="auto"/>
              </w:rPr>
            </w:pPr>
            <w:r>
              <w:rPr>
                <w:rFonts w:ascii="Arial" w:cs="Arial" w:eastAsia="Arial" w:hAnsi="Arial"/>
                <w:sz w:val="18"/>
                <w:szCs w:val="18"/>
                <w:color w:val="auto"/>
              </w:rPr>
              <w:t>2003)</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0"/>
              </w:rPr>
              <w:t>Fourth Amendment to The Scotts Company Executive Retirement Plan (executed as of May 5, 2004 and effective as of January 1, 2004)</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3"/>
              </w:rPr>
              <w:t>Fifth Amendment to The Scotts Company Executive Retirement Plan (executed on May 6, 2005 and effective as of March 18, 2005)</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[Amended the name of the plan to be The Scotts Company LLC Executive Retirement Plan]</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Sixth Amendment to The Scotts Company LLC Executive Retirement Plan, executed and effective as of October 8, 2008</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Opinion of Vorys, Sater, Seymour and Pease LLP regarding the legality of securities to be offered*</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Consent of Vorys, Sater, Seymour and Pease LLP (included in Exhibit 5.1)</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Powers of Attorney of Executive Officers and Directors of The Scotts Miracle-Gro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common shares, without par value, of The Scotts Miracle-Gro Company being registered pursuant to this Registration Statement will not be original issuance securities. Accordingly, in accordance with the instructions to Item 8(a) of Part II of Form S-8, no opinion of counsel as to the legality of such common shares is required or provided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360" w:hanging="447"/>
        <w:spacing w:after="0" w:line="272" w:lineRule="auto"/>
        <w:tabs>
          <w:tab w:leader="none" w:pos="1360" w:val="left"/>
        </w:tabs>
        <w:numPr>
          <w:ilvl w:val="2"/>
          <w:numId w:val="1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360" w:right="220" w:hanging="447"/>
        <w:spacing w:after="0" w:line="277" w:lineRule="auto"/>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00" w:right="2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1" w:lineRule="exact"/>
        <w:rPr>
          <w:sz w:val="20"/>
          <w:szCs w:val="20"/>
          <w:color w:val="auto"/>
        </w:rPr>
      </w:pPr>
    </w:p>
    <w:p>
      <w:pPr>
        <w:ind w:left="9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60" w:right="5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7" w:lineRule="exact"/>
        <w:rPr>
          <w:sz w:val="20"/>
          <w:szCs w:val="20"/>
          <w:color w:val="auto"/>
        </w:rPr>
      </w:pPr>
    </w:p>
    <w:p>
      <w:pPr>
        <w:ind w:left="460" w:hanging="452"/>
        <w:spacing w:after="0" w:line="271"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9</w:t>
      </w:r>
      <w:r>
        <w:rPr>
          <w:rFonts w:ascii="Arial" w:cs="Arial" w:eastAsia="Arial" w:hAnsi="Arial"/>
          <w:sz w:val="15"/>
          <w:szCs w:val="15"/>
          <w:color w:val="auto"/>
        </w:rPr>
        <w:t>th</w:t>
      </w:r>
      <w:r>
        <w:rPr>
          <w:rFonts w:ascii="Arial" w:cs="Arial" w:eastAsia="Arial" w:hAnsi="Arial"/>
          <w:sz w:val="18"/>
          <w:szCs w:val="18"/>
          <w:color w:val="auto"/>
        </w:rPr>
        <w:t xml:space="preserve"> day of October, 2008.</w:t>
      </w:r>
    </w:p>
    <w:p>
      <w:pPr>
        <w:spacing w:after="0" w:line="18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256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Chairman of the Board and Chief Executive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Officer</w:t>
      </w:r>
    </w:p>
    <w:p>
      <w:pPr>
        <w:spacing w:after="0" w:line="31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October 9,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1120" w:type="dxa"/>
            <w:vAlign w:val="bottom"/>
          </w:tcPr>
          <w:p>
            <w:pPr>
              <w:spacing w:after="0"/>
              <w:rPr>
                <w:sz w:val="14"/>
                <w:szCs w:val="1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 Baker</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Operating Officer and 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Mark R. Baker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Arnold W. Donald*</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Arnold W. Donald</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182"/>
        </w:trPr>
        <w:tc>
          <w:tcPr>
            <w:tcW w:w="5160" w:type="dxa"/>
            <w:vAlign w:val="bottom"/>
          </w:tcPr>
          <w:p>
            <w:pPr>
              <w:spacing w:after="0" w:line="182" w:lineRule="exact"/>
              <w:rPr>
                <w:sz w:val="20"/>
                <w:szCs w:val="20"/>
                <w:color w:val="auto"/>
              </w:rPr>
            </w:pPr>
            <w:r>
              <w:rPr>
                <w:rFonts w:ascii="Arial" w:cs="Arial" w:eastAsia="Arial" w:hAnsi="Arial"/>
                <w:sz w:val="18"/>
                <w:szCs w:val="18"/>
                <w:color w:val="auto"/>
              </w:rPr>
              <w:t>David C. Evans</w:t>
            </w:r>
          </w:p>
        </w:tc>
        <w:tc>
          <w:tcPr>
            <w:tcW w:w="1120" w:type="dxa"/>
            <w:vAlign w:val="bottom"/>
          </w:tcPr>
          <w:p>
            <w:pPr>
              <w:spacing w:after="0"/>
              <w:rPr>
                <w:sz w:val="15"/>
                <w:szCs w:val="15"/>
                <w:color w:val="auto"/>
              </w:rPr>
            </w:pP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and Chief Financial Officer (Principal Financial</w:t>
            </w:r>
          </w:p>
        </w:tc>
      </w:tr>
      <w:tr>
        <w:trPr>
          <w:trHeight w:val="230"/>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 and Principal Accounting Officer)</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Flannery*</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Joseph P. Flannery</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of the Board and Chief Executive</w:t>
            </w:r>
          </w:p>
        </w:tc>
      </w:tr>
      <w:tr>
        <w:trPr>
          <w:trHeight w:val="182"/>
        </w:trPr>
        <w:tc>
          <w:tcPr>
            <w:tcW w:w="5160" w:type="dxa"/>
            <w:vAlign w:val="bottom"/>
          </w:tcPr>
          <w:p>
            <w:pPr>
              <w:spacing w:after="0" w:line="182" w:lineRule="exact"/>
              <w:rPr>
                <w:sz w:val="20"/>
                <w:szCs w:val="20"/>
                <w:color w:val="auto"/>
              </w:rPr>
            </w:pPr>
            <w:r>
              <w:rPr>
                <w:rFonts w:ascii="Arial" w:cs="Arial" w:eastAsia="Arial" w:hAnsi="Arial"/>
                <w:sz w:val="18"/>
                <w:szCs w:val="18"/>
                <w:color w:val="auto"/>
              </w:rPr>
              <w:t>James Hagedorn</w:t>
            </w:r>
          </w:p>
        </w:tc>
        <w:tc>
          <w:tcPr>
            <w:tcW w:w="1120" w:type="dxa"/>
            <w:vAlign w:val="bottom"/>
          </w:tcPr>
          <w:p>
            <w:pPr>
              <w:spacing w:after="0"/>
              <w:rPr>
                <w:sz w:val="15"/>
                <w:szCs w:val="15"/>
                <w:color w:val="auto"/>
              </w:rPr>
            </w:pP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Officer (Principal Executive Officer) and</w:t>
            </w:r>
          </w:p>
        </w:tc>
      </w:tr>
      <w:tr>
        <w:trPr>
          <w:trHeight w:val="230"/>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N. Kelly Jr.*</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N. Kelly Jr.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F. Kohrt, Ph.D.*</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Carl F. Kohrt, Ph.D.</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4"/>
        </w:trPr>
        <w:tc>
          <w:tcPr>
            <w:tcW w:w="5160" w:type="dxa"/>
            <w:vAlign w:val="bottom"/>
          </w:tcPr>
          <w:p>
            <w:pPr>
              <w:spacing w:after="0"/>
              <w:rPr>
                <w:sz w:val="24"/>
                <w:szCs w:val="24"/>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5140" w:type="dxa"/>
            <w:vAlign w:val="bottom"/>
          </w:tcPr>
          <w:p>
            <w:pPr>
              <w:spacing w:after="0"/>
              <w:rPr>
                <w:sz w:val="24"/>
                <w:szCs w:val="24"/>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1120" w:type="dxa"/>
            <w:vAlign w:val="bottom"/>
          </w:tcPr>
          <w:p>
            <w:pPr>
              <w:spacing w:after="0"/>
              <w:rPr>
                <w:sz w:val="14"/>
                <w:szCs w:val="1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Hagedorn Littlefield*</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G. Mills*</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Karen G. Mills</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G. Mistretta*</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Nancy G. Mistretta</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Norton*</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Patrick J. Norton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M. Shern*</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Stephanie M. Shern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Shiely*</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John S. Shiely</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3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by signing his name hereto, does hereby sign this Registration Statement on Form S-8 on behalf of each of the directors of the Registrant identified above pursuant to Powers of Attorney executed by the directors identified above, which Powers of Attorney are filed with this Registration Statement on Form S-8 as exhibits.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David C. Evans, Attorney-in-Fact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560" w:type="dxa"/>
            <w:vAlign w:val="bottom"/>
            <w:gridSpan w:val="2"/>
          </w:tcPr>
          <w:p>
            <w:pPr>
              <w:jc w:val="center"/>
              <w:ind w:right="4860"/>
              <w:spacing w:after="0"/>
              <w:rPr>
                <w:sz w:val="20"/>
                <w:szCs w:val="20"/>
                <w:color w:val="auto"/>
              </w:rPr>
            </w:pPr>
            <w:r>
              <w:rPr>
                <w:rFonts w:ascii="Arial" w:cs="Arial" w:eastAsia="Arial" w:hAnsi="Arial"/>
                <w:sz w:val="18"/>
                <w:szCs w:val="18"/>
                <w:color w:val="auto"/>
                <w:w w:val="98"/>
              </w:rPr>
              <w:t>INDEX TO EXHIBITS</w:t>
            </w:r>
          </w:p>
        </w:tc>
      </w:tr>
      <w:tr>
        <w:trPr>
          <w:trHeight w:val="385"/>
        </w:trPr>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24"/>
                <w:szCs w:val="2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1700" w:type="dxa"/>
            <w:vAlign w:val="bottom"/>
            <w:tcBorders>
              <w:top w:val="single" w:sz="8" w:color="auto"/>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411"/>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4"/>
              </w:rPr>
              <w:t>Initial Articles of Incorporation of The Scotts Miracle-Gro Company as filed with the Ohio Secretary of State on November 22, 2004,</w:t>
            </w:r>
          </w:p>
        </w:tc>
      </w:tr>
      <w:tr>
        <w:trPr>
          <w:trHeight w:val="216"/>
        </w:trPr>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(the</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“Registrant”) filed on March 24, 2005 [File No. 1-13292]</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6"/>
              </w:rPr>
              <w:t>Certificate of Amendment by Shareholders to Articles of Incorporation of The Scotts Miracle-Gro Company as filed with the Ohio</w:t>
            </w:r>
          </w:p>
        </w:tc>
      </w:tr>
      <w:tr>
        <w:trPr>
          <w:trHeight w:val="216"/>
        </w:trPr>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3"/>
              </w:rPr>
              <w:t>Secretary of State on March 18, 2005, incorporated herein by reference to Exhibit 3.2 to the Registrant’s Current Report on Form 8-K</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filed on March 24, 2005 [File No. 1-13292]</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3"/>
              </w:rPr>
              <w:t>Code of Regulations of The Scotts Miracle-Gro Company, incorporated herein by reference to Exhibit 3.3 to the Registrant’s Current</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Report on Form 8-K filed on March 24, 2005 [File No. 1-13292]</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The Scotts Company Executive Retirement Plan (executed on November 19, 1998 and effective as of January 1, 1999)</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1"/>
              </w:rPr>
              <w:t>First Amendment to The Scotts Company Executive Retirement Plan (executed as of December 23, 1998 and effective as of January 1,</w:t>
            </w:r>
          </w:p>
        </w:tc>
      </w:tr>
      <w:tr>
        <w:trPr>
          <w:trHeight w:val="230"/>
        </w:trPr>
        <w:tc>
          <w:tcPr>
            <w:tcW w:w="1000" w:type="dxa"/>
            <w:vAlign w:val="bottom"/>
          </w:tcPr>
          <w:p>
            <w:pPr>
              <w:spacing w:after="0"/>
              <w:rPr>
                <w:sz w:val="20"/>
                <w:szCs w:val="20"/>
                <w:color w:val="auto"/>
              </w:rPr>
            </w:pPr>
          </w:p>
        </w:tc>
        <w:tc>
          <w:tcPr>
            <w:tcW w:w="3860" w:type="dxa"/>
            <w:vAlign w:val="bottom"/>
            <w:gridSpan w:val="2"/>
          </w:tcPr>
          <w:p>
            <w:pPr>
              <w:ind w:left="560"/>
              <w:spacing w:after="0"/>
              <w:rPr>
                <w:sz w:val="20"/>
                <w:szCs w:val="20"/>
                <w:color w:val="auto"/>
              </w:rPr>
            </w:pPr>
            <w:r>
              <w:rPr>
                <w:rFonts w:ascii="Arial" w:cs="Arial" w:eastAsia="Arial" w:hAnsi="Arial"/>
                <w:sz w:val="18"/>
                <w:szCs w:val="18"/>
                <w:color w:val="auto"/>
              </w:rPr>
              <w:t>1999)</w:t>
            </w:r>
          </w:p>
        </w:tc>
        <w:tc>
          <w:tcPr>
            <w:tcW w:w="17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0"/>
              </w:rPr>
              <w:t>Second Amendment to The Scotts Company Executive Retirement Plan (executed as of January 14, 2000 and effective as of January 1,</w:t>
            </w:r>
          </w:p>
        </w:tc>
      </w:tr>
      <w:tr>
        <w:trPr>
          <w:trHeight w:val="230"/>
        </w:trPr>
        <w:tc>
          <w:tcPr>
            <w:tcW w:w="1000" w:type="dxa"/>
            <w:vAlign w:val="bottom"/>
          </w:tcPr>
          <w:p>
            <w:pPr>
              <w:spacing w:after="0"/>
              <w:rPr>
                <w:sz w:val="20"/>
                <w:szCs w:val="20"/>
                <w:color w:val="auto"/>
              </w:rPr>
            </w:pPr>
          </w:p>
        </w:tc>
        <w:tc>
          <w:tcPr>
            <w:tcW w:w="3860" w:type="dxa"/>
            <w:vAlign w:val="bottom"/>
            <w:gridSpan w:val="2"/>
          </w:tcPr>
          <w:p>
            <w:pPr>
              <w:ind w:left="560"/>
              <w:spacing w:after="0"/>
              <w:rPr>
                <w:sz w:val="20"/>
                <w:szCs w:val="20"/>
                <w:color w:val="auto"/>
              </w:rPr>
            </w:pPr>
            <w:r>
              <w:rPr>
                <w:rFonts w:ascii="Arial" w:cs="Arial" w:eastAsia="Arial" w:hAnsi="Arial"/>
                <w:sz w:val="18"/>
                <w:szCs w:val="18"/>
                <w:color w:val="auto"/>
              </w:rPr>
              <w:t>2000)</w:t>
            </w:r>
          </w:p>
        </w:tc>
        <w:tc>
          <w:tcPr>
            <w:tcW w:w="17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1"/>
              </w:rPr>
              <w:t>Third Amendment to The Scotts Company Executive Retirement Plan (executed as of December 1, 2002 and effective as of January 1,</w:t>
            </w:r>
          </w:p>
        </w:tc>
      </w:tr>
      <w:tr>
        <w:trPr>
          <w:trHeight w:val="230"/>
        </w:trPr>
        <w:tc>
          <w:tcPr>
            <w:tcW w:w="1000" w:type="dxa"/>
            <w:vAlign w:val="bottom"/>
          </w:tcPr>
          <w:p>
            <w:pPr>
              <w:spacing w:after="0"/>
              <w:rPr>
                <w:sz w:val="20"/>
                <w:szCs w:val="20"/>
                <w:color w:val="auto"/>
              </w:rPr>
            </w:pPr>
          </w:p>
        </w:tc>
        <w:tc>
          <w:tcPr>
            <w:tcW w:w="3860" w:type="dxa"/>
            <w:vAlign w:val="bottom"/>
            <w:gridSpan w:val="2"/>
          </w:tcPr>
          <w:p>
            <w:pPr>
              <w:ind w:left="560"/>
              <w:spacing w:after="0"/>
              <w:rPr>
                <w:sz w:val="20"/>
                <w:szCs w:val="20"/>
                <w:color w:val="auto"/>
              </w:rPr>
            </w:pPr>
            <w:r>
              <w:rPr>
                <w:rFonts w:ascii="Arial" w:cs="Arial" w:eastAsia="Arial" w:hAnsi="Arial"/>
                <w:sz w:val="18"/>
                <w:szCs w:val="18"/>
                <w:color w:val="auto"/>
              </w:rPr>
              <w:t>2003)</w:t>
            </w:r>
          </w:p>
        </w:tc>
        <w:tc>
          <w:tcPr>
            <w:tcW w:w="17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0"/>
              </w:rPr>
              <w:t>Fourth Amendment to The Scotts Company Executive Retirement Plan (executed as of May 5, 2004 and effective as of January 1, 2004)</w:t>
            </w:r>
          </w:p>
        </w:tc>
      </w:tr>
      <w:tr>
        <w:trPr>
          <w:trHeight w:val="418"/>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w w:val="93"/>
              </w:rPr>
              <w:t>Fifth Amendment to The Scotts Company Executive Retirement Plan (executed on May 6, 2005 and effective as of March 18, 2005)</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[Amended the name of the plan to be The Scotts Company LLC Executive Retirement Plan]</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Sixth Amendment to The Scotts Company LLC Executive Retirement Plan, executed and effective as of October 8, 2008</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Opinion of Vorys, Sater, Seymour and Pease LLP regarding the legality of securities to be offered*</w:t>
            </w:r>
          </w:p>
        </w:tc>
      </w:tr>
      <w:tr>
        <w:trPr>
          <w:trHeight w:val="432"/>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Consent of Vorys, Sater, Seymour and Pease LLP (included in Exhibit 5.1)</w:t>
            </w:r>
          </w:p>
        </w:tc>
      </w:tr>
      <w:tr>
        <w:trPr>
          <w:trHeight w:val="405"/>
        </w:trPr>
        <w:tc>
          <w:tcPr>
            <w:tcW w:w="1000" w:type="dxa"/>
            <w:vAlign w:val="bottom"/>
          </w:tcPr>
          <w:p>
            <w:pPr>
              <w:spacing w:after="0"/>
              <w:rPr>
                <w:sz w:val="24"/>
                <w:szCs w:val="24"/>
                <w:color w:val="auto"/>
              </w:rPr>
            </w:pPr>
          </w:p>
        </w:tc>
        <w:tc>
          <w:tcPr>
            <w:tcW w:w="5560" w:type="dxa"/>
            <w:vAlign w:val="bottom"/>
            <w:gridSpan w:val="3"/>
          </w:tcPr>
          <w:p>
            <w:pPr>
              <w:jc w:val="right"/>
              <w:ind w:right="610"/>
              <w:spacing w:after="0"/>
              <w:rPr>
                <w:sz w:val="20"/>
                <w:szCs w:val="20"/>
                <w:color w:val="auto"/>
              </w:rPr>
            </w:pPr>
            <w:r>
              <w:rPr>
                <w:rFonts w:ascii="Arial" w:cs="Arial" w:eastAsia="Arial" w:hAnsi="Arial"/>
                <w:sz w:val="18"/>
                <w:szCs w:val="18"/>
                <w:color w:val="auto"/>
              </w:rPr>
              <w:t>-18-</w:t>
            </w:r>
          </w:p>
        </w:tc>
        <w:tc>
          <w:tcPr>
            <w:tcW w:w="4860" w:type="dxa"/>
            <w:vAlign w:val="bottom"/>
          </w:tcPr>
          <w:p>
            <w:pPr>
              <w:spacing w:after="0"/>
              <w:rPr>
                <w:sz w:val="24"/>
                <w:szCs w:val="24"/>
                <w:color w:val="auto"/>
              </w:rPr>
            </w:pPr>
          </w:p>
        </w:tc>
      </w:tr>
      <w:tr>
        <w:trPr>
          <w:trHeight w:val="226"/>
        </w:trPr>
        <w:tc>
          <w:tcPr>
            <w:tcW w:w="1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14"/>
                <w:szCs w:val="14"/>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100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432"/>
        </w:trPr>
        <w:tc>
          <w:tcPr>
            <w:tcW w:w="100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Powers of Attorney of Executive Officers and Directors of The Scotts Miracle-Gro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common shares, without par value, of The Scotts Miracle-Gro Company being registered pursuant to this Registration Statement will not be original issuance securities. Accordingly, in accordance with the instructions to Item 8(a) of Part II of Form S-8, no opinion of counsel as to the legality of such common shares is required or provided 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1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COMPANY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EXECUTIVE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396875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SCOTTS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RETIREMENT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7840" w:type="dxa"/>
            <w:vAlign w:val="bottom"/>
          </w:tcPr>
          <w:p>
            <w:pPr>
              <w:ind w:left="100"/>
              <w:spacing w:after="0"/>
              <w:rPr>
                <w:sz w:val="20"/>
                <w:szCs w:val="20"/>
                <w:color w:val="auto"/>
              </w:rPr>
            </w:pPr>
            <w:r>
              <w:rPr>
                <w:rFonts w:ascii="Arial" w:cs="Arial" w:eastAsia="Arial" w:hAnsi="Arial"/>
                <w:sz w:val="18"/>
                <w:szCs w:val="18"/>
                <w:color w:val="auto"/>
              </w:rPr>
              <w:t>NAME AND PURPOSE</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78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7840" w:type="dxa"/>
            <w:vAlign w:val="bottom"/>
          </w:tcPr>
          <w:p>
            <w:pPr>
              <w:ind w:left="100"/>
              <w:spacing w:after="0"/>
              <w:rPr>
                <w:sz w:val="20"/>
                <w:szCs w:val="20"/>
                <w:color w:val="auto"/>
              </w:rPr>
            </w:pPr>
            <w:r>
              <w:rPr>
                <w:rFonts w:ascii="Arial" w:cs="Arial" w:eastAsia="Arial" w:hAnsi="Arial"/>
                <w:sz w:val="18"/>
                <w:szCs w:val="18"/>
                <w:color w:val="auto"/>
              </w:rPr>
              <w:t>PARTICIPANTS</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7840" w:type="dxa"/>
            <w:vAlign w:val="bottom"/>
          </w:tcPr>
          <w:p>
            <w:pPr>
              <w:ind w:left="100"/>
              <w:spacing w:after="0"/>
              <w:rPr>
                <w:sz w:val="20"/>
                <w:szCs w:val="20"/>
                <w:color w:val="auto"/>
              </w:rPr>
            </w:pPr>
            <w:r>
              <w:rPr>
                <w:rFonts w:ascii="Arial" w:cs="Arial" w:eastAsia="Arial" w:hAnsi="Arial"/>
                <w:sz w:val="18"/>
                <w:szCs w:val="18"/>
                <w:color w:val="auto"/>
              </w:rPr>
              <w:t>ACCOUNTS</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V.</w:t>
            </w:r>
          </w:p>
        </w:tc>
        <w:tc>
          <w:tcPr>
            <w:tcW w:w="7840" w:type="dxa"/>
            <w:vAlign w:val="bottom"/>
          </w:tcPr>
          <w:p>
            <w:pPr>
              <w:ind w:left="100"/>
              <w:spacing w:after="0"/>
              <w:rPr>
                <w:sz w:val="20"/>
                <w:szCs w:val="20"/>
                <w:color w:val="auto"/>
              </w:rPr>
            </w:pPr>
            <w:r>
              <w:rPr>
                <w:rFonts w:ascii="Arial" w:cs="Arial" w:eastAsia="Arial" w:hAnsi="Arial"/>
                <w:sz w:val="18"/>
                <w:szCs w:val="18"/>
                <w:color w:val="auto"/>
              </w:rPr>
              <w:t>METHOD OF DISTRIBUTION OF DEFERRED COMPENSATION</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VI.</w:t>
            </w:r>
          </w:p>
        </w:tc>
        <w:tc>
          <w:tcPr>
            <w:tcW w:w="7840" w:type="dxa"/>
            <w:vAlign w:val="bottom"/>
          </w:tcPr>
          <w:p>
            <w:pPr>
              <w:ind w:left="100"/>
              <w:spacing w:after="0"/>
              <w:rPr>
                <w:sz w:val="20"/>
                <w:szCs w:val="20"/>
                <w:color w:val="auto"/>
              </w:rPr>
            </w:pPr>
            <w:r>
              <w:rPr>
                <w:rFonts w:ascii="Arial" w:cs="Arial" w:eastAsia="Arial" w:hAnsi="Arial"/>
                <w:sz w:val="18"/>
                <w:szCs w:val="18"/>
                <w:color w:val="auto"/>
              </w:rPr>
              <w:t>BENEFIT PLANS</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VII.</w:t>
            </w:r>
          </w:p>
        </w:tc>
        <w:tc>
          <w:tcPr>
            <w:tcW w:w="7840" w:type="dxa"/>
            <w:vAlign w:val="bottom"/>
          </w:tcPr>
          <w:p>
            <w:pPr>
              <w:ind w:left="100"/>
              <w:spacing w:after="0"/>
              <w:rPr>
                <w:sz w:val="20"/>
                <w:szCs w:val="20"/>
                <w:color w:val="auto"/>
              </w:rPr>
            </w:pPr>
            <w:r>
              <w:rPr>
                <w:rFonts w:ascii="Arial" w:cs="Arial" w:eastAsia="Arial" w:hAnsi="Arial"/>
                <w:sz w:val="18"/>
                <w:szCs w:val="18"/>
                <w:color w:val="auto"/>
              </w:rPr>
              <w:t>PARTICIPANT'S RIGHTS</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VIII.</w:t>
            </w:r>
          </w:p>
        </w:tc>
        <w:tc>
          <w:tcPr>
            <w:tcW w:w="7840" w:type="dxa"/>
            <w:vAlign w:val="bottom"/>
          </w:tcPr>
          <w:p>
            <w:pPr>
              <w:ind w:left="100"/>
              <w:spacing w:after="0"/>
              <w:rPr>
                <w:sz w:val="20"/>
                <w:szCs w:val="20"/>
                <w:color w:val="auto"/>
              </w:rPr>
            </w:pPr>
            <w:r>
              <w:rPr>
                <w:rFonts w:ascii="Arial" w:cs="Arial" w:eastAsia="Arial" w:hAnsi="Arial"/>
                <w:sz w:val="18"/>
                <w:szCs w:val="18"/>
                <w:color w:val="auto"/>
              </w:rPr>
              <w:t>NON-ALIENABILITY AND NONTRANSFERABILITY</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IX.</w:t>
            </w:r>
          </w:p>
        </w:tc>
        <w:tc>
          <w:tcPr>
            <w:tcW w:w="7840" w:type="dxa"/>
            <w:vAlign w:val="bottom"/>
          </w:tcPr>
          <w:p>
            <w:pPr>
              <w:ind w:left="100"/>
              <w:spacing w:after="0"/>
              <w:rPr>
                <w:sz w:val="20"/>
                <w:szCs w:val="20"/>
                <w:color w:val="auto"/>
              </w:rPr>
            </w:pPr>
            <w:r>
              <w:rPr>
                <w:rFonts w:ascii="Arial" w:cs="Arial" w:eastAsia="Arial" w:hAnsi="Arial"/>
                <w:sz w:val="18"/>
                <w:szCs w:val="18"/>
                <w:color w:val="auto"/>
              </w:rPr>
              <w:t>ADMINISTRATION</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X.</w:t>
            </w:r>
          </w:p>
        </w:tc>
        <w:tc>
          <w:tcPr>
            <w:tcW w:w="7840" w:type="dxa"/>
            <w:vAlign w:val="bottom"/>
          </w:tcPr>
          <w:p>
            <w:pPr>
              <w:ind w:left="100"/>
              <w:spacing w:after="0"/>
              <w:rPr>
                <w:sz w:val="20"/>
                <w:szCs w:val="20"/>
                <w:color w:val="auto"/>
              </w:rPr>
            </w:pPr>
            <w:r>
              <w:rPr>
                <w:rFonts w:ascii="Arial" w:cs="Arial" w:eastAsia="Arial" w:hAnsi="Arial"/>
                <w:sz w:val="18"/>
                <w:szCs w:val="18"/>
                <w:color w:val="auto"/>
              </w:rPr>
              <w:t>CLAIMS PROCEDURE</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XI.</w:t>
            </w:r>
          </w:p>
        </w:tc>
        <w:tc>
          <w:tcPr>
            <w:tcW w:w="7840" w:type="dxa"/>
            <w:vAlign w:val="bottom"/>
          </w:tcPr>
          <w:p>
            <w:pPr>
              <w:ind w:left="100"/>
              <w:spacing w:after="0"/>
              <w:rPr>
                <w:sz w:val="20"/>
                <w:szCs w:val="20"/>
                <w:color w:val="auto"/>
              </w:rPr>
            </w:pPr>
            <w:r>
              <w:rPr>
                <w:rFonts w:ascii="Arial" w:cs="Arial" w:eastAsia="Arial" w:hAnsi="Arial"/>
                <w:sz w:val="18"/>
                <w:szCs w:val="18"/>
                <w:color w:val="auto"/>
              </w:rPr>
              <w:t>AMENDMENT AND TERMINATION</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XII.</w:t>
            </w:r>
          </w:p>
        </w:tc>
        <w:tc>
          <w:tcPr>
            <w:tcW w:w="7840" w:type="dxa"/>
            <w:vAlign w:val="bottom"/>
          </w:tcPr>
          <w:p>
            <w:pPr>
              <w:ind w:left="100"/>
              <w:spacing w:after="0"/>
              <w:rPr>
                <w:sz w:val="20"/>
                <w:szCs w:val="20"/>
                <w:color w:val="auto"/>
              </w:rPr>
            </w:pPr>
            <w:r>
              <w:rPr>
                <w:rFonts w:ascii="Arial" w:cs="Arial" w:eastAsia="Arial" w:hAnsi="Arial"/>
                <w:sz w:val="18"/>
                <w:szCs w:val="18"/>
                <w:color w:val="auto"/>
              </w:rPr>
              <w:t>GENERAL PROVISIONS</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XIII.</w:t>
            </w:r>
          </w:p>
        </w:tc>
        <w:tc>
          <w:tcPr>
            <w:tcW w:w="7840" w:type="dxa"/>
            <w:vAlign w:val="bottom"/>
          </w:tcPr>
          <w:p>
            <w:pPr>
              <w:ind w:left="100"/>
              <w:spacing w:after="0"/>
              <w:rPr>
                <w:sz w:val="20"/>
                <w:szCs w:val="20"/>
                <w:color w:val="auto"/>
              </w:rPr>
            </w:pPr>
            <w:r>
              <w:rPr>
                <w:rFonts w:ascii="Arial" w:cs="Arial" w:eastAsia="Arial" w:hAnsi="Arial"/>
                <w:sz w:val="18"/>
                <w:szCs w:val="18"/>
                <w:color w:val="auto"/>
              </w:rPr>
              <w:t>UNFUNDED STATUS OF THE PLAN</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632"/>
        </w:trPr>
        <w:tc>
          <w:tcPr>
            <w:tcW w:w="480" w:type="dxa"/>
            <w:vAlign w:val="bottom"/>
            <w:tcBorders>
              <w:bottom w:val="single" w:sz="8" w:color="808080"/>
            </w:tcBorders>
          </w:tcPr>
          <w:p>
            <w:pPr>
              <w:spacing w:after="0"/>
              <w:rPr>
                <w:sz w:val="24"/>
                <w:szCs w:val="24"/>
                <w:color w:val="auto"/>
              </w:rPr>
            </w:pPr>
          </w:p>
        </w:tc>
        <w:tc>
          <w:tcPr>
            <w:tcW w:w="784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THE SCOTTS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EXECUTIVE RETIREMENT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NAME AND PURPOSE</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Scotts Company Incentive Pay Deferral Plan is hereby amended and restated as The Scotts Company Executive Retirement Plan effective as of January 1, 1999. The Plan provides Eligible Employees with the opportunity to defer bonuses under the Executive Annual Incentive Plan and supplements the benefits of Eligible Employees under The Scotts Company Retirement Savings Plan. The benefits under the Plan are to be provided from the Plan on an unfunded basis. It is intended that the Plan be exempt from the funding, participation, vesting and fiduciary provisions of Title I of ERISA.</w:t>
      </w:r>
    </w:p>
    <w:p>
      <w:pPr>
        <w:spacing w:after="0" w:line="154"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The following terms will have the meanings provided below.</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“Account” means the separate Account established for each Participant pursuant to Section IV of the Plan. A Participant’s Account shall consist of a Deferred Executive Incentive Pay Account, a Deferred Compensation Account, a Matching Account, a Retirement Account and a Transitional Contributions Account.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“Additions” means the credits applied to Accounts as provided in Section IV hereof.</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“Administrative Committee” means the administrative committee appointed by the Board to administer the tax qualified retirement plans which are also sponsored by the Employer.</w:t>
      </w:r>
    </w:p>
    <w:p>
      <w:pPr>
        <w:spacing w:after="0" w:line="62"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“Beneficiary” means the person or persons designated in writing as such and filed with the Administrative Committee at any time by a Participant. Any such designation may be withdrawn or changed in writing (without the consent of the Beneficiary), but only the last designation on file with the Administrative Committee shall be effective.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means the Board of Directors of The Scotts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color w:val="auto"/>
        </w:rPr>
        <w:t>“Code” means the Internal Revenue Code of 1986, as may be amended from time to time.</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“Company Stock Fund” means a fund consisting of common shares of the Company and cash or cash equivalents needed to meet obligations of such fund or for the purchase of common shares of the Company.</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“Compensation” has the meaning specified under the applicable provisions of the Qualified Plan, except that Compensation in excess of the Pay Cap shall be included. Executive Incentive Pay shall be: (a) included in Compensation for purposes of allocating Employer contributions to Participants’ Retirement Accounts and Transitional Contribution Accounts; and (b) shall be excluded from Compensation for purposes of allocating Employer contributions to Participants’ Matching Accounts and Participants’ Compensation Deferral Elections.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Deferral Election” means an Eligible Employee’s election, on a form prescribed by the Administrative Committee, to defer Compensation.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“ERISA” means the Employee Retirement Income Security Act of 1974, as may be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Date” means January 1, 1999.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“Eligible Employee” has the meaning specified in Section III of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means an individual employed as a common law employee of the Employer.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“Employer” means The Scotts Company and affiliates of The Scotts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 Incentive Pay” means, with respect to each Participant, any bonus under the Executive Annual Incentive Plan.</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“Executive Incentive Pay Deferral Election” means an Eligible Employee’s election, on a form prescribed by the Administrative Committee, to defer Executive Incentive Pay.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“Investment Fund” means the Company Stock Fund or one of the Outside Investment Funds.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ind w:firstLine="225"/>
        <w:spacing w:after="0" w:line="277" w:lineRule="auto"/>
        <w:rPr>
          <w:sz w:val="20"/>
          <w:szCs w:val="20"/>
          <w:color w:val="auto"/>
        </w:rPr>
      </w:pPr>
      <w:r>
        <w:rPr>
          <w:rFonts w:ascii="Arial" w:cs="Arial" w:eastAsia="Arial" w:hAnsi="Arial"/>
          <w:sz w:val="18"/>
          <w:szCs w:val="18"/>
          <w:color w:val="auto"/>
        </w:rPr>
        <w:t>“Outside Investment Fund” means an investment fund, other than the Company Stock Fund, which has been designated by the Administrative Committee as available to use as a measure of appreciation or depreciation of Participants’ Accounts.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 has the meaning specified in Section III of the Plan.</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“Plan” means The Scotts Company Executive Retirement Plan, as reflected in this document, as the same may be amended from time to time after the Effective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Year” means the calendar year.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“Qualified Plan” means The Scotts Company Retirement Savings Plan and any amendments made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“Statutory Limits” means the following:</w:t>
      </w:r>
    </w:p>
    <w:p>
      <w:pPr>
        <w:spacing w:after="0" w:line="117" w:lineRule="exact"/>
        <w:rPr>
          <w:sz w:val="20"/>
          <w:szCs w:val="20"/>
          <w:color w:val="auto"/>
        </w:rPr>
      </w:pPr>
    </w:p>
    <w:p>
      <w:pPr>
        <w:ind w:left="480" w:hanging="247"/>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recognizable annual compensation under Code Section 401(a)(17) — the “Pay Cap”;</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annual additions under Code Section 415(c) — the “415 Limit”;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exclusion of excess deferrals under Code Section 402(g)(1) — the “Deferral Limit”;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limits on contributions for highly compensated employees under Code Sections 401(k)(3) (the “ADP Test”) and 401(m)(2) (the “ACP Test”).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III. PARTICIPANTS</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Each Employee who is an executive in Band G or above shall be eligible to participate in the Plan and shall be treated as an “Eligible Employee.” Each Eligible Employee who elects to participate in the Plan or for whom Employer contributions are credited pursuant to Section IV shall be designated a “Participant” in the Plan. A Participant shall continue to participate in the Plan until his status as a Participant is terminated by: (a) a complete distribution of his Account pursuant to the terms of the Plan; (b) termination of the Plan; or (c) written directive of the Administrative Committee. Notwithstanding the foregoing, Joseph D. Dioguardi shall not be eligible to participate in the Plan.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IV. ACCOUNTS</w:t>
      </w:r>
    </w:p>
    <w:p>
      <w:pPr>
        <w:spacing w:after="0" w:line="117"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 Establishment of Accounts. The Administrative Committee will establish an Account for each Participant. A Participant’s Account shall consist of a Deferred Executive Incentive Pay Account, a Deferred Compensation Account, a Matching Account, a Retirement Account and a Transitional Contributions Account.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Election of Participant to Defer Executive Incentive Pay.</w:t>
      </w:r>
    </w:p>
    <w:p>
      <w:pPr>
        <w:spacing w:after="0" w:line="117" w:lineRule="exact"/>
        <w:rPr>
          <w:sz w:val="20"/>
          <w:szCs w:val="20"/>
          <w:color w:val="auto"/>
        </w:rPr>
      </w:pPr>
    </w:p>
    <w:p>
      <w:pPr>
        <w:ind w:firstLine="458"/>
        <w:spacing w:after="0" w:line="291" w:lineRule="auto"/>
        <w:tabs>
          <w:tab w:leader="none" w:pos="7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respect to each Plan Year, an Eligible Employee may elect to have a percentage or a flat dollar amount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the Eligible Employee must advise the Employer of his election, in writing,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 Employee terminates employment or changes to an employment status other than an Eligible Employee, his election to defer Executive Incentive Pay shall terminate and no additional amounts shall be deferred.</w:t>
      </w:r>
    </w:p>
    <w:p>
      <w:pPr>
        <w:spacing w:after="0" w:line="59" w:lineRule="exact"/>
        <w:rPr>
          <w:rFonts w:ascii="Arial" w:cs="Arial" w:eastAsia="Arial" w:hAnsi="Arial"/>
          <w:sz w:val="16"/>
          <w:szCs w:val="16"/>
          <w:color w:val="auto"/>
        </w:rPr>
      </w:pPr>
    </w:p>
    <w:p>
      <w:pPr>
        <w:jc w:val="both"/>
        <w:ind w:right="20" w:firstLine="458"/>
        <w:spacing w:after="0" w:line="279"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the preceding paragraph, for the Plan Year in which an Employee first becomes an Eligible Employee, the Eligible Employee may complete a Executive Incentive Pay Deferral Election at any time within thirty (30) days following the date on which he became an Eligible Employee. Such Executive Incentive Pay Deferral Election shall apply only to Executive Incentive Pay declared by the Employer and payable to the Eligible Employee after the date on which the Executive Incentive Pay Deferral Election is received by the Administrative Committee.</w:t>
      </w:r>
    </w:p>
    <w:p>
      <w:pPr>
        <w:spacing w:after="0" w:line="63" w:lineRule="exact"/>
        <w:rPr>
          <w:rFonts w:ascii="Arial" w:cs="Arial" w:eastAsia="Arial" w:hAnsi="Arial"/>
          <w:sz w:val="17"/>
          <w:szCs w:val="17"/>
          <w:color w:val="auto"/>
        </w:rPr>
      </w:pPr>
    </w:p>
    <w:p>
      <w:pPr>
        <w:ind w:right="200" w:firstLine="458"/>
        <w:spacing w:after="0" w:line="277"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 Executive Incentive Pay Deferral Election is submitted to the Administrative Committee in accordance with this Section, the Employer will allocate to the Participant’s Deferred Executive Incentive Pay Account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percentage or dollar amount of Executive Incentive Pay specified in the Executive Incentive Pay Deferral Election.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Election of Participant to Defer Compensation.</w:t>
      </w:r>
    </w:p>
    <w:p>
      <w:pPr>
        <w:spacing w:after="0" w:line="117" w:lineRule="exact"/>
        <w:rPr>
          <w:sz w:val="20"/>
          <w:szCs w:val="20"/>
          <w:color w:val="auto"/>
        </w:rPr>
      </w:pPr>
    </w:p>
    <w:p>
      <w:pPr>
        <w:ind w:firstLine="458"/>
        <w:spacing w:after="0" w:line="268" w:lineRule="auto"/>
        <w:tabs>
          <w:tab w:leader="none" w:pos="70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each pay period, subject to the maximum percentage deferral permitted under the terms of the Qualified Plan, an Eligible Employee may elect to have a percentage or a flat dollar amount of his Compensation which is to be paid to him by the Employer for the pay period in question allocated to his Deferred Compensation Account and paid on a deferred basis pursuant to the terms of the Plan. To exercise such election for any Plan Year, within thirty (30) days prior to the beginning of such Plan Year, the Eligible Employee must advise the Employer of his election, in writing, on a Compensation Deferral Election. Such Compensation Deferral Election shall apply only to Compensation payable to the Participant after the date on which the Compensation Deferral Election is received by the Administrative Committee. If an Eligible Employee terminates employment or changes to an employment status other than an Eligible Employee, his election to defer Compensation shall terminate and no additional amounts shall be deferred. A Participant shall be permitted, pursuant to this Section IV.C. to defer amounts of his Compensation that could otherwise have been contributed to the Qualified Plan, for such Plan Year, were it not for the application of any of the Statutory Limits. If, during the Plan Year, in the sole discretion of the Administrative Committee and the administrator of the Qualified Plan, contribution percentages under the Qualified Plan must be further reduced to insure passage of the ADP Test and/or the ACP Test, or Participants’ contributions to the Qualified Plan must be reduced to satisfy the Deferral Limit, any reduced contribution attributable to Participants of this Plan shall be deferred automatically under this Plan. However, if it is determined after the end of the Plan Year that the ADP and/or the ACP Test would be failed, any and all corrective action will be taken in accordance with the rules of the Qualified Plan and no additional amounts may be deferred under this Plan for that Plan Year.</w:t>
      </w:r>
    </w:p>
    <w:p>
      <w:pPr>
        <w:spacing w:after="0" w:line="77" w:lineRule="exact"/>
        <w:rPr>
          <w:rFonts w:ascii="Arial" w:cs="Arial" w:eastAsia="Arial" w:hAnsi="Arial"/>
          <w:sz w:val="17"/>
          <w:szCs w:val="17"/>
          <w:color w:val="auto"/>
        </w:rPr>
      </w:pPr>
    </w:p>
    <w:p>
      <w:pPr>
        <w:ind w:firstLine="458"/>
        <w:spacing w:after="0" w:line="286" w:lineRule="auto"/>
        <w:tabs>
          <w:tab w:leader="none" w:pos="7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the preceding paragraph, for the Plan Year in which an Employee first becomes an Eligible Employee, the Eligible Employee may complete a Compensation Deferral Election at any time within thirty (30) days following the date on which he became an Eligible Employee. Such Compensation Deferral Election shall apply only to Compensation earned by and payable to the Eligible Employee after the date 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which the Compensation Deferral Election is received by the Administrative Committee.</w:t>
      </w:r>
    </w:p>
    <w:p>
      <w:pPr>
        <w:spacing w:after="0" w:line="117" w:lineRule="exact"/>
        <w:rPr>
          <w:sz w:val="20"/>
          <w:szCs w:val="20"/>
          <w:color w:val="auto"/>
        </w:rPr>
      </w:pPr>
    </w:p>
    <w:p>
      <w:pPr>
        <w:ind w:firstLine="458"/>
        <w:spacing w:after="0" w:line="259"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a Compensation Deferral Election is submitted to the Administrative Committee in accordance with this Section, the Employer will allocate to the Participant’s Deferred Compensation Account the amount of the Employer contributions that would have been made pursuant to the Qualified Plan had all deferrals under the Compensation Deferral Election been made to the Qualified Plan without application of any of the Statutory Limits, reduced by the amount of Employer contributions actually allocated to the Qualified Plan on behalf of such Participant.</w:t>
      </w:r>
    </w:p>
    <w:p>
      <w:pPr>
        <w:spacing w:after="0" w:line="78"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D. Employer Contributions.</w:t>
      </w:r>
    </w:p>
    <w:p>
      <w:pPr>
        <w:spacing w:after="0" w:line="117" w:lineRule="exact"/>
        <w:rPr>
          <w:rFonts w:ascii="Arial" w:cs="Arial" w:eastAsia="Arial" w:hAnsi="Arial"/>
          <w:sz w:val="18"/>
          <w:szCs w:val="18"/>
          <w:color w:val="auto"/>
        </w:rPr>
      </w:pPr>
    </w:p>
    <w:p>
      <w:pPr>
        <w:ind w:right="280" w:firstLine="458"/>
        <w:spacing w:after="0" w:line="342" w:lineRule="auto"/>
        <w:tabs>
          <w:tab w:leader="none" w:pos="705" w:val="left"/>
        </w:tabs>
        <w:numPr>
          <w:ilvl w:val="1"/>
          <w:numId w:val="27"/>
        </w:numPr>
        <w:rPr>
          <w:rFonts w:ascii="Arial" w:cs="Arial" w:eastAsia="Arial" w:hAnsi="Arial"/>
          <w:sz w:val="16"/>
          <w:szCs w:val="16"/>
          <w:color w:val="auto"/>
        </w:rPr>
      </w:pPr>
      <w:r>
        <w:rPr>
          <w:rFonts w:ascii="Arial" w:cs="Arial" w:eastAsia="Arial" w:hAnsi="Arial"/>
          <w:sz w:val="16"/>
          <w:szCs w:val="16"/>
          <w:color w:val="auto"/>
        </w:rPr>
        <w:t>Retirement Contribution. For the Plan Year ending December 31, 1998 and each Plan Year thereafter, the Employer will allocate to each Eligible Employee’s Retirement Account an amount equal to 4% of the Eligible Employee’s Compensation for such Plan Year in excess of the Pay Cap.</w:t>
      </w:r>
    </w:p>
    <w:p>
      <w:pPr>
        <w:spacing w:after="0" w:line="15" w:lineRule="exact"/>
        <w:rPr>
          <w:rFonts w:ascii="Arial" w:cs="Arial" w:eastAsia="Arial" w:hAnsi="Arial"/>
          <w:sz w:val="16"/>
          <w:szCs w:val="16"/>
          <w:color w:val="auto"/>
        </w:rPr>
      </w:pPr>
    </w:p>
    <w:p>
      <w:pPr>
        <w:ind w:right="40" w:firstLine="458"/>
        <w:spacing w:after="0" w:line="259" w:lineRule="auto"/>
        <w:tabs>
          <w:tab w:leader="none" w:pos="7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Matching Contributions. For each pay period, the Employer shall make matching contributions to the Matching Account of each Participant who elects to defer Compensation in accordance with Section IV.C. For each pay period, the amount of such matching contribution will be 100% of the first 3% of Compensation deferred and 50% of the next 2% of Compensation deferred, less any matching contributions made on behalf of the Participant under the Qualified Plan.</w:t>
      </w:r>
    </w:p>
    <w:p>
      <w:pPr>
        <w:spacing w:after="0" w:line="78" w:lineRule="exact"/>
        <w:rPr>
          <w:rFonts w:ascii="Arial" w:cs="Arial" w:eastAsia="Arial" w:hAnsi="Arial"/>
          <w:sz w:val="18"/>
          <w:szCs w:val="18"/>
          <w:color w:val="auto"/>
        </w:rPr>
      </w:pPr>
    </w:p>
    <w:p>
      <w:pPr>
        <w:ind w:right="40" w:firstLine="458"/>
        <w:spacing w:after="0" w:line="259" w:lineRule="auto"/>
        <w:tabs>
          <w:tab w:leader="none" w:pos="70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Transitional Contributions. For the Plan Years ending December 31, 1998, 1999, 2000, 2001, and 2002, the Employer will allocate, to the Transitional Contributions Account of each Eligible Employee receiving transitional contributions under the Qualified Plan, an amount equal to: (a) the transitional contribution the Eligible Employee would have been entitled to receive under the Qualified Plan without regard to the Pay Cap and the 415 Limit; minus (b) the transitional contribution allocated to the Eligible Employee under the Qualified Plan.</w:t>
      </w:r>
    </w:p>
    <w:p>
      <w:pPr>
        <w:spacing w:after="0" w:line="78" w:lineRule="exact"/>
        <w:rPr>
          <w:rFonts w:ascii="Arial" w:cs="Arial" w:eastAsia="Arial" w:hAnsi="Arial"/>
          <w:sz w:val="18"/>
          <w:szCs w:val="18"/>
          <w:color w:val="auto"/>
        </w:rPr>
      </w:pPr>
    </w:p>
    <w:p>
      <w:pPr>
        <w:ind w:left="720" w:hanging="262"/>
        <w:spacing w:after="0"/>
        <w:tabs>
          <w:tab w:leader="none" w:pos="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Right to Amend or Terminate. Employer contributions under this Section may be amended or terminated at any time under Section XI.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80" w:firstLine="225"/>
        <w:spacing w:after="0" w:line="277" w:lineRule="auto"/>
        <w:rPr>
          <w:sz w:val="20"/>
          <w:szCs w:val="20"/>
          <w:color w:val="auto"/>
        </w:rPr>
      </w:pPr>
      <w:r>
        <w:rPr>
          <w:rFonts w:ascii="Arial" w:cs="Arial" w:eastAsia="Arial" w:hAnsi="Arial"/>
          <w:sz w:val="18"/>
          <w:szCs w:val="18"/>
          <w:color w:val="auto"/>
        </w:rPr>
        <w:t>E. Investment Funds. The Administrative Committee may change or discontinue the availability of any of the Investment Funds, except that the Company Stock Fund shall continue to be available for the measure of appreciation or depreciation of previously credited amounts.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 Outside Investment Funds. Each Participant shall direct the portion of future contributions to, and the existing balance in, the Participant’s Account to be treated as credited to one or more of the Outside Investment Funds. A Participant may change his or her direction among the Outside Investment Funds as of any business day by providing instructions in such manner as may be prescribed by the Administrative Committee, subject to any applicable restrictions under an Outside Investment Fund.</w:t>
      </w:r>
    </w:p>
    <w:p>
      <w:pPr>
        <w:spacing w:after="0" w:line="7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G. Company Stock Fund. Unless the Administrative Committee discontinues the availability of the Company Stock Fund, a Participant may direct that all or a portion of future contributions to the Participant’s Account be treated as credited to the Company Stock Fund. A Participant’s direction to have amounts credited to the Company Stock Fund shall be irrevocable as to amounts previously credited. Notwithstanding the foregoing, if a Participant directed that an amount be credited to the Company Stock Fund before July 1, 1998, he may elect by October 1, 1998 to change such direction. After October 1, 1998, the direction into the Company Stock Fund shall be irrevocable as provided herein.</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H. Adjustment of Account Balances. As of each business day, the Administrative Committee shall credit or debit the balance in the Participant’s Account with Additions which shall mirror the appreciation or depreciation experienced by those Investment Funds to which the Participant’s Account is credited. The crediting or debiting of Additions shall occur so long as there is a balance in the Participant’s Account regardless of whether the Participant has terminated employment with the Employer or has died. The Administrative Committee may prescribe any reasonable method or procedure for the accounting of Additions.</w:t>
      </w:r>
    </w:p>
    <w:p>
      <w:pPr>
        <w:spacing w:after="0" w:line="80"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I. FICA. Deferrals and Additions shall be taken into account as “wages” for purposes of the employment taxes imposed by the Federal Insurance Contributions Act in accordance with regulations promulgated by the Internal Revenue Service.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V. METHOD OF DISTRIBUTION OF DEFERRED COMPENSATION</w:t>
      </w:r>
    </w:p>
    <w:p>
      <w:pPr>
        <w:spacing w:after="0" w:line="117" w:lineRule="exact"/>
        <w:rPr>
          <w:sz w:val="20"/>
          <w:szCs w:val="20"/>
          <w:color w:val="auto"/>
        </w:rPr>
      </w:pPr>
    </w:p>
    <w:p>
      <w:pPr>
        <w:ind w:firstLine="215"/>
        <w:spacing w:after="0" w:line="312" w:lineRule="auto"/>
        <w:rPr>
          <w:sz w:val="20"/>
          <w:szCs w:val="20"/>
          <w:color w:val="auto"/>
        </w:rPr>
      </w:pPr>
      <w:r>
        <w:rPr>
          <w:rFonts w:ascii="Arial" w:cs="Arial" w:eastAsia="Arial" w:hAnsi="Arial"/>
          <w:sz w:val="16"/>
          <w:szCs w:val="16"/>
          <w:color w:val="auto"/>
        </w:rPr>
        <w:t>A. Time of Payment. Amounts credited to a Participant’s Account shall be distributed to the Participant when administratively practicable after termination of employment or a date specified by the Participant. The time of distribution shall be elected by the Participant in the Executive Incentive Pay Deferral Election and Compensation Deferral Election delivered to the Administrative Committee at the time the applicable deferral election is made.</w:t>
      </w:r>
    </w:p>
    <w:p>
      <w:pPr>
        <w:spacing w:after="0" w:line="39"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B. Method of Distribution. Amounts credited to a Participant’s Account shall be distributed to the Participant either in a single lump sum payment or in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Company which can be distributed based on the amount credited to the Company Stock Fund (after any applicable withholding), plus cash for any fractional share.</w:t>
      </w:r>
    </w:p>
    <w:p>
      <w:pPr>
        <w:spacing w:after="0" w:line="5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C. Death Benefit. If a Participant dies (either before or after payment of benefits have commenced under this Section V), his Account shall be paid to the Beneficiary designated by the Participant. If there is no designated Beneficiary or no designated Beneficiary surviving at a Participant’s death, payment of the Participant’s Account shall be made to the Participant’s estate in a single lump sum payment when administratively practicable after the Participant’s death. In the event of a Participant’s death after distribution of his Account has begun, to the extent that there is a surviving Beneficiary, payment of such Account shall continue in the form of distribution in effect prior to the Participant’s death. If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120"/>
        <w:spacing w:after="0" w:line="259" w:lineRule="auto"/>
        <w:rPr>
          <w:sz w:val="20"/>
          <w:szCs w:val="20"/>
          <w:color w:val="auto"/>
        </w:rPr>
      </w:pPr>
      <w:r>
        <w:rPr>
          <w:rFonts w:ascii="Arial" w:cs="Arial" w:eastAsia="Arial" w:hAnsi="Arial"/>
          <w:sz w:val="18"/>
          <w:szCs w:val="18"/>
          <w:color w:val="auto"/>
        </w:rPr>
        <w:t>a Participant dies prior to the commencement of distribution of his Account, his Beneficiary, if any, shall receive distribution of such Account in the form of distribution previously elected by the Participant in his Executive Incentive Pay Deferral Election and Compensation Deferral Election. If a Beneficiary begins to receive any payment pursuant to this Section V.C. and dies prior to the time that all amounts have been distributed, any remaining amount shall be paid in a single lump sum payment to the estate of the Beneficiary.</w:t>
      </w:r>
    </w:p>
    <w:p>
      <w:pPr>
        <w:spacing w:after="0" w:line="79"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D. Taxes. In the event any taxes are required by law to be withheld or paid from any payments made pursuant to the Plan, the Administrative Committee shall deduct such amounts from such payments and shall transmit the withheld amounts to the appropriate taxing authority.</w:t>
      </w:r>
    </w:p>
    <w:p>
      <w:pPr>
        <w:spacing w:after="0" w:line="38"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E. Hardship Distributions. Prior to the date a Participant’s Account becomes payable, the Administrative Committee, in its sole discretion, may elect to distribute all or a portion of such Account in the event such Participant requests a distribution due to severe financial hardship. For purposes of this Plan, severe financial hardship shall be deemed to exist in the event the Administrative Committee determines that a Participant needs a distribution to meet immediate and heavy financial needs resulting from a sudden or unexpected illness or accident of the Participant or a member of the Participant’s family, loss of the Participant’s property due to casualty or other similar extraordinary and unforeseeable circumstances arising as a result of events beyond the control of the Participant. A distribution based on financial hardship shall not exceed the amount required to meet the immediate financial need created by the hardship.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VI. BENEFIT PLANS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amount of each Participant’s Executive Incentive Pay or Compensation that he elects to defer under the Plan shall not be deemed to be compensation for the purpose of calculating the amount of such Participant’s benefits or contributions under any employee benefit plan maintained by the Employer, including, but not limited to, any pension plan or retirement plan (qualified under Section 401(a) of the Code), the amount of life insurance payable under any life insurance plan or the amount of any disability benefit payments payable under any disability plan, except to the extent specifically provided in any such plan.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VII. PARTICIPANT’S RIGHTS</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Establishment of the Plan shall not be construed as giving any Participant the right to be retained in the Employer’s service or employ or the right to receive any benefits not specifically provided by the Plan. A Participant shall not have any interest in the Executive Incentive Pay or Compensation deferred, Employer contributions or Additions credited to his Account until such Account is distributed in accordance with the Plan. All Executive Incentive Pay and Compensation deferred and all amounts held for the Account of a Participant under the Plan shall remain the sole property of the Employer, subject to the claims of its general creditors and available for its use for whatever purposes are desired. With respect to amounts deferred or otherwise held for the Account of a Participant, the Participant is merely a general creditor of the Employer; and the obligation of the Employer hereunder is purely contractual and shall not be funded or secured in any way.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VIII. NON-ALIENABILITY AND NONTRANSFERABILITY</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rights of a Participant to the payment of deferred compensation as provided in the Plan shall not be assigned, transferred, pledged or encumbered or be subject in any manner to alienation or anticipation. No Participant may borrow against his Account. No Account shall be subject in any manner to anticipation, alienation, sale, transfer, assignment, pledge, encumbrance, charge, garnishment, execution or levy of any kind, whether voluntary or involuntary, including, but not limited to, any liability which is for alimony or other payments for the support of a spouse or former spouse, or for any other relative of any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IX. ADMINISTRATION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Plan shall be administered by the Administrative Committee. The Administrative Committee shall have authority to adopt rules and regulations for carrying out the Plan and, in its sole and absolute discretion, to interpret, construe and implement the provisions hereof. Subject to the provisions of Section X below, any decision or interpretation of any provision of the Plan adopted by the Administrative Committee shall be final and conclusive. A Participant who is also a member of the Administrative Committee shall not participate in any decision involving any request made by him or relating in any way solely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to his rights, duties and obligations as a Participant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CLAIMS PROCEDURE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Filing Claims. Any Participant or Beneficiary entitled to benefits under the Plan may file a claim request with the Administrative Committee.</w:t>
      </w:r>
    </w:p>
    <w:p>
      <w:pPr>
        <w:spacing w:after="0" w:line="129"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B. Notification to Claimant. If a claim request is wholly or partially denied, the Administrative Committee will furnish to the claimant a notice of the decision within ninety (90) days in writing and in a manner calculated to be understood by the claimant, which notice will contain the following information:</w:t>
      </w:r>
    </w:p>
    <w:p>
      <w:pPr>
        <w:spacing w:after="0" w:line="16" w:lineRule="exact"/>
        <w:rPr>
          <w:sz w:val="20"/>
          <w:szCs w:val="20"/>
          <w:color w:val="auto"/>
        </w:rPr>
      </w:pPr>
    </w:p>
    <w:p>
      <w:pPr>
        <w:ind w:left="720" w:hanging="262"/>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specific reference to pertinent Plan provisions upon which the denial is based;</w:t>
      </w:r>
    </w:p>
    <w:p>
      <w:pPr>
        <w:spacing w:after="0" w:line="117" w:lineRule="exact"/>
        <w:rPr>
          <w:rFonts w:ascii="Arial" w:cs="Arial" w:eastAsia="Arial" w:hAnsi="Arial"/>
          <w:sz w:val="18"/>
          <w:szCs w:val="18"/>
          <w:color w:val="auto"/>
        </w:rPr>
      </w:pPr>
    </w:p>
    <w:p>
      <w:pPr>
        <w:ind w:right="160" w:firstLine="458"/>
        <w:spacing w:after="0" w:line="277"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62" w:lineRule="exact"/>
        <w:rPr>
          <w:rFonts w:ascii="Arial" w:cs="Arial" w:eastAsia="Arial" w:hAnsi="Arial"/>
          <w:sz w:val="18"/>
          <w:szCs w:val="18"/>
          <w:color w:val="auto"/>
        </w:rPr>
      </w:pPr>
    </w:p>
    <w:p>
      <w:pPr>
        <w:ind w:left="240" w:right="280" w:firstLine="218"/>
        <w:spacing w:after="0" w:line="375"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describing the steps to be taken by a claimant who wishes to submit his claims for review. C. Review Procedure. A claimant or his authorized representative may, with respect to any denied claim:</w:t>
      </w:r>
    </w:p>
    <w:p>
      <w:pPr>
        <w:spacing w:after="0" w:line="1" w:lineRule="exact"/>
        <w:rPr>
          <w:rFonts w:ascii="Arial" w:cs="Arial" w:eastAsia="Arial" w:hAnsi="Arial"/>
          <w:sz w:val="18"/>
          <w:szCs w:val="18"/>
          <w:color w:val="auto"/>
        </w:rPr>
      </w:pPr>
    </w:p>
    <w:p>
      <w:pPr>
        <w:ind w:left="720" w:hanging="262"/>
        <w:spacing w:after="0"/>
        <w:tabs>
          <w:tab w:leader="none" w:pos="7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request a review upon a written application filed within sixty (60) days after receipt by the claimant of written notice of the denial of his claim;</w:t>
      </w:r>
    </w:p>
    <w:p>
      <w:pPr>
        <w:spacing w:after="0" w:line="128" w:lineRule="exact"/>
        <w:rPr>
          <w:rFonts w:ascii="Arial" w:cs="Arial" w:eastAsia="Arial" w:hAnsi="Arial"/>
          <w:sz w:val="17"/>
          <w:szCs w:val="17"/>
          <w:color w:val="auto"/>
        </w:rPr>
      </w:pPr>
    </w:p>
    <w:p>
      <w:pPr>
        <w:ind w:left="720" w:hanging="262"/>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pertinent documents; and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submit issues and comments in writing.</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Any request or submission will be in writing and will be directed to the Administrative Committee (or its designee). The Administrative Committee (or its designee) will have the sole responsibility for the review of any denied claim and will take all steps appropriate in the light of its findings.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4" w:name="page35"/>
    <w:bookmarkEnd w:id="34"/>
    <w:p>
      <w:pPr>
        <w:ind w:firstLine="225"/>
        <w:spacing w:after="0" w:line="273" w:lineRule="auto"/>
        <w:rPr>
          <w:sz w:val="20"/>
          <w:szCs w:val="20"/>
          <w:color w:val="auto"/>
        </w:rPr>
      </w:pPr>
      <w:r>
        <w:rPr>
          <w:rFonts w:ascii="Arial" w:cs="Arial" w:eastAsia="Arial" w:hAnsi="Arial"/>
          <w:sz w:val="17"/>
          <w:szCs w:val="17"/>
          <w:color w:val="auto"/>
        </w:rPr>
        <w:t>D. Decision on Review. The Administrative Committee (or its designee) will render a decision upon review. If special circumstances (such as the need to hold a hearing on any matter pertaining to the denied claim) warrant additional time, the decision will be rendered as soon as possible, but not later than one hundred twenty (120) days after receipt of the request for review. Written notice of any such extension will be furnished to the claimant prior to the commencement of the extension. The decision on review will be in writing and will include specific reasons for the decision, written in a manner calculated to be understood by the claimant, as well as specific references to the pertinent provisions of the Plan on which the decision is based. If the decision on review is not furnished to the claimant within the time limits prescribed above, the claim will be deemed denied on review.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XI. AMENDMENT AND TERMINATION</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Plan may, at any time or from time to time, be amended, modified or terminated by the Administrative Committee. However, no amendment, modification or termination of the Plan shall, without the consent of the Participant, adversely affect such Participant’s rights with respect to amounts then credited to his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XII. GENERAL PROVISIONS</w:t>
      </w:r>
    </w:p>
    <w:p>
      <w:pPr>
        <w:spacing w:after="0" w:line="117" w:lineRule="exact"/>
        <w:rPr>
          <w:sz w:val="20"/>
          <w:szCs w:val="20"/>
          <w:color w:val="auto"/>
        </w:rPr>
      </w:pPr>
    </w:p>
    <w:p>
      <w:pPr>
        <w:ind w:right="260" w:firstLine="233"/>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Controlling Law. Except to the extent superseded by federal law, the laws of the State of Ohio shall be controlling in all matters relating to the Plan, including construction and performance hereof.</w:t>
      </w:r>
    </w:p>
    <w:p>
      <w:pPr>
        <w:spacing w:after="0" w:line="62" w:lineRule="exact"/>
        <w:rPr>
          <w:rFonts w:ascii="Arial" w:cs="Arial" w:eastAsia="Arial" w:hAnsi="Arial"/>
          <w:sz w:val="18"/>
          <w:szCs w:val="18"/>
          <w:color w:val="auto"/>
        </w:rPr>
      </w:pPr>
    </w:p>
    <w:p>
      <w:pPr>
        <w:ind w:right="360" w:firstLine="233"/>
        <w:spacing w:after="0" w:line="277" w:lineRule="auto"/>
        <w:tabs>
          <w:tab w:leader="none" w:pos="5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Captions. The captions of Sections and paragraphs of this Plan are for convenience of reference only and shall not control or affect the meaning or construction of any of its provisions.</w:t>
      </w:r>
    </w:p>
    <w:p>
      <w:pPr>
        <w:spacing w:after="0" w:line="62"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C. Facility of Payment. Any amounts payable hereunder to any person who is under legal disability or who, in the judgment of the Administrative Committee, is unable to properly manage his financial affairs, may be paid to the legal representative of such person or may be applied for the benefit of such person in any manner which the Administrative Committee may select, and any such payment shall be deemed to be payment for such person’s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Account and shall be a complete discharge of all liability of the Employer with respect to the amount so paid.</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D. Administrative Expenses. All expenses of administering the Plan shall be borne by the Employer and no part thereof shall be charged against any Participant’s Account or any amounts distributable hereunder.</w:t>
      </w:r>
    </w:p>
    <w:p>
      <w:pPr>
        <w:spacing w:after="0" w:line="62"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E. Severability. Any provision of this Plan prohibited by the law of any jurisdiction shall, as to such jurisdiction, be ineffective to the extent of such prohibition without invalidating the remaining provisions hereof.</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F. Personal Liability. Except as otherwise expressly provided herein, no member of the Administrative Committee and no officer, employee or agent of the Employer shall have any liability to any person, firm or corporation based on or arising out of the Plan except in the case of willful misconduct or fraud.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XIII. UNFUNDED STATUS OF THE PLAN</w:t>
      </w:r>
    </w:p>
    <w:p>
      <w:pPr>
        <w:spacing w:after="0" w:line="117"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Any and all payments made to any Participant pursuant to the Plan shall be made only from the general assets of the Employer. All Accounts under the Plan shall be for bookkeeping purposes only and shall not represent a claim against specific assets of the Employer. Nothing contained in this Plan shall be deemed to create a trust of any kind or create any fiduciary relationship. Notwithstanding the foregoing, the Employer may, in its discretion, establish a trust to pay all or a portion of the benefits payable under this Plan, provided that the assets of such trust shall remain, at all times, the assets of the Employer subject to the claims of its creditors.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WITNESS WHEREOF, The Scotts Company, through its duly authorized officer, has caused this Plan to be executed this 19th day of November, 1998.</w:t>
      </w:r>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Rosemary L. Smith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Rosemary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 Human Resources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6" w:name="page37"/>
    <w:bookmarkEnd w:id="36"/>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COMPANY EXECUTIVE RETIREMENT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EXECUTIVE INCENTIVE PAY DEFERRAL ELECTION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 ELECTION TO DEFER.</w:t>
      </w:r>
    </w:p>
    <w:p>
      <w:pPr>
        <w:spacing w:after="0" w:line="131" w:lineRule="exact"/>
        <w:rPr>
          <w:sz w:val="20"/>
          <w:szCs w:val="20"/>
          <w:color w:val="auto"/>
        </w:rPr>
      </w:pPr>
    </w:p>
    <w:p>
      <w:pPr>
        <w:ind w:left="260"/>
        <w:spacing w:after="0"/>
        <w:tabs>
          <w:tab w:leader="none" w:pos="10000" w:val="left"/>
        </w:tabs>
        <w:rPr>
          <w:sz w:val="20"/>
          <w:szCs w:val="20"/>
          <w:color w:val="auto"/>
        </w:rPr>
      </w:pPr>
      <w:r>
        <w:rPr>
          <w:rFonts w:ascii="Arial" w:cs="Arial" w:eastAsia="Arial" w:hAnsi="Arial"/>
          <w:sz w:val="18"/>
          <w:szCs w:val="18"/>
          <w:color w:val="auto"/>
        </w:rPr>
        <w:t>In accordance with the provisions of The Scotts Company Executive Retirement Plan (the “Plan”), I hereby elect to defer</w:t>
      </w:r>
      <w:r>
        <w:rPr>
          <w:sz w:val="20"/>
          <w:szCs w:val="20"/>
          <w:color w:val="auto"/>
        </w:rPr>
        <w:tab/>
      </w:r>
      <w:r>
        <w:rPr>
          <w:rFonts w:ascii="Arial" w:cs="Arial" w:eastAsia="Arial" w:hAnsi="Arial"/>
          <w:sz w:val="16"/>
          <w:szCs w:val="16"/>
          <w:color w:val="auto"/>
        </w:rPr>
        <w:t>percent 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-10160</wp:posOffset>
            </wp:positionV>
            <wp:extent cx="600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-10160</wp:posOffset>
            </wp:positionV>
            <wp:extent cx="1428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 w:lineRule="exact"/>
        <w:rPr>
          <w:sz w:val="20"/>
          <w:szCs w:val="20"/>
          <w:color w:val="auto"/>
        </w:rPr>
      </w:pPr>
    </w:p>
    <w:p>
      <w:pPr>
        <w:ind w:left="260" w:right="500" w:firstLine="720"/>
        <w:spacing w:after="0" w:line="261" w:lineRule="auto"/>
        <w:rPr>
          <w:sz w:val="20"/>
          <w:szCs w:val="20"/>
          <w:color w:val="auto"/>
        </w:rPr>
      </w:pPr>
      <w:r>
        <w:rPr>
          <w:rFonts w:ascii="Arial" w:cs="Arial" w:eastAsia="Arial" w:hAnsi="Arial"/>
          <w:sz w:val="18"/>
          <w:szCs w:val="18"/>
          <w:color w:val="auto"/>
        </w:rPr>
        <w:t>of bonuses payable to me under the Executive Annual Incentive Plan. This election supersedes any prior Executive Incentive Pay Deferral Election made by me and shall remain in effect until terminated or otherwise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-173990</wp:posOffset>
            </wp:positionV>
            <wp:extent cx="4286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6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 ELECTION.</w:t>
      </w:r>
    </w:p>
    <w:p>
      <w:pPr>
        <w:spacing w:after="0" w:line="130" w:lineRule="exact"/>
        <w:rPr>
          <w:rFonts w:ascii="Arial" w:cs="Arial" w:eastAsia="Arial" w:hAnsi="Arial"/>
          <w:sz w:val="18"/>
          <w:szCs w:val="18"/>
          <w:color w:val="auto"/>
        </w:rPr>
      </w:pPr>
    </w:p>
    <w:p>
      <w:pPr>
        <w:ind w:left="260" w:right="220"/>
        <w:spacing w:after="0" w:line="277" w:lineRule="auto"/>
        <w:rPr>
          <w:rFonts w:ascii="Arial" w:cs="Arial" w:eastAsia="Arial" w:hAnsi="Arial"/>
          <w:sz w:val="18"/>
          <w:szCs w:val="18"/>
          <w:color w:val="auto"/>
        </w:rPr>
      </w:pPr>
      <w:r>
        <w:rPr>
          <w:rFonts w:ascii="Arial" w:cs="Arial" w:eastAsia="Arial" w:hAnsi="Arial"/>
          <w:sz w:val="18"/>
          <w:szCs w:val="18"/>
          <w:color w:val="auto"/>
        </w:rPr>
        <w:t>I hereby elect to commence distribution of deferrals credited to my Deferred Executive Incentive Pay Account after this Election (and additions thereto) when administratively practicable after:</w:t>
      </w:r>
    </w:p>
    <w:p>
      <w:pPr>
        <w:spacing w:after="0" w:line="62" w:lineRule="exact"/>
        <w:rPr>
          <w:rFonts w:ascii="Arial" w:cs="Arial" w:eastAsia="Arial" w:hAnsi="Arial"/>
          <w:sz w:val="18"/>
          <w:szCs w:val="18"/>
          <w:color w:val="auto"/>
        </w:rPr>
      </w:pPr>
    </w:p>
    <w:p>
      <w:pPr>
        <w:ind w:left="220" w:right="8460"/>
        <w:spacing w:after="0" w:line="383" w:lineRule="auto"/>
        <w:rPr>
          <w:rFonts w:ascii="Arial" w:cs="Arial" w:eastAsia="Arial" w:hAnsi="Arial"/>
          <w:sz w:val="18"/>
          <w:szCs w:val="18"/>
          <w:color w:val="auto"/>
        </w:rPr>
      </w:pPr>
      <w:r>
        <w:rPr>
          <w:rFonts w:ascii="Arial" w:cs="Arial" w:eastAsia="Arial" w:hAnsi="Arial"/>
          <w:sz w:val="18"/>
          <w:szCs w:val="18"/>
          <w:color w:val="auto"/>
        </w:rPr>
        <w:t>o my termination of employment. o the following date:</w:t>
      </w:r>
    </w:p>
    <w:p>
      <w:pPr>
        <w:spacing w:after="0" w:line="1"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Earlier deferrals and additions thereto will be distributed in accordance with the election in effect at the time of such earlier deferral.</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-430530</wp:posOffset>
            </wp:positionV>
            <wp:extent cx="120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11"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color w:val="auto"/>
        </w:rPr>
        <w:t>I hereby elect to receive the distribution of deferrals credited to my Deferred Executive Incentive Pay Account after this Election (and additions thereto) in the following form of payment:</w:t>
      </w:r>
    </w:p>
    <w:p>
      <w:pPr>
        <w:spacing w:after="0" w:line="62" w:lineRule="exact"/>
        <w:rPr>
          <w:sz w:val="20"/>
          <w:szCs w:val="20"/>
          <w:color w:val="auto"/>
        </w:rPr>
      </w:pPr>
    </w:p>
    <w:p>
      <w:pPr>
        <w:ind w:left="660" w:hanging="43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single lump sum payment; or</w:t>
      </w:r>
    </w:p>
    <w:p>
      <w:pPr>
        <w:spacing w:after="0" w:line="131" w:lineRule="exact"/>
        <w:rPr>
          <w:sz w:val="20"/>
          <w:szCs w:val="20"/>
          <w:color w:val="auto"/>
        </w:rPr>
      </w:pPr>
    </w:p>
    <w:p>
      <w:pPr>
        <w:ind w:left="220"/>
        <w:spacing w:after="0"/>
        <w:tabs>
          <w:tab w:leader="none" w:pos="640" w:val="left"/>
          <w:tab w:leader="none" w:pos="56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substantially equal annual installments over a period of</w:t>
      </w:r>
      <w:r>
        <w:rPr>
          <w:sz w:val="20"/>
          <w:szCs w:val="20"/>
          <w:color w:val="auto"/>
        </w:rPr>
        <w:tab/>
      </w:r>
      <w:r>
        <w:rPr>
          <w:rFonts w:ascii="Arial" w:cs="Arial" w:eastAsia="Arial" w:hAnsi="Arial"/>
          <w:sz w:val="15"/>
          <w:szCs w:val="15"/>
          <w:color w:val="auto"/>
        </w:rPr>
        <w:t>(less than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600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Earlier deferrals and additions thereto will be distributed in accordance with the election in effect at the time of such earlier deferral.</w:t>
      </w:r>
    </w:p>
    <w:p>
      <w:pPr>
        <w:spacing w:after="0" w:line="13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ACKNOWLEDGMENT.</w:t>
      </w:r>
    </w:p>
    <w:p>
      <w:pPr>
        <w:spacing w:after="0" w:line="130" w:lineRule="exact"/>
        <w:rPr>
          <w:rFonts w:ascii="Arial" w:cs="Arial" w:eastAsia="Arial" w:hAnsi="Arial"/>
          <w:sz w:val="18"/>
          <w:szCs w:val="18"/>
          <w:color w:val="auto"/>
        </w:rPr>
      </w:pPr>
    </w:p>
    <w:p>
      <w:pPr>
        <w:ind w:left="260"/>
        <w:spacing w:after="0" w:line="277" w:lineRule="auto"/>
        <w:rPr>
          <w:rFonts w:ascii="Arial" w:cs="Arial" w:eastAsia="Arial" w:hAnsi="Arial"/>
          <w:sz w:val="18"/>
          <w:szCs w:val="18"/>
          <w:color w:val="auto"/>
        </w:rPr>
      </w:pPr>
      <w:r>
        <w:rPr>
          <w:rFonts w:ascii="Arial" w:cs="Arial" w:eastAsia="Arial" w:hAnsi="Arial"/>
          <w:sz w:val="18"/>
          <w:szCs w:val="18"/>
          <w:color w:val="auto"/>
        </w:rPr>
        <w:t>I hereby acknowledge that my election to defer Executive Incentive Pay under the Plan is irrevocable with respect to amounts which are deferred under the Plan and shall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6"/>
          <w:szCs w:val="16"/>
          <w:color w:val="auto"/>
        </w:rPr>
        <w:t>in effect until terminated or modified. I understand that my Account is the sole property of the Employer, subject to the claims of its general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457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25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152400</wp:posOffset>
            </wp:positionV>
            <wp:extent cx="2538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on behalf of the Administrative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573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935" w:right="639" w:bottom="1440" w:gutter="0" w:footer="0" w:header="0"/>
        </w:sectPr>
      </w:pPr>
    </w:p>
    <w:bookmarkStart w:id="38" w:name="page39"/>
    <w:bookmarkEnd w:id="38"/>
    <w:p>
      <w:pPr>
        <w:jc w:val="center"/>
        <w:ind w:right="-179"/>
        <w:spacing w:after="0"/>
        <w:rPr>
          <w:sz w:val="20"/>
          <w:szCs w:val="20"/>
          <w:color w:val="auto"/>
        </w:rPr>
      </w:pPr>
      <w:r>
        <w:rPr>
          <w:rFonts w:ascii="Arial" w:cs="Arial" w:eastAsia="Arial" w:hAnsi="Arial"/>
          <w:sz w:val="18"/>
          <w:szCs w:val="18"/>
          <w:color w:val="auto"/>
        </w:rPr>
        <w:t>THE SCOTTS COMPANY EXECUTIVE RETIREMENT PLAN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COMPENSATION DEFERRAL ELECTION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1. ELECTION TO DEFER. In accordance with the provisions of The Scotts Company Executive Retirement Plan (the “Plan”), I hereby elect to defer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-3175</wp:posOffset>
            </wp:positionV>
            <wp:extent cx="171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5" w:lineRule="exact"/>
        <w:rPr>
          <w:sz w:val="20"/>
          <w:szCs w:val="20"/>
          <w:color w:val="auto"/>
        </w:rPr>
      </w:pPr>
    </w:p>
    <w:p>
      <w:pPr>
        <w:ind w:left="260" w:right="900" w:firstLine="675"/>
        <w:spacing w:after="0" w:line="261" w:lineRule="auto"/>
        <w:rPr>
          <w:sz w:val="20"/>
          <w:szCs w:val="20"/>
          <w:color w:val="auto"/>
        </w:rPr>
      </w:pPr>
      <w:r>
        <w:rPr>
          <w:rFonts w:ascii="Arial" w:cs="Arial" w:eastAsia="Arial" w:hAnsi="Arial"/>
          <w:sz w:val="18"/>
          <w:szCs w:val="18"/>
          <w:color w:val="auto"/>
        </w:rPr>
        <w:t>percent or $ of my Compensation (as defined in the Plan) otherwise payable to me. This election supersedes any prior Compensation Deferral Election made by me and shall remain in effect until terminated or otherwise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-173990</wp:posOffset>
            </wp:positionV>
            <wp:extent cx="4000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0050" cy="8890"/>
                    </a:xfrm>
                    <a:prstGeom prst="rect">
                      <a:avLst/>
                    </a:prstGeom>
                    <a:noFill/>
                  </pic:spPr>
                </pic:pic>
              </a:graphicData>
            </a:graphic>
          </wp:anchor>
        </w:drawing>
        <w:drawing>
          <wp:anchor simplePos="0" relativeHeight="251657728" behindDoc="1" locked="0" layoutInCell="0" allowOverlap="1">
            <wp:simplePos x="0" y="0"/>
            <wp:positionH relativeFrom="column">
              <wp:posOffset>1133475</wp:posOffset>
            </wp:positionH>
            <wp:positionV relativeFrom="paragraph">
              <wp:posOffset>-173990</wp:posOffset>
            </wp:positionV>
            <wp:extent cx="600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69" w:lineRule="exact"/>
        <w:rPr>
          <w:sz w:val="20"/>
          <w:szCs w:val="20"/>
          <w:color w:val="auto"/>
        </w:rPr>
      </w:pPr>
    </w:p>
    <w:p>
      <w:pPr>
        <w:ind w:left="260" w:hanging="252"/>
        <w:spacing w:after="0" w:line="342"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DISTRIBUTION ELECTION. I hereby elect to commence distribution of deferrals credited to my Deferred Compensation Account, Matching Account, Retirement Account and Transitional Contributions Account after this Election (and additions thereto) when administratively practicable after:</w:t>
      </w:r>
    </w:p>
    <w:p>
      <w:pPr>
        <w:spacing w:after="0" w:line="16" w:lineRule="exact"/>
        <w:rPr>
          <w:sz w:val="20"/>
          <w:szCs w:val="20"/>
          <w:color w:val="auto"/>
        </w:rPr>
      </w:pPr>
    </w:p>
    <w:p>
      <w:pPr>
        <w:ind w:left="660" w:hanging="43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my termination of employment.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-10160</wp:posOffset>
            </wp:positionV>
            <wp:extent cx="8858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Earlier deferrals and additions thereto will be distributed in accordance with the election in effect at the time of such earlier deferral.</w:t>
      </w:r>
    </w:p>
    <w:p>
      <w:pPr>
        <w:spacing w:after="0" w:line="131" w:lineRule="exact"/>
        <w:rPr>
          <w:sz w:val="20"/>
          <w:szCs w:val="20"/>
          <w:color w:val="auto"/>
        </w:rPr>
      </w:pPr>
    </w:p>
    <w:p>
      <w:pPr>
        <w:ind w:left="260" w:right="260" w:hanging="252"/>
        <w:spacing w:after="0" w:line="342"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METHOD OF PAYMENT. I hereby elect to receive the distribution of deferrals credited to my Deferred Compensation Account, Matching Account, Retirement Account and Transitional Contributions Account after this Election (and additions thereto) in the following form of payment:</w:t>
      </w:r>
    </w:p>
    <w:p>
      <w:pPr>
        <w:spacing w:after="0" w:line="16" w:lineRule="exact"/>
        <w:rPr>
          <w:sz w:val="20"/>
          <w:szCs w:val="20"/>
          <w:color w:val="auto"/>
        </w:rPr>
      </w:pPr>
    </w:p>
    <w:p>
      <w:pPr>
        <w:ind w:left="660" w:hanging="43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single lump sum payment; or</w:t>
      </w:r>
    </w:p>
    <w:p>
      <w:pPr>
        <w:spacing w:after="0" w:line="131" w:lineRule="exact"/>
        <w:rPr>
          <w:sz w:val="20"/>
          <w:szCs w:val="20"/>
          <w:color w:val="auto"/>
        </w:rPr>
      </w:pPr>
    </w:p>
    <w:p>
      <w:pPr>
        <w:ind w:left="220"/>
        <w:spacing w:after="0"/>
        <w:tabs>
          <w:tab w:leader="none" w:pos="640" w:val="left"/>
          <w:tab w:leader="none" w:pos="56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substantially equal annual installments over a period of</w:t>
      </w:r>
      <w:r>
        <w:rPr>
          <w:sz w:val="20"/>
          <w:szCs w:val="20"/>
          <w:color w:val="auto"/>
        </w:rPr>
        <w:tab/>
      </w:r>
      <w:r>
        <w:rPr>
          <w:rFonts w:ascii="Arial" w:cs="Arial" w:eastAsia="Arial" w:hAnsi="Arial"/>
          <w:sz w:val="15"/>
          <w:szCs w:val="15"/>
          <w:color w:val="auto"/>
        </w:rPr>
        <w:t>(less than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6000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Earlier deferrals and additions thereto will be distributed in accordance with the election in effect at the time of such earlier deferral.</w:t>
      </w:r>
    </w:p>
    <w:p>
      <w:pPr>
        <w:spacing w:after="0" w:line="131" w:lineRule="exact"/>
        <w:rPr>
          <w:sz w:val="20"/>
          <w:szCs w:val="20"/>
          <w:color w:val="auto"/>
        </w:rPr>
      </w:pPr>
    </w:p>
    <w:p>
      <w:pPr>
        <w:ind w:left="2180" w:right="6780" w:hanging="2172"/>
        <w:spacing w:after="0" w:line="440" w:lineRule="auto"/>
        <w:tabs>
          <w:tab w:leader="none" w:pos="2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DESIGNATION OF BENEFICIARY. I hereby designate: as my primary Beneficiary;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-92710</wp:posOffset>
            </wp:positionV>
            <wp:extent cx="12001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6"/>
          <w:szCs w:val="16"/>
          <w:color w:val="auto"/>
        </w:rPr>
        <w:t>as my contingent Beneficiary(ies), to receive any amounts payable under the Plan in the event of my death. This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3810</wp:posOffset>
            </wp:positionV>
            <wp:extent cx="12001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supersedes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62" w:right="419" w:bottom="1440" w:gutter="0" w:footer="0" w:header="0"/>
        </w:sectPr>
      </w:pPr>
    </w:p>
    <w:bookmarkStart w:id="39" w:name="page40"/>
    <w:bookmarkEnd w:id="39"/>
    <w:p>
      <w:pPr>
        <w:ind w:left="260" w:right="260"/>
        <w:spacing w:after="0" w:line="308" w:lineRule="auto"/>
        <w:rPr>
          <w:sz w:val="20"/>
          <w:szCs w:val="20"/>
          <w:color w:val="auto"/>
        </w:rPr>
      </w:pPr>
      <w:r>
        <w:rPr>
          <w:rFonts w:ascii="Arial" w:cs="Arial" w:eastAsia="Arial" w:hAnsi="Arial"/>
          <w:sz w:val="17"/>
          <w:szCs w:val="17"/>
          <w:color w:val="auto"/>
        </w:rPr>
        <w:t>any prior designation made by me and shall apply to my entire Account (Executive Incentive Pay Deferral Account, Deferred Compensation Account, Matching Account, Retirement Account and Transitional Contributions Account) until terminated or otherwise amended.</w:t>
      </w:r>
    </w:p>
    <w:p>
      <w:pPr>
        <w:spacing w:after="0" w:line="52" w:lineRule="exact"/>
        <w:rPr>
          <w:sz w:val="20"/>
          <w:szCs w:val="20"/>
          <w:color w:val="auto"/>
        </w:rPr>
      </w:pPr>
    </w:p>
    <w:p>
      <w:pPr>
        <w:ind w:left="260" w:hanging="252"/>
        <w:spacing w:after="0" w:line="264"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ACKNOWLEDGMENT. I hereby acknowledge that my election to defer Compensation under the Plan is irrevocable with respect to amounts which are deferred under the Plan and shall remain in effect until terminated or modified. I understand that my Account is the sole property of the Employer, subject to the claims of its general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4573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18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152400</wp:posOffset>
            </wp:positionV>
            <wp:extent cx="2538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on behalf of the Administrative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573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ectPr>
          <w:pgSz w:w="11900" w:h="16838" w:orient="portrait"/>
          <w:cols w:equalWidth="0" w:num="1">
            <w:col w:w="11340"/>
          </w:cols>
          <w:pgMar w:left="240" w:top="935"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4.5</w:t>
      </w:r>
    </w:p>
    <w:p>
      <w:pPr>
        <w:spacing w:after="0" w:line="33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FIRST AMENDMENT</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TO THE</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THE SCOTTS COMPANY</w:t>
      </w:r>
    </w:p>
    <w:p>
      <w:pPr>
        <w:spacing w:after="0" w:line="11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EXECUTIVE RETIREMENT PLAN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Scotts Company (the “Company”) sponsors The Scotts Company Executive Retirement Plan (the “Plan”); and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WHEREAS, the Plan provides that executives in Band G and above, other than Joseph D. Dioguardi, are eligible to participate in the Plan; and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wants to permit Mr. Dioguardi to defer incentive pay and compensation under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effective as of January 1, 1999: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The definition of “Executive Incentive Pay” in Section II of the Plan shall be revised to provide:</w:t>
      </w:r>
    </w:p>
    <w:p>
      <w:pPr>
        <w:spacing w:after="0" w:line="117"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“Executive Incentive Pay” means, with respect to each Participant, any bonus under the Executive Annual Incentive Plan or any incentive pay pursuant to an employment agreement.</w:t>
      </w:r>
    </w:p>
    <w:p>
      <w:pPr>
        <w:spacing w:after="0" w:line="62"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last sentence of Section III of the Plan shall be deleted.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Paragraph (1) of Section IV.B. shall be revised to provide:</w:t>
      </w:r>
    </w:p>
    <w:p>
      <w:pPr>
        <w:spacing w:after="0" w:line="117" w:lineRule="exact"/>
        <w:rPr>
          <w:rFonts w:ascii="Arial" w:cs="Arial" w:eastAsia="Arial" w:hAnsi="Arial"/>
          <w:sz w:val="18"/>
          <w:szCs w:val="18"/>
          <w:color w:val="auto"/>
        </w:rPr>
      </w:pPr>
    </w:p>
    <w:p>
      <w:pPr>
        <w:ind w:left="240" w:firstLine="446"/>
        <w:spacing w:after="0" w:line="253" w:lineRule="auto"/>
        <w:tabs>
          <w:tab w:leader="none" w:pos="9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With respect to each Plan Year, an Eligible Employee may elect to have a percentage or a flat dollar amount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(or, in the case of Executive Incentive Pay under an employment agreement, within thirty (30) days prior to the beginning of the Plan Year), the Eligible Employee must advise the Employer of his election, in writing,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 Employee terminates employment or changes to an employment status other than an Eligible Employee, his election to defer Executive Incentive Pay shall terminate and no additional amounts shall be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4. A new paragraph (5) shall be added to Section IV.D. of the Plan to provide:</w:t>
      </w:r>
    </w:p>
    <w:p>
      <w:pPr>
        <w:spacing w:after="0" w:line="117" w:lineRule="exact"/>
        <w:rPr>
          <w:sz w:val="20"/>
          <w:szCs w:val="20"/>
          <w:color w:val="auto"/>
        </w:rPr>
      </w:pPr>
    </w:p>
    <w:p>
      <w:pPr>
        <w:ind w:left="240" w:firstLine="221"/>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Ineligibility for Employer Contributions</w:t>
      </w:r>
      <w:r>
        <w:rPr>
          <w:rFonts w:ascii="Arial" w:cs="Arial" w:eastAsia="Arial" w:hAnsi="Arial"/>
          <w:sz w:val="18"/>
          <w:szCs w:val="18"/>
          <w:color w:val="auto"/>
        </w:rPr>
        <w:t>. Notwithstanding the foregoing, no contributions shall be made for or allocated to Joseph D. Dioguardi under this Section IV.D.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Amendment to be executed as of the 23 day of December, 1998.</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THE SCOTTS COMPANY</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Rosemary L. Smith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Rosemary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 Human Resources and Member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Administrative Committee</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240" w:top="935" w:right="5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4.6</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SECOND AMENDMENT</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TO THE</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SCOTTS COMPANY</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EXECUTIVE RETIREMENT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WHEREAS, The Scotts Company (the “Company”) sponsors The Scotts Company Executive Retirement Plan (the “Plan”);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wants to the statement of the purpose of the Plan to reflect the current function of the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 THEREFORE, effective as of January 1, 2000, Section I of the Plan is amended to provide: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 Name and Purpose</w:t>
      </w:r>
    </w:p>
    <w:p>
      <w:pPr>
        <w:spacing w:after="0" w:line="121" w:lineRule="exact"/>
        <w:rPr>
          <w:sz w:val="20"/>
          <w:szCs w:val="20"/>
          <w:color w:val="auto"/>
        </w:rPr>
      </w:pPr>
    </w:p>
    <w:p>
      <w:pPr>
        <w:ind w:left="20" w:right="100" w:firstLine="222"/>
        <w:spacing w:after="0" w:line="259" w:lineRule="auto"/>
        <w:rPr>
          <w:sz w:val="20"/>
          <w:szCs w:val="20"/>
          <w:color w:val="auto"/>
        </w:rPr>
      </w:pPr>
      <w:r>
        <w:rPr>
          <w:rFonts w:ascii="Arial" w:cs="Arial" w:eastAsia="Arial" w:hAnsi="Arial"/>
          <w:sz w:val="18"/>
          <w:szCs w:val="18"/>
          <w:color w:val="auto"/>
        </w:rPr>
        <w:t>The Scotts Company Executive Retirement Plan provides Eligible Employees with the opportunity to defer bonuses (under the Executive Annual Incentive Plan) and compensation, and supplements the benefits of Eligible Employees under The Scotts Company Retirement Savings Plan. The benefits under the Plan are to be provided from the Plan on an unfunded basis. It is intended that the Plan be exempt from the funding, participation, vesting and fiduciary provisions of Title I of ERISA.</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Company has caused this Amendment to be executed as of the 14 day of January, 2000.</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THE SCOTTS COMPANY</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Hadia Lefavre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Hadia Lefavre, Senior Vice President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-130810</wp:posOffset>
            </wp:positionV>
            <wp:extent cx="25641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Resources Worldwide</w:t>
      </w:r>
    </w:p>
    <w:p>
      <w:pPr>
        <w:sectPr>
          <w:pgSz w:w="11900" w:h="16838" w:orient="portrait"/>
          <w:cols w:equalWidth="0" w:num="1">
            <w:col w:w="11200"/>
          </w:cols>
          <w:pgMar w:left="46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4.7</w:t>
      </w:r>
    </w:p>
    <w:p>
      <w:pPr>
        <w:spacing w:after="0" w:line="33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THIRD AMENDMENT</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THE SCOTTS COMPANY</w:t>
      </w:r>
    </w:p>
    <w:p>
      <w:pPr>
        <w:spacing w:after="0" w:line="11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EXECUTIVE RETIREMENT PLAN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Scotts Company (the “Company”) sponsors The Scotts Company Executive Retirement Plan (the “Plan”); and</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WHEREAS, the Company wants to amend the Plan to require that deferral elections be expressed as a percentage of compensation (and not as a flat dollar amount);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effective as of January 1, 2003:</w:t>
      </w:r>
    </w:p>
    <w:p>
      <w:pPr>
        <w:spacing w:after="0" w:line="117"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Paragraph (1) of Section IV.B of the Plan is amended to provide:</w:t>
      </w:r>
    </w:p>
    <w:p>
      <w:pPr>
        <w:spacing w:after="0" w:line="117" w:lineRule="exact"/>
        <w:rPr>
          <w:rFonts w:ascii="Arial" w:cs="Arial" w:eastAsia="Arial" w:hAnsi="Arial"/>
          <w:sz w:val="18"/>
          <w:szCs w:val="18"/>
          <w:color w:val="auto"/>
        </w:rPr>
      </w:pPr>
    </w:p>
    <w:p>
      <w:pPr>
        <w:ind w:left="240" w:right="60" w:firstLine="221"/>
        <w:spacing w:after="0" w:line="291" w:lineRule="auto"/>
        <w:tabs>
          <w:tab w:leader="none" w:pos="7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 respect to each Plan Year, an Eligible Employee may elect to have a percentage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the Eligible Employee must advise the Employer of his election, in writing,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 Employee terminates employment or changes to an employment status other than an Eligible Employee, his election to defer Executive Incentive Pay shall terminate and no additional amounts shall be deferred.</w:t>
      </w:r>
    </w:p>
    <w:p>
      <w:pPr>
        <w:spacing w:after="0" w:line="59" w:lineRule="exact"/>
        <w:rPr>
          <w:rFonts w:ascii="Arial" w:cs="Arial" w:eastAsia="Arial" w:hAnsi="Arial"/>
          <w:sz w:val="16"/>
          <w:szCs w:val="16"/>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Paragraph (3) of Section IV.B of the Plan is amended to provide:</w:t>
      </w:r>
    </w:p>
    <w:p>
      <w:pPr>
        <w:spacing w:after="0" w:line="117" w:lineRule="exact"/>
        <w:rPr>
          <w:rFonts w:ascii="Arial" w:cs="Arial" w:eastAsia="Arial" w:hAnsi="Arial"/>
          <w:sz w:val="18"/>
          <w:szCs w:val="18"/>
          <w:color w:val="auto"/>
        </w:rPr>
      </w:pPr>
    </w:p>
    <w:p>
      <w:pPr>
        <w:ind w:left="240" w:right="80" w:firstLine="221"/>
        <w:spacing w:after="0" w:line="264"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an Executive Incentive Pay Deferral Election is submitted to the Administrative Committee in accordance with this Section, the Employer will allocate to the Participant’s Deferred Executive Incentive Pay Account the percentage of Executive Incentive Pay specified in the Executive Incentive Pay Deferral Election.</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Paragraph (1) of Section IV.C of the Plan is amended to provide: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With respect to each pay period, subject to the maximum percentage deferral permitted under the terms of the Qualified Plan, an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4" w:right="140"/>
        <w:spacing w:after="0" w:line="291" w:lineRule="auto"/>
        <w:rPr>
          <w:sz w:val="20"/>
          <w:szCs w:val="20"/>
          <w:color w:val="auto"/>
        </w:rPr>
      </w:pPr>
      <w:r>
        <w:rPr>
          <w:rFonts w:ascii="Arial" w:cs="Arial" w:eastAsia="Arial" w:hAnsi="Arial"/>
          <w:sz w:val="16"/>
          <w:szCs w:val="16"/>
          <w:color w:val="auto"/>
        </w:rPr>
        <w:t>Employee may elect to have a percentage of his Compensation which is to be paid to him by the Employer for the pay period in question allocated to his Deferred Compensation Account and paid on a deferred basis pursuant to the terms of the Plan. To exercise such election for any Plan Year, within thirty</w:t>
      </w:r>
    </w:p>
    <w:p>
      <w:pPr>
        <w:ind w:left="4" w:hanging="4"/>
        <w:spacing w:after="0" w:line="267" w:lineRule="auto"/>
        <w:tabs>
          <w:tab w:leader="none" w:pos="349" w:val="left"/>
        </w:tabs>
        <w:numPr>
          <w:ilvl w:val="0"/>
          <w:numId w:val="45"/>
        </w:numPr>
        <w:rPr>
          <w:rFonts w:ascii="Arial" w:cs="Arial" w:eastAsia="Arial" w:hAnsi="Arial"/>
          <w:sz w:val="17"/>
          <w:szCs w:val="17"/>
          <w:color w:val="auto"/>
        </w:rPr>
      </w:pPr>
      <w:r>
        <w:rPr>
          <w:rFonts w:ascii="Arial" w:cs="Arial" w:eastAsia="Arial" w:hAnsi="Arial"/>
          <w:sz w:val="17"/>
          <w:szCs w:val="17"/>
          <w:color w:val="auto"/>
        </w:rPr>
        <w:t>days prior to the beginning of such Plan Year, the Eligible Employee must advise the Employer of his election, in writing, on a Compensation Deferral Election. Such Compensation Deferral Election shall apply only to Compensation payable to the Participant after the date on which the Compensation Deferral Election is received by the Administrative Committee. If an Eligible Employee terminates employment or changes to an employment status other than an Eligible Employee, his election to defer Compensation shall terminate and no additional amounts shall be deferred. A Participant shall be permitted, pursuant to this Section IV.C. to defer amounts of his Compensation that could otherwise have been contributed to the Qualified Plan, for such Plan Year, were it not for the application of any of the Statutory Limits. If, during the Plan Year, in the sole discretion of the Administrative Committee and the administrator of the Qualified Plan, contribution percentages under the Qualified Plan must be further reduced to insure passage of the ADP Test and/or the ACP Test, or Participants’ contributions to the Qualified Plan must be reduced to satisfy the Deferral Limit, any reduced contribution attributable to Participants of this Plan shall be deferred automatically under this Plan. However, if it is determined after the end of the Plan Year that the ADP and/or the ACP Test would be failed, any and all corrective action will be taken in accordance with the rules of the Qualified Plan and no additional amounts may be deferred under this Plan for that Plan Year.</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Company has caused this Amendment to be executed as of the 1</w:t>
      </w:r>
      <w:r>
        <w:rPr>
          <w:rFonts w:ascii="Arial" w:cs="Arial" w:eastAsia="Arial" w:hAnsi="Arial"/>
          <w:sz w:val="15"/>
          <w:szCs w:val="15"/>
          <w:color w:val="auto"/>
        </w:rPr>
        <w:t>st</w:t>
      </w:r>
      <w:r>
        <w:rPr>
          <w:rFonts w:ascii="Arial" w:cs="Arial" w:eastAsia="Arial" w:hAnsi="Arial"/>
          <w:sz w:val="18"/>
          <w:szCs w:val="18"/>
          <w:color w:val="auto"/>
        </w:rPr>
        <w:t xml:space="preserve"> day of December, 2002.</w:t>
      </w:r>
    </w:p>
    <w:p>
      <w:pPr>
        <w:spacing w:after="0" w:line="221" w:lineRule="exact"/>
        <w:rPr>
          <w:sz w:val="20"/>
          <w:szCs w:val="20"/>
          <w:color w:val="auto"/>
        </w:rPr>
      </w:pPr>
    </w:p>
    <w:p>
      <w:pPr>
        <w:ind w:left="5124"/>
        <w:spacing w:after="0"/>
        <w:rPr>
          <w:sz w:val="20"/>
          <w:szCs w:val="20"/>
          <w:color w:val="auto"/>
        </w:rPr>
      </w:pPr>
      <w:r>
        <w:rPr>
          <w:rFonts w:ascii="Arial" w:cs="Arial" w:eastAsia="Arial" w:hAnsi="Arial"/>
          <w:sz w:val="18"/>
          <w:szCs w:val="18"/>
          <w:b w:val="1"/>
          <w:bCs w:val="1"/>
          <w:color w:val="auto"/>
        </w:rPr>
        <w:t>THE SCOTTS COMPANY</w:t>
      </w:r>
    </w:p>
    <w:p>
      <w:pPr>
        <w:spacing w:after="0" w:line="229" w:lineRule="exact"/>
        <w:rPr>
          <w:sz w:val="20"/>
          <w:szCs w:val="20"/>
          <w:color w:val="auto"/>
        </w:rPr>
      </w:pPr>
    </w:p>
    <w:p>
      <w:pPr>
        <w:ind w:left="5124"/>
        <w:spacing w:after="0"/>
        <w:rPr>
          <w:sz w:val="20"/>
          <w:szCs w:val="20"/>
          <w:color w:val="auto"/>
        </w:rPr>
      </w:pPr>
      <w:r>
        <w:rPr>
          <w:rFonts w:ascii="Arial" w:cs="Arial" w:eastAsia="Arial" w:hAnsi="Arial"/>
          <w:sz w:val="18"/>
          <w:szCs w:val="18"/>
          <w:color w:val="auto"/>
        </w:rPr>
        <w:t>By: /s/ George A. Murphy</w:t>
      </w:r>
    </w:p>
    <w:p>
      <w:pPr>
        <w:spacing w:after="0" w:line="23"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George A. Murphy, Vice President —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-130810</wp:posOffset>
            </wp:positionV>
            <wp:extent cx="2564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Compensation and Benefits</w:t>
      </w:r>
    </w:p>
    <w:p>
      <w:pPr>
        <w:sectPr>
          <w:pgSz w:w="11900" w:h="16838" w:orient="portrait"/>
          <w:cols w:equalWidth="0" w:num="1">
            <w:col w:w="11144"/>
          </w:cols>
          <w:pgMar w:left="476" w:top="935"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4.8</w:t>
      </w: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FOURTH AMENDMENT</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THE SCOTTS COMPANY</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EXECUTIVE RETIREMENT PLAN</w:t>
      </w:r>
    </w:p>
    <w:p>
      <w:pPr>
        <w:spacing w:after="0" w:line="117" w:lineRule="exact"/>
        <w:rPr>
          <w:sz w:val="20"/>
          <w:szCs w:val="20"/>
          <w:color w:val="auto"/>
        </w:rPr>
      </w:pPr>
    </w:p>
    <w:p>
      <w:pPr>
        <w:ind w:right="2200"/>
        <w:spacing w:after="0" w:line="37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(“Company”) sponsors The Scotts Company Executive Retirement Plan (“Plan”); and</w:t>
      </w:r>
      <w:r>
        <w:rPr>
          <w:rFonts w:ascii="Arial" w:cs="Arial" w:eastAsia="Arial" w:hAnsi="Arial"/>
          <w:sz w:val="18"/>
          <w:szCs w:val="18"/>
          <w:b w:val="1"/>
          <w:bCs w:val="1"/>
          <w:color w:val="auto"/>
        </w:rPr>
        <w:t xml:space="preserve"> WHEREAS, </w:t>
      </w:r>
      <w:r>
        <w:rPr>
          <w:rFonts w:ascii="Arial" w:cs="Arial" w:eastAsia="Arial" w:hAnsi="Arial"/>
          <w:sz w:val="18"/>
          <w:szCs w:val="18"/>
          <w:color w:val="auto"/>
        </w:rPr>
        <w:t>the Company wants to amend the Plan’s definition of “Compensation” and to make additional changes to the Plan</w:t>
      </w:r>
      <w:r>
        <w:rPr>
          <w:rFonts w:ascii="Arial" w:cs="Arial" w:eastAsia="Arial" w:hAnsi="Arial"/>
          <w:sz w:val="18"/>
          <w:szCs w:val="18"/>
          <w:b w:val="1"/>
          <w:bCs w:val="1"/>
          <w:color w:val="auto"/>
        </w:rPr>
        <w:t xml:space="preserve"> NOW, THEREFORE</w:t>
      </w:r>
      <w:r>
        <w:rPr>
          <w:rFonts w:ascii="Arial" w:cs="Arial" w:eastAsia="Arial" w:hAnsi="Arial"/>
          <w:sz w:val="18"/>
          <w:szCs w:val="18"/>
          <w:color w:val="auto"/>
        </w:rPr>
        <w:t>, effective as of January 1, 2004: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The definition of “Administrative Committee” in Section II of the Plan is amended, in its entirety, to read as follows:</w:t>
      </w:r>
    </w:p>
    <w:p>
      <w:pPr>
        <w:spacing w:after="0" w:line="117"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“Administrative Committee” means (a) the administrative committee appointed by the Board to administer the tax-qualified retirement plans which are also sponsored by the Employer or (b) any person or entity to which the Administrative Committee delegates any of the administrative or ministerial duties assigned to it in this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 The definition of “Compensation” in Section II of the Plan is amended, in its entirety, to read as follows:</w:t>
      </w:r>
    </w:p>
    <w:p>
      <w:pPr>
        <w:spacing w:after="0" w:line="117"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color w:val="auto"/>
        </w:rPr>
        <w:t>“Compensation” has the meaning specified under the applicable provisions of the Qualified Plan, except that Compensation in excess of the Pay Cap and amounts deferred to this Plan shall be included. Executive Incentive Pay shall be: (a) in Compensation for purposes of allocating Employer contributions to Participants’ Retirement Accounts and (b) shall be excluded from Compensation for purposes of allocating Employer contributions to Participants’ Matching Accounts and Participants’ Compensation Deferral Elections.</w:t>
      </w:r>
    </w:p>
    <w:p>
      <w:pPr>
        <w:spacing w:after="0" w:line="79"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Paragraph (1) of Section IV, B. of the Plan is amended, in its entirety, to read as follows:</w:t>
      </w:r>
    </w:p>
    <w:p>
      <w:pPr>
        <w:spacing w:after="0" w:line="117" w:lineRule="exact"/>
        <w:rPr>
          <w:rFonts w:ascii="Arial" w:cs="Arial" w:eastAsia="Arial" w:hAnsi="Arial"/>
          <w:sz w:val="18"/>
          <w:szCs w:val="18"/>
          <w:color w:val="auto"/>
        </w:rPr>
      </w:pPr>
    </w:p>
    <w:p>
      <w:pPr>
        <w:ind w:left="240" w:right="20" w:firstLine="221"/>
        <w:spacing w:after="0" w:line="255" w:lineRule="auto"/>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 respect to each Plan Year, an Eligible Employee may elect to have a percentage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the Eligible Employee must advise the Employer of his election, in writing or by filing his election electronically using procedures prescribed by the Administrative Committee,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232"/>
        <w:spacing w:after="0" w:line="277" w:lineRule="auto"/>
        <w:rPr>
          <w:sz w:val="20"/>
          <w:szCs w:val="20"/>
          <w:color w:val="auto"/>
        </w:rPr>
      </w:pPr>
      <w:r>
        <w:rPr>
          <w:rFonts w:ascii="Arial" w:cs="Arial" w:eastAsia="Arial" w:hAnsi="Arial"/>
          <w:sz w:val="18"/>
          <w:szCs w:val="18"/>
          <w:color w:val="auto"/>
        </w:rPr>
        <w:t>Employee terminates employment or changes to an employment status other than an Eligible Employee, his election to defer Executive Incentive Pay shall terminate and no additional amounts shall be deferred.</w:t>
      </w:r>
    </w:p>
    <w:p>
      <w:pPr>
        <w:spacing w:after="0" w:line="62" w:lineRule="exact"/>
        <w:rPr>
          <w:sz w:val="20"/>
          <w:szCs w:val="20"/>
          <w:color w:val="auto"/>
        </w:rPr>
      </w:pPr>
    </w:p>
    <w:p>
      <w:pPr>
        <w:ind w:left="172" w:hanging="172"/>
        <w:spacing w:after="0"/>
        <w:tabs>
          <w:tab w:leader="none" w:pos="1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Paragraph (1) of Section IV, C. of the Plan is amended, in its entirety, to read as follows:</w:t>
      </w:r>
    </w:p>
    <w:p>
      <w:pPr>
        <w:spacing w:after="0" w:line="117" w:lineRule="exact"/>
        <w:rPr>
          <w:rFonts w:ascii="Arial" w:cs="Arial" w:eastAsia="Arial" w:hAnsi="Arial"/>
          <w:sz w:val="18"/>
          <w:szCs w:val="18"/>
          <w:color w:val="auto"/>
        </w:rPr>
      </w:pPr>
    </w:p>
    <w:p>
      <w:pPr>
        <w:ind w:left="232" w:right="40" w:firstLine="221"/>
        <w:spacing w:after="0" w:line="268" w:lineRule="auto"/>
        <w:tabs>
          <w:tab w:leader="none" w:pos="712" w:val="left"/>
        </w:tabs>
        <w:numPr>
          <w:ilvl w:val="1"/>
          <w:numId w:val="47"/>
        </w:numPr>
        <w:rPr>
          <w:rFonts w:ascii="Arial" w:cs="Arial" w:eastAsia="Arial" w:hAnsi="Arial"/>
          <w:sz w:val="17"/>
          <w:szCs w:val="17"/>
          <w:color w:val="auto"/>
        </w:rPr>
      </w:pPr>
      <w:r>
        <w:rPr>
          <w:rFonts w:ascii="Arial" w:cs="Arial" w:eastAsia="Arial" w:hAnsi="Arial"/>
          <w:sz w:val="17"/>
          <w:szCs w:val="17"/>
          <w:color w:val="auto"/>
        </w:rPr>
        <w:t>With respect to each pay period, subject to the maximum percentage deferral permitted under the terms of the Qualified Plan, an Eligible Employee may elect to have a percentage of his Compensation which is to be paid to him by the Employer for the pay period in question allocated to his Deferred Compensation Account and paid on a deferred basis pursuant to the terms of the Plan. To exercise such election for any Plan Year, within thirty (30) days prior to the beginning of such Plan Year, the Eligible Employee must advise the Employer of his election, in writing or by filing his election electronically using procedures prescribed by the Administrative Committee, on a Compensation Deferral Election. Such Compensation Deferral Election shall apply only to Compensation payable to the Participant after the date on which the Compensation Deferral Election is received by the Administrative Committee. If an Eligible Employee terminates employment or changes to an employment status other than an Eligible Employee, his election to defer Compensation shall terminate and no additional amounts shall be deferred. A Participant shall be permitted, pursuant to this Section IV.C. to defer amounts of his Compensation that could otherwise have been contributed to the Qualified Plan, for such Plan Year, were it not for the application of any of the Statutory Limits. If, during the Plan Year, in the sole discretion of the Administrative Committee and the administrator of the Qualified Plan, contribution percentages under the Qualified Plan must be further reduced to insure passage of the ADP Test and/or the ACP Test, or Participants’ contributions to the Qualified Plan must be reduced to satisfy the Deferral Limit, any reduced contribution attributable to Participants of this Plan shall be deferred automatically under this Plan. However, if it is determined after the end of the Plan Year that the ADP and/or the ACP Test would be failed, any and all corrective action will be taken in accordance with the rules of the Qualified Plan and no additional amounts may be deferred under this Plan for that Plan Year.</w:t>
      </w:r>
    </w:p>
    <w:p>
      <w:pPr>
        <w:spacing w:after="0" w:line="75" w:lineRule="exact"/>
        <w:rPr>
          <w:rFonts w:ascii="Arial" w:cs="Arial" w:eastAsia="Arial" w:hAnsi="Arial"/>
          <w:sz w:val="17"/>
          <w:szCs w:val="17"/>
          <w:color w:val="auto"/>
        </w:rPr>
      </w:pPr>
    </w:p>
    <w:p>
      <w:pPr>
        <w:ind w:left="172" w:hanging="172"/>
        <w:spacing w:after="0"/>
        <w:tabs>
          <w:tab w:leader="none" w:pos="1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Paragraph (1) of Section IV, D. of the Plan is amended, in its entirety, to read as follows:</w:t>
      </w:r>
    </w:p>
    <w:p>
      <w:pPr>
        <w:spacing w:after="0" w:line="117" w:lineRule="exact"/>
        <w:rPr>
          <w:rFonts w:ascii="Arial" w:cs="Arial" w:eastAsia="Arial" w:hAnsi="Arial"/>
          <w:sz w:val="18"/>
          <w:szCs w:val="18"/>
          <w:color w:val="auto"/>
        </w:rPr>
      </w:pPr>
    </w:p>
    <w:p>
      <w:pPr>
        <w:ind w:left="232" w:right="140" w:firstLine="221"/>
        <w:spacing w:after="0" w:line="264" w:lineRule="auto"/>
        <w:tabs>
          <w:tab w:leader="none" w:pos="71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Retirement Contribution</w:t>
      </w:r>
      <w:r>
        <w:rPr>
          <w:rFonts w:ascii="Arial" w:cs="Arial" w:eastAsia="Arial" w:hAnsi="Arial"/>
          <w:sz w:val="18"/>
          <w:szCs w:val="18"/>
          <w:color w:val="auto"/>
        </w:rPr>
        <w:t>. For each pay period, the Employer will allocate to each Eligible Employee’s Retirement Account an amount equal to the Retirement Contribution he would have received under the Qualified Plan with respect to his Compensation (as defined in Section II of this Plan) minus the Retirement Contribution actually allocated under the Qualified Plan.</w:t>
      </w:r>
    </w:p>
    <w:p>
      <w:pPr>
        <w:spacing w:after="0" w:line="73" w:lineRule="exact"/>
        <w:rPr>
          <w:rFonts w:ascii="Arial" w:cs="Arial" w:eastAsia="Arial" w:hAnsi="Arial"/>
          <w:sz w:val="18"/>
          <w:szCs w:val="18"/>
          <w:color w:val="auto"/>
        </w:rPr>
      </w:pPr>
    </w:p>
    <w:p>
      <w:pPr>
        <w:ind w:left="172" w:hanging="172"/>
        <w:spacing w:after="0"/>
        <w:tabs>
          <w:tab w:leader="none" w:pos="1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Paragraph (2) of Section IV, D. of the Plan is amended, in its entirety, to read as follows:</w:t>
      </w:r>
    </w:p>
    <w:p>
      <w:pPr>
        <w:spacing w:after="0" w:line="117" w:lineRule="exact"/>
        <w:rPr>
          <w:rFonts w:ascii="Arial" w:cs="Arial" w:eastAsia="Arial" w:hAnsi="Arial"/>
          <w:sz w:val="18"/>
          <w:szCs w:val="18"/>
          <w:color w:val="auto"/>
        </w:rPr>
      </w:pPr>
    </w:p>
    <w:p>
      <w:pPr>
        <w:ind w:left="232" w:right="260" w:firstLine="221"/>
        <w:spacing w:after="0" w:line="277"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Matching Contributions</w:t>
      </w:r>
      <w:r>
        <w:rPr>
          <w:rFonts w:ascii="Arial" w:cs="Arial" w:eastAsia="Arial" w:hAnsi="Arial"/>
          <w:sz w:val="18"/>
          <w:szCs w:val="18"/>
          <w:color w:val="auto"/>
        </w:rPr>
        <w:t>. For each pay period, the Employer shall make matching contributions to the Matching Account of each Participant who elects to defer Compensation in accordance with Section IV.C. For each pay period, the amount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7" w:name="page48"/>
    <w:bookmarkEnd w:id="47"/>
    <w:p>
      <w:pPr>
        <w:ind w:left="240" w:right="100"/>
        <w:spacing w:after="0" w:line="277" w:lineRule="auto"/>
        <w:rPr>
          <w:sz w:val="20"/>
          <w:szCs w:val="20"/>
          <w:color w:val="auto"/>
        </w:rPr>
      </w:pPr>
      <w:r>
        <w:rPr>
          <w:rFonts w:ascii="Arial" w:cs="Arial" w:eastAsia="Arial" w:hAnsi="Arial"/>
          <w:sz w:val="18"/>
          <w:szCs w:val="18"/>
          <w:color w:val="auto"/>
        </w:rPr>
        <w:t>matching contribution will be the matching contribution that would have been made under the Qualified Plan applied against the aggregate of deferrals to the Qualified Plan and this Plan less any matching contributions made on behalf of the Participant under the Qualified Plan.</w:t>
      </w:r>
    </w:p>
    <w:p>
      <w:pPr>
        <w:spacing w:after="0" w:line="62"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IV, F. of the Plan is amended, in its entirety, to read as follows:</w:t>
      </w:r>
    </w:p>
    <w:p>
      <w:pPr>
        <w:spacing w:after="0" w:line="117" w:lineRule="exact"/>
        <w:rPr>
          <w:rFonts w:ascii="Arial" w:cs="Arial" w:eastAsia="Arial" w:hAnsi="Arial"/>
          <w:sz w:val="18"/>
          <w:szCs w:val="18"/>
          <w:color w:val="auto"/>
        </w:rPr>
      </w:pPr>
    </w:p>
    <w:p>
      <w:pPr>
        <w:ind w:left="240" w:right="160" w:firstLine="221"/>
        <w:spacing w:after="0" w:line="297" w:lineRule="auto"/>
        <w:tabs>
          <w:tab w:leader="none" w:pos="64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Outside Investment Funds</w:t>
      </w:r>
      <w:r>
        <w:rPr>
          <w:rFonts w:ascii="Arial" w:cs="Arial" w:eastAsia="Arial" w:hAnsi="Arial"/>
          <w:sz w:val="16"/>
          <w:szCs w:val="16"/>
          <w:color w:val="auto"/>
        </w:rPr>
        <w:t>. Each Participant shall direct the portion of future contributions to, and the existing balance in, the Participant’s Account to be treated as credited to one or more of the Outside Investment Funds. A Participant may change his or her direction among the Outside Investment Funds as of any business day by providing instructions in such manner as may be prescribed by the Administrative Committee, subject to any applicable restrictions under an Outside Investment Fund. If a Participant does not designate one or more of the Outside Investment Funds, his Accounts will be credited to the Fidelity Retirement Money Market Portfolio Fund or to a successor fund identified by the Administrative Committee.</w:t>
      </w:r>
    </w:p>
    <w:p>
      <w:pPr>
        <w:spacing w:after="0" w:line="50" w:lineRule="exact"/>
        <w:rPr>
          <w:rFonts w:ascii="Arial" w:cs="Arial" w:eastAsia="Arial" w:hAnsi="Arial"/>
          <w:sz w:val="16"/>
          <w:szCs w:val="16"/>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V, B. of the Plan is amended, in its entirety, to read as follows:</w:t>
      </w:r>
    </w:p>
    <w:p>
      <w:pPr>
        <w:spacing w:after="0" w:line="117" w:lineRule="exact"/>
        <w:rPr>
          <w:rFonts w:ascii="Arial" w:cs="Arial" w:eastAsia="Arial" w:hAnsi="Arial"/>
          <w:sz w:val="18"/>
          <w:szCs w:val="18"/>
          <w:color w:val="auto"/>
        </w:rPr>
      </w:pPr>
    </w:p>
    <w:p>
      <w:pPr>
        <w:ind w:left="240" w:firstLine="221"/>
        <w:spacing w:after="0" w:line="253" w:lineRule="auto"/>
        <w:tabs>
          <w:tab w:leader="none" w:pos="67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Method of Distribution</w:t>
      </w:r>
      <w:r>
        <w:rPr>
          <w:rFonts w:ascii="Arial" w:cs="Arial" w:eastAsia="Arial" w:hAnsi="Arial"/>
          <w:sz w:val="18"/>
          <w:szCs w:val="18"/>
          <w:color w:val="auto"/>
        </w:rPr>
        <w:t>. Amounts credited to a Participant’s Account shall be distributed to the Participant either in a single lump sum payment or in substantially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Company which can be distributed based on the amount credited to the Company Stock Fund (after any applicable withholding), plus cash for any fractional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5th day of May, 2004.</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THE SCOTTS COMPANY</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George A. Murphy</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George A. Murphy,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Global Compensation and Benefits</w:t>
      </w:r>
    </w:p>
    <w:p>
      <w:pPr>
        <w:sectPr>
          <w:pgSz w:w="11900" w:h="16838" w:orient="portrait"/>
          <w:cols w:equalWidth="0" w:num="1">
            <w:col w:w="11400"/>
          </w:cols>
          <w:pgMar w:left="240" w:top="936"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99"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Scotts Company (“Scotts”) previously adopted The Scotts Company Incentive Pay Deferral Plan, subsequently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1999 as The Scotts Company Executive Retirement Plan (the “Plan”); and</w:t>
      </w:r>
    </w:p>
    <w:p>
      <w:pPr>
        <w:spacing w:after="0" w:line="54"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(the “Company”), pursuant to the Agreement and Plan of Merger, dated as of December 13, 2004 (the “Merger Agreement”), by and among Scotts, The Scotts Miracle-Gro Company (“Scotts Miracle-Gro”) and the Company; and</w:t>
      </w:r>
    </w:p>
    <w:p>
      <w:pPr>
        <w:spacing w:after="0" w:line="72"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and as a result of the merger of Scotts into the Company, the Company assumed, as of the Effective Time, the Plan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liabilities of Scotts thereunder; 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XI of the Plan provides that the Administrative Committee for the Plan may amend, modify or terminate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March 18, 2005, the Plan is amended as follows to reflect the Company’s assumption of the Plan:</w:t>
      </w:r>
    </w:p>
    <w:p>
      <w:pPr>
        <w:spacing w:after="0" w:line="121" w:lineRule="exact"/>
        <w:rPr>
          <w:sz w:val="20"/>
          <w:szCs w:val="20"/>
          <w:color w:val="auto"/>
        </w:rPr>
      </w:pPr>
    </w:p>
    <w:p>
      <w:pPr>
        <w:ind w:left="400" w:hanging="167"/>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Company LLC Executive Retirement Plan.”</w:t>
      </w:r>
    </w:p>
    <w:p>
      <w:pPr>
        <w:spacing w:after="0" w:line="117" w:lineRule="exact"/>
        <w:rPr>
          <w:rFonts w:ascii="Arial" w:cs="Arial" w:eastAsia="Arial" w:hAnsi="Arial"/>
          <w:sz w:val="18"/>
          <w:szCs w:val="18"/>
          <w:color w:val="auto"/>
        </w:rPr>
      </w:pPr>
    </w:p>
    <w:p>
      <w:pPr>
        <w:ind w:right="20" w:firstLine="233"/>
        <w:spacing w:after="0" w:line="279" w:lineRule="auto"/>
        <w:tabs>
          <w:tab w:leader="none" w:pos="4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Section I of the Plan is amended and restated to read, in its entirety, as follows: The Scotts Company LLC Executive Retirement Plan provides Eligible Employees with the opportunity to defer bonuses (under the Executive Annual Incentive Plan) and compensation, and supplements the benefits of Eligible Employees under The Scotts Company LLC Retirement Savings Plan. The benefits under the Plan are to be provided from the Plan on an unfunded basis. It is intended that the Plan be exempt from the funding, participation, vesting and fiduciary provisions of Title I of ERISA.</w:t>
      </w:r>
    </w:p>
    <w:p>
      <w:pPr>
        <w:spacing w:after="0" w:line="63" w:lineRule="exact"/>
        <w:rPr>
          <w:rFonts w:ascii="Arial" w:cs="Arial" w:eastAsia="Arial" w:hAnsi="Arial"/>
          <w:sz w:val="17"/>
          <w:szCs w:val="17"/>
          <w:color w:val="auto"/>
        </w:rPr>
      </w:pPr>
    </w:p>
    <w:p>
      <w:pPr>
        <w:ind w:right="80" w:firstLine="233"/>
        <w:spacing w:after="0" w:line="259" w:lineRule="auto"/>
        <w:tabs>
          <w:tab w:leader="none" w:pos="4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definition of “Administrative Committee” contained in Section II of the Plan is amended and restated to read, in its entirety, as follows: “Administrative Committee” means (a) the administrative committee appointed to administer the tax qualified retirement plans which are also sponsored by the Employer or (b) any person or entity to which the Administrative Committee delegates any of the administrative or ministerial duties assigned to it in this Plan.</w:t>
      </w:r>
    </w:p>
    <w:p>
      <w:pPr>
        <w:spacing w:after="0" w:line="78" w:lineRule="exact"/>
        <w:rPr>
          <w:rFonts w:ascii="Arial" w:cs="Arial" w:eastAsia="Arial" w:hAnsi="Arial"/>
          <w:sz w:val="18"/>
          <w:szCs w:val="18"/>
          <w:color w:val="auto"/>
        </w:rPr>
      </w:pPr>
    </w:p>
    <w:p>
      <w:pPr>
        <w:ind w:left="400" w:hanging="167"/>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definition of “Board” contained in Section II of the Plan is deleted in its entirety.</w:t>
      </w:r>
    </w:p>
    <w:p>
      <w:pPr>
        <w:spacing w:after="0" w:line="117" w:lineRule="exact"/>
        <w:rPr>
          <w:rFonts w:ascii="Arial" w:cs="Arial" w:eastAsia="Arial" w:hAnsi="Arial"/>
          <w:sz w:val="18"/>
          <w:szCs w:val="18"/>
          <w:color w:val="auto"/>
        </w:rPr>
      </w:pPr>
    </w:p>
    <w:p>
      <w:pPr>
        <w:ind w:right="20" w:firstLine="233"/>
        <w:spacing w:after="0" w:line="264" w:lineRule="auto"/>
        <w:tabs>
          <w:tab w:leader="none" w:pos="4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definition of “Company Stock Fund” contained in Section II of the Plan is amended and restated to read, in its entirety, as follows: “Company Stock Fund” means a fund consisting of common shares of The Scotts Miracle-Gro Company and cash or cash equivalents needed to meet obligations of such fund or for the purchase of common shares of The Scotts Miracle-Gro Company.</w:t>
      </w:r>
    </w:p>
    <w:p>
      <w:pPr>
        <w:spacing w:after="0" w:line="73" w:lineRule="exact"/>
        <w:rPr>
          <w:rFonts w:ascii="Arial" w:cs="Arial" w:eastAsia="Arial" w:hAnsi="Arial"/>
          <w:sz w:val="18"/>
          <w:szCs w:val="18"/>
          <w:color w:val="auto"/>
        </w:rPr>
      </w:pPr>
    </w:p>
    <w:p>
      <w:pPr>
        <w:ind w:right="420" w:firstLine="233"/>
        <w:spacing w:after="0" w:line="277" w:lineRule="auto"/>
        <w:tabs>
          <w:tab w:leader="none" w:pos="4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definition of “Employer” contained in Section II of the Plan is amended and restated to read, in its entirety, as follows: “Employer” means The Scotts Company LLC and affiliates of The Scotts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right="680" w:firstLine="233"/>
        <w:spacing w:after="0" w:line="342" w:lineRule="auto"/>
        <w:tabs>
          <w:tab w:leader="none" w:pos="4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definition of “Plan” contained in Section II of the Plan is amended and restated to read, in its entirety, as follows: “Plan” means The Scotts Company LLC Executive Retirement Plan, as reflected in this document, as the same may be amended from time to time after the Effective Date.</w:t>
      </w:r>
    </w:p>
    <w:p>
      <w:pPr>
        <w:spacing w:after="0" w:line="15" w:lineRule="exact"/>
        <w:rPr>
          <w:rFonts w:ascii="Arial" w:cs="Arial" w:eastAsia="Arial" w:hAnsi="Arial"/>
          <w:sz w:val="16"/>
          <w:szCs w:val="16"/>
          <w:color w:val="auto"/>
        </w:rPr>
      </w:pPr>
    </w:p>
    <w:p>
      <w:pPr>
        <w:ind w:right="60" w:firstLine="233"/>
        <w:spacing w:after="0" w:line="277" w:lineRule="auto"/>
        <w:tabs>
          <w:tab w:leader="none" w:pos="4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definition of “Qualified Plan” contained in Section II of the Plan is amended and restated to read, in its entirety, as follows: “Qualified Plan” means The Scotts Company LLC Retirement Savings Plan and any amendments made thereto.</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V, Part B – Method of Distribution is amended and restated to read, in its entirety, as follows:</w:t>
      </w:r>
    </w:p>
    <w:p>
      <w:pPr>
        <w:spacing w:after="0" w:line="117" w:lineRule="exact"/>
        <w:rPr>
          <w:sz w:val="20"/>
          <w:szCs w:val="20"/>
          <w:color w:val="auto"/>
        </w:rPr>
      </w:pPr>
    </w:p>
    <w:p>
      <w:pPr>
        <w:ind w:left="240"/>
        <w:spacing w:after="0" w:line="289" w:lineRule="auto"/>
        <w:rPr>
          <w:sz w:val="20"/>
          <w:szCs w:val="20"/>
          <w:color w:val="auto"/>
        </w:rPr>
      </w:pPr>
      <w:r>
        <w:rPr>
          <w:rFonts w:ascii="Arial" w:cs="Arial" w:eastAsia="Arial" w:hAnsi="Arial"/>
          <w:sz w:val="16"/>
          <w:szCs w:val="16"/>
          <w:color w:val="auto"/>
        </w:rPr>
        <w:t>Amounts credited to a Participant’s Account shall be distributed to the Participant either in a single lump sum payment or in substantially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Scotts Miracle-Gro Company which can be distributed based on the amount credited to the Company Stock Fund (after any applicable withholding), plus cash for any fractional share.</w:t>
      </w:r>
    </w:p>
    <w:p>
      <w:pPr>
        <w:spacing w:after="0" w:line="55"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Administrative Committee, acting on behalf of the Company, has caused this Amendment to be executed on this 6th day</w:t>
      </w:r>
      <w:r>
        <w:rPr>
          <w:rFonts w:ascii="Arial" w:cs="Arial" w:eastAsia="Arial" w:hAnsi="Arial"/>
          <w:sz w:val="18"/>
          <w:szCs w:val="18"/>
          <w:b w:val="1"/>
          <w:bCs w:val="1"/>
          <w:color w:val="auto"/>
        </w:rPr>
        <w:t xml:space="preserve"> </w:t>
      </w:r>
      <w:r>
        <w:rPr>
          <w:rFonts w:ascii="Arial" w:cs="Arial" w:eastAsia="Arial" w:hAnsi="Arial"/>
          <w:sz w:val="18"/>
          <w:szCs w:val="18"/>
          <w:color w:val="auto"/>
        </w:rPr>
        <w:t>of May, 2005, to be effective as of March 18, 2005.</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169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Member of the Administrative Committee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35"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4.10</w:t>
      </w:r>
    </w:p>
    <w:p>
      <w:pPr>
        <w:spacing w:after="0" w:line="33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SIXTH AMENDMENT</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THE SCOTTS COMPANY LLC</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EXECUTIVE RETIREMENT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Scotts Company LLC (the “Company”) sponsors the Scotts Company LLC Executive Retirement Plan (the “Plan”); and</w:t>
      </w:r>
    </w:p>
    <w:p>
      <w:pPr>
        <w:spacing w:after="0" w:line="117" w:lineRule="exact"/>
        <w:rPr>
          <w:sz w:val="20"/>
          <w:szCs w:val="20"/>
          <w:color w:val="auto"/>
        </w:rPr>
      </w:pPr>
    </w:p>
    <w:p>
      <w:pPr>
        <w:ind w:right="30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amend the Plan to create a retention award account pursuant to which the Company can grant retention awards to</w:t>
      </w:r>
      <w:r>
        <w:rPr>
          <w:rFonts w:ascii="Arial" w:cs="Arial" w:eastAsia="Arial" w:hAnsi="Arial"/>
          <w:sz w:val="18"/>
          <w:szCs w:val="18"/>
          <w:b w:val="1"/>
          <w:bCs w:val="1"/>
          <w:color w:val="auto"/>
        </w:rPr>
        <w:t xml:space="preserve"> </w:t>
      </w:r>
      <w:r>
        <w:rPr>
          <w:rFonts w:ascii="Arial" w:cs="Arial" w:eastAsia="Arial" w:hAnsi="Arial"/>
          <w:sz w:val="18"/>
          <w:szCs w:val="18"/>
          <w:color w:val="auto"/>
        </w:rPr>
        <w:t>Plan participants; 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Committee has been authorized to administer the Plan and to amend, modify or terminate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effective as of October 8, 2008, the Plan is amended as follows: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second sentence of the definition of the term “Account” contained in Section II of the Plan is amended to read as follows:</w:t>
      </w:r>
    </w:p>
    <w:p>
      <w:pPr>
        <w:spacing w:after="0" w:line="117"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color w:val="auto"/>
        </w:rPr>
        <w:t>A Participant’s Account shall consist, as applicable, of a Deferred Executive Incentive Pay Account, a Deferred Compensation Account, a Matching Account, a Retirement Account, a Transitional Contributions Account and a Retention Award Account.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Section II of the Plan is amended by adding the following definition in its appropriate alphabetical location:</w:t>
      </w:r>
    </w:p>
    <w:p>
      <w:pPr>
        <w:spacing w:after="0" w:line="117" w:lineRule="exact"/>
        <w:rPr>
          <w:sz w:val="20"/>
          <w:szCs w:val="20"/>
          <w:color w:val="auto"/>
        </w:rPr>
      </w:pPr>
    </w:p>
    <w:p>
      <w:pPr>
        <w:ind w:left="240" w:right="80"/>
        <w:spacing w:after="0" w:line="279" w:lineRule="auto"/>
        <w:rPr>
          <w:sz w:val="20"/>
          <w:szCs w:val="20"/>
          <w:color w:val="auto"/>
        </w:rPr>
      </w:pPr>
      <w:r>
        <w:rPr>
          <w:rFonts w:ascii="Arial" w:cs="Arial" w:eastAsia="Arial" w:hAnsi="Arial"/>
          <w:sz w:val="17"/>
          <w:szCs w:val="17"/>
          <w:color w:val="auto"/>
        </w:rPr>
        <w:t>“Retention Award” means an award allocable to a Participant’s Retention Award Account in accordance with Section IV.D.(6). The designation of the Participants who receive a Retention Award and the amount of each Retention Award shall be determined by the Employer in its sole discretion. Each Retention Award shall be evidenced by a written agreement between the Employer and the Participant. The written agreement shall set forth the terms and conditions governing the Retention Award and shall be consistent with the applicable terms of the Plan.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second sentence of Section IV.A. of the Plan is amended to read as follows:</w:t>
      </w:r>
    </w:p>
    <w:p>
      <w:pPr>
        <w:spacing w:after="0" w:line="117" w:lineRule="exact"/>
        <w:rPr>
          <w:sz w:val="20"/>
          <w:szCs w:val="20"/>
          <w:color w:val="auto"/>
        </w:rPr>
      </w:pPr>
    </w:p>
    <w:p>
      <w:pPr>
        <w:ind w:left="240" w:right="760"/>
        <w:spacing w:after="0" w:line="277" w:lineRule="auto"/>
        <w:rPr>
          <w:sz w:val="20"/>
          <w:szCs w:val="20"/>
          <w:color w:val="auto"/>
        </w:rPr>
      </w:pPr>
      <w:r>
        <w:rPr>
          <w:rFonts w:ascii="Arial" w:cs="Arial" w:eastAsia="Arial" w:hAnsi="Arial"/>
          <w:sz w:val="18"/>
          <w:szCs w:val="18"/>
          <w:color w:val="auto"/>
        </w:rPr>
        <w:t>A Participant’s Account shall consist of a Deferred Executive Incentive Pay Account, a Deferred Compensation Account, a Matching Account, a Retirement Account, a Transitional Contributions Account and a Retention Award Account.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following new paragraph (6) is added at the end of Section IV.D. of the Plan:</w:t>
      </w:r>
    </w:p>
    <w:p>
      <w:pPr>
        <w:spacing w:after="0" w:line="117" w:lineRule="exact"/>
        <w:rPr>
          <w:sz w:val="20"/>
          <w:szCs w:val="20"/>
          <w:color w:val="auto"/>
        </w:rPr>
      </w:pPr>
    </w:p>
    <w:p>
      <w:pPr>
        <w:ind w:left="240" w:right="440" w:hanging="4"/>
        <w:spacing w:after="0" w:line="277" w:lineRule="auto"/>
        <w:tabs>
          <w:tab w:leader="none" w:pos="49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Retention Awards.</w:t>
      </w:r>
      <w:r>
        <w:rPr>
          <w:rFonts w:ascii="Arial" w:cs="Arial" w:eastAsia="Arial" w:hAnsi="Arial"/>
          <w:sz w:val="18"/>
          <w:szCs w:val="18"/>
          <w:color w:val="auto"/>
        </w:rPr>
        <w:t xml:space="preserve"> The Employer shall allocate an amount equal to the Participant’s Retention Award, if any, to the Participant’s Retention Award Account.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first and second sentences of Section V.A. of the Plan are amended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ind w:right="300"/>
        <w:spacing w:after="0" w:line="259" w:lineRule="auto"/>
        <w:rPr>
          <w:sz w:val="20"/>
          <w:szCs w:val="20"/>
          <w:color w:val="auto"/>
        </w:rPr>
      </w:pPr>
      <w:r>
        <w:rPr>
          <w:rFonts w:ascii="Arial" w:cs="Arial" w:eastAsia="Arial" w:hAnsi="Arial"/>
          <w:sz w:val="18"/>
          <w:szCs w:val="18"/>
          <w:color w:val="auto"/>
        </w:rPr>
        <w:t>Amounts credited to a Participant’s Account (other than the Retention Award Account) shall be distributed to the Participant when administratively practicable after termination of employment or a date specified by the Participant. The time of distribution (except with respect to the Retention Award Account) shall be elected by the Participant in the Executive Incentive Pay Deferral Election and Compensation Deferral Election delivered to the Administrative Committee at the time the applicable deferral election is made.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Section V.A. of the Plan is further amended by adding the following provision as the second paragraph thereof:</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Amounts credited to a Participant’s Retention Award Account shall be distributed to the Participant in accordance with the written agreement evidencing the Participant’s Retention Award.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Section V.B. of the Plan is amended to read as follows: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Method of Distribution</w:t>
      </w:r>
      <w:r>
        <w:rPr>
          <w:rFonts w:ascii="Arial" w:cs="Arial" w:eastAsia="Arial" w:hAnsi="Arial"/>
          <w:sz w:val="17"/>
          <w:szCs w:val="17"/>
          <w:color w:val="auto"/>
        </w:rPr>
        <w:t>. Amounts credited to a Participant’s Account (other than the Retention Award Account) shall be distributed to the Participant either in a single lump sum payment or in substantially equal annual installments over a period less than ten (10) years. Amounts credited to a Participant’s Retention Award Account shall be distributed to the Participant in accordance with the written agreement between the Employer and the Participant evidencing the Participant’s Retention Award.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(other than the Retention Award Account) is less than $5,000, the Administrative Committee shall pay such amount to the Participant and reduce the balance of his Account (other than the Retention Award Account) to zero. The method of distribution shall be elected by the Participant in the Executive Incentive Pay Deferral Election or Compensation Deferral Election delivered to the Administrative Committee at the time the applicable deferral election is made or, in the case of distributions from the Retention Award Account, in accordance with the written agreement evidencing the Participant’s Retention Award. Distributions of amounts credited to Investment Funds other than the Company Stock Fund shall be made in cash. Distributions of amounts credited to the Company Stock Fund shall be distributed in the greatest whole number of common shares of The Scotts Miracle-Gro Company which can be distributed based on the amount credited to the Company Stock Fund (after any applicable withholding), plus cash for any fractional share.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Section V.E. of the Plan is amended by adding the following sentence at the end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V.E. shall not apply to the Participant’s Retention Award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52" w:name="page53"/>
    <w:bookmarkEnd w:id="52"/>
    <w:p>
      <w:pPr>
        <w:ind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Administrative Committee, acting on behalf of the Company, has caused this Sixth Amendment to be executed on this 8th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 to be effective as of that same date.</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THE SCOTTS COMPANY LLC</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1697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 Name: Arnold W. Donald</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Member of the Administrative Committee</w:t>
      </w:r>
    </w:p>
    <w:p>
      <w:pPr>
        <w:sectPr>
          <w:pgSz w:w="11900" w:h="16838" w:orient="portrait"/>
          <w:cols w:equalWidth="0" w:num="1">
            <w:col w:w="11400"/>
          </w:cols>
          <w:pgMar w:left="240" w:top="932" w:right="2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70688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4003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Vorys, Sater, Seymour and Pease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October 9,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The Scotts Company LLC Executive Retirement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52 East Gay St.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 Box 1008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Columbus, OH 43216-1008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614.464.6400</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www.vorys.com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Founded 1909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173" w:lineRule="exact"/>
        <w:rPr>
          <w:sz w:val="20"/>
          <w:szCs w:val="20"/>
          <w:color w:val="auto"/>
        </w:rPr>
      </w:pPr>
    </w:p>
    <w:p>
      <w:pPr>
        <w:sectPr>
          <w:pgSz w:w="11900" w:h="16838" w:orient="portrait"/>
          <w:cols w:equalWidth="0" w:num="2">
            <w:col w:w="8700" w:space="720"/>
            <w:col w:w="2000"/>
          </w:cols>
          <w:pgMar w:left="240" w:top="341" w:right="239" w:bottom="1440" w:gutter="0" w:footer="0" w:header="0"/>
        </w:sectPr>
      </w:pPr>
    </w:p>
    <w:p>
      <w:pPr>
        <w:ind w:right="20" w:firstLine="222"/>
        <w:spacing w:after="0" w:line="269" w:lineRule="auto"/>
        <w:rPr>
          <w:sz w:val="20"/>
          <w:szCs w:val="20"/>
          <w:color w:val="auto"/>
        </w:rPr>
      </w:pPr>
      <w:r>
        <w:rPr>
          <w:rFonts w:ascii="Arial" w:cs="Arial" w:eastAsia="Arial" w:hAnsi="Arial"/>
          <w:sz w:val="17"/>
          <w:szCs w:val="17"/>
          <w:color w:val="auto"/>
        </w:rPr>
        <w:t>We have acted as counsel for The Scotts Miracle-Gro Company, an Ohio corporation (“SMG”), and The Scotts Company LLC, an Ohio limited liability company (“Scotts LLC”), in connection with the proposed filing with the Securities and Exchange Commission expected to be made on or about October 9, 2008 under the Securities Act of 1933, as amended (the “1933 Act”), of a Registration Statement on Form S-8 (the “Registration Statement”) for the purpose of registering $12,000,000 of Deferred Compensation Obligations (the “Deferred Compensation Obligations”), which represent general unsecured obligations of Scotts LLC and of affiliates of Scotts LLC including SMG (collectively, the “Company”) under The Scotts Company LLC Executive Retirement Plan (the “Plan”). Participants in the Plan may direct that Deferred Compensation Obligations be treated as credited to one or more benchmarked investment funds, including an SMG stock fund (reflecting common shares, without par value (“Common Shares”), of SMG). Distributions in respect of Deferred Compensation Obligations which are treated as credited to the SMG stock fund are made in SMG Common Shares. Accordingly, 548,446 SMG Common Shares are being registered pursuant to the Registration Statement and represent the maximum number of SMG Common Shares that may be distributed in respect of the Deferred Compensation Obligations being registered pursuant to the Registration Statement, if all such Deferred Compensation Obligations are treated as credited to the SMG stock fund.</w:t>
      </w:r>
    </w:p>
    <w:p>
      <w:pPr>
        <w:spacing w:after="0" w:line="75"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SMG Common Shares being registered pursuant to the Registration Statement will not be original issuance securities. Accordingly, in accordance with the instructions to Item 8(a) of Part II of Form S-8, no opinion as to the legality of such SMG Common Shares is required or provided herein.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WASHINGTON</w:t>
            </w: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CLEVELAND</w:t>
            </w:r>
          </w:p>
        </w:tc>
        <w:tc>
          <w:tcPr>
            <w:tcW w:w="2300" w:type="dxa"/>
            <w:vAlign w:val="bottom"/>
          </w:tcPr>
          <w:p>
            <w:pPr>
              <w:ind w:left="140"/>
              <w:spacing w:after="0"/>
              <w:rPr>
                <w:sz w:val="20"/>
                <w:szCs w:val="20"/>
                <w:color w:val="auto"/>
              </w:rPr>
            </w:pPr>
            <w:r>
              <w:rPr>
                <w:rFonts w:ascii="Arial" w:cs="Arial" w:eastAsia="Arial" w:hAnsi="Arial"/>
                <w:sz w:val="18"/>
                <w:szCs w:val="18"/>
                <w:color w:val="auto"/>
              </w:rPr>
              <w:t>CINCINNATI</w:t>
            </w:r>
          </w:p>
        </w:tc>
        <w:tc>
          <w:tcPr>
            <w:tcW w:w="2220" w:type="dxa"/>
            <w:vAlign w:val="bottom"/>
          </w:tcPr>
          <w:p>
            <w:pPr>
              <w:ind w:left="140"/>
              <w:spacing w:after="0"/>
              <w:rPr>
                <w:sz w:val="20"/>
                <w:szCs w:val="20"/>
                <w:color w:val="auto"/>
              </w:rPr>
            </w:pPr>
            <w:r>
              <w:rPr>
                <w:rFonts w:ascii="Arial" w:cs="Arial" w:eastAsia="Arial" w:hAnsi="Arial"/>
                <w:sz w:val="18"/>
                <w:szCs w:val="18"/>
                <w:color w:val="auto"/>
              </w:rPr>
              <w:t>ALEXANDRIA</w:t>
            </w:r>
          </w:p>
        </w:tc>
        <w:tc>
          <w:tcPr>
            <w:tcW w:w="2440" w:type="dxa"/>
            <w:vAlign w:val="bottom"/>
          </w:tcPr>
          <w:p>
            <w:pPr>
              <w:ind w:left="220"/>
              <w:spacing w:after="0"/>
              <w:rPr>
                <w:sz w:val="20"/>
                <w:szCs w:val="20"/>
                <w:color w:val="auto"/>
              </w:rPr>
            </w:pPr>
            <w:r>
              <w:rPr>
                <w:rFonts w:ascii="Arial" w:cs="Arial" w:eastAsia="Arial" w:hAnsi="Arial"/>
                <w:sz w:val="18"/>
                <w:szCs w:val="18"/>
                <w:color w:val="auto"/>
              </w:rPr>
              <w:t>AKRON</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1828 L St. NW</w:t>
            </w:r>
          </w:p>
        </w:tc>
        <w:tc>
          <w:tcPr>
            <w:tcW w:w="460" w:type="dxa"/>
            <w:vAlign w:val="bottom"/>
          </w:tcPr>
          <w:p>
            <w:pPr>
              <w:ind w:left="80"/>
              <w:spacing w:after="0"/>
              <w:rPr>
                <w:sz w:val="20"/>
                <w:szCs w:val="20"/>
                <w:color w:val="auto"/>
              </w:rPr>
            </w:pPr>
            <w:r>
              <w:rPr>
                <w:rFonts w:ascii="Arial" w:cs="Arial" w:eastAsia="Arial" w:hAnsi="Arial"/>
                <w:sz w:val="18"/>
                <w:szCs w:val="18"/>
                <w:color w:val="auto"/>
                <w:w w:val="89"/>
              </w:rPr>
              <w:t>1375</w:t>
            </w:r>
          </w:p>
        </w:tc>
        <w:tc>
          <w:tcPr>
            <w:tcW w:w="1780" w:type="dxa"/>
            <w:vAlign w:val="bottom"/>
          </w:tcPr>
          <w:p>
            <w:pPr>
              <w:ind w:left="20"/>
              <w:spacing w:after="0"/>
              <w:rPr>
                <w:sz w:val="20"/>
                <w:szCs w:val="20"/>
                <w:color w:val="auto"/>
              </w:rPr>
            </w:pPr>
            <w:r>
              <w:rPr>
                <w:rFonts w:ascii="Arial" w:cs="Arial" w:eastAsia="Arial" w:hAnsi="Arial"/>
                <w:sz w:val="18"/>
                <w:szCs w:val="18"/>
                <w:color w:val="auto"/>
              </w:rPr>
              <w:t>East Ninth St.</w:t>
            </w:r>
          </w:p>
        </w:tc>
        <w:tc>
          <w:tcPr>
            <w:tcW w:w="2300" w:type="dxa"/>
            <w:vAlign w:val="bottom"/>
          </w:tcPr>
          <w:p>
            <w:pPr>
              <w:ind w:left="140"/>
              <w:spacing w:after="0"/>
              <w:rPr>
                <w:sz w:val="20"/>
                <w:szCs w:val="20"/>
                <w:color w:val="auto"/>
              </w:rPr>
            </w:pPr>
            <w:r>
              <w:rPr>
                <w:rFonts w:ascii="Arial" w:cs="Arial" w:eastAsia="Arial" w:hAnsi="Arial"/>
                <w:sz w:val="18"/>
                <w:szCs w:val="18"/>
                <w:color w:val="auto"/>
              </w:rPr>
              <w:t>221 East Fourth St.</w:t>
            </w:r>
          </w:p>
        </w:tc>
        <w:tc>
          <w:tcPr>
            <w:tcW w:w="2220" w:type="dxa"/>
            <w:vAlign w:val="bottom"/>
          </w:tcPr>
          <w:p>
            <w:pPr>
              <w:ind w:left="140"/>
              <w:spacing w:after="0"/>
              <w:rPr>
                <w:sz w:val="20"/>
                <w:szCs w:val="20"/>
                <w:color w:val="auto"/>
              </w:rPr>
            </w:pPr>
            <w:r>
              <w:rPr>
                <w:rFonts w:ascii="Arial" w:cs="Arial" w:eastAsia="Arial" w:hAnsi="Arial"/>
                <w:sz w:val="18"/>
                <w:szCs w:val="18"/>
                <w:color w:val="auto"/>
                <w:w w:val="98"/>
              </w:rPr>
              <w:t>277 South Washington St.</w:t>
            </w:r>
          </w:p>
        </w:tc>
        <w:tc>
          <w:tcPr>
            <w:tcW w:w="2440" w:type="dxa"/>
            <w:vAlign w:val="bottom"/>
          </w:tcPr>
          <w:p>
            <w:pPr>
              <w:ind w:left="220"/>
              <w:spacing w:after="0"/>
              <w:rPr>
                <w:sz w:val="20"/>
                <w:szCs w:val="20"/>
                <w:color w:val="auto"/>
              </w:rPr>
            </w:pPr>
            <w:r>
              <w:rPr>
                <w:rFonts w:ascii="Arial" w:cs="Arial" w:eastAsia="Arial" w:hAnsi="Arial"/>
                <w:sz w:val="18"/>
                <w:szCs w:val="18"/>
                <w:color w:val="auto"/>
              </w:rPr>
              <w:t>106 South Main St.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Eleventh Floor</w:t>
            </w:r>
          </w:p>
        </w:tc>
        <w:tc>
          <w:tcPr>
            <w:tcW w:w="460" w:type="dxa"/>
            <w:vAlign w:val="bottom"/>
          </w:tcPr>
          <w:p>
            <w:pPr>
              <w:ind w:left="80"/>
              <w:spacing w:after="0"/>
              <w:rPr>
                <w:sz w:val="20"/>
                <w:szCs w:val="20"/>
                <w:color w:val="auto"/>
              </w:rPr>
            </w:pPr>
            <w:r>
              <w:rPr>
                <w:rFonts w:ascii="Arial" w:cs="Arial" w:eastAsia="Arial" w:hAnsi="Arial"/>
                <w:sz w:val="18"/>
                <w:szCs w:val="18"/>
                <w:color w:val="auto"/>
                <w:w w:val="89"/>
              </w:rPr>
              <w:t>2100</w:t>
            </w:r>
          </w:p>
        </w:tc>
        <w:tc>
          <w:tcPr>
            <w:tcW w:w="1780" w:type="dxa"/>
            <w:vAlign w:val="bottom"/>
          </w:tcPr>
          <w:p>
            <w:pPr>
              <w:ind w:left="20"/>
              <w:spacing w:after="0"/>
              <w:rPr>
                <w:sz w:val="20"/>
                <w:szCs w:val="20"/>
                <w:color w:val="auto"/>
              </w:rPr>
            </w:pPr>
            <w:r>
              <w:rPr>
                <w:rFonts w:ascii="Arial" w:cs="Arial" w:eastAsia="Arial" w:hAnsi="Arial"/>
                <w:sz w:val="18"/>
                <w:szCs w:val="18"/>
                <w:color w:val="auto"/>
                <w:w w:val="97"/>
              </w:rPr>
              <w:t>One Cleveland Center</w:t>
            </w:r>
          </w:p>
        </w:tc>
        <w:tc>
          <w:tcPr>
            <w:tcW w:w="2300" w:type="dxa"/>
            <w:vAlign w:val="bottom"/>
          </w:tcPr>
          <w:p>
            <w:pPr>
              <w:ind w:left="140"/>
              <w:spacing w:after="0"/>
              <w:rPr>
                <w:sz w:val="20"/>
                <w:szCs w:val="20"/>
                <w:color w:val="auto"/>
              </w:rPr>
            </w:pPr>
            <w:r>
              <w:rPr>
                <w:rFonts w:ascii="Arial" w:cs="Arial" w:eastAsia="Arial" w:hAnsi="Arial"/>
                <w:sz w:val="18"/>
                <w:szCs w:val="18"/>
                <w:color w:val="auto"/>
              </w:rPr>
              <w:t>Suite 2000, Atrium Two</w:t>
            </w:r>
          </w:p>
        </w:tc>
        <w:tc>
          <w:tcPr>
            <w:tcW w:w="2220" w:type="dxa"/>
            <w:vAlign w:val="bottom"/>
          </w:tcPr>
          <w:p>
            <w:pPr>
              <w:ind w:left="140"/>
              <w:spacing w:after="0"/>
              <w:rPr>
                <w:sz w:val="20"/>
                <w:szCs w:val="20"/>
                <w:color w:val="auto"/>
              </w:rPr>
            </w:pPr>
            <w:r>
              <w:rPr>
                <w:rFonts w:ascii="Arial" w:cs="Arial" w:eastAsia="Arial" w:hAnsi="Arial"/>
                <w:sz w:val="18"/>
                <w:szCs w:val="18"/>
                <w:color w:val="auto"/>
              </w:rPr>
              <w:t>Suite 310</w:t>
            </w:r>
          </w:p>
        </w:tc>
        <w:tc>
          <w:tcPr>
            <w:tcW w:w="2440" w:type="dxa"/>
            <w:vAlign w:val="bottom"/>
          </w:tcPr>
          <w:p>
            <w:pPr>
              <w:ind w:left="220"/>
              <w:spacing w:after="0"/>
              <w:rPr>
                <w:sz w:val="20"/>
                <w:szCs w:val="20"/>
                <w:color w:val="auto"/>
              </w:rPr>
            </w:pPr>
            <w:r>
              <w:rPr>
                <w:rFonts w:ascii="Arial" w:cs="Arial" w:eastAsia="Arial" w:hAnsi="Arial"/>
                <w:sz w:val="18"/>
                <w:szCs w:val="18"/>
                <w:color w:val="auto"/>
              </w:rPr>
              <w:t>Suite 1100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4"/>
              </w:rPr>
              <w:t>Washington. DC 20036-5109</w:t>
            </w:r>
          </w:p>
        </w:tc>
        <w:tc>
          <w:tcPr>
            <w:tcW w:w="2240" w:type="dxa"/>
            <w:vAlign w:val="bottom"/>
            <w:gridSpan w:val="2"/>
          </w:tcPr>
          <w:p>
            <w:pPr>
              <w:ind w:left="80"/>
              <w:spacing w:after="0"/>
              <w:rPr>
                <w:sz w:val="20"/>
                <w:szCs w:val="20"/>
                <w:color w:val="auto"/>
              </w:rPr>
            </w:pPr>
            <w:r>
              <w:rPr>
                <w:rFonts w:ascii="Arial" w:cs="Arial" w:eastAsia="Arial" w:hAnsi="Arial"/>
                <w:sz w:val="18"/>
                <w:szCs w:val="18"/>
                <w:color w:val="auto"/>
                <w:w w:val="98"/>
              </w:rPr>
              <w:t>Cleveland, OH 44114-1724</w:t>
            </w:r>
          </w:p>
        </w:tc>
        <w:tc>
          <w:tcPr>
            <w:tcW w:w="2300" w:type="dxa"/>
            <w:vAlign w:val="bottom"/>
          </w:tcPr>
          <w:p>
            <w:pPr>
              <w:ind w:left="140"/>
              <w:spacing w:after="0"/>
              <w:rPr>
                <w:sz w:val="20"/>
                <w:szCs w:val="20"/>
                <w:color w:val="auto"/>
              </w:rPr>
            </w:pPr>
            <w:r>
              <w:rPr>
                <w:rFonts w:ascii="Arial" w:cs="Arial" w:eastAsia="Arial" w:hAnsi="Arial"/>
                <w:sz w:val="18"/>
                <w:szCs w:val="18"/>
                <w:color w:val="auto"/>
              </w:rPr>
              <w:t>PO Box 0236</w:t>
            </w:r>
          </w:p>
        </w:tc>
        <w:tc>
          <w:tcPr>
            <w:tcW w:w="2220" w:type="dxa"/>
            <w:vAlign w:val="bottom"/>
          </w:tcPr>
          <w:p>
            <w:pPr>
              <w:ind w:left="140"/>
              <w:spacing w:after="0"/>
              <w:rPr>
                <w:sz w:val="20"/>
                <w:szCs w:val="20"/>
                <w:color w:val="auto"/>
              </w:rPr>
            </w:pPr>
            <w:r>
              <w:rPr>
                <w:rFonts w:ascii="Arial" w:cs="Arial" w:eastAsia="Arial" w:hAnsi="Arial"/>
                <w:sz w:val="18"/>
                <w:szCs w:val="18"/>
                <w:color w:val="auto"/>
              </w:rPr>
              <w:t>Alexandria, VA 22314</w:t>
            </w:r>
          </w:p>
        </w:tc>
        <w:tc>
          <w:tcPr>
            <w:tcW w:w="2440" w:type="dxa"/>
            <w:vAlign w:val="bottom"/>
          </w:tcPr>
          <w:p>
            <w:pPr>
              <w:ind w:left="220"/>
              <w:spacing w:after="0"/>
              <w:rPr>
                <w:sz w:val="20"/>
                <w:szCs w:val="20"/>
                <w:color w:val="auto"/>
              </w:rPr>
            </w:pPr>
            <w:r>
              <w:rPr>
                <w:rFonts w:ascii="Arial" w:cs="Arial" w:eastAsia="Arial" w:hAnsi="Arial"/>
                <w:sz w:val="18"/>
                <w:szCs w:val="18"/>
                <w:color w:val="auto"/>
              </w:rPr>
              <w:t>Akron, OH 44308</w:t>
            </w:r>
          </w:p>
        </w:tc>
      </w:tr>
      <w:tr>
        <w:trPr>
          <w:trHeight w:val="216"/>
        </w:trPr>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8"/>
                <w:szCs w:val="18"/>
                <w:color w:val="auto"/>
                <w:w w:val="98"/>
              </w:rPr>
              <w:t>Cincinnati, OH 45201-0236</w:t>
            </w:r>
          </w:p>
        </w:tc>
        <w:tc>
          <w:tcPr>
            <w:tcW w:w="22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i w:val="1"/>
                <w:iCs w:val="1"/>
                <w:color w:val="auto"/>
              </w:rPr>
              <w:t>202.467.8800</w:t>
            </w:r>
          </w:p>
        </w:tc>
        <w:tc>
          <w:tcPr>
            <w:tcW w:w="2240" w:type="dxa"/>
            <w:vAlign w:val="bottom"/>
            <w:gridSpan w:val="2"/>
          </w:tcPr>
          <w:p>
            <w:pPr>
              <w:ind w:left="80"/>
              <w:spacing w:after="0"/>
              <w:rPr>
                <w:sz w:val="20"/>
                <w:szCs w:val="20"/>
                <w:color w:val="auto"/>
              </w:rPr>
            </w:pPr>
            <w:r>
              <w:rPr>
                <w:rFonts w:ascii="Arial" w:cs="Arial" w:eastAsia="Arial" w:hAnsi="Arial"/>
                <w:sz w:val="18"/>
                <w:szCs w:val="18"/>
                <w:i w:val="1"/>
                <w:iCs w:val="1"/>
                <w:color w:val="auto"/>
              </w:rPr>
              <w:t>216,479.6100</w:t>
            </w:r>
          </w:p>
        </w:tc>
        <w:tc>
          <w:tcPr>
            <w:tcW w:w="2300" w:type="dxa"/>
            <w:vAlign w:val="bottom"/>
          </w:tcPr>
          <w:p>
            <w:pPr>
              <w:ind w:left="140"/>
              <w:spacing w:after="0"/>
              <w:rPr>
                <w:sz w:val="20"/>
                <w:szCs w:val="20"/>
                <w:color w:val="auto"/>
              </w:rPr>
            </w:pPr>
            <w:r>
              <w:rPr>
                <w:rFonts w:ascii="Arial" w:cs="Arial" w:eastAsia="Arial" w:hAnsi="Arial"/>
                <w:sz w:val="18"/>
                <w:szCs w:val="18"/>
                <w:i w:val="1"/>
                <w:iCs w:val="1"/>
                <w:color w:val="auto"/>
              </w:rPr>
              <w:t>512.723.4000</w:t>
            </w:r>
          </w:p>
        </w:tc>
        <w:tc>
          <w:tcPr>
            <w:tcW w:w="2220" w:type="dxa"/>
            <w:vAlign w:val="bottom"/>
          </w:tcPr>
          <w:p>
            <w:pPr>
              <w:ind w:left="140"/>
              <w:spacing w:after="0"/>
              <w:rPr>
                <w:sz w:val="20"/>
                <w:szCs w:val="20"/>
                <w:color w:val="auto"/>
              </w:rPr>
            </w:pPr>
            <w:r>
              <w:rPr>
                <w:rFonts w:ascii="Arial" w:cs="Arial" w:eastAsia="Arial" w:hAnsi="Arial"/>
                <w:sz w:val="18"/>
                <w:szCs w:val="18"/>
                <w:i w:val="1"/>
                <w:iCs w:val="1"/>
                <w:color w:val="auto"/>
              </w:rPr>
              <w:t>703.837.6999</w:t>
            </w:r>
          </w:p>
        </w:tc>
        <w:tc>
          <w:tcPr>
            <w:tcW w:w="2440" w:type="dxa"/>
            <w:vAlign w:val="bottom"/>
          </w:tcPr>
          <w:p>
            <w:pPr>
              <w:ind w:left="220"/>
              <w:spacing w:after="0"/>
              <w:rPr>
                <w:sz w:val="20"/>
                <w:szCs w:val="20"/>
                <w:color w:val="auto"/>
              </w:rPr>
            </w:pPr>
            <w:r>
              <w:rPr>
                <w:rFonts w:ascii="Arial" w:cs="Arial" w:eastAsia="Arial" w:hAnsi="Arial"/>
                <w:sz w:val="18"/>
                <w:szCs w:val="18"/>
                <w:i w:val="1"/>
                <w:iCs w:val="1"/>
                <w:color w:val="auto"/>
              </w:rPr>
              <w:t>330.208.1000</w:t>
            </w:r>
          </w:p>
        </w:tc>
      </w:tr>
      <w:tr>
        <w:trPr>
          <w:trHeight w:val="226"/>
        </w:trPr>
        <w:tc>
          <w:tcPr>
            <w:tcW w:w="2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4" w:name="page55"/>
    <w:bookmarkEnd w:id="54"/>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02933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46050"/>
                    </a:xfrm>
                    <a:prstGeom prst="rect">
                      <a:avLst/>
                    </a:prstGeom>
                    <a:noFill/>
                  </pic:spPr>
                </pic:pic>
              </a:graphicData>
            </a:graphic>
          </wp:anchor>
        </w:drawing>
        <w:t>Legal Counsel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October 9,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00" w:firstLine="450"/>
        <w:spacing w:after="0" w:line="276" w:lineRule="auto"/>
        <w:rPr>
          <w:sz w:val="20"/>
          <w:szCs w:val="20"/>
          <w:color w:val="auto"/>
        </w:rPr>
      </w:pPr>
      <w:r>
        <w:rPr>
          <w:rFonts w:ascii="Arial" w:cs="Arial" w:eastAsia="Arial" w:hAnsi="Arial"/>
          <w:sz w:val="17"/>
          <w:szCs w:val="17"/>
          <w:color w:val="auto"/>
        </w:rPr>
        <w:t>In connection with rendering this opinion, we have examined, to the extent deemed necessary, originals or copies, the authenticity of which has been established to our satisfaction, of: (a) the Registration Statement; (b) the Plan; (c) SMG’s Initial Articles of Incorporation, as amended to date; (d) SMG’s Code of Regulations, as currently in effect; and (e) certain corporate records of SMG, including resolutions adopted by the Board of Directors of SMG and the Compensation and Organization Committee of such Board. We have also examined such other documents and records and such authorities of law as we have deemed necessary or appropriate for the purposes of the opinion expressed herein.</w:t>
      </w:r>
    </w:p>
    <w:p>
      <w:pPr>
        <w:spacing w:after="0" w:line="64"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Based upon the foregoing, we advise you that, in our opinion, when established in accordance with the terms of the Plan, the Deferred Compensation Obligations will be valid and binding obligations of the Company, enforceable against the Company in accordance with the terms of the Plan. Our opinion is subject to the limitations, if any, of Title 11 U.S.C., as amended, and of the applicable insolvency, reorganization, moratorium or other laws affecting the enforcement of creditors’ rights generally and by principles of equity.</w:t>
      </w:r>
    </w:p>
    <w:p>
      <w:pPr>
        <w:spacing w:after="0" w:line="79" w:lineRule="exact"/>
        <w:rPr>
          <w:sz w:val="20"/>
          <w:szCs w:val="20"/>
          <w:color w:val="auto"/>
        </w:rPr>
      </w:pPr>
    </w:p>
    <w:p>
      <w:pPr>
        <w:jc w:val="both"/>
        <w:ind w:right="80" w:firstLine="450"/>
        <w:spacing w:after="0" w:line="264" w:lineRule="auto"/>
        <w:rPr>
          <w:sz w:val="20"/>
          <w:szCs w:val="20"/>
          <w:color w:val="auto"/>
        </w:rPr>
      </w:pPr>
      <w:r>
        <w:rPr>
          <w:rFonts w:ascii="Arial" w:cs="Arial" w:eastAsia="Arial" w:hAnsi="Arial"/>
          <w:sz w:val="18"/>
          <w:szCs w:val="18"/>
          <w:color w:val="auto"/>
        </w:rPr>
        <w:t>Members of our firm are admitted to the Bar in the State of Ohio and we express no opinion as to the laws of any jurisdiction other than the laws of the State of Ohio, including applicable provisions of the Ohio constitution and the reported judicial decisions interpreting those laws, and the federal laws of the United States of America.</w:t>
      </w:r>
    </w:p>
    <w:p>
      <w:pPr>
        <w:spacing w:after="0" w:line="73"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We consent to the filing of this opinion with the Securities and Exchange Commission as an exhibit to the Registration Statement and to the reference to us therein. By giving such consent, we do not thereby admit that we come within the category of persons whose consent is required under Section 7 of the 1933 Act or the rules and regulations promulgated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Vorys, Sater, Seymour and Pease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420"/>
          </w:cols>
          <w:pgMar w:left="240" w:top="138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23.2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consent to the incorporation by reference in this Registration Statement on Form S-8 of our reports dated November 29, 2007, relating to the consolidated financial statements (which report expresses an unqualified opinion and includes an explanatory paragraph relating to The Scotts Miracle-Gro Company’s adoption of Statement of Financial Accounting Standards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xml:space="preserve"> on September 30, 2007) and consolidated financial statement schedule of The Scotts Miracle-Gro Company, and the effectiveness of The Scotts Miracle-Gro Company’s internal control over financial reporting, appearing in the Annual Report on Form 10-K of The Scotts Miracle-Gro Company for the year ended September 30,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2008</w:t>
      </w:r>
    </w:p>
    <w:p>
      <w:pPr>
        <w:sectPr>
          <w:pgSz w:w="11900" w:h="16838" w:orient="portrait"/>
          <w:cols w:equalWidth="0" w:num="1">
            <w:col w:w="11420"/>
          </w:cols>
          <w:pgMar w:left="240" w:top="125" w:right="239" w:bottom="1440" w:gutter="0" w:footer="0" w:header="0"/>
        </w:sectPr>
      </w:pPr>
    </w:p>
    <w:bookmarkStart w:id="56" w:name="page57"/>
    <w:bookmarkEnd w:id="56"/>
    <w:p>
      <w:pPr>
        <w:ind w:left="3980"/>
        <w:spacing w:after="0"/>
        <w:rPr>
          <w:sz w:val="20"/>
          <w:szCs w:val="20"/>
          <w:color w:val="auto"/>
        </w:rPr>
      </w:pPr>
      <w:r>
        <w:rPr>
          <w:rFonts w:ascii="Arial" w:cs="Arial" w:eastAsia="Arial" w:hAnsi="Arial"/>
          <w:sz w:val="18"/>
          <w:szCs w:val="18"/>
          <w:u w:val="single" w:color="auto"/>
          <w:color w:val="auto"/>
        </w:rPr>
        <w:t>EXHIBIT 24.1</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POWERS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EXECUTIVE OFFICERS AND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396875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Registration Statement on Form S-8</w:t>
      </w:r>
      <w:r>
        <w:rPr>
          <w:rFonts w:ascii="Arial" w:cs="Arial" w:eastAsia="Arial" w:hAnsi="Arial"/>
          <w:sz w:val="17"/>
          <w:szCs w:val="17"/>
          <w:color w:val="auto"/>
        </w:rPr>
        <w:t xml:space="preserve"> for the registration of its common shares for offering and sale or delivery pursuant to </w:t>
      </w:r>
      <w:r>
        <w:rPr>
          <w:rFonts w:ascii="Arial" w:cs="Arial" w:eastAsia="Arial" w:hAnsi="Arial"/>
          <w:sz w:val="17"/>
          <w:szCs w:val="17"/>
          <w:b w:val="1"/>
          <w:bCs w:val="1"/>
          <w:color w:val="auto"/>
        </w:rPr>
        <w:t>The Scotts</w:t>
      </w:r>
      <w:r>
        <w:rPr>
          <w:rFonts w:ascii="Arial" w:cs="Arial" w:eastAsia="Arial" w:hAnsi="Arial"/>
          <w:sz w:val="17"/>
          <w:szCs w:val="17"/>
          <w:color w:val="auto"/>
        </w:rPr>
        <w:t xml:space="preserve"> </w:t>
      </w:r>
      <w:r>
        <w:rPr>
          <w:rFonts w:ascii="Arial" w:cs="Arial" w:eastAsia="Arial" w:hAnsi="Arial"/>
          <w:sz w:val="17"/>
          <w:szCs w:val="17"/>
          <w:b w:val="1"/>
          <w:bCs w:val="1"/>
          <w:color w:val="auto"/>
        </w:rPr>
        <w:t>Company LLC Executive Retirement Plan</w:t>
      </w:r>
      <w:r>
        <w:rPr>
          <w:rFonts w:ascii="Arial" w:cs="Arial" w:eastAsia="Arial" w:hAnsi="Arial"/>
          <w:sz w:val="17"/>
          <w:szCs w:val="17"/>
          <w:color w:val="auto"/>
        </w:rPr>
        <w:t>, together with deferred compensation obligations, which represent general unsecured obligations of The Scotts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LLC and of 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Hagedorn, 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C. Evans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60" w:name="page61"/>
    <w:bookmarkEnd w:id="60"/>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1" w:name="page62"/>
    <w:bookmarkEnd w:id="61"/>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Registration Statement on Form S-8</w:t>
      </w:r>
      <w:r>
        <w:rPr>
          <w:rFonts w:ascii="Arial" w:cs="Arial" w:eastAsia="Arial" w:hAnsi="Arial"/>
          <w:sz w:val="17"/>
          <w:szCs w:val="17"/>
          <w:color w:val="auto"/>
        </w:rPr>
        <w:t xml:space="preserve"> for the registration of its common shares for offering and sale or delivery pursuant to </w:t>
      </w:r>
      <w:r>
        <w:rPr>
          <w:rFonts w:ascii="Arial" w:cs="Arial" w:eastAsia="Arial" w:hAnsi="Arial"/>
          <w:sz w:val="17"/>
          <w:szCs w:val="17"/>
          <w:b w:val="1"/>
          <w:bCs w:val="1"/>
          <w:color w:val="auto"/>
        </w:rPr>
        <w:t>The Scotts</w:t>
      </w:r>
      <w:r>
        <w:rPr>
          <w:rFonts w:ascii="Arial" w:cs="Arial" w:eastAsia="Arial" w:hAnsi="Arial"/>
          <w:sz w:val="17"/>
          <w:szCs w:val="17"/>
          <w:color w:val="auto"/>
        </w:rPr>
        <w:t xml:space="preserve"> </w:t>
      </w:r>
      <w:r>
        <w:rPr>
          <w:rFonts w:ascii="Arial" w:cs="Arial" w:eastAsia="Arial" w:hAnsi="Arial"/>
          <w:sz w:val="17"/>
          <w:szCs w:val="17"/>
          <w:b w:val="1"/>
          <w:bCs w:val="1"/>
          <w:color w:val="auto"/>
        </w:rPr>
        <w:t>Company LLC Executive Retirement Plan</w:t>
      </w:r>
      <w:r>
        <w:rPr>
          <w:rFonts w:ascii="Arial" w:cs="Arial" w:eastAsia="Arial" w:hAnsi="Arial"/>
          <w:sz w:val="17"/>
          <w:szCs w:val="17"/>
          <w:color w:val="auto"/>
        </w:rPr>
        <w:t>, together with deferred compensation obligations, which represent unsecured obligations of The Scotts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LLC and of 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Mark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 Baker, 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2" w:name="page63"/>
    <w:bookmarkEnd w:id="62"/>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Thomas N. Kelly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3" w:name="page64"/>
    <w:bookmarkEnd w:id="63"/>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Carl F. Kohrt, Ph.D.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4" w:name="page65"/>
    <w:bookmarkEnd w:id="64"/>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5" w:name="page66"/>
    <w:bookmarkEnd w:id="65"/>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Karen G. Mills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6" w:name="page67"/>
    <w:bookmarkEnd w:id="66"/>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Nancy G. Mistretta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7" w:name="page68"/>
    <w:bookmarkEnd w:id="67"/>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8" w:name="page69"/>
    <w:bookmarkEnd w:id="68"/>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9" w:name="page70"/>
    <w:bookmarkEnd w:id="69"/>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its common shares for offering and sale or delivery pursuant to</w:t>
      </w:r>
      <w:r>
        <w:rPr>
          <w:rFonts w:ascii="Arial" w:cs="Arial" w:eastAsia="Arial" w:hAnsi="Arial"/>
          <w:sz w:val="17"/>
          <w:szCs w:val="17"/>
          <w:b w:val="1"/>
          <w:bCs w:val="1"/>
          <w:color w:val="auto"/>
        </w:rPr>
        <w:t xml:space="preserve"> The Scotts Company LLC Executive Retirement Plan</w:t>
      </w:r>
      <w:r>
        <w:rPr>
          <w:rFonts w:ascii="Arial" w:cs="Arial" w:eastAsia="Arial" w:hAnsi="Arial"/>
          <w:sz w:val="17"/>
          <w:szCs w:val="17"/>
          <w:color w:val="auto"/>
        </w:rPr>
        <w:t>, together with deferred compensation obligations, which represent unsecured obligations of The Scotts Company LLC and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of The Scotts Company LLC, including The Scotts Miracle-Gro Company, to make distributions in respect of deferred compensation in the future in accordance with the terms of </w:t>
      </w:r>
      <w:r>
        <w:rPr>
          <w:rFonts w:ascii="Arial" w:cs="Arial" w:eastAsia="Arial" w:hAnsi="Arial"/>
          <w:sz w:val="17"/>
          <w:szCs w:val="17"/>
          <w:b w:val="1"/>
          <w:bCs w:val="1"/>
          <w:color w:val="auto"/>
        </w:rPr>
        <w:t>The Scotts Company LLC Executive Retirement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Mark R. Baker,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David C. Evans </w:t>
      </w:r>
      <w:r>
        <w:rPr>
          <w:rFonts w:ascii="Arial" w:cs="Arial" w:eastAsia="Arial" w:hAnsi="Arial"/>
          <w:sz w:val="17"/>
          <w:szCs w:val="17"/>
          <w:color w:val="auto"/>
        </w:rPr>
        <w:t>and</w:t>
      </w:r>
      <w:r>
        <w:rPr>
          <w:rFonts w:ascii="Arial" w:cs="Arial" w:eastAsia="Arial" w:hAnsi="Arial"/>
          <w:sz w:val="17"/>
          <w:szCs w:val="17"/>
          <w:b w:val="1"/>
          <w:bCs w:val="1"/>
          <w:color w:val="auto"/>
        </w:rPr>
        <w:t xml:space="preserve"> Vincent C. Brockman</w:t>
      </w:r>
      <w:r>
        <w:rPr>
          <w:rFonts w:ascii="Arial" w:cs="Arial" w:eastAsia="Arial" w:hAnsi="Arial"/>
          <w:sz w:val="17"/>
          <w:szCs w:val="17"/>
          <w:color w:val="auto"/>
        </w:rPr>
        <w:t>, and each of them, as his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John S. Shiely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upperLetter"/>
      <w:start w:val="1"/>
    </w:lvl>
  </w:abstractNum>
  <w:abstractNum w:abstractNumId="4">
    <w:nsid w:val="2901D82"/>
    <w:multiLevelType w:val="hybridMultilevel"/>
    <w:lvl w:ilvl="0">
      <w:lvlJc w:val="left"/>
      <w:lvlText w:val="(%1)"/>
      <w:numFmt w:val="upperLetter"/>
      <w:start w:val="1"/>
    </w:lvl>
  </w:abstractNum>
  <w:abstractNum w:abstractNumId="5">
    <w:nsid w:val="3A95F874"/>
    <w:multiLevelType w:val="hybridMultilevel"/>
    <w:lvl w:ilvl="0">
      <w:lvlJc w:val="left"/>
      <w:lvlText w:val="(%1)"/>
      <w:numFmt w:val="upperLetter"/>
      <w:start w:val="1"/>
    </w:lvl>
  </w:abstractNum>
  <w:abstractNum w:abstractNumId="6">
    <w:nsid w:val="8138641"/>
    <w:multiLevelType w:val="hybridMultilevel"/>
    <w:lvl w:ilvl="0">
      <w:lvlJc w:val="left"/>
      <w:lvlText w:val="(%1)"/>
      <w:numFmt w:val="upperLetter"/>
      <w:start w:val="2"/>
    </w:lvl>
  </w:abstractNum>
  <w:abstractNum w:abstractNumId="7">
    <w:nsid w:val="1E7FF521"/>
    <w:multiLevelType w:val="hybridMultilevel"/>
    <w:lvl w:ilvl="0">
      <w:lvlJc w:val="left"/>
      <w:lvlText w:val="(%1)"/>
      <w:numFmt w:val="decimal"/>
      <w:start w:val="2"/>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Roman"/>
      <w:start w:val="1"/>
    </w:lvl>
  </w:abstractNum>
  <w:abstractNum w:abstractNumId="12">
    <w:nsid w:val="4516DDE9"/>
    <w:multiLevelType w:val="hybridMultilevel"/>
    <w:lvl w:ilvl="0">
      <w:lvlJc w:val="left"/>
      <w:lvlText w:val="(%1)"/>
      <w:numFmt w:val="lowerLetter"/>
      <w:start w:val="2"/>
    </w:lvl>
  </w:abstractNum>
  <w:abstractNum w:abstractNumId="13">
    <w:nsid w:val="3006C83E"/>
    <w:multiLevelType w:val="hybridMultilevel"/>
    <w:lvl w:ilvl="0">
      <w:lvlJc w:val="left"/>
      <w:lvlText w:val="(%1)"/>
      <w:numFmt w:val="decimal"/>
      <w:start w:val="6"/>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16">
    <w:nsid w:val="5577F8E1"/>
    <w:multiLevelType w:val="hybridMultilevel"/>
    <w:lvl w:ilvl="0">
      <w:lvlJc w:val="left"/>
      <w:lvlText w:val="%1"/>
      <w:numFmt w:val="lowerLetter"/>
      <w:start w:val="1"/>
    </w:lvl>
    <w:lvl w:ilvl="1">
      <w:lvlJc w:val="left"/>
      <w:lvlText w:val="(%2)"/>
      <w:numFmt w:val="decimal"/>
      <w:start w:val="2"/>
    </w:lvl>
  </w:abstractNum>
  <w:abstractNum w:abstractNumId="17">
    <w:nsid w:val="440BADFC"/>
    <w:multiLevelType w:val="hybridMultilevel"/>
    <w:lvl w:ilvl="0">
      <w:lvlJc w:val="left"/>
      <w:lvlText w:val="(%1)"/>
      <w:numFmt w:val="lowerLetter"/>
      <w:start w:val="2"/>
    </w:lvl>
    <w:lvl w:ilvl="1">
      <w:lvlJc w:val="left"/>
      <w:lvlText w:val="%2"/>
      <w:numFmt w:val="decimal"/>
      <w:start w:val="1"/>
    </w:lvl>
  </w:abstractNum>
  <w:abstractNum w:abstractNumId="18">
    <w:nsid w:val="5072367"/>
    <w:multiLevelType w:val="hybridMultilevel"/>
    <w:lvl w:ilvl="0">
      <w:lvlJc w:val="left"/>
      <w:lvlText w:val="(%1)"/>
      <w:numFmt w:val="lowerLetter"/>
      <w:start w:val="3"/>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upperLetter"/>
      <w:start w:val="35"/>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upperLetter"/>
      <w:start w:val="1"/>
    </w:lvl>
    <w:lvl w:ilvl="1">
      <w:lvlJc w:val="left"/>
      <w:lvlText w:val="(%2)"/>
      <w:numFmt w:val="decimal"/>
      <w:start w:val="3"/>
    </w:lvl>
  </w:abstractNum>
  <w:abstractNum w:abstractNumId="26">
    <w:nsid w:val="2D517796"/>
    <w:multiLevelType w:val="hybridMultilevel"/>
    <w:lvl w:ilvl="0">
      <w:lvlJc w:val="left"/>
      <w:lvlText w:val="%1"/>
      <w:numFmt w:val="upperLetter"/>
      <w:start w:val="1"/>
    </w:lvl>
    <w:lvl w:ilvl="1">
      <w:lvlJc w:val="left"/>
      <w:lvlText w:val="(%2)"/>
      <w:numFmt w:val="decimal"/>
      <w:start w:val="1"/>
    </w:lvl>
  </w:abstractNum>
  <w:abstractNum w:abstractNumId="27">
    <w:nsid w:val="580BD78F"/>
    <w:multiLevelType w:val="hybridMultilevel"/>
    <w:lvl w:ilvl="0">
      <w:lvlJc w:val="left"/>
      <w:lvlText w:val="%1"/>
      <w:numFmt w:val="upperLetter"/>
      <w:start w:val="1"/>
    </w:lvl>
    <w:lvl w:ilvl="1">
      <w:lvlJc w:val="left"/>
      <w:lvlText w:val="(%2)"/>
      <w:numFmt w:val="decimal"/>
      <w:start w:val="1"/>
    </w:lvl>
  </w:abstractNum>
  <w:abstractNum w:abstractNumId="28">
    <w:nsid w:val="153EA438"/>
    <w:multiLevelType w:val="hybridMultilevel"/>
    <w:lvl w:ilvl="0">
      <w:lvlJc w:val="left"/>
      <w:lvlText w:val="%1"/>
      <w:numFmt w:val="upperLetter"/>
      <w:start w:val="1"/>
    </w:lvl>
    <w:lvl w:ilvl="1">
      <w:lvlJc w:val="left"/>
      <w:lvlText w:val="(%2)"/>
      <w:numFmt w:val="decimal"/>
      <w:start w:val="1"/>
    </w:lvl>
  </w:abstractNum>
  <w:abstractNum w:abstractNumId="29">
    <w:nsid w:val="3855585C"/>
    <w:multiLevelType w:val="hybridMultilevel"/>
    <w:lvl w:ilvl="0">
      <w:lvlJc w:val="left"/>
      <w:lvlText w:val="(%1)"/>
      <w:numFmt w:val="upperLetter"/>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o"/>
      <w:numFmt w:val="bullet"/>
      <w:start w:val="1"/>
    </w:lvl>
  </w:abstractNum>
  <w:abstractNum w:abstractNumId="32">
    <w:nsid w:val="2A487CB0"/>
    <w:multiLevelType w:val="hybridMultilevel"/>
    <w:lvl w:ilvl="0">
      <w:lvlJc w:val="left"/>
      <w:lvlText w:val="%1."/>
      <w:numFmt w:val="decimal"/>
      <w:start w:val="4"/>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o"/>
      <w:numFmt w:val="bullet"/>
      <w:start w:val="1"/>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o"/>
      <w:numFmt w:val="bullet"/>
      <w:start w:val="1"/>
    </w:lvl>
  </w:abstractNum>
  <w:abstractNum w:abstractNumId="37">
    <w:nsid w:val="7A6D8D3C"/>
    <w:multiLevelType w:val="hybridMultilevel"/>
    <w:lvl w:ilvl="0">
      <w:lvlJc w:val="left"/>
      <w:lvlText w:val="%1."/>
      <w:numFmt w:val="decimal"/>
      <w:start w:val="4"/>
    </w:lvl>
  </w:abstractNum>
  <w:abstractNum w:abstractNumId="38">
    <w:nsid w:val="4B588F54"/>
    <w:multiLevelType w:val="hybridMultilevel"/>
    <w:lvl w:ilvl="0">
      <w:lvlJc w:val="left"/>
      <w:lvlText w:val="%1."/>
      <w:numFmt w:val="decimal"/>
      <w:start w:val="5"/>
    </w:lvl>
  </w:abstractNum>
  <w:abstractNum w:abstractNumId="39">
    <w:nsid w:val="542289EC"/>
    <w:multiLevelType w:val="hybridMultilevel"/>
    <w:lvl w:ilvl="0">
      <w:lvlJc w:val="left"/>
      <w:lvlText w:val="%1."/>
      <w:numFmt w:val="decimal"/>
      <w:start w:val="2"/>
    </w:lvl>
    <w:lvl w:ilvl="1">
      <w:lvlJc w:val="left"/>
      <w:lvlText w:val="(%2)"/>
      <w:numFmt w:val="decimal"/>
      <w:start w:val="1"/>
    </w:lvl>
  </w:abstractNum>
  <w:abstractNum w:abstractNumId="40">
    <w:nsid w:val="6DE91B18"/>
    <w:multiLevelType w:val="hybridMultilevel"/>
    <w:lvl w:ilvl="0">
      <w:lvlJc w:val="left"/>
      <w:lvlText w:val="(%1)"/>
      <w:numFmt w:val="decimal"/>
      <w:start w:val="5"/>
    </w:lvl>
  </w:abstractNum>
  <w:abstractNum w:abstractNumId="41">
    <w:nsid w:val="38437FDB"/>
    <w:multiLevelType w:val="hybridMultilevel"/>
    <w:lvl w:ilvl="0">
      <w:lvlJc w:val="left"/>
      <w:lvlText w:val="%1."/>
      <w:numFmt w:val="decimal"/>
      <w:start w:val="1"/>
    </w:lvl>
    <w:lvl w:ilvl="1">
      <w:lvlJc w:val="left"/>
      <w:lvlText w:val="(%2)"/>
      <w:numFmt w:val="decimal"/>
      <w:start w:val="1"/>
    </w:lvl>
  </w:abstractNum>
  <w:abstractNum w:abstractNumId="42">
    <w:nsid w:val="7644A45C"/>
    <w:multiLevelType w:val="hybridMultilevel"/>
    <w:lvl w:ilvl="0">
      <w:lvlJc w:val="left"/>
      <w:lvlText w:val="%1"/>
      <w:numFmt w:val="decimal"/>
      <w:start w:val="1"/>
    </w:lvl>
    <w:lvl w:ilvl="1">
      <w:lvlJc w:val="left"/>
      <w:lvlText w:val="(%2)"/>
      <w:numFmt w:val="decimal"/>
      <w:start w:val="3"/>
    </w:lvl>
  </w:abstractNum>
  <w:abstractNum w:abstractNumId="43">
    <w:nsid w:val="32FFF902"/>
    <w:multiLevelType w:val="hybridMultilevel"/>
    <w:lvl w:ilvl="0">
      <w:lvlJc w:val="left"/>
      <w:lvlText w:val="%1."/>
      <w:numFmt w:val="decimal"/>
      <w:start w:val="3"/>
    </w:lvl>
    <w:lvl w:ilvl="1">
      <w:lvlJc w:val="left"/>
      <w:lvlText w:val="(%2)"/>
      <w:numFmt w:val="decimal"/>
      <w:start w:val="1"/>
    </w:lvl>
  </w:abstractNum>
  <w:abstractNum w:abstractNumId="44">
    <w:nsid w:val="684A481A"/>
    <w:multiLevelType w:val="hybridMultilevel"/>
    <w:lvl w:ilvl="0">
      <w:lvlJc w:val="left"/>
      <w:lvlText w:val="(%1)"/>
      <w:numFmt w:val="decimal"/>
      <w:start w:val="30"/>
    </w:lvl>
  </w:abstractNum>
  <w:abstractNum w:abstractNumId="45">
    <w:nsid w:val="579478FE"/>
    <w:multiLevelType w:val="hybridMultilevel"/>
    <w:lvl w:ilvl="0">
      <w:lvlJc w:val="left"/>
      <w:lvlText w:val="%1."/>
      <w:numFmt w:val="decimal"/>
      <w:start w:val="3"/>
    </w:lvl>
    <w:lvl w:ilvl="1">
      <w:lvlJc w:val="left"/>
      <w:lvlText w:val="(%2)"/>
      <w:numFmt w:val="decimal"/>
      <w:start w:val="1"/>
    </w:lvl>
  </w:abstractNum>
  <w:abstractNum w:abstractNumId="46">
    <w:nsid w:val="749ABB43"/>
    <w:multiLevelType w:val="hybridMultilevel"/>
    <w:lvl w:ilvl="0">
      <w:lvlJc w:val="left"/>
      <w:lvlText w:val="%1."/>
      <w:numFmt w:val="decimal"/>
      <w:start w:val="4"/>
    </w:lvl>
    <w:lvl w:ilvl="1">
      <w:lvlJc w:val="left"/>
      <w:lvlText w:val="(%2)"/>
      <w:numFmt w:val="decimal"/>
      <w:start w:val="1"/>
    </w:lvl>
  </w:abstractNum>
  <w:abstractNum w:abstractNumId="47">
    <w:nsid w:val="3DC240FB"/>
    <w:multiLevelType w:val="hybridMultilevel"/>
    <w:lvl w:ilvl="0">
      <w:lvlJc w:val="left"/>
      <w:lvlText w:val="%1"/>
      <w:numFmt w:val="decimal"/>
      <w:start w:val="1"/>
    </w:lvl>
    <w:lvl w:ilvl="1">
      <w:lvlJc w:val="left"/>
      <w:lvlText w:val="(%2)"/>
      <w:numFmt w:val="decimal"/>
      <w:start w:val="2"/>
    </w:lvl>
  </w:abstractNum>
  <w:abstractNum w:abstractNumId="48">
    <w:nsid w:val="1BA026FA"/>
    <w:multiLevelType w:val="hybridMultilevel"/>
    <w:lvl w:ilvl="0">
      <w:lvlJc w:val="left"/>
      <w:lvlText w:val="%1."/>
      <w:numFmt w:val="decimal"/>
      <w:start w:val="7"/>
    </w:lvl>
    <w:lvl w:ilvl="1">
      <w:lvlJc w:val="left"/>
      <w:lvlText w:val="%2."/>
      <w:numFmt w:val="upperLetter"/>
      <w:start w:val="6"/>
    </w:lvl>
  </w:abstractNum>
  <w:abstractNum w:abstractNumId="49">
    <w:nsid w:val="79A1DEAA"/>
    <w:multiLevelType w:val="hybridMultilevel"/>
    <w:lvl w:ilvl="0">
      <w:lvlJc w:val="left"/>
      <w:lvlText w:val="%1"/>
      <w:numFmt w:val="decimal"/>
      <w:start w:val="1"/>
    </w:lvl>
    <w:lvl w:ilvl="1">
      <w:lvlJc w:val="left"/>
      <w:lvlText w:val="%2."/>
      <w:numFmt w:val="upperLetter"/>
      <w:start w:val="2"/>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7"/>
    </w:lvl>
  </w:abstractNum>
  <w:abstractNum w:abstractNumId="52">
    <w:nsid w:val="70C6A52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2019-12-20T06:24:42Z</dcterms:created>
  <dcterms:modified xsi:type="dcterms:W3CDTF">2019-12-20T06:24:42Z</dcterms:modified>
</cp:coreProperties>
</file>