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FORM 10-Q</w:t>
      </w:r>
    </w:p>
    <w:p>
      <w:pPr>
        <w:spacing w:after="0" w:line="155"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9"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WASHINGTON, D. C. 20549</w:t>
      </w:r>
    </w:p>
    <w:p>
      <w:pPr>
        <w:spacing w:after="0" w:line="155" w:lineRule="exact"/>
        <w:rPr>
          <w:sz w:val="24"/>
          <w:szCs w:val="24"/>
          <w:color w:val="auto"/>
        </w:rPr>
      </w:pPr>
    </w:p>
    <w:p>
      <w:pPr>
        <w:ind w:left="1700" w:hanging="37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w:t>
      </w:r>
    </w:p>
    <w:p>
      <w:pPr>
        <w:spacing w:after="0" w:line="28" w:lineRule="exact"/>
        <w:rPr>
          <w:rFonts w:ascii="Courier New" w:cs="Courier New" w:eastAsia="Courier New" w:hAnsi="Courier New"/>
          <w:sz w:val="16"/>
          <w:szCs w:val="16"/>
          <w:color w:val="auto"/>
        </w:rPr>
      </w:pPr>
    </w:p>
    <w:p>
      <w:pPr>
        <w:ind w:left="1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55"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FOR THE QUARTERLY PERIOD ENDED JANUARY 1, 2000</w:t>
      </w:r>
    </w:p>
    <w:p>
      <w:pPr>
        <w:spacing w:after="0" w:line="183" w:lineRule="exact"/>
        <w:rPr>
          <w:sz w:val="24"/>
          <w:szCs w:val="24"/>
          <w:color w:val="auto"/>
        </w:rPr>
      </w:pPr>
    </w:p>
    <w:p>
      <w:pPr>
        <w:ind w:left="3680"/>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1520" w:hanging="199"/>
        <w:spacing w:after="0"/>
        <w:tabs>
          <w:tab w:leader="none" w:pos="15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w:t>
      </w:r>
    </w:p>
    <w:p>
      <w:pPr>
        <w:spacing w:after="0" w:line="28" w:lineRule="exact"/>
        <w:rPr>
          <w:rFonts w:ascii="Courier New" w:cs="Courier New" w:eastAsia="Courier New" w:hAnsi="Courier New"/>
          <w:sz w:val="16"/>
          <w:szCs w:val="16"/>
          <w:color w:val="auto"/>
        </w:rPr>
      </w:pPr>
    </w:p>
    <w:p>
      <w:pPr>
        <w:ind w:left="1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THE SECURITIES EXCHANGE ACT OF 1934</w:t>
      </w:r>
    </w:p>
    <w:p>
      <w:pPr>
        <w:spacing w:after="0" w:line="15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94"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COMMISSION FILE NUMBER 1-11593</w:t>
      </w:r>
    </w:p>
    <w:p>
      <w:pPr>
        <w:spacing w:after="0" w:line="183"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139"/>
          </w:cols>
          <w:pgMar w:left="320" w:top="211" w:right="1440" w:bottom="1440" w:gutter="0" w:footer="0" w:header="0"/>
        </w:sectPr>
      </w:pPr>
    </w:p>
    <w:p>
      <w:pPr>
        <w:spacing w:after="0" w:line="155" w:lineRule="exact"/>
        <w:rPr>
          <w:sz w:val="24"/>
          <w:szCs w:val="24"/>
          <w:color w:val="auto"/>
        </w:rPr>
      </w:pPr>
    </w:p>
    <w:p>
      <w:pPr>
        <w:ind w:left="1220"/>
        <w:spacing w:after="0"/>
        <w:rPr>
          <w:sz w:val="20"/>
          <w:szCs w:val="20"/>
          <w:color w:val="auto"/>
        </w:rPr>
      </w:pPr>
      <w:r>
        <w:rPr>
          <w:rFonts w:ascii="Courier New" w:cs="Courier New" w:eastAsia="Courier New" w:hAnsi="Courier New"/>
          <w:sz w:val="16"/>
          <w:szCs w:val="16"/>
          <w:color w:val="auto"/>
        </w:rPr>
        <w:t>OHIO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12"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31-1414921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47" w:lineRule="exact"/>
        <w:rPr>
          <w:sz w:val="24"/>
          <w:szCs w:val="24"/>
          <w:color w:val="auto"/>
        </w:rPr>
      </w:pPr>
    </w:p>
    <w:p>
      <w:pPr>
        <w:sectPr>
          <w:pgSz w:w="11900" w:h="16838" w:orient="portrait"/>
          <w:cols w:equalWidth="0" w:num="2">
            <w:col w:w="3440" w:space="720"/>
            <w:col w:w="5979"/>
          </w:cols>
          <w:pgMar w:left="320" w:top="211" w:right="1440" w:bottom="1440" w:gutter="0" w:footer="0" w:header="0"/>
          <w:type w:val="continuous"/>
        </w:sectPr>
      </w:pPr>
    </w:p>
    <w:p>
      <w:pPr>
        <w:jc w:val="center"/>
        <w:ind w:right="2579"/>
        <w:spacing w:after="0"/>
        <w:rPr>
          <w:sz w:val="20"/>
          <w:szCs w:val="20"/>
          <w:color w:val="auto"/>
        </w:rPr>
      </w:pPr>
      <w:r>
        <w:rPr>
          <w:rFonts w:ascii="Courier New" w:cs="Courier New" w:eastAsia="Courier New" w:hAnsi="Courier New"/>
          <w:sz w:val="16"/>
          <w:szCs w:val="16"/>
          <w:color w:val="auto"/>
        </w:rPr>
        <w:t>41 SOUTH HIGH STREET, SUITE 3500</w:t>
      </w:r>
    </w:p>
    <w:p>
      <w:pPr>
        <w:spacing w:after="0" w:line="29"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COLUMBUS, OHIO 43215</w:t>
      </w:r>
    </w:p>
    <w:p>
      <w:pPr>
        <w:spacing w:after="0" w:line="1"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(Zip Code)</w:t>
      </w:r>
    </w:p>
    <w:p>
      <w:pPr>
        <w:spacing w:after="0" w:line="155"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(614) 719-5500</w:t>
      </w:r>
    </w:p>
    <w:p>
      <w:pPr>
        <w:spacing w:after="0" w:line="29"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55" w:lineRule="exact"/>
        <w:rPr>
          <w:sz w:val="24"/>
          <w:szCs w:val="24"/>
          <w:color w:val="auto"/>
        </w:rPr>
      </w:pPr>
    </w:p>
    <w:p>
      <w:pPr>
        <w:ind w:left="3400"/>
        <w:spacing w:after="0"/>
        <w:rPr>
          <w:sz w:val="20"/>
          <w:szCs w:val="20"/>
          <w:color w:val="auto"/>
        </w:rPr>
      </w:pPr>
      <w:r>
        <w:rPr>
          <w:rFonts w:ascii="Courier New" w:cs="Courier New" w:eastAsia="Courier New" w:hAnsi="Courier New"/>
          <w:sz w:val="16"/>
          <w:szCs w:val="16"/>
          <w:color w:val="auto"/>
        </w:rPr>
        <w:t>NO CHANGE</w:t>
      </w:r>
    </w:p>
    <w:p>
      <w:pPr>
        <w:spacing w:after="0" w:line="29" w:lineRule="exact"/>
        <w:rPr>
          <w:sz w:val="24"/>
          <w:szCs w:val="24"/>
          <w:color w:val="auto"/>
        </w:rPr>
      </w:pPr>
    </w:p>
    <w:p>
      <w:pPr>
        <w:ind w:right="3139"/>
        <w:spacing w:after="0" w:line="315" w:lineRule="auto"/>
        <w:rPr>
          <w:sz w:val="20"/>
          <w:szCs w:val="20"/>
          <w:color w:val="auto"/>
        </w:rPr>
      </w:pPr>
      <w:r>
        <w:rPr>
          <w:rFonts w:ascii="Courier New" w:cs="Courier New" w:eastAsia="Courier New" w:hAnsi="Courier New"/>
          <w:sz w:val="16"/>
          <w:szCs w:val="16"/>
          <w:color w:val="auto"/>
        </w:rPr>
        <w:t>(Former name, former address and former fiscal year, if changed since last report.)</w:t>
      </w:r>
    </w:p>
    <w:p>
      <w:pPr>
        <w:spacing w:after="0" w:line="42" w:lineRule="exact"/>
        <w:rPr>
          <w:sz w:val="24"/>
          <w:szCs w:val="24"/>
          <w:color w:val="auto"/>
        </w:rPr>
      </w:pPr>
    </w:p>
    <w:p>
      <w:pPr>
        <w:ind w:right="2679"/>
        <w:spacing w:after="0" w:line="268" w:lineRule="auto"/>
        <w:rPr>
          <w:sz w:val="20"/>
          <w:szCs w:val="20"/>
          <w:color w:val="auto"/>
        </w:rPr>
      </w:pPr>
      <w:r>
        <w:rPr>
          <w:rFonts w:ascii="Courier New" w:cs="Courier New" w:eastAsia="Courier New" w:hAnsi="Courier New"/>
          <w:sz w:val="16"/>
          <w:szCs w:val="16"/>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9" w:lineRule="exact"/>
        <w:rPr>
          <w:sz w:val="24"/>
          <w:szCs w:val="24"/>
          <w:color w:val="auto"/>
        </w:rPr>
      </w:pPr>
    </w:p>
    <w:p>
      <w:pPr>
        <w:ind w:left="3400"/>
        <w:spacing w:after="0"/>
        <w:tabs>
          <w:tab w:leader="none" w:pos="4040" w:val="left"/>
        </w:tabs>
        <w:rPr>
          <w:sz w:val="20"/>
          <w:szCs w:val="20"/>
          <w:color w:val="auto"/>
        </w:rPr>
      </w:pPr>
      <w:r>
        <w:rPr>
          <w:rFonts w:ascii="Courier New" w:cs="Courier New" w:eastAsia="Courier New" w:hAnsi="Courier New"/>
          <w:sz w:val="16"/>
          <w:szCs w:val="16"/>
          <w:color w:val="auto"/>
        </w:rPr>
        <w:t>Yes X</w:t>
        <w:tab/>
        <w:t>No</w:t>
      </w:r>
    </w:p>
    <w:p>
      <w:pPr>
        <w:spacing w:after="0" w:line="183" w:lineRule="exact"/>
        <w:rPr>
          <w:sz w:val="24"/>
          <w:szCs w:val="24"/>
          <w:color w:val="auto"/>
        </w:rPr>
      </w:pPr>
    </w:p>
    <w:p>
      <w:pPr>
        <w:ind w:right="2959"/>
        <w:spacing w:after="0" w:line="352"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139"/>
          </w:cols>
          <w:pgMar w:left="320" w:top="211" w:right="1440" w:bottom="1440" w:gutter="0" w:footer="0" w:header="0"/>
          <w:type w:val="continuous"/>
        </w:sectPr>
      </w:pPr>
    </w:p>
    <w:p>
      <w:pPr>
        <w:spacing w:after="0" w:line="196" w:lineRule="exact"/>
        <w:rPr>
          <w:sz w:val="24"/>
          <w:szCs w:val="24"/>
          <w:color w:val="auto"/>
        </w:rPr>
      </w:pPr>
    </w:p>
    <w:p>
      <w:pPr>
        <w:jc w:val="center"/>
        <w:ind w:left="280"/>
        <w:spacing w:after="0"/>
        <w:rPr>
          <w:sz w:val="20"/>
          <w:szCs w:val="20"/>
          <w:color w:val="auto"/>
        </w:rPr>
      </w:pPr>
      <w:r>
        <w:rPr>
          <w:rFonts w:ascii="Courier New" w:cs="Courier New" w:eastAsia="Courier New" w:hAnsi="Courier New"/>
          <w:sz w:val="16"/>
          <w:szCs w:val="16"/>
          <w:color w:val="auto"/>
        </w:rPr>
        <w:t>27,953,206</w:t>
      </w:r>
    </w:p>
    <w:p>
      <w:pPr>
        <w:spacing w:after="0" w:line="29" w:lineRule="exact"/>
        <w:rPr>
          <w:sz w:val="24"/>
          <w:szCs w:val="24"/>
          <w:color w:val="auto"/>
        </w:rPr>
      </w:pPr>
    </w:p>
    <w:p>
      <w:pPr>
        <w:jc w:val="center"/>
        <w:ind w:left="180"/>
        <w:spacing w:after="0"/>
        <w:rPr>
          <w:sz w:val="20"/>
          <w:szCs w:val="20"/>
          <w:color w:val="auto"/>
        </w:rPr>
      </w:pPr>
      <w:r>
        <w:rPr>
          <w:rFonts w:ascii="Courier New" w:cs="Courier New" w:eastAsia="Courier New" w:hAnsi="Courier New"/>
          <w:sz w:val="15"/>
          <w:szCs w:val="15"/>
          <w:color w:val="auto"/>
        </w:rPr>
        <w:t>Common Shares, voting, no par value</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February 14, 2000</w:t>
      </w:r>
    </w:p>
    <w:p>
      <w:pPr>
        <w:sectPr>
          <w:pgSz w:w="11900" w:h="16838" w:orient="portrait"/>
          <w:cols w:equalWidth="0" w:num="2">
            <w:col w:w="3500" w:space="660"/>
            <w:col w:w="5979"/>
          </w:cols>
          <w:pgMar w:left="320" w:top="211"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00" w:type="dxa"/>
            <w:vAlign w:val="bottom"/>
          </w:tcPr>
          <w:p>
            <w:pPr>
              <w:spacing w:after="0"/>
              <w:rPr>
                <w:sz w:val="23"/>
                <w:szCs w:val="23"/>
                <w:color w:val="auto"/>
              </w:rPr>
            </w:pPr>
          </w:p>
        </w:tc>
        <w:tc>
          <w:tcPr>
            <w:tcW w:w="5860" w:type="dxa"/>
            <w:vAlign w:val="bottom"/>
          </w:tcPr>
          <w:p>
            <w:pPr>
              <w:ind w:left="1380"/>
              <w:spacing w:after="0"/>
              <w:rPr>
                <w:sz w:val="20"/>
                <w:szCs w:val="20"/>
                <w:color w:val="auto"/>
              </w:rPr>
            </w:pPr>
            <w:r>
              <w:rPr>
                <w:rFonts w:ascii="Courier New" w:cs="Courier New" w:eastAsia="Courier New" w:hAnsi="Courier New"/>
                <w:sz w:val="16"/>
                <w:szCs w:val="16"/>
                <w:color w:val="auto"/>
              </w:rPr>
              <w:t>THE SCOTTS COMPANY AND SUBSIDIARIES</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4"/>
                <w:szCs w:val="24"/>
                <w:color w:val="auto"/>
              </w:rPr>
            </w:pPr>
          </w:p>
        </w:tc>
        <w:tc>
          <w:tcPr>
            <w:tcW w:w="5860" w:type="dxa"/>
            <w:vAlign w:val="bottom"/>
          </w:tcPr>
          <w:p>
            <w:pPr>
              <w:ind w:left="2800"/>
              <w:spacing w:after="0"/>
              <w:rPr>
                <w:sz w:val="20"/>
                <w:szCs w:val="20"/>
                <w:color w:val="auto"/>
              </w:rPr>
            </w:pPr>
            <w:r>
              <w:rPr>
                <w:rFonts w:ascii="Courier New" w:cs="Courier New" w:eastAsia="Courier New" w:hAnsi="Courier New"/>
                <w:sz w:val="16"/>
                <w:szCs w:val="16"/>
                <w:color w:val="auto"/>
              </w:rPr>
              <w:t>INDEX</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80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860" w:type="dxa"/>
            <w:vAlign w:val="bottom"/>
          </w:tcPr>
          <w:p>
            <w:pPr>
              <w:ind w:left="40"/>
              <w:spacing w:after="0"/>
              <w:rPr>
                <w:sz w:val="20"/>
                <w:szCs w:val="20"/>
                <w:color w:val="auto"/>
              </w:rPr>
            </w:pPr>
            <w:r>
              <w:rPr>
                <w:rFonts w:ascii="Courier New" w:cs="Courier New" w:eastAsia="Courier New" w:hAnsi="Courier New"/>
                <w:sz w:val="16"/>
                <w:szCs w:val="16"/>
                <w:color w:val="auto"/>
              </w:rPr>
              <w:t>Financial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Item 1.</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Financial Statements</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Statements of Operations - Three</w:t>
            </w: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month periods ended January 1, 2000 and January 2, 1999</w:t>
            </w: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Statements of Cash Flows - Three</w:t>
            </w: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month periods ended January 1, 2000 and January 2, 1999</w:t>
            </w: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Condensed, Consolidated Balance Sheets - January 1, 2000,</w:t>
            </w: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January 2, 1999 and September 30, 1999</w:t>
            </w: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800" w:type="dxa"/>
            <w:vAlign w:val="bottom"/>
          </w:tcPr>
          <w:p>
            <w:pPr>
              <w:spacing w:after="0"/>
              <w:rPr>
                <w:sz w:val="24"/>
                <w:szCs w:val="24"/>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6-24</w:t>
            </w:r>
          </w:p>
        </w:tc>
        <w:tc>
          <w:tcPr>
            <w:tcW w:w="0" w:type="dxa"/>
            <w:vAlign w:val="bottom"/>
          </w:tcPr>
          <w:p>
            <w:pPr>
              <w:spacing w:after="0"/>
              <w:rPr>
                <w:sz w:val="1"/>
                <w:szCs w:val="1"/>
                <w:color w:val="auto"/>
              </w:rPr>
            </w:pPr>
          </w:p>
        </w:tc>
      </w:tr>
      <w:tr>
        <w:trPr>
          <w:trHeight w:val="280"/>
        </w:trPr>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Item 2.</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9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25-39</w:t>
            </w: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and Results of Operations</w:t>
            </w: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666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Item 1.</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Legal Proceedings</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364"/>
        </w:trPr>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Item 5.</w:t>
            </w:r>
          </w:p>
        </w:tc>
        <w:tc>
          <w:tcPr>
            <w:tcW w:w="5860" w:type="dxa"/>
            <w:vAlign w:val="bottom"/>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364"/>
        </w:trPr>
        <w:tc>
          <w:tcPr>
            <w:tcW w:w="66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Item 6.  Exhibits and Reports on Form 8-K</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364"/>
        </w:trPr>
        <w:tc>
          <w:tcPr>
            <w:tcW w:w="666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364"/>
        </w:trPr>
        <w:tc>
          <w:tcPr>
            <w:tcW w:w="6660" w:type="dxa"/>
            <w:vAlign w:val="bottom"/>
            <w:gridSpan w:val="2"/>
          </w:tcPr>
          <w:p>
            <w:pPr>
              <w:spacing w:after="0"/>
              <w:rPr>
                <w:sz w:val="20"/>
                <w:szCs w:val="20"/>
                <w:color w:val="auto"/>
              </w:rPr>
            </w:pPr>
            <w:r>
              <w:rPr>
                <w:rFonts w:ascii="Courier New" w:cs="Courier New" w:eastAsia="Courier New" w:hAnsi="Courier New"/>
                <w:sz w:val="16"/>
                <w:szCs w:val="16"/>
                <w:color w:val="auto"/>
              </w:rPr>
              <w:t>Exhibit Index</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139"/>
          </w:cols>
          <w:pgMar w:left="320" w:top="27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6"/>
          <w:szCs w:val="16"/>
          <w:color w:val="auto"/>
        </w:rPr>
        <w:t>PART I - FINANCIAL INFORMATION</w:t>
      </w:r>
    </w:p>
    <w:p>
      <w:pPr>
        <w:spacing w:after="0" w:line="29"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6"/>
          <w:szCs w:val="16"/>
          <w:color w:val="auto"/>
        </w:rPr>
        <w:t>ITEM 1. FINANCIAL STATEMENTS</w:t>
      </w:r>
    </w:p>
    <w:p>
      <w:pPr>
        <w:spacing w:after="0" w:line="155"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9"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2" w:lineRule="exact"/>
        <w:rPr>
          <w:sz w:val="20"/>
          <w:szCs w:val="20"/>
          <w:color w:val="auto"/>
        </w:rPr>
      </w:pPr>
    </w:p>
    <w:p>
      <w:pPr>
        <w:jc w:val="center"/>
        <w:ind w:left="1480"/>
        <w:spacing w:after="0"/>
        <w:rPr>
          <w:sz w:val="20"/>
          <w:szCs w:val="20"/>
          <w:color w:val="auto"/>
        </w:rPr>
      </w:pPr>
      <w:r>
        <w:rPr>
          <w:rFonts w:ascii="Courier New" w:cs="Courier New" w:eastAsia="Courier New" w:hAnsi="Courier New"/>
          <w:sz w:val="16"/>
          <w:szCs w:val="16"/>
          <w:color w:val="auto"/>
        </w:rPr>
        <w:t>(UNAUDITED)</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sales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profit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earned from agency agreement,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expenses: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Advertising and promotion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Selling, general and administrative</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Amortization of goodwill and other intangibles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Restructuring and other charges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expense (income), net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from operations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before income taxes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 benefit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before extraordinary item</w:t>
      </w:r>
    </w:p>
    <w:p>
      <w:pPr>
        <w:spacing w:after="0" w:line="29" w:lineRule="exact"/>
        <w:rPr>
          <w:sz w:val="20"/>
          <w:szCs w:val="20"/>
          <w:color w:val="auto"/>
        </w:rPr>
      </w:pPr>
    </w:p>
    <w:p>
      <w:pPr>
        <w:ind w:left="180" w:right="1360" w:hanging="188"/>
        <w:spacing w:after="0" w:line="315" w:lineRule="auto"/>
        <w:rPr>
          <w:sz w:val="20"/>
          <w:szCs w:val="20"/>
          <w:color w:val="auto"/>
        </w:rPr>
      </w:pPr>
      <w:r>
        <w:rPr>
          <w:rFonts w:ascii="Courier New" w:cs="Courier New" w:eastAsia="Courier New" w:hAnsi="Courier New"/>
          <w:sz w:val="16"/>
          <w:szCs w:val="16"/>
          <w:color w:val="auto"/>
        </w:rPr>
        <w:t>Extraordinary loss on early extinguishment of debt, net of tax</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to preferred shareholders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 applicable to common shareholders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earnings per common share:</w:t>
      </w:r>
    </w:p>
    <w:p>
      <w:pPr>
        <w:spacing w:after="0" w:line="2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Before extraordinary item</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Extraordinary item, net of tax</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 earnings per common share:</w:t>
      </w:r>
    </w:p>
    <w:p>
      <w:pPr>
        <w:spacing w:after="0" w:line="2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Before extraordinary item</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Extraordinary item, net of tax</w:t>
      </w:r>
    </w:p>
    <w:p>
      <w:pPr>
        <w:spacing w:after="0" w:line="200" w:lineRule="exact"/>
        <w:rPr>
          <w:sz w:val="20"/>
          <w:szCs w:val="20"/>
          <w:color w:val="auto"/>
        </w:rPr>
      </w:pPr>
    </w:p>
    <w:p>
      <w:pPr>
        <w:spacing w:after="0" w:line="318" w:lineRule="exact"/>
        <w:rPr>
          <w:sz w:val="20"/>
          <w:szCs w:val="20"/>
          <w:color w:val="auto"/>
        </w:rPr>
      </w:pPr>
    </w:p>
    <w:p>
      <w:pPr>
        <w:ind w:left="180" w:right="1840" w:hanging="188"/>
        <w:spacing w:after="0" w:line="352" w:lineRule="auto"/>
        <w:rPr>
          <w:sz w:val="20"/>
          <w:szCs w:val="20"/>
          <w:color w:val="auto"/>
        </w:rPr>
      </w:pPr>
      <w:r>
        <w:rPr>
          <w:rFonts w:ascii="Courier New" w:cs="Courier New" w:eastAsia="Courier New" w:hAnsi="Courier New"/>
          <w:sz w:val="16"/>
          <w:szCs w:val="16"/>
          <w:color w:val="auto"/>
        </w:rPr>
        <w:t>Common shares used in basic earnings per share calculation</w:t>
      </w:r>
    </w:p>
    <w:p>
      <w:pPr>
        <w:spacing w:after="0" w:line="14" w:lineRule="exact"/>
        <w:rPr>
          <w:sz w:val="20"/>
          <w:szCs w:val="20"/>
          <w:color w:val="auto"/>
        </w:rPr>
      </w:pPr>
    </w:p>
    <w:p>
      <w:pPr>
        <w:ind w:left="180" w:right="1540" w:hanging="188"/>
        <w:spacing w:after="0" w:line="352" w:lineRule="auto"/>
        <w:rPr>
          <w:sz w:val="20"/>
          <w:szCs w:val="20"/>
          <w:color w:val="auto"/>
        </w:rPr>
      </w:pPr>
      <w:r>
        <w:rPr>
          <w:rFonts w:ascii="Courier New" w:cs="Courier New" w:eastAsia="Courier New" w:hAnsi="Courier New"/>
          <w:sz w:val="16"/>
          <w:szCs w:val="16"/>
          <w:color w:val="auto"/>
        </w:rPr>
        <w:t>Common shares and potential common shares used in diluted earnings per share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6"/>
          <w:szCs w:val="16"/>
          <w:color w:val="auto"/>
        </w:rPr>
        <w:t>THREE MONTHS ENDED</w:t>
      </w:r>
    </w:p>
    <w:p>
      <w:pPr>
        <w:spacing w:after="0" w:line="2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55"/>
        </w:trPr>
        <w:tc>
          <w:tcPr>
            <w:tcW w:w="1280" w:type="dxa"/>
            <w:vAlign w:val="bottom"/>
          </w:tcPr>
          <w:p>
            <w:pPr>
              <w:jc w:val="right"/>
              <w:ind w:right="261"/>
              <w:spacing w:after="0" w:line="155" w:lineRule="exact"/>
              <w:rPr>
                <w:sz w:val="20"/>
                <w:szCs w:val="20"/>
                <w:color w:val="auto"/>
              </w:rPr>
            </w:pPr>
            <w:r>
              <w:rPr>
                <w:rFonts w:ascii="Courier New" w:cs="Courier New" w:eastAsia="Courier New" w:hAnsi="Courier New"/>
                <w:sz w:val="16"/>
                <w:szCs w:val="16"/>
                <w:color w:val="auto"/>
                <w:w w:val="95"/>
              </w:rPr>
              <w:t>JANUARY 1,</w:t>
            </w:r>
          </w:p>
        </w:tc>
        <w:tc>
          <w:tcPr>
            <w:tcW w:w="128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JANUARY 2,</w:t>
            </w:r>
          </w:p>
        </w:tc>
      </w:tr>
      <w:tr>
        <w:trPr>
          <w:trHeight w:val="182"/>
        </w:trPr>
        <w:tc>
          <w:tcPr>
            <w:tcW w:w="12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r>
      <w:tr>
        <w:trPr>
          <w:trHeight w:val="265"/>
        </w:trPr>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644"/>
        </w:trPr>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$191.5</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$184.4</w:t>
            </w:r>
          </w:p>
        </w:tc>
      </w:tr>
      <w:tr>
        <w:trPr>
          <w:trHeight w:val="182"/>
        </w:trPr>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117.6</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119.7</w:t>
            </w:r>
          </w:p>
        </w:tc>
      </w:tr>
      <w:tr>
        <w:trPr>
          <w:trHeight w:val="182"/>
        </w:trPr>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73.9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64.7</w:t>
            </w:r>
          </w:p>
        </w:tc>
      </w:tr>
      <w:tr>
        <w:trPr>
          <w:trHeight w:val="265"/>
        </w:trPr>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w:t>
            </w:r>
          </w:p>
        </w:tc>
      </w:tr>
      <w:tr>
        <w:trPr>
          <w:trHeight w:val="280"/>
        </w:trPr>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23.7</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16.7</w:t>
            </w:r>
          </w:p>
        </w:tc>
      </w:tr>
      <w:tr>
        <w:trPr>
          <w:trHeight w:val="182"/>
        </w:trPr>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68.1</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53.9</w:t>
            </w:r>
          </w:p>
        </w:tc>
      </w:tr>
      <w:tr>
        <w:trPr>
          <w:trHeight w:val="210"/>
        </w:trPr>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w:t>
            </w:r>
          </w:p>
        </w:tc>
      </w:tr>
    </w:tbl>
    <w:p>
      <w:pPr>
        <w:ind w:left="1980" w:hanging="1505"/>
        <w:spacing w:after="0"/>
        <w:tabs>
          <w:tab w:leader="none" w:pos="19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w:t>
      </w: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w:t>
      </w:r>
      <w:r>
        <w:rPr>
          <w:rFonts w:ascii="Courier New" w:cs="Courier New" w:eastAsia="Courier New" w:hAnsi="Courier New"/>
          <w:sz w:val="15"/>
          <w:szCs w:val="15"/>
          <w:color w:val="auto"/>
        </w:rPr>
        <w:t>(0.1)</w:t>
      </w:r>
    </w:p>
    <w:tbl>
      <w:tblPr>
        <w:tblLayout w:type="fixed"/>
        <w:tblInd w:w="100" w:type="dxa"/>
        <w:tblCellMar>
          <w:top w:w="0" w:type="dxa"/>
          <w:left w:w="0" w:type="dxa"/>
          <w:bottom w:w="0" w:type="dxa"/>
          <w:right w:w="0" w:type="dxa"/>
        </w:tblCellMar>
      </w:tblPr>
      <w:tr>
        <w:trPr>
          <w:trHeight w:val="155"/>
        </w:trPr>
        <w:tc>
          <w:tcPr>
            <w:tcW w:w="1140" w:type="dxa"/>
            <w:vAlign w:val="bottom"/>
          </w:tcPr>
          <w:p>
            <w:pPr>
              <w:jc w:val="right"/>
              <w:ind w:right="401"/>
              <w:spacing w:after="0" w:line="155" w:lineRule="exact"/>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w:t>
            </w:r>
          </w:p>
        </w:tc>
      </w:tr>
      <w:tr>
        <w:trPr>
          <w:trHeight w:val="182"/>
        </w:trPr>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2"/>
        </w:trPr>
        <w:tc>
          <w:tcPr>
            <w:tcW w:w="11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23.7</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9.8</w:t>
            </w:r>
          </w:p>
        </w:tc>
      </w:tr>
      <w:tr>
        <w:trPr>
          <w:trHeight w:val="182"/>
        </w:trPr>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(49.8)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(16.9)</w:t>
            </w:r>
          </w:p>
        </w:tc>
      </w:tr>
      <w:tr>
        <w:trPr>
          <w:trHeight w:val="182"/>
        </w:trPr>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2"/>
        </w:trPr>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65"/>
        </w:trPr>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(29.6)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98" w:lineRule="exact"/>
        <w:rPr>
          <w:sz w:val="20"/>
          <w:szCs w:val="20"/>
          <w:color w:val="auto"/>
        </w:rPr>
      </w:pPr>
    </w:p>
    <w:p>
      <w:pPr>
        <w:ind w:left="1980" w:hanging="1505"/>
        <w:spacing w:after="0"/>
        <w:tabs>
          <w:tab w:leader="none" w:pos="19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0.4</w:t>
      </w:r>
    </w:p>
    <w:p>
      <w:pPr>
        <w:spacing w:after="0" w:line="28"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tbl>
      <w:tblPr>
        <w:tblLayout w:type="fixed"/>
        <w:tblInd w:w="100" w:type="dxa"/>
        <w:tblCellMar>
          <w:top w:w="0" w:type="dxa"/>
          <w:left w:w="0" w:type="dxa"/>
          <w:bottom w:w="0" w:type="dxa"/>
          <w:right w:w="0" w:type="dxa"/>
        </w:tblCellMar>
      </w:tblPr>
      <w:tr>
        <w:trPr>
          <w:trHeight w:val="155"/>
        </w:trPr>
        <w:tc>
          <w:tcPr>
            <w:tcW w:w="1180" w:type="dxa"/>
            <w:vAlign w:val="bottom"/>
          </w:tcPr>
          <w:p>
            <w:pPr>
              <w:jc w:val="right"/>
              <w:ind w:right="441"/>
              <w:spacing w:after="0" w:line="155" w:lineRule="exact"/>
              <w:rPr>
                <w:sz w:val="20"/>
                <w:szCs w:val="20"/>
                <w:color w:val="auto"/>
              </w:rPr>
            </w:pPr>
            <w:r>
              <w:rPr>
                <w:rFonts w:ascii="Courier New" w:cs="Courier New" w:eastAsia="Courier New" w:hAnsi="Courier New"/>
                <w:sz w:val="16"/>
                <w:szCs w:val="16"/>
                <w:color w:val="auto"/>
              </w:rPr>
              <w:t>(29.6)</w:t>
            </w:r>
          </w:p>
        </w:tc>
        <w:tc>
          <w:tcPr>
            <w:tcW w:w="1180" w:type="dxa"/>
            <w:vAlign w:val="bottom"/>
          </w:tcPr>
          <w:p>
            <w:pPr>
              <w:jc w:val="right"/>
              <w:ind w:right="21"/>
              <w:spacing w:after="0" w:line="155" w:lineRule="exact"/>
              <w:rPr>
                <w:sz w:val="20"/>
                <w:szCs w:val="20"/>
                <w:color w:val="auto"/>
              </w:rPr>
            </w:pPr>
            <w:r>
              <w:rPr>
                <w:rFonts w:ascii="Courier New" w:cs="Courier New" w:eastAsia="Courier New" w:hAnsi="Courier New"/>
                <w:sz w:val="16"/>
                <w:szCs w:val="16"/>
                <w:color w:val="auto"/>
              </w:rPr>
              <w:t>(10.4)</w:t>
            </w:r>
          </w:p>
        </w:tc>
      </w:tr>
      <w:tr>
        <w:trPr>
          <w:trHeight w:val="182"/>
        </w:trPr>
        <w:tc>
          <w:tcPr>
            <w:tcW w:w="11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6.4</w:t>
            </w:r>
          </w:p>
        </w:tc>
        <w:tc>
          <w:tcPr>
            <w:tcW w:w="1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r>
      <w:tr>
        <w:trPr>
          <w:trHeight w:val="182"/>
        </w:trPr>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$(36.0)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w:t>
            </w:r>
          </w:p>
        </w:tc>
      </w:tr>
      <w:tr>
        <w:trPr>
          <w:trHeight w:val="265"/>
        </w:trPr>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08"/>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6"/>
              </w:rPr>
              <w:t>$ (1.28)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(.68)</w:t>
            </w:r>
          </w:p>
        </w:tc>
      </w:tr>
    </w:tbl>
    <w:p>
      <w:pPr>
        <w:ind w:left="1980" w:hanging="1410"/>
        <w:spacing w:after="0"/>
        <w:tabs>
          <w:tab w:leader="none" w:pos="19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(1.28)(.70)</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65"/>
        </w:trPr>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280"/>
        </w:trPr>
        <w:tc>
          <w:tcPr>
            <w:tcW w:w="1180" w:type="dxa"/>
            <w:vAlign w:val="bottom"/>
          </w:tcPr>
          <w:p>
            <w:pPr>
              <w:spacing w:after="0"/>
              <w:rPr>
                <w:sz w:val="20"/>
                <w:szCs w:val="20"/>
                <w:color w:val="auto"/>
              </w:rPr>
            </w:pPr>
            <w:r>
              <w:rPr>
                <w:rFonts w:ascii="Courier New" w:cs="Courier New" w:eastAsia="Courier New" w:hAnsi="Courier New"/>
                <w:sz w:val="16"/>
                <w:szCs w:val="16"/>
                <w:color w:val="auto"/>
              </w:rPr>
              <w:t>$ (1.28)</w:t>
            </w:r>
          </w:p>
        </w:tc>
        <w:tc>
          <w:tcPr>
            <w:tcW w:w="1180" w:type="dxa"/>
            <w:vAlign w:val="bottom"/>
          </w:tcPr>
          <w:p>
            <w:pPr>
              <w:ind w:left="420"/>
              <w:spacing w:after="0"/>
              <w:rPr>
                <w:sz w:val="20"/>
                <w:szCs w:val="20"/>
                <w:color w:val="auto"/>
              </w:rPr>
            </w:pPr>
            <w:r>
              <w:rPr>
                <w:rFonts w:ascii="Courier New" w:cs="Courier New" w:eastAsia="Courier New" w:hAnsi="Courier New"/>
                <w:sz w:val="16"/>
                <w:szCs w:val="16"/>
                <w:color w:val="auto"/>
                <w:w w:val="96"/>
              </w:rPr>
              <w:t>$  (.68)</w:t>
            </w:r>
          </w:p>
        </w:tc>
      </w:tr>
    </w:tbl>
    <w:p>
      <w:pPr>
        <w:ind w:left="1980" w:hanging="1410"/>
        <w:spacing w:after="0"/>
        <w:tabs>
          <w:tab w:leader="none" w:pos="19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w:t>
      </w: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(1.28)(.70)</w:t>
      </w:r>
    </w:p>
    <w:p>
      <w:pPr>
        <w:spacing w:after="0" w:line="1" w:lineRule="exact"/>
        <w:rPr>
          <w:sz w:val="20"/>
          <w:szCs w:val="20"/>
          <w:color w:val="auto"/>
        </w:rPr>
      </w:pPr>
    </w:p>
    <w:p>
      <w:pPr>
        <w:ind w:left="100"/>
        <w:spacing w:after="0"/>
        <w:tabs>
          <w:tab w:leader="none" w:pos="1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55" w:lineRule="exact"/>
        <w:rPr>
          <w:sz w:val="20"/>
          <w:szCs w:val="20"/>
          <w:color w:val="auto"/>
        </w:rPr>
      </w:pPr>
    </w:p>
    <w:p>
      <w:pPr>
        <w:ind w:left="280"/>
        <w:spacing w:after="0"/>
        <w:tabs>
          <w:tab w:leader="none" w:pos="1880" w:val="left"/>
        </w:tabs>
        <w:rPr>
          <w:sz w:val="20"/>
          <w:szCs w:val="20"/>
          <w:color w:val="auto"/>
        </w:rPr>
      </w:pPr>
      <w:r>
        <w:rPr>
          <w:rFonts w:ascii="Courier New" w:cs="Courier New" w:eastAsia="Courier New" w:hAnsi="Courier New"/>
          <w:sz w:val="16"/>
          <w:szCs w:val="16"/>
          <w:color w:val="auto"/>
        </w:rPr>
        <w:t>28.2</w:t>
      </w:r>
      <w:r>
        <w:rPr>
          <w:sz w:val="20"/>
          <w:szCs w:val="20"/>
          <w:color w:val="auto"/>
        </w:rPr>
        <w:tab/>
      </w:r>
      <w:r>
        <w:rPr>
          <w:rFonts w:ascii="Courier New" w:cs="Courier New" w:eastAsia="Courier New" w:hAnsi="Courier New"/>
          <w:sz w:val="15"/>
          <w:szCs w:val="15"/>
          <w:color w:val="auto"/>
        </w:rPr>
        <w:t>18.3</w:t>
      </w:r>
    </w:p>
    <w:p>
      <w:pPr>
        <w:spacing w:after="0" w:line="29" w:lineRule="exact"/>
        <w:rPr>
          <w:sz w:val="20"/>
          <w:szCs w:val="20"/>
          <w:color w:val="auto"/>
        </w:rPr>
      </w:pPr>
    </w:p>
    <w:p>
      <w:pPr>
        <w:ind w:left="100"/>
        <w:spacing w:after="0"/>
        <w:tabs>
          <w:tab w:leader="none" w:pos="1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55" w:lineRule="exact"/>
        <w:rPr>
          <w:sz w:val="20"/>
          <w:szCs w:val="20"/>
          <w:color w:val="auto"/>
        </w:rPr>
      </w:pPr>
    </w:p>
    <w:p>
      <w:pPr>
        <w:ind w:left="280"/>
        <w:spacing w:after="0"/>
        <w:tabs>
          <w:tab w:leader="none" w:pos="1880" w:val="left"/>
        </w:tabs>
        <w:rPr>
          <w:sz w:val="20"/>
          <w:szCs w:val="20"/>
          <w:color w:val="auto"/>
        </w:rPr>
      </w:pPr>
      <w:r>
        <w:rPr>
          <w:rFonts w:ascii="Courier New" w:cs="Courier New" w:eastAsia="Courier New" w:hAnsi="Courier New"/>
          <w:sz w:val="16"/>
          <w:szCs w:val="16"/>
          <w:color w:val="auto"/>
        </w:rPr>
        <w:t>28.2</w:t>
      </w:r>
      <w:r>
        <w:rPr>
          <w:sz w:val="20"/>
          <w:szCs w:val="20"/>
          <w:color w:val="auto"/>
        </w:rPr>
        <w:tab/>
      </w:r>
      <w:r>
        <w:rPr>
          <w:rFonts w:ascii="Courier New" w:cs="Courier New" w:eastAsia="Courier New" w:hAnsi="Courier New"/>
          <w:sz w:val="15"/>
          <w:szCs w:val="15"/>
          <w:color w:val="auto"/>
        </w:rPr>
        <w:t>18.3</w:t>
      </w:r>
    </w:p>
    <w:p>
      <w:pPr>
        <w:spacing w:after="0" w:line="29" w:lineRule="exact"/>
        <w:rPr>
          <w:sz w:val="20"/>
          <w:szCs w:val="20"/>
          <w:color w:val="auto"/>
        </w:rPr>
      </w:pPr>
    </w:p>
    <w:p>
      <w:pPr>
        <w:ind w:left="100"/>
        <w:spacing w:after="0"/>
        <w:tabs>
          <w:tab w:leader="none" w:pos="1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263" w:lineRule="exact"/>
        <w:rPr>
          <w:sz w:val="20"/>
          <w:szCs w:val="20"/>
          <w:color w:val="auto"/>
        </w:rPr>
      </w:pPr>
    </w:p>
    <w:p>
      <w:pPr>
        <w:sectPr>
          <w:pgSz w:w="11900" w:h="16838" w:orient="portrait"/>
          <w:cols w:equalWidth="0" w:num="2">
            <w:col w:w="6180" w:space="720"/>
            <w:col w:w="3239"/>
          </w:cols>
          <w:pgMar w:left="320" w:top="271"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139"/>
          </w:cols>
          <w:pgMar w:left="320" w:top="27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46"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29" w:lineRule="exact"/>
        <w:rPr>
          <w:sz w:val="20"/>
          <w:szCs w:val="20"/>
          <w:color w:val="auto"/>
        </w:rPr>
      </w:pPr>
    </w:p>
    <w:p>
      <w:pPr>
        <w:jc w:val="center"/>
        <w:ind w:left="84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12"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(UNAUDITED)</w:t>
      </w:r>
    </w:p>
    <w:p>
      <w:pPr>
        <w:spacing w:after="0" w:line="1"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OPERATING ACTIVITIES:</w:t>
      </w:r>
    </w:p>
    <w:p>
      <w:pPr>
        <w:spacing w:after="0" w:line="2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Net loss</w:t>
      </w:r>
    </w:p>
    <w:p>
      <w:pPr>
        <w:spacing w:after="0" w:line="1" w:lineRule="exact"/>
        <w:rPr>
          <w:sz w:val="20"/>
          <w:szCs w:val="20"/>
          <w:color w:val="auto"/>
        </w:rPr>
      </w:pPr>
    </w:p>
    <w:p>
      <w:pPr>
        <w:ind w:left="380" w:right="1820" w:hanging="188"/>
        <w:spacing w:after="0"/>
        <w:rPr>
          <w:sz w:val="20"/>
          <w:szCs w:val="20"/>
          <w:color w:val="auto"/>
        </w:rPr>
      </w:pPr>
      <w:r>
        <w:rPr>
          <w:rFonts w:ascii="Courier New" w:cs="Courier New" w:eastAsia="Courier New" w:hAnsi="Courier New"/>
          <w:sz w:val="16"/>
          <w:szCs w:val="16"/>
          <w:color w:val="auto"/>
        </w:rPr>
        <w:t>Adjustments to reconcile net loss to net cash used in operating activities:</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Depreciation and amortization</w:t>
      </w:r>
    </w:p>
    <w:p>
      <w:pPr>
        <w:spacing w:after="0" w:line="1" w:lineRule="exact"/>
        <w:rPr>
          <w:sz w:val="20"/>
          <w:szCs w:val="20"/>
          <w:color w:val="auto"/>
        </w:rPr>
      </w:pPr>
    </w:p>
    <w:p>
      <w:pPr>
        <w:ind w:left="380" w:right="1540"/>
        <w:spacing w:after="0" w:line="256" w:lineRule="auto"/>
        <w:rPr>
          <w:sz w:val="20"/>
          <w:szCs w:val="20"/>
          <w:color w:val="auto"/>
        </w:rPr>
      </w:pPr>
      <w:r>
        <w:rPr>
          <w:rFonts w:ascii="Courier New" w:cs="Courier New" w:eastAsia="Courier New" w:hAnsi="Courier New"/>
          <w:sz w:val="15"/>
          <w:szCs w:val="15"/>
          <w:color w:val="auto"/>
        </w:rPr>
        <w:t>Net change in certain components of working capital Net change in other assets and liabilities and</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other adjustments</w:t>
      </w:r>
    </w:p>
    <w:p>
      <w:pPr>
        <w:spacing w:after="0" w:line="1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Net cash used in operating activities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INVESTING ACTIVITIES</w:t>
      </w:r>
    </w:p>
    <w:p>
      <w:pPr>
        <w:spacing w:after="0" w:line="2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 in property, plant and equipment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Investment in acquired businesses, net of cash acquired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net</w:t>
      </w:r>
    </w:p>
    <w:p>
      <w:pPr>
        <w:spacing w:after="0" w:line="1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Net cash used in investing activities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FLOWS FROM FINANCING ACTIVITIES</w:t>
      </w:r>
    </w:p>
    <w:p>
      <w:pPr>
        <w:spacing w:after="0" w:line="29" w:lineRule="exact"/>
        <w:rPr>
          <w:sz w:val="20"/>
          <w:szCs w:val="20"/>
          <w:color w:val="auto"/>
        </w:rPr>
      </w:pPr>
    </w:p>
    <w:p>
      <w:pPr>
        <w:ind w:left="380" w:right="2300" w:hanging="188"/>
        <w:spacing w:after="0"/>
        <w:rPr>
          <w:sz w:val="20"/>
          <w:szCs w:val="20"/>
          <w:color w:val="auto"/>
        </w:rPr>
      </w:pPr>
      <w:r>
        <w:rPr>
          <w:rFonts w:ascii="Courier New" w:cs="Courier New" w:eastAsia="Courier New" w:hAnsi="Courier New"/>
          <w:sz w:val="16"/>
          <w:szCs w:val="16"/>
          <w:color w:val="auto"/>
        </w:rPr>
        <w:t>Net borrowings under revolving and bank lines of credit</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Gross borrowings under term loans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Gross repayments under term loans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Repayment of outstanding balance on previous</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credit facility</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Settlement of interest rate locks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Financing and issuance fees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Payments to preferred shareholders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Repurchase of treasury shares</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net</w:t>
      </w:r>
    </w:p>
    <w:p>
      <w:pPr>
        <w:spacing w:after="0" w:line="1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Net cash provided by financing activities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 of exchange rate changes on cash</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decrease in cash</w:t>
      </w:r>
    </w:p>
    <w:p>
      <w:pPr>
        <w:spacing w:after="0" w:line="29" w:lineRule="exact"/>
        <w:rPr>
          <w:sz w:val="20"/>
          <w:szCs w:val="20"/>
          <w:color w:val="auto"/>
        </w:rPr>
      </w:pPr>
    </w:p>
    <w:p>
      <w:pPr>
        <w:ind w:right="2200"/>
        <w:spacing w:after="0" w:line="469" w:lineRule="auto"/>
        <w:rPr>
          <w:sz w:val="20"/>
          <w:szCs w:val="20"/>
          <w:color w:val="auto"/>
        </w:rPr>
      </w:pPr>
      <w:r>
        <w:rPr>
          <w:rFonts w:ascii="Courier New" w:cs="Courier New" w:eastAsia="Courier New" w:hAnsi="Courier New"/>
          <w:sz w:val="16"/>
          <w:szCs w:val="16"/>
          <w:color w:val="auto"/>
        </w:rPr>
        <w:t>Cash and cash equivalents at beginning of period Cash and cash equivalents at end of period SUPPLEMENTAL CASH FLOW INFORMATION: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in Acquired Businesses:</w:t>
      </w:r>
    </w:p>
    <w:p>
      <w:pPr>
        <w:spacing w:after="0" w:line="29" w:lineRule="exact"/>
        <w:rPr>
          <w:sz w:val="20"/>
          <w:szCs w:val="20"/>
          <w:color w:val="auto"/>
        </w:rPr>
      </w:pPr>
    </w:p>
    <w:p>
      <w:pPr>
        <w:ind w:left="380" w:right="2400"/>
        <w:spacing w:after="0" w:line="315" w:lineRule="auto"/>
        <w:rPr>
          <w:sz w:val="20"/>
          <w:szCs w:val="20"/>
          <w:color w:val="auto"/>
        </w:rPr>
      </w:pPr>
      <w:r>
        <w:rPr>
          <w:rFonts w:ascii="Courier New" w:cs="Courier New" w:eastAsia="Courier New" w:hAnsi="Courier New"/>
          <w:sz w:val="16"/>
          <w:szCs w:val="16"/>
          <w:color w:val="auto"/>
        </w:rPr>
        <w:t>Fair value of assets acquired, net of cash Liabilities assumed</w:t>
      </w:r>
    </w:p>
    <w:p>
      <w:pPr>
        <w:spacing w:after="0" w:line="4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Net assets acquired</w:t>
      </w:r>
    </w:p>
    <w:p>
      <w:pPr>
        <w:spacing w:after="0" w:line="2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Notes issued to seller</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Cash paid</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Debt issued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THREE MONTHS ENDED</w:t>
      </w:r>
    </w:p>
    <w:p>
      <w:pPr>
        <w:spacing w:after="0" w:line="2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55"/>
        </w:trPr>
        <w:tc>
          <w:tcPr>
            <w:tcW w:w="1420" w:type="dxa"/>
            <w:vAlign w:val="bottom"/>
          </w:tcPr>
          <w:p>
            <w:pPr>
              <w:jc w:val="right"/>
              <w:ind w:right="383"/>
              <w:spacing w:after="0" w:line="155" w:lineRule="exact"/>
              <w:rPr>
                <w:sz w:val="20"/>
                <w:szCs w:val="20"/>
                <w:color w:val="auto"/>
              </w:rPr>
            </w:pPr>
            <w:r>
              <w:rPr>
                <w:rFonts w:ascii="Courier New" w:cs="Courier New" w:eastAsia="Courier New" w:hAnsi="Courier New"/>
                <w:sz w:val="16"/>
                <w:szCs w:val="16"/>
                <w:color w:val="auto"/>
                <w:w w:val="97"/>
              </w:rPr>
              <w:t>JANUARY 1,</w:t>
            </w:r>
          </w:p>
        </w:tc>
        <w:tc>
          <w:tcPr>
            <w:tcW w:w="142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JANUARY 2,</w:t>
            </w:r>
          </w:p>
        </w:tc>
        <w:tc>
          <w:tcPr>
            <w:tcW w:w="0" w:type="dxa"/>
            <w:vAlign w:val="bottom"/>
          </w:tcPr>
          <w:p>
            <w:pPr>
              <w:spacing w:after="0"/>
              <w:rPr>
                <w:sz w:val="1"/>
                <w:szCs w:val="1"/>
                <w:color w:val="auto"/>
              </w:rPr>
            </w:pPr>
          </w:p>
        </w:tc>
      </w:tr>
      <w:tr>
        <w:trPr>
          <w:trHeight w:val="182"/>
        </w:trPr>
        <w:tc>
          <w:tcPr>
            <w:tcW w:w="1420" w:type="dxa"/>
            <w:vAlign w:val="bottom"/>
          </w:tcPr>
          <w:p>
            <w:pPr>
              <w:jc w:val="right"/>
              <w:ind w:right="763"/>
              <w:spacing w:after="0"/>
              <w:rPr>
                <w:sz w:val="20"/>
                <w:szCs w:val="20"/>
                <w:color w:val="auto"/>
              </w:rPr>
            </w:pPr>
            <w:r>
              <w:rPr>
                <w:rFonts w:ascii="Courier New" w:cs="Courier New" w:eastAsia="Courier New" w:hAnsi="Courier New"/>
                <w:sz w:val="16"/>
                <w:szCs w:val="16"/>
                <w:color w:val="auto"/>
              </w:rPr>
              <w:t>2000</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1420" w:type="dxa"/>
            <w:vAlign w:val="bottom"/>
          </w:tcPr>
          <w:p>
            <w:pPr>
              <w:jc w:val="right"/>
              <w:ind w:right="583"/>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728"/>
        </w:trPr>
        <w:tc>
          <w:tcPr>
            <w:tcW w:w="1420" w:type="dxa"/>
            <w:vAlign w:val="bottom"/>
          </w:tcPr>
          <w:p>
            <w:pPr>
              <w:jc w:val="right"/>
              <w:ind w:right="483"/>
              <w:spacing w:after="0"/>
              <w:rPr>
                <w:sz w:val="20"/>
                <w:szCs w:val="20"/>
                <w:color w:val="auto"/>
              </w:rPr>
            </w:pPr>
            <w:r>
              <w:rPr>
                <w:rFonts w:ascii="Courier New" w:cs="Courier New" w:eastAsia="Courier New" w:hAnsi="Courier New"/>
                <w:sz w:val="16"/>
                <w:szCs w:val="16"/>
                <w:color w:val="auto"/>
              </w:rPr>
              <w:t>$ (29.6)</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(10.4)</w:t>
            </w:r>
          </w:p>
        </w:tc>
        <w:tc>
          <w:tcPr>
            <w:tcW w:w="0" w:type="dxa"/>
            <w:vAlign w:val="bottom"/>
          </w:tcPr>
          <w:p>
            <w:pPr>
              <w:spacing w:after="0"/>
              <w:rPr>
                <w:sz w:val="1"/>
                <w:szCs w:val="1"/>
                <w:color w:val="auto"/>
              </w:rPr>
            </w:pPr>
          </w:p>
        </w:tc>
      </w:tr>
      <w:tr>
        <w:trPr>
          <w:trHeight w:val="462"/>
        </w:trPr>
        <w:tc>
          <w:tcPr>
            <w:tcW w:w="1420" w:type="dxa"/>
            <w:vAlign w:val="bottom"/>
          </w:tcPr>
          <w:p>
            <w:pPr>
              <w:jc w:val="right"/>
              <w:ind w:right="583"/>
              <w:spacing w:after="0"/>
              <w:rPr>
                <w:sz w:val="20"/>
                <w:szCs w:val="20"/>
                <w:color w:val="auto"/>
              </w:rPr>
            </w:pPr>
            <w:r>
              <w:rPr>
                <w:rFonts w:ascii="Courier New" w:cs="Courier New" w:eastAsia="Courier New" w:hAnsi="Courier New"/>
                <w:sz w:val="16"/>
                <w:szCs w:val="16"/>
                <w:color w:val="auto"/>
              </w:rPr>
              <w:t>15.0</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265"/>
        </w:trPr>
        <w:tc>
          <w:tcPr>
            <w:tcW w:w="1420" w:type="dxa"/>
            <w:vAlign w:val="bottom"/>
          </w:tcPr>
          <w:p>
            <w:pPr>
              <w:jc w:val="right"/>
              <w:ind w:right="483"/>
              <w:spacing w:after="0"/>
              <w:rPr>
                <w:sz w:val="20"/>
                <w:szCs w:val="20"/>
                <w:color w:val="auto"/>
              </w:rPr>
            </w:pPr>
            <w:r>
              <w:rPr>
                <w:rFonts w:ascii="Courier New" w:cs="Courier New" w:eastAsia="Courier New" w:hAnsi="Courier New"/>
                <w:sz w:val="16"/>
                <w:szCs w:val="16"/>
                <w:color w:val="auto"/>
              </w:rPr>
              <w:t>(150.1)</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(134.9)</w:t>
            </w:r>
          </w:p>
        </w:tc>
        <w:tc>
          <w:tcPr>
            <w:tcW w:w="0" w:type="dxa"/>
            <w:vAlign w:val="bottom"/>
          </w:tcPr>
          <w:p>
            <w:pPr>
              <w:spacing w:after="0"/>
              <w:rPr>
                <w:sz w:val="1"/>
                <w:szCs w:val="1"/>
                <w:color w:val="auto"/>
              </w:rPr>
            </w:pPr>
          </w:p>
        </w:tc>
      </w:tr>
      <w:tr>
        <w:trPr>
          <w:trHeight w:val="280"/>
        </w:trPr>
        <w:tc>
          <w:tcPr>
            <w:tcW w:w="1420" w:type="dxa"/>
            <w:vAlign w:val="bottom"/>
          </w:tcPr>
          <w:p>
            <w:pPr>
              <w:jc w:val="right"/>
              <w:ind w:right="483"/>
              <w:spacing w:after="0"/>
              <w:rPr>
                <w:sz w:val="20"/>
                <w:szCs w:val="20"/>
                <w:color w:val="auto"/>
              </w:rPr>
            </w:pPr>
            <w:r>
              <w:rPr>
                <w:rFonts w:ascii="Courier New" w:cs="Courier New" w:eastAsia="Courier New" w:hAnsi="Courier New"/>
                <w:sz w:val="16"/>
                <w:szCs w:val="16"/>
                <w:color w:val="auto"/>
              </w:rPr>
              <w:t>(4.6)</w:t>
            </w: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(29.9)</w:t>
            </w:r>
          </w:p>
        </w:tc>
        <w:tc>
          <w:tcPr>
            <w:tcW w:w="0" w:type="dxa"/>
            <w:vAlign w:val="bottom"/>
          </w:tcPr>
          <w:p>
            <w:pPr>
              <w:spacing w:after="0"/>
              <w:rPr>
                <w:sz w:val="1"/>
                <w:szCs w:val="1"/>
                <w:color w:val="auto"/>
              </w:rPr>
            </w:pPr>
          </w:p>
        </w:tc>
      </w:tr>
      <w:tr>
        <w:trPr>
          <w:trHeight w:val="182"/>
        </w:trPr>
        <w:tc>
          <w:tcPr>
            <w:tcW w:w="1420" w:type="dxa"/>
            <w:vAlign w:val="bottom"/>
            <w:vMerge w:val="restart"/>
          </w:tcPr>
          <w:p>
            <w:pPr>
              <w:jc w:val="right"/>
              <w:ind w:right="483"/>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(169.3)</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420" w:type="dxa"/>
            <w:vAlign w:val="bottom"/>
            <w:vMerge w:val="continue"/>
          </w:tcPr>
          <w:p>
            <w:pPr>
              <w:spacing w:after="0"/>
              <w:rPr>
                <w:sz w:val="15"/>
                <w:szCs w:val="15"/>
                <w:color w:val="auto"/>
              </w:rPr>
            </w:pPr>
          </w:p>
        </w:tc>
        <w:tc>
          <w:tcPr>
            <w:tcW w:w="1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(163.4)</w:t>
            </w:r>
          </w:p>
        </w:tc>
        <w:tc>
          <w:tcPr>
            <w:tcW w:w="0" w:type="dxa"/>
            <w:vAlign w:val="bottom"/>
          </w:tcPr>
          <w:p>
            <w:pPr>
              <w:spacing w:after="0"/>
              <w:rPr>
                <w:sz w:val="1"/>
                <w:szCs w:val="1"/>
                <w:color w:val="auto"/>
              </w:rPr>
            </w:pPr>
          </w:p>
        </w:tc>
      </w:tr>
      <w:tr>
        <w:trPr>
          <w:trHeight w:val="265"/>
        </w:trPr>
        <w:tc>
          <w:tcPr>
            <w:tcW w:w="1420" w:type="dxa"/>
            <w:vAlign w:val="bottom"/>
          </w:tcPr>
          <w:p>
            <w:pPr>
              <w:jc w:val="right"/>
              <w:ind w:right="583"/>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spacing w:after="0"/>
        <w:tabs>
          <w:tab w:leader="none" w:pos="216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(13.8)</w:t>
      </w:r>
    </w:p>
    <w:p>
      <w:pPr>
        <w:spacing w:after="0" w:line="29" w:lineRule="exact"/>
        <w:rPr>
          <w:sz w:val="20"/>
          <w:szCs w:val="20"/>
          <w:color w:val="auto"/>
        </w:rPr>
      </w:pPr>
    </w:p>
    <w:p>
      <w:pPr>
        <w:ind w:left="2100" w:hanging="1523"/>
        <w:spacing w:after="0"/>
        <w:tabs>
          <w:tab w:leader="none" w:pos="21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(160.7)</w:t>
      </w:r>
    </w:p>
    <w:tbl>
      <w:tblPr>
        <w:tblLayout w:type="fixed"/>
        <w:tblInd w:w="100" w:type="dxa"/>
        <w:tblCellMar>
          <w:top w:w="0" w:type="dxa"/>
          <w:left w:w="0" w:type="dxa"/>
          <w:bottom w:w="0" w:type="dxa"/>
          <w:right w:w="0" w:type="dxa"/>
        </w:tblCellMar>
      </w:tblPr>
      <w:tr>
        <w:trPr>
          <w:trHeight w:val="155"/>
        </w:trPr>
        <w:tc>
          <w:tcPr>
            <w:tcW w:w="1320" w:type="dxa"/>
            <w:vAlign w:val="bottom"/>
          </w:tcPr>
          <w:p>
            <w:pPr>
              <w:jc w:val="right"/>
              <w:ind w:right="583"/>
              <w:spacing w:after="0" w:line="155"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(7.6)</w:t>
            </w:r>
          </w:p>
        </w:tc>
        <w:tc>
          <w:tcPr>
            <w:tcW w:w="0" w:type="dxa"/>
            <w:vAlign w:val="bottom"/>
          </w:tcPr>
          <w:p>
            <w:pPr>
              <w:spacing w:after="0"/>
              <w:rPr>
                <w:sz w:val="1"/>
                <w:szCs w:val="1"/>
                <w:color w:val="auto"/>
              </w:rPr>
            </w:pPr>
          </w:p>
        </w:tc>
      </w:tr>
      <w:tr>
        <w:trPr>
          <w:trHeight w:val="182"/>
        </w:trPr>
        <w:tc>
          <w:tcPr>
            <w:tcW w:w="1320" w:type="dxa"/>
            <w:vAlign w:val="bottom"/>
            <w:vMerge w:val="restart"/>
          </w:tcPr>
          <w:p>
            <w:pPr>
              <w:jc w:val="right"/>
              <w:ind w:right="483"/>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(7.2)</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320" w:type="dxa"/>
            <w:vAlign w:val="bottom"/>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(182.1)</w:t>
            </w:r>
          </w:p>
        </w:tc>
        <w:tc>
          <w:tcPr>
            <w:tcW w:w="0" w:type="dxa"/>
            <w:vAlign w:val="bottom"/>
          </w:tcPr>
          <w:p>
            <w:pPr>
              <w:spacing w:after="0"/>
              <w:rPr>
                <w:sz w:val="1"/>
                <w:szCs w:val="1"/>
                <w:color w:val="auto"/>
              </w:rPr>
            </w:pPr>
          </w:p>
        </w:tc>
      </w:tr>
      <w:tr>
        <w:trPr>
          <w:trHeight w:val="265"/>
        </w:trPr>
        <w:tc>
          <w:tcPr>
            <w:tcW w:w="1320" w:type="dxa"/>
            <w:vAlign w:val="bottom"/>
          </w:tcPr>
          <w:p>
            <w:pPr>
              <w:jc w:val="right"/>
              <w:ind w:right="583"/>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2"/>
        </w:trPr>
        <w:tc>
          <w:tcPr>
            <w:tcW w:w="1320" w:type="dxa"/>
            <w:vAlign w:val="bottom"/>
          </w:tcPr>
          <w:p>
            <w:pPr>
              <w:jc w:val="right"/>
              <w:ind w:right="583"/>
              <w:spacing w:after="0"/>
              <w:rPr>
                <w:sz w:val="20"/>
                <w:szCs w:val="20"/>
                <w:color w:val="auto"/>
              </w:rPr>
            </w:pPr>
            <w:r>
              <w:rPr>
                <w:rFonts w:ascii="Courier New" w:cs="Courier New" w:eastAsia="Courier New" w:hAnsi="Courier New"/>
                <w:sz w:val="16"/>
                <w:szCs w:val="16"/>
                <w:color w:val="auto"/>
              </w:rPr>
              <w:t>202.1</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w:t>
            </w:r>
          </w:p>
        </w:tc>
        <w:tc>
          <w:tcPr>
            <w:tcW w:w="0" w:type="dxa"/>
            <w:vAlign w:val="bottom"/>
          </w:tcPr>
          <w:p>
            <w:pPr>
              <w:spacing w:after="0"/>
              <w:rPr>
                <w:sz w:val="1"/>
                <w:szCs w:val="1"/>
                <w:color w:val="auto"/>
              </w:rPr>
            </w:pPr>
          </w:p>
        </w:tc>
      </w:tr>
      <w:tr>
        <w:trPr>
          <w:trHeight w:val="182"/>
        </w:trPr>
        <w:tc>
          <w:tcPr>
            <w:tcW w:w="1320" w:type="dxa"/>
            <w:vAlign w:val="bottom"/>
          </w:tcPr>
          <w:p>
            <w:pPr>
              <w:jc w:val="right"/>
              <w:ind w:right="583"/>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525.0</w:t>
            </w:r>
          </w:p>
        </w:tc>
        <w:tc>
          <w:tcPr>
            <w:tcW w:w="0" w:type="dxa"/>
            <w:vAlign w:val="bottom"/>
          </w:tcPr>
          <w:p>
            <w:pPr>
              <w:spacing w:after="0"/>
              <w:rPr>
                <w:sz w:val="1"/>
                <w:szCs w:val="1"/>
                <w:color w:val="auto"/>
              </w:rPr>
            </w:pPr>
          </w:p>
        </w:tc>
      </w:tr>
      <w:tr>
        <w:trPr>
          <w:trHeight w:val="265"/>
        </w:trPr>
        <w:tc>
          <w:tcPr>
            <w:tcW w:w="1320" w:type="dxa"/>
            <w:vAlign w:val="bottom"/>
          </w:tcPr>
          <w:p>
            <w:pPr>
              <w:jc w:val="right"/>
              <w:ind w:right="483"/>
              <w:spacing w:after="0"/>
              <w:rPr>
                <w:sz w:val="20"/>
                <w:szCs w:val="20"/>
                <w:color w:val="auto"/>
              </w:rPr>
            </w:pPr>
            <w:r>
              <w:rPr>
                <w:rFonts w:ascii="Courier New" w:cs="Courier New" w:eastAsia="Courier New" w:hAnsi="Courier New"/>
                <w:sz w:val="16"/>
                <w:szCs w:val="16"/>
                <w:color w:val="auto"/>
              </w:rPr>
              <w:t>(6.3)</w:t>
            </w:r>
          </w:p>
        </w:tc>
        <w:tc>
          <w:tcPr>
            <w:tcW w:w="1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100" w:hanging="1523"/>
        <w:spacing w:after="0"/>
        <w:tabs>
          <w:tab w:leader="none" w:pos="21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(241.0)</w:t>
      </w:r>
    </w:p>
    <w:p>
      <w:pPr>
        <w:spacing w:after="0" w:line="28" w:lineRule="exact"/>
        <w:rPr>
          <w:rFonts w:ascii="Courier New" w:cs="Courier New" w:eastAsia="Courier New" w:hAnsi="Courier New"/>
          <w:sz w:val="16"/>
          <w:szCs w:val="16"/>
          <w:color w:val="auto"/>
        </w:rPr>
      </w:pPr>
    </w:p>
    <w:p>
      <w:pPr>
        <w:ind w:left="2180" w:hanging="1603"/>
        <w:spacing w:after="0"/>
        <w:tabs>
          <w:tab w:leader="none" w:pos="21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(15.2)</w:t>
      </w:r>
    </w:p>
    <w:p>
      <w:pPr>
        <w:ind w:left="2180" w:hanging="1603"/>
        <w:spacing w:after="0"/>
        <w:tabs>
          <w:tab w:leader="none" w:pos="21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(10.2)</w:t>
      </w:r>
    </w:p>
    <w:tbl>
      <w:tblPr>
        <w:tblLayout w:type="fixed"/>
        <w:tblInd w:w="100" w:type="dxa"/>
        <w:tblCellMar>
          <w:top w:w="0" w:type="dxa"/>
          <w:left w:w="0" w:type="dxa"/>
          <w:bottom w:w="0" w:type="dxa"/>
          <w:right w:w="0" w:type="dxa"/>
        </w:tblCellMar>
      </w:tblPr>
      <w:tr>
        <w:trPr>
          <w:trHeight w:val="155"/>
        </w:trPr>
        <w:tc>
          <w:tcPr>
            <w:tcW w:w="1320" w:type="dxa"/>
            <w:vAlign w:val="bottom"/>
          </w:tcPr>
          <w:p>
            <w:pPr>
              <w:jc w:val="right"/>
              <w:ind w:right="481"/>
              <w:spacing w:after="0" w:line="155" w:lineRule="exact"/>
              <w:rPr>
                <w:sz w:val="20"/>
                <w:szCs w:val="20"/>
                <w:color w:val="auto"/>
              </w:rPr>
            </w:pPr>
            <w:r>
              <w:rPr>
                <w:rFonts w:ascii="Courier New" w:cs="Courier New" w:eastAsia="Courier New" w:hAnsi="Courier New"/>
                <w:sz w:val="16"/>
                <w:szCs w:val="16"/>
                <w:color w:val="auto"/>
              </w:rPr>
              <w:t>(6.4)</w:t>
            </w:r>
          </w:p>
        </w:tc>
        <w:tc>
          <w:tcPr>
            <w:tcW w:w="7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Courier New" w:cs="Courier New" w:eastAsia="Courier New" w:hAnsi="Courier New"/>
                <w:sz w:val="16"/>
                <w:szCs w:val="16"/>
                <w:color w:val="auto"/>
              </w:rPr>
              <w:t>(4.9)</w:t>
            </w:r>
          </w:p>
        </w:tc>
      </w:tr>
      <w:tr>
        <w:trPr>
          <w:trHeight w:val="182"/>
        </w:trPr>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(21.0)</w:t>
            </w:r>
          </w:p>
        </w:tc>
        <w:tc>
          <w:tcPr>
            <w:tcW w:w="7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(5.6)</w:t>
            </w:r>
          </w:p>
        </w:tc>
        <w:tc>
          <w:tcPr>
            <w:tcW w:w="7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0.9</w:t>
            </w:r>
          </w:p>
        </w:tc>
      </w:tr>
      <w:tr>
        <w:trPr>
          <w:trHeight w:val="182"/>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162.8</w:t>
            </w:r>
          </w:p>
        </w:tc>
        <w:tc>
          <w:tcPr>
            <w:tcW w:w="7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343.2</w:t>
            </w:r>
          </w:p>
        </w:tc>
      </w:tr>
      <w:tr>
        <w:trPr>
          <w:trHeight w:val="182"/>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(0.8)</w:t>
            </w:r>
          </w:p>
        </w:tc>
        <w:tc>
          <w:tcPr>
            <w:tcW w:w="7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2"/>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(14.5)</w:t>
            </w:r>
          </w:p>
        </w:tc>
        <w:tc>
          <w:tcPr>
            <w:tcW w:w="7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30.3</w:t>
            </w:r>
          </w:p>
        </w:tc>
        <w:tc>
          <w:tcPr>
            <w:tcW w:w="72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w:t>
            </w:r>
          </w:p>
        </w:tc>
      </w:tr>
      <w:tr>
        <w:trPr>
          <w:trHeight w:val="182"/>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  15.8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r>
      <w:tr>
        <w:trPr>
          <w:trHeight w:val="265"/>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672"/>
        </w:trPr>
        <w:tc>
          <w:tcPr>
            <w:tcW w:w="1320" w:type="dxa"/>
            <w:vAlign w:val="bottom"/>
          </w:tcPr>
          <w:p>
            <w:pPr>
              <w:spacing w:after="0"/>
              <w:rPr>
                <w:sz w:val="24"/>
                <w:szCs w:val="24"/>
                <w:color w:val="auto"/>
              </w:rPr>
            </w:pP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$ 259.1</w:t>
            </w:r>
          </w:p>
        </w:tc>
      </w:tr>
    </w:tbl>
    <w:p>
      <w:pPr>
        <w:ind w:left="2180"/>
        <w:spacing w:after="0"/>
        <w:rPr>
          <w:sz w:val="20"/>
          <w:szCs w:val="20"/>
          <w:color w:val="auto"/>
        </w:rPr>
      </w:pPr>
      <w:r>
        <w:rPr>
          <w:rFonts w:ascii="Courier New" w:cs="Courier New" w:eastAsia="Courier New" w:hAnsi="Courier New"/>
          <w:sz w:val="16"/>
          <w:szCs w:val="16"/>
          <w:color w:val="auto"/>
        </w:rPr>
        <w:t>(67.3)</w:t>
      </w: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191.8</w:t>
      </w:r>
    </w:p>
    <w:p>
      <w:pPr>
        <w:spacing w:after="0" w:line="1"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35.7</w:t>
      </w:r>
    </w:p>
    <w:p>
      <w:pPr>
        <w:spacing w:after="0" w:line="1"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4.8</w:t>
      </w:r>
    </w:p>
    <w:p>
      <w:pPr>
        <w:spacing w:after="0" w:line="1"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151.3</w:t>
      </w:r>
    </w:p>
    <w:p>
      <w:pPr>
        <w:spacing w:after="0" w:line="1081" w:lineRule="exact"/>
        <w:rPr>
          <w:sz w:val="20"/>
          <w:szCs w:val="20"/>
          <w:color w:val="auto"/>
        </w:rPr>
      </w:pPr>
    </w:p>
    <w:p>
      <w:pPr>
        <w:sectPr>
          <w:pgSz w:w="11900" w:h="16838" w:orient="portrait"/>
          <w:cols w:equalWidth="0" w:num="2">
            <w:col w:w="6740" w:space="720"/>
            <w:col w:w="2840"/>
          </w:cols>
          <w:pgMar w:left="320" w:top="271" w:right="12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300"/>
          </w:cols>
          <w:pgMar w:left="320" w:top="271" w:right="1279"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29"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THE SCOTTS COMPANY AND SUBSIDIARIES</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(IN MILLIONS, EXCEPT SHARE INFORMATION)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480" w:type="dxa"/>
            <w:vAlign w:val="bottom"/>
          </w:tcPr>
          <w:p>
            <w:pPr>
              <w:ind w:left="3500"/>
              <w:spacing w:after="0"/>
              <w:rPr>
                <w:sz w:val="20"/>
                <w:szCs w:val="20"/>
                <w:color w:val="auto"/>
              </w:rPr>
            </w:pPr>
            <w:r>
              <w:rPr>
                <w:rFonts w:ascii="Courier New" w:cs="Courier New" w:eastAsia="Courier New" w:hAnsi="Courier New"/>
                <w:sz w:val="16"/>
                <w:szCs w:val="16"/>
                <w:color w:val="auto"/>
              </w:rPr>
              <w:t>ASSETS</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2880" w:type="dxa"/>
            <w:vAlign w:val="bottom"/>
            <w:gridSpan w:val="4"/>
          </w:tcPr>
          <w:p>
            <w:pPr>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70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w w:val="95"/>
              </w:rPr>
              <w:t>JANUARY 1,</w:t>
            </w: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JANUARY 2,</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1041"/>
              <w:spacing w:after="0"/>
              <w:rPr>
                <w:sz w:val="20"/>
                <w:szCs w:val="20"/>
                <w:color w:val="auto"/>
              </w:rPr>
            </w:pPr>
            <w:r>
              <w:rPr>
                <w:rFonts w:ascii="Courier New" w:cs="Courier New" w:eastAsia="Courier New" w:hAnsi="Courier New"/>
                <w:sz w:val="16"/>
                <w:szCs w:val="16"/>
                <w:color w:val="auto"/>
              </w:rPr>
              <w:t>2000</w:t>
            </w:r>
          </w:p>
        </w:tc>
        <w:tc>
          <w:tcPr>
            <w:tcW w:w="100" w:type="dxa"/>
            <w:vAlign w:val="bottom"/>
          </w:tcPr>
          <w:p>
            <w:pPr>
              <w:spacing w:after="0"/>
              <w:rPr>
                <w:sz w:val="15"/>
                <w:szCs w:val="15"/>
                <w:color w:val="auto"/>
              </w:rPr>
            </w:pPr>
          </w:p>
        </w:tc>
        <w:tc>
          <w:tcPr>
            <w:tcW w:w="10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1999</w:t>
            </w:r>
          </w:p>
        </w:tc>
        <w:tc>
          <w:tcPr>
            <w:tcW w:w="52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2"/>
        </w:trPr>
        <w:tc>
          <w:tcPr>
            <w:tcW w:w="54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0" w:type="dxa"/>
            <w:vAlign w:val="bottom"/>
            <w:vMerge w:val="restart"/>
          </w:tcPr>
          <w:p>
            <w:pPr>
              <w:spacing w:after="0"/>
              <w:rPr>
                <w:sz w:val="20"/>
                <w:szCs w:val="20"/>
                <w:color w:val="auto"/>
              </w:rPr>
            </w:pPr>
            <w:r>
              <w:rPr>
                <w:rFonts w:ascii="Courier New" w:cs="Courier New" w:eastAsia="Courier New" w:hAnsi="Courier New"/>
                <w:sz w:val="16"/>
                <w:szCs w:val="16"/>
                <w:color w:val="auto"/>
                <w:w w:val="82"/>
              </w:rPr>
              <w:t>$</w:t>
            </w:r>
          </w:p>
        </w:tc>
        <w:tc>
          <w:tcPr>
            <w:tcW w:w="1600" w:type="dxa"/>
            <w:vAlign w:val="bottom"/>
            <w:vMerge w:val="restart"/>
          </w:tcPr>
          <w:p>
            <w:pPr>
              <w:jc w:val="right"/>
              <w:ind w:right="861"/>
              <w:spacing w:after="0"/>
              <w:rPr>
                <w:sz w:val="20"/>
                <w:szCs w:val="20"/>
                <w:color w:val="auto"/>
              </w:rPr>
            </w:pPr>
            <w:r>
              <w:rPr>
                <w:rFonts w:ascii="Courier New" w:cs="Courier New" w:eastAsia="Courier New" w:hAnsi="Courier New"/>
                <w:sz w:val="16"/>
                <w:szCs w:val="16"/>
                <w:color w:val="auto"/>
              </w:rPr>
              <w:t>15.8</w:t>
            </w:r>
          </w:p>
        </w:tc>
        <w:tc>
          <w:tcPr>
            <w:tcW w:w="100" w:type="dxa"/>
            <w:vAlign w:val="bottom"/>
            <w:vMerge w:val="restart"/>
          </w:tcPr>
          <w:p>
            <w:pPr>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8.2</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30.3</w:t>
            </w: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1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less allowances of</w:t>
            </w:r>
          </w:p>
        </w:tc>
        <w:tc>
          <w:tcPr>
            <w:tcW w:w="100" w:type="dxa"/>
            <w:vAlign w:val="bottom"/>
          </w:tcPr>
          <w:p>
            <w:pPr>
              <w:spacing w:after="0"/>
              <w:rPr>
                <w:sz w:val="15"/>
                <w:szCs w:val="15"/>
                <w:color w:val="auto"/>
              </w:rPr>
            </w:pPr>
          </w:p>
        </w:tc>
        <w:tc>
          <w:tcPr>
            <w:tcW w:w="1600" w:type="dxa"/>
            <w:vAlign w:val="bottom"/>
            <w:vMerge w:val="restart"/>
          </w:tcPr>
          <w:p>
            <w:pPr>
              <w:jc w:val="right"/>
              <w:ind w:right="861"/>
              <w:spacing w:after="0"/>
              <w:rPr>
                <w:sz w:val="20"/>
                <w:szCs w:val="20"/>
                <w:color w:val="auto"/>
              </w:rPr>
            </w:pPr>
            <w:r>
              <w:rPr>
                <w:rFonts w:ascii="Courier New" w:cs="Courier New" w:eastAsia="Courier New" w:hAnsi="Courier New"/>
                <w:sz w:val="16"/>
                <w:szCs w:val="16"/>
                <w:color w:val="auto"/>
              </w:rPr>
              <w:t>225.3</w:t>
            </w:r>
          </w:p>
        </w:tc>
        <w:tc>
          <w:tcPr>
            <w:tcW w:w="10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206.7</w:t>
            </w:r>
          </w:p>
        </w:tc>
        <w:tc>
          <w:tcPr>
            <w:tcW w:w="520" w:type="dxa"/>
            <w:vAlign w:val="bottom"/>
          </w:tcPr>
          <w:p>
            <w:pPr>
              <w:spacing w:after="0"/>
              <w:rPr>
                <w:sz w:val="15"/>
                <w:szCs w:val="15"/>
                <w:color w:val="auto"/>
              </w:rPr>
            </w:pPr>
          </w:p>
        </w:tc>
        <w:tc>
          <w:tcPr>
            <w:tcW w:w="9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201.4</w:t>
            </w:r>
          </w:p>
        </w:tc>
        <w:tc>
          <w:tcPr>
            <w:tcW w:w="0" w:type="dxa"/>
            <w:vAlign w:val="bottom"/>
          </w:tcPr>
          <w:p>
            <w:pPr>
              <w:spacing w:after="0"/>
              <w:rPr>
                <w:sz w:val="1"/>
                <w:szCs w:val="1"/>
                <w:color w:val="auto"/>
              </w:rPr>
            </w:pPr>
          </w:p>
        </w:tc>
      </w:tr>
      <w:tr>
        <w:trPr>
          <w:trHeight w:val="182"/>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$17.5, $8.6 and $16.4, respectively</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442.1</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298.2</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313.2</w:t>
            </w: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Current deferred tax asset</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28.6</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31.4</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29.3</w:t>
            </w: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Prepaid and other assets</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60.3</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21.5</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67.5</w:t>
            </w:r>
          </w:p>
        </w:tc>
        <w:tc>
          <w:tcPr>
            <w:tcW w:w="0" w:type="dxa"/>
            <w:vAlign w:val="bottom"/>
          </w:tcPr>
          <w:p>
            <w:pPr>
              <w:spacing w:after="0"/>
              <w:rPr>
                <w:sz w:val="1"/>
                <w:szCs w:val="1"/>
                <w:color w:val="auto"/>
              </w:rPr>
            </w:pPr>
          </w:p>
        </w:tc>
      </w:tr>
      <w:tr>
        <w:trPr>
          <w:trHeight w:val="182"/>
        </w:trPr>
        <w:tc>
          <w:tcPr>
            <w:tcW w:w="54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current assets</w:t>
            </w: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772.1</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566.0</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641.7</w:t>
            </w:r>
          </w:p>
        </w:tc>
        <w:tc>
          <w:tcPr>
            <w:tcW w:w="0" w:type="dxa"/>
            <w:vAlign w:val="bottom"/>
          </w:tcPr>
          <w:p>
            <w:pPr>
              <w:spacing w:after="0"/>
              <w:rPr>
                <w:sz w:val="1"/>
                <w:szCs w:val="1"/>
                <w:color w:val="auto"/>
              </w:rPr>
            </w:pPr>
          </w:p>
        </w:tc>
      </w:tr>
      <w:tr>
        <w:trPr>
          <w:trHeight w:val="182"/>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256.0</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208.9</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259.4</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774.0</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608.6</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794.1</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74.7</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62.0</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74.4</w:t>
            </w:r>
          </w:p>
        </w:tc>
        <w:tc>
          <w:tcPr>
            <w:tcW w:w="0" w:type="dxa"/>
            <w:vAlign w:val="bottom"/>
          </w:tcPr>
          <w:p>
            <w:pPr>
              <w:spacing w:after="0"/>
              <w:rPr>
                <w:sz w:val="1"/>
                <w:szCs w:val="1"/>
                <w:color w:val="auto"/>
              </w:rPr>
            </w:pPr>
          </w:p>
        </w:tc>
      </w:tr>
      <w:tr>
        <w:trPr>
          <w:trHeight w:val="182"/>
        </w:trPr>
        <w:tc>
          <w:tcPr>
            <w:tcW w:w="54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assets</w:t>
            </w: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$1,876.8</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$1,445.5</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$1,769.6</w:t>
            </w: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5480" w:type="dxa"/>
            <w:vAlign w:val="bottom"/>
          </w:tcPr>
          <w:p>
            <w:pPr>
              <w:ind w:left="2080"/>
              <w:spacing w:after="0"/>
              <w:rPr>
                <w:sz w:val="20"/>
                <w:szCs w:val="20"/>
                <w:color w:val="auto"/>
              </w:rPr>
            </w:pPr>
            <w:r>
              <w:rPr>
                <w:rFonts w:ascii="Courier New" w:cs="Courier New" w:eastAsia="Courier New" w:hAnsi="Courier New"/>
                <w:sz w:val="16"/>
                <w:szCs w:val="16"/>
                <w:color w:val="auto"/>
                <w:w w:val="97"/>
              </w:rPr>
              <w:t>LIABILITIES AND SHAREHOLDERS' EQUITY</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4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0" w:type="dxa"/>
            <w:vAlign w:val="bottom"/>
            <w:vMerge w:val="restart"/>
          </w:tcPr>
          <w:p>
            <w:pPr>
              <w:spacing w:after="0"/>
              <w:rPr>
                <w:sz w:val="20"/>
                <w:szCs w:val="20"/>
                <w:color w:val="auto"/>
              </w:rPr>
            </w:pPr>
            <w:r>
              <w:rPr>
                <w:rFonts w:ascii="Courier New" w:cs="Courier New" w:eastAsia="Courier New" w:hAnsi="Courier New"/>
                <w:sz w:val="16"/>
                <w:szCs w:val="16"/>
                <w:color w:val="auto"/>
                <w:w w:val="82"/>
              </w:rPr>
              <w:t>$</w:t>
            </w:r>
          </w:p>
        </w:tc>
        <w:tc>
          <w:tcPr>
            <w:tcW w:w="1600" w:type="dxa"/>
            <w:vAlign w:val="bottom"/>
            <w:vMerge w:val="restart"/>
          </w:tcPr>
          <w:p>
            <w:pPr>
              <w:jc w:val="right"/>
              <w:ind w:right="861"/>
              <w:spacing w:after="0"/>
              <w:rPr>
                <w:sz w:val="20"/>
                <w:szCs w:val="20"/>
                <w:color w:val="auto"/>
              </w:rPr>
            </w:pPr>
            <w:r>
              <w:rPr>
                <w:rFonts w:ascii="Courier New" w:cs="Courier New" w:eastAsia="Courier New" w:hAnsi="Courier New"/>
                <w:sz w:val="16"/>
                <w:szCs w:val="16"/>
                <w:color w:val="auto"/>
              </w:rPr>
              <w:t>120.4</w:t>
            </w:r>
          </w:p>
        </w:tc>
        <w:tc>
          <w:tcPr>
            <w:tcW w:w="100" w:type="dxa"/>
            <w:vAlign w:val="bottom"/>
            <w:vMerge w:val="restart"/>
          </w:tcPr>
          <w:p>
            <w:pPr>
              <w:spacing w:after="0"/>
              <w:rPr>
                <w:sz w:val="20"/>
                <w:szCs w:val="20"/>
                <w:color w:val="auto"/>
              </w:rPr>
            </w:pPr>
            <w:r>
              <w:rPr>
                <w:rFonts w:ascii="Courier New" w:cs="Courier New" w:eastAsia="Courier New" w:hAnsi="Courier New"/>
                <w:sz w:val="16"/>
                <w:szCs w:val="16"/>
                <w:color w:val="auto"/>
                <w:w w:val="82"/>
              </w:rPr>
              <w:t>$</w:t>
            </w: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24.4</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56.4</w:t>
            </w: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Short-term debt</w:t>
            </w:r>
          </w:p>
        </w:tc>
        <w:tc>
          <w:tcPr>
            <w:tcW w:w="1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149.5</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112.5</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133.5</w:t>
            </w: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Accrued liabilities</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153.8</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111.5</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177.0</w:t>
            </w:r>
          </w:p>
        </w:tc>
        <w:tc>
          <w:tcPr>
            <w:tcW w:w="0" w:type="dxa"/>
            <w:vAlign w:val="bottom"/>
          </w:tcPr>
          <w:p>
            <w:pPr>
              <w:spacing w:after="0"/>
              <w:rPr>
                <w:sz w:val="1"/>
                <w:szCs w:val="1"/>
                <w:color w:val="auto"/>
              </w:rPr>
            </w:pPr>
          </w:p>
        </w:tc>
      </w:tr>
      <w:tr>
        <w:trPr>
          <w:trHeight w:val="182"/>
        </w:trPr>
        <w:tc>
          <w:tcPr>
            <w:tcW w:w="54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current liabilities</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423.7</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248.4</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366.9</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5"/>
              </w:rPr>
              <w:t>1,006.5</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754.8</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893.6</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63.5</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51.2</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65.8</w:t>
            </w:r>
          </w:p>
        </w:tc>
        <w:tc>
          <w:tcPr>
            <w:tcW w:w="0" w:type="dxa"/>
            <w:vAlign w:val="bottom"/>
          </w:tcPr>
          <w:p>
            <w:pPr>
              <w:spacing w:after="0"/>
              <w:rPr>
                <w:sz w:val="1"/>
                <w:szCs w:val="1"/>
                <w:color w:val="auto"/>
              </w:rPr>
            </w:pPr>
          </w:p>
        </w:tc>
      </w:tr>
      <w:tr>
        <w:trPr>
          <w:trHeight w:val="182"/>
        </w:trPr>
        <w:tc>
          <w:tcPr>
            <w:tcW w:w="54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liabilities</w:t>
            </w: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5"/>
              </w:rPr>
              <w:t>1,493.7</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1,054.4</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8"/>
              </w:rPr>
              <w:t>1,326.3</w:t>
            </w:r>
          </w:p>
        </w:tc>
        <w:tc>
          <w:tcPr>
            <w:tcW w:w="0" w:type="dxa"/>
            <w:vAlign w:val="bottom"/>
          </w:tcPr>
          <w:p>
            <w:pPr>
              <w:spacing w:after="0"/>
              <w:rPr>
                <w:sz w:val="1"/>
                <w:szCs w:val="1"/>
                <w:color w:val="auto"/>
              </w:rPr>
            </w:pPr>
          </w:p>
        </w:tc>
      </w:tr>
      <w:tr>
        <w:trPr>
          <w:trHeight w:val="265"/>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4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Class A Convertible Preferred Stock, no</w:t>
            </w:r>
          </w:p>
        </w:tc>
        <w:tc>
          <w:tcPr>
            <w:tcW w:w="100" w:type="dxa"/>
            <w:vAlign w:val="bottom"/>
          </w:tcPr>
          <w:p>
            <w:pPr>
              <w:spacing w:after="0"/>
              <w:rPr>
                <w:sz w:val="15"/>
                <w:szCs w:val="15"/>
                <w:color w:val="auto"/>
              </w:rPr>
            </w:pPr>
          </w:p>
        </w:tc>
        <w:tc>
          <w:tcPr>
            <w:tcW w:w="1600" w:type="dxa"/>
            <w:vAlign w:val="bottom"/>
            <w:vMerge w:val="restart"/>
          </w:tcPr>
          <w:p>
            <w:pPr>
              <w:jc w:val="right"/>
              <w:ind w:right="96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177.3</w:t>
            </w:r>
          </w:p>
        </w:tc>
        <w:tc>
          <w:tcPr>
            <w:tcW w:w="520" w:type="dxa"/>
            <w:vAlign w:val="bottom"/>
          </w:tcPr>
          <w:p>
            <w:pPr>
              <w:spacing w:after="0"/>
              <w:rPr>
                <w:sz w:val="15"/>
                <w:szCs w:val="15"/>
                <w:color w:val="auto"/>
              </w:rPr>
            </w:pPr>
          </w:p>
        </w:tc>
        <w:tc>
          <w:tcPr>
            <w:tcW w:w="9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173.9</w:t>
            </w:r>
          </w:p>
        </w:tc>
        <w:tc>
          <w:tcPr>
            <w:tcW w:w="0" w:type="dxa"/>
            <w:vAlign w:val="bottom"/>
          </w:tcPr>
          <w:p>
            <w:pPr>
              <w:spacing w:after="0"/>
              <w:rPr>
                <w:sz w:val="1"/>
                <w:szCs w:val="1"/>
                <w:color w:val="auto"/>
              </w:rPr>
            </w:pPr>
          </w:p>
        </w:tc>
      </w:tr>
      <w:tr>
        <w:trPr>
          <w:trHeight w:val="182"/>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par value</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Common shares, no par value per share,</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$.01 stated value per share, issued 31.4,</w:t>
            </w:r>
          </w:p>
        </w:tc>
        <w:tc>
          <w:tcPr>
            <w:tcW w:w="100" w:type="dxa"/>
            <w:vAlign w:val="bottom"/>
          </w:tcPr>
          <w:p>
            <w:pPr>
              <w:spacing w:after="0"/>
              <w:rPr>
                <w:sz w:val="15"/>
                <w:szCs w:val="15"/>
                <w:color w:val="auto"/>
              </w:rPr>
            </w:pPr>
          </w:p>
        </w:tc>
        <w:tc>
          <w:tcPr>
            <w:tcW w:w="1600" w:type="dxa"/>
            <w:vAlign w:val="bottom"/>
            <w:vMerge w:val="restart"/>
          </w:tcPr>
          <w:p>
            <w:pPr>
              <w:jc w:val="right"/>
              <w:ind w:right="861"/>
              <w:spacing w:after="0"/>
              <w:rPr>
                <w:sz w:val="20"/>
                <w:szCs w:val="20"/>
                <w:color w:val="auto"/>
              </w:rPr>
            </w:pPr>
            <w:r>
              <w:rPr>
                <w:rFonts w:ascii="Courier New" w:cs="Courier New" w:eastAsia="Courier New" w:hAnsi="Courier New"/>
                <w:sz w:val="16"/>
                <w:szCs w:val="16"/>
                <w:color w:val="auto"/>
              </w:rPr>
              <w:t>0.3</w:t>
            </w:r>
          </w:p>
        </w:tc>
        <w:tc>
          <w:tcPr>
            <w:tcW w:w="100" w:type="dxa"/>
            <w:vAlign w:val="bottom"/>
          </w:tcPr>
          <w:p>
            <w:pPr>
              <w:spacing w:after="0"/>
              <w:rPr>
                <w:sz w:val="15"/>
                <w:szCs w:val="15"/>
                <w:color w:val="auto"/>
              </w:rPr>
            </w:pPr>
          </w:p>
        </w:tc>
        <w:tc>
          <w:tcPr>
            <w:tcW w:w="10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0.2</w:t>
            </w:r>
          </w:p>
        </w:tc>
        <w:tc>
          <w:tcPr>
            <w:tcW w:w="520" w:type="dxa"/>
            <w:vAlign w:val="bottom"/>
          </w:tcPr>
          <w:p>
            <w:pPr>
              <w:spacing w:after="0"/>
              <w:rPr>
                <w:sz w:val="15"/>
                <w:szCs w:val="15"/>
                <w:color w:val="auto"/>
              </w:rPr>
            </w:pPr>
          </w:p>
        </w:tc>
        <w:tc>
          <w:tcPr>
            <w:tcW w:w="9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21.1 and 21.3, respectively</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Capital in excess of par value</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387.9</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208.9</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213.9</w:t>
            </w: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Retained earnings</w:t>
            </w: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94.1</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63.8</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130.1</w:t>
            </w: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Treasury stock, 3.4, 2.8, and 2.9 shares,</w:t>
            </w:r>
          </w:p>
        </w:tc>
        <w:tc>
          <w:tcPr>
            <w:tcW w:w="100" w:type="dxa"/>
            <w:vAlign w:val="bottom"/>
          </w:tcPr>
          <w:p>
            <w:pPr>
              <w:spacing w:after="0"/>
              <w:rPr>
                <w:sz w:val="15"/>
                <w:szCs w:val="15"/>
                <w:color w:val="auto"/>
              </w:rPr>
            </w:pPr>
          </w:p>
        </w:tc>
        <w:tc>
          <w:tcPr>
            <w:tcW w:w="1600" w:type="dxa"/>
            <w:vAlign w:val="bottom"/>
            <w:vMerge w:val="restart"/>
          </w:tcPr>
          <w:p>
            <w:pPr>
              <w:jc w:val="right"/>
              <w:ind w:right="761"/>
              <w:spacing w:after="0"/>
              <w:rPr>
                <w:sz w:val="20"/>
                <w:szCs w:val="20"/>
                <w:color w:val="auto"/>
              </w:rPr>
            </w:pPr>
            <w:r>
              <w:rPr>
                <w:rFonts w:ascii="Courier New" w:cs="Courier New" w:eastAsia="Courier New" w:hAnsi="Courier New"/>
                <w:sz w:val="16"/>
                <w:szCs w:val="16"/>
                <w:color w:val="auto"/>
              </w:rPr>
              <w:t>(82.9)</w:t>
            </w:r>
          </w:p>
        </w:tc>
        <w:tc>
          <w:tcPr>
            <w:tcW w:w="100" w:type="dxa"/>
            <w:vAlign w:val="bottom"/>
          </w:tcPr>
          <w:p>
            <w:pPr>
              <w:spacing w:after="0"/>
              <w:rPr>
                <w:sz w:val="15"/>
                <w:szCs w:val="15"/>
                <w:color w:val="auto"/>
              </w:rPr>
            </w:pPr>
          </w:p>
        </w:tc>
        <w:tc>
          <w:tcPr>
            <w:tcW w:w="10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(55.5)</w:t>
            </w:r>
          </w:p>
        </w:tc>
        <w:tc>
          <w:tcPr>
            <w:tcW w:w="520" w:type="dxa"/>
            <w:vAlign w:val="bottom"/>
          </w:tcPr>
          <w:p>
            <w:pPr>
              <w:spacing w:after="0"/>
              <w:rPr>
                <w:sz w:val="15"/>
                <w:szCs w:val="15"/>
                <w:color w:val="auto"/>
              </w:rPr>
            </w:pPr>
          </w:p>
        </w:tc>
        <w:tc>
          <w:tcPr>
            <w:tcW w:w="9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(61.9)</w:t>
            </w:r>
          </w:p>
        </w:tc>
        <w:tc>
          <w:tcPr>
            <w:tcW w:w="0" w:type="dxa"/>
            <w:vAlign w:val="bottom"/>
          </w:tcPr>
          <w:p>
            <w:pPr>
              <w:spacing w:after="0"/>
              <w:rPr>
                <w:sz w:val="1"/>
                <w:szCs w:val="1"/>
                <w:color w:val="auto"/>
              </w:rPr>
            </w:pPr>
          </w:p>
        </w:tc>
      </w:tr>
      <w:tr>
        <w:trPr>
          <w:trHeight w:val="182"/>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respectively, at cost</w:t>
            </w: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Accumulated other comprehensive expense</w:t>
            </w:r>
          </w:p>
        </w:tc>
        <w:tc>
          <w:tcPr>
            <w:tcW w:w="100" w:type="dxa"/>
            <w:vAlign w:val="bottom"/>
          </w:tcPr>
          <w:p>
            <w:pPr>
              <w:spacing w:after="0"/>
              <w:rPr>
                <w:sz w:val="15"/>
                <w:szCs w:val="15"/>
                <w:color w:val="auto"/>
              </w:rPr>
            </w:pPr>
          </w:p>
        </w:tc>
        <w:tc>
          <w:tcPr>
            <w:tcW w:w="16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(16.3)</w:t>
            </w:r>
          </w:p>
        </w:tc>
        <w:tc>
          <w:tcPr>
            <w:tcW w:w="100" w:type="dxa"/>
            <w:vAlign w:val="bottom"/>
          </w:tcPr>
          <w:p>
            <w:pPr>
              <w:spacing w:after="0"/>
              <w:rPr>
                <w:sz w:val="15"/>
                <w:szCs w:val="15"/>
                <w:color w:val="auto"/>
              </w:rPr>
            </w:pP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w:t>
            </w:r>
          </w:p>
        </w:tc>
        <w:tc>
          <w:tcPr>
            <w:tcW w:w="52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(12.9)</w:t>
            </w:r>
          </w:p>
        </w:tc>
        <w:tc>
          <w:tcPr>
            <w:tcW w:w="0" w:type="dxa"/>
            <w:vAlign w:val="bottom"/>
          </w:tcPr>
          <w:p>
            <w:pPr>
              <w:spacing w:after="0"/>
              <w:rPr>
                <w:sz w:val="1"/>
                <w:szCs w:val="1"/>
                <w:color w:val="auto"/>
              </w:rPr>
            </w:pPr>
          </w:p>
        </w:tc>
      </w:tr>
      <w:tr>
        <w:trPr>
          <w:trHeight w:val="182"/>
        </w:trPr>
        <w:tc>
          <w:tcPr>
            <w:tcW w:w="54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shareholders' equity</w:t>
            </w: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383.1</w:t>
            </w:r>
          </w:p>
        </w:tc>
        <w:tc>
          <w:tcPr>
            <w:tcW w:w="1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391.1</w:t>
            </w:r>
          </w:p>
        </w:tc>
        <w:tc>
          <w:tcPr>
            <w:tcW w:w="52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443.3</w:t>
            </w:r>
          </w:p>
        </w:tc>
        <w:tc>
          <w:tcPr>
            <w:tcW w:w="0" w:type="dxa"/>
            <w:vAlign w:val="bottom"/>
          </w:tcPr>
          <w:p>
            <w:pPr>
              <w:spacing w:after="0"/>
              <w:rPr>
                <w:sz w:val="1"/>
                <w:szCs w:val="1"/>
                <w:color w:val="auto"/>
              </w:rPr>
            </w:pPr>
          </w:p>
        </w:tc>
      </w:tr>
      <w:tr>
        <w:trPr>
          <w:trHeight w:val="265"/>
        </w:trPr>
        <w:tc>
          <w:tcPr>
            <w:tcW w:w="548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liabilities and shareholders'</w:t>
            </w: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480" w:type="dxa"/>
            <w:vAlign w:val="bottom"/>
            <w:vMerge w:val="continue"/>
          </w:tcPr>
          <w:p>
            <w:pPr>
              <w:spacing w:after="0"/>
              <w:rPr>
                <w:sz w:val="8"/>
                <w:szCs w:val="8"/>
                <w:color w:val="auto"/>
              </w:rPr>
            </w:pPr>
          </w:p>
        </w:tc>
        <w:tc>
          <w:tcPr>
            <w:tcW w:w="1700" w:type="dxa"/>
            <w:vAlign w:val="bottom"/>
            <w:gridSpan w:val="2"/>
            <w:vMerge w:val="restart"/>
          </w:tcPr>
          <w:p>
            <w:pPr>
              <w:jc w:val="right"/>
              <w:ind w:right="861"/>
              <w:spacing w:after="0"/>
              <w:rPr>
                <w:sz w:val="20"/>
                <w:szCs w:val="20"/>
                <w:color w:val="auto"/>
              </w:rPr>
            </w:pPr>
            <w:r>
              <w:rPr>
                <w:rFonts w:ascii="Courier New" w:cs="Courier New" w:eastAsia="Courier New" w:hAnsi="Courier New"/>
                <w:sz w:val="16"/>
                <w:szCs w:val="16"/>
                <w:color w:val="auto"/>
                <w:w w:val="96"/>
              </w:rPr>
              <w:t>$1,876.8</w:t>
            </w:r>
          </w:p>
        </w:tc>
        <w:tc>
          <w:tcPr>
            <w:tcW w:w="1180" w:type="dxa"/>
            <w:vAlign w:val="bottom"/>
            <w:gridSpan w:val="2"/>
            <w:vMerge w:val="restart"/>
          </w:tcPr>
          <w:p>
            <w:pPr>
              <w:jc w:val="right"/>
              <w:ind w:right="341"/>
              <w:spacing w:after="0"/>
              <w:rPr>
                <w:sz w:val="20"/>
                <w:szCs w:val="20"/>
                <w:color w:val="auto"/>
              </w:rPr>
            </w:pPr>
            <w:r>
              <w:rPr>
                <w:rFonts w:ascii="Courier New" w:cs="Courier New" w:eastAsia="Courier New" w:hAnsi="Courier New"/>
                <w:sz w:val="16"/>
                <w:szCs w:val="16"/>
                <w:color w:val="auto"/>
                <w:w w:val="96"/>
              </w:rPr>
              <w:t>$1,445.5</w:t>
            </w:r>
          </w:p>
        </w:tc>
        <w:tc>
          <w:tcPr>
            <w:tcW w:w="148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$1,769.6</w:t>
            </w:r>
          </w:p>
        </w:tc>
        <w:tc>
          <w:tcPr>
            <w:tcW w:w="0" w:type="dxa"/>
            <w:vAlign w:val="bottom"/>
          </w:tcPr>
          <w:p>
            <w:pPr>
              <w:spacing w:after="0"/>
              <w:rPr>
                <w:sz w:val="1"/>
                <w:szCs w:val="1"/>
                <w:color w:val="auto"/>
              </w:rPr>
            </w:pPr>
          </w:p>
        </w:tc>
      </w:tr>
      <w:tr>
        <w:trPr>
          <w:trHeight w:val="182"/>
        </w:trPr>
        <w:tc>
          <w:tcPr>
            <w:tcW w:w="5480" w:type="dxa"/>
            <w:vAlign w:val="bottom"/>
          </w:tcPr>
          <w:p>
            <w:pPr>
              <w:ind w:left="1040"/>
              <w:spacing w:after="0"/>
              <w:rPr>
                <w:sz w:val="20"/>
                <w:szCs w:val="20"/>
                <w:color w:val="auto"/>
              </w:rPr>
            </w:pPr>
            <w:r>
              <w:rPr>
                <w:rFonts w:ascii="Courier New" w:cs="Courier New" w:eastAsia="Courier New" w:hAnsi="Courier New"/>
                <w:sz w:val="16"/>
                <w:szCs w:val="16"/>
                <w:color w:val="auto"/>
              </w:rPr>
              <w:t>equity</w:t>
            </w:r>
          </w:p>
        </w:tc>
        <w:tc>
          <w:tcPr>
            <w:tcW w:w="17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70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w w:val="96"/>
              </w:rPr>
              <w:t>========</w:t>
            </w:r>
          </w:p>
        </w:tc>
        <w:tc>
          <w:tcPr>
            <w:tcW w:w="118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w w:val="96"/>
              </w:rPr>
              <w:t>========</w:t>
            </w:r>
          </w:p>
        </w:tc>
        <w:tc>
          <w:tcPr>
            <w:tcW w:w="14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139"/>
          </w:cols>
          <w:pgMar w:left="32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139"/>
          </w:cols>
          <w:pgMar w:left="320" w:top="271" w:right="1440" w:bottom="1440" w:gutter="0" w:footer="0" w:header="0"/>
          <w:type w:val="continuous"/>
        </w:sectPr>
      </w:pPr>
    </w:p>
    <w:bookmarkStart w:id="5" w:name="page6"/>
    <w:bookmarkEnd w:id="5"/>
    <w:p>
      <w:pPr>
        <w:ind w:left="283"/>
        <w:spacing w:after="0"/>
        <w:rPr>
          <w:sz w:val="20"/>
          <w:szCs w:val="20"/>
          <w:color w:val="auto"/>
        </w:rPr>
      </w:pPr>
      <w:r>
        <w:rPr>
          <w:rFonts w:ascii="Courier New" w:cs="Courier New" w:eastAsia="Courier New" w:hAnsi="Courier New"/>
          <w:sz w:val="16"/>
          <w:szCs w:val="16"/>
          <w:color w:val="auto"/>
        </w:rPr>
        <w:t>6</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(All amounts are in millions except per share data or otherwise noted)</w:t>
      </w:r>
    </w:p>
    <w:p>
      <w:pPr>
        <w:spacing w:after="0" w:line="183" w:lineRule="exact"/>
        <w:rPr>
          <w:sz w:val="20"/>
          <w:szCs w:val="20"/>
          <w:color w:val="auto"/>
        </w:rPr>
      </w:pPr>
    </w:p>
    <w:p>
      <w:pPr>
        <w:ind w:left="843" w:right="5319" w:hanging="843"/>
        <w:spacing w:after="0" w:line="481" w:lineRule="auto"/>
        <w:tabs>
          <w:tab w:leader="none" w:pos="84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Nature of Operations</w:t>
      </w:r>
    </w:p>
    <w:p>
      <w:pPr>
        <w:spacing w:after="0" w:line="1" w:lineRule="exact"/>
        <w:rPr>
          <w:rFonts w:ascii="Courier New" w:cs="Courier New" w:eastAsia="Courier New" w:hAnsi="Courier New"/>
          <w:sz w:val="16"/>
          <w:szCs w:val="16"/>
          <w:color w:val="auto"/>
        </w:rPr>
      </w:pPr>
    </w:p>
    <w:p>
      <w:pPr>
        <w:ind w:left="843" w:right="267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is engaged in the manufacture and sale of lawn care and garden products. The Company's major customers include mass merchandisers, home improvement centers, large hardware chains, independent hardware stores, nurseries, garden centers, food and drug stores, golf courses, professional sports stadiums,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w:t>
      </w:r>
    </w:p>
    <w:p>
      <w:pPr>
        <w:spacing w:after="0" w:line="90"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Basis of Presentation</w:t>
      </w:r>
    </w:p>
    <w:p>
      <w:pPr>
        <w:spacing w:after="0" w:line="182" w:lineRule="exact"/>
        <w:rPr>
          <w:rFonts w:ascii="Courier New" w:cs="Courier New" w:eastAsia="Courier New" w:hAnsi="Courier New"/>
          <w:sz w:val="16"/>
          <w:szCs w:val="16"/>
          <w:color w:val="auto"/>
        </w:rPr>
      </w:pPr>
    </w:p>
    <w:p>
      <w:pPr>
        <w:ind w:left="843" w:right="2759"/>
        <w:spacing w:after="0" w:line="2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financial statements include the accounts of The Scotts Company and its subsidiaries, (collectively, the "Company"). All material intercompany transactions have been eliminated.</w:t>
      </w:r>
    </w:p>
    <w:p>
      <w:pPr>
        <w:spacing w:after="0" w:line="72" w:lineRule="exact"/>
        <w:rPr>
          <w:rFonts w:ascii="Courier New" w:cs="Courier New" w:eastAsia="Courier New" w:hAnsi="Courier New"/>
          <w:sz w:val="16"/>
          <w:szCs w:val="16"/>
          <w:color w:val="auto"/>
        </w:rPr>
      </w:pPr>
    </w:p>
    <w:p>
      <w:pPr>
        <w:ind w:left="843" w:right="25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sheets as of January 1, 2000 and January 2, 1999, and the related condensed, consolidated statements of operations and cash flows for the three month periods ended January 1, 2000 and January 2, 1999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1999 Annual Report on Form 10-K. Use of Estimates</w:t>
      </w:r>
    </w:p>
    <w:p>
      <w:pPr>
        <w:spacing w:after="0" w:line="77" w:lineRule="exact"/>
        <w:rPr>
          <w:rFonts w:ascii="Courier New" w:cs="Courier New" w:eastAsia="Courier New" w:hAnsi="Courier New"/>
          <w:sz w:val="16"/>
          <w:szCs w:val="16"/>
          <w:color w:val="auto"/>
        </w:rPr>
      </w:pPr>
    </w:p>
    <w:p>
      <w:pPr>
        <w:ind w:left="843" w:right="2579"/>
        <w:spacing w:after="0" w:line="26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consolidated financial statements and accompanying disclosures. The most significant of these estimates are related to the allowance for doubtful accounts, inventory valuation reserves, expected useful lives assigned to property, plant and equipment and goodwill and other intangible assets, legal and environmental accruals, post-retirement benefits, promotional and consumer rebate liabilities, income taxes and contingencies. Although these estimates are based on management's best knowledge of current events and actions the Company may undertake in the future, actual results ultimately may differ from the estimates.</w:t>
      </w:r>
    </w:p>
    <w:p>
      <w:pPr>
        <w:spacing w:after="0" w:line="79"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Advertising and Promotion</w:t>
      </w:r>
    </w:p>
    <w:p>
      <w:pPr>
        <w:spacing w:after="0" w:line="182" w:lineRule="exact"/>
        <w:rPr>
          <w:rFonts w:ascii="Courier New" w:cs="Courier New" w:eastAsia="Courier New" w:hAnsi="Courier New"/>
          <w:sz w:val="16"/>
          <w:szCs w:val="16"/>
          <w:color w:val="auto"/>
        </w:rPr>
      </w:pPr>
    </w:p>
    <w:p>
      <w:pPr>
        <w:ind w:left="843" w:right="26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w:t>
      </w:r>
    </w:p>
    <w:p>
      <w:pPr>
        <w:sectPr>
          <w:pgSz w:w="11900" w:h="16838" w:orient="portrait"/>
          <w:cols w:equalWidth="0" w:num="1">
            <w:col w:w="10142"/>
          </w:cols>
          <w:pgMar w:left="317"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142"/>
          </w:cols>
          <w:pgMar w:left="317" w:top="271" w:right="1440" w:bottom="1440" w:gutter="0" w:footer="0" w:header="0"/>
          <w:type w:val="continuous"/>
        </w:sectPr>
      </w:pPr>
    </w:p>
    <w:bookmarkStart w:id="6" w:name="page7"/>
    <w:bookmarkEnd w:id="6"/>
    <w:p>
      <w:pPr>
        <w:ind w:left="283"/>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46"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Reclassifications</w:t>
      </w:r>
    </w:p>
    <w:p>
      <w:pPr>
        <w:spacing w:after="0" w:line="183" w:lineRule="exact"/>
        <w:rPr>
          <w:sz w:val="20"/>
          <w:szCs w:val="20"/>
          <w:color w:val="auto"/>
        </w:rPr>
      </w:pPr>
    </w:p>
    <w:p>
      <w:pPr>
        <w:ind w:left="843" w:right="2859"/>
        <w:spacing w:after="0" w:line="352" w:lineRule="auto"/>
        <w:rPr>
          <w:sz w:val="20"/>
          <w:szCs w:val="20"/>
          <w:color w:val="auto"/>
        </w:rPr>
      </w:pPr>
      <w:r>
        <w:rPr>
          <w:rFonts w:ascii="Courier New" w:cs="Courier New" w:eastAsia="Courier New" w:hAnsi="Courier New"/>
          <w:sz w:val="16"/>
          <w:szCs w:val="16"/>
          <w:color w:val="auto"/>
        </w:rPr>
        <w:t>Certain reclassifications have been made in prior periods' financial statements to conform to fiscal 2000 classifications.</w:t>
      </w:r>
    </w:p>
    <w:p>
      <w:pPr>
        <w:spacing w:after="0" w:line="14" w:lineRule="exact"/>
        <w:rPr>
          <w:sz w:val="20"/>
          <w:szCs w:val="20"/>
          <w:color w:val="auto"/>
        </w:rPr>
      </w:pPr>
    </w:p>
    <w:p>
      <w:pPr>
        <w:ind w:left="843" w:hanging="843"/>
        <w:spacing w:after="0"/>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AGENCY AGREEMENT</w:t>
      </w:r>
    </w:p>
    <w:p>
      <w:pPr>
        <w:spacing w:after="0" w:line="182" w:lineRule="exact"/>
        <w:rPr>
          <w:rFonts w:ascii="Courier New" w:cs="Courier New" w:eastAsia="Courier New" w:hAnsi="Courier New"/>
          <w:sz w:val="16"/>
          <w:szCs w:val="16"/>
          <w:color w:val="auto"/>
        </w:rPr>
      </w:pPr>
    </w:p>
    <w:p>
      <w:pPr>
        <w:ind w:left="843" w:right="257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September 30, 1998, the Company entered into an agreement with Monsanto Company ("Monsanto") for exclusive international marketing and agency rights to Monsanto's consumer Roundup(R) herbicide products. In connection with the agreement, the Company paid a $32.0 million deferred marketing fee that is being amortized over 20 years. The agreement covers most major consumer lawn and garden markets in the world, including the United States, Canada, Germany, France, other parts of continental Europe, and Australia.</w:t>
      </w:r>
    </w:p>
    <w:p>
      <w:pPr>
        <w:spacing w:after="0" w:line="90" w:lineRule="exact"/>
        <w:rPr>
          <w:rFonts w:ascii="Courier New" w:cs="Courier New" w:eastAsia="Courier New" w:hAnsi="Courier New"/>
          <w:sz w:val="16"/>
          <w:szCs w:val="16"/>
          <w:color w:val="auto"/>
        </w:rPr>
      </w:pPr>
    </w:p>
    <w:p>
      <w:pPr>
        <w:ind w:left="843" w:right="257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agreement provides for the Company to earn a commission based on the EBIT (as defined by the agreement) generated annually by the global consumer Roundup(R) business. The Company records its estimated commission based upon the actual EBIT of the Roundup(R) business for the periods presented, net of annual fixed contribution payments to Monsanto.</w:t>
      </w:r>
    </w:p>
    <w:p>
      <w:pPr>
        <w:spacing w:after="0" w:line="81" w:lineRule="exact"/>
        <w:rPr>
          <w:rFonts w:ascii="Courier New" w:cs="Courier New" w:eastAsia="Courier New" w:hAnsi="Courier New"/>
          <w:sz w:val="16"/>
          <w:szCs w:val="16"/>
          <w:color w:val="auto"/>
        </w:rPr>
      </w:pPr>
    </w:p>
    <w:p>
      <w:pPr>
        <w:ind w:left="843" w:right="257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1999, the Company recorded commission based on its pro-rata share of Roundup(R) EBIT for the quarter. In fiscal 2000, in accordance with revenue recognition guidance recently put forward by the SEC, the Company will not record commission under the Roundup(R) agency agreement until minimum EBIT thresholds as required by the agreement are achieved. The cost of $1.0 million recorded in the first quarter of fiscal 2000 primarily represents amortization of the fiscal 2000 annual contribution payment due to Monsanto.</w:t>
      </w:r>
    </w:p>
    <w:p>
      <w:pPr>
        <w:spacing w:after="0" w:line="90" w:lineRule="exact"/>
        <w:rPr>
          <w:rFonts w:ascii="Courier New" w:cs="Courier New" w:eastAsia="Courier New" w:hAnsi="Courier New"/>
          <w:sz w:val="16"/>
          <w:szCs w:val="16"/>
          <w:color w:val="auto"/>
        </w:rPr>
      </w:pPr>
    </w:p>
    <w:p>
      <w:pPr>
        <w:ind w:left="843" w:right="6359" w:hanging="843"/>
        <w:spacing w:after="0" w:line="481" w:lineRule="auto"/>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AND OTHER CHARGES 1999 CHARGES</w:t>
      </w:r>
    </w:p>
    <w:p>
      <w:pPr>
        <w:spacing w:after="0" w:line="1" w:lineRule="exact"/>
        <w:rPr>
          <w:rFonts w:ascii="Courier New" w:cs="Courier New" w:eastAsia="Courier New" w:hAnsi="Courier New"/>
          <w:sz w:val="16"/>
          <w:szCs w:val="16"/>
          <w:color w:val="auto"/>
        </w:rPr>
      </w:pPr>
    </w:p>
    <w:p>
      <w:pPr>
        <w:ind w:left="843" w:right="267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fiscal 1999, the Company recorded $1.4 million of restructuring charges associated with management's decision to reorganize the North American Professional Business Group to strengthen distribution and technical sales support, integrate brand management across market segments and reduce annual operating expenses. These charges represent the cost to sever approximately 60 in-house sales associates that were terminated in fiscal 1999. Approximately $1.1 million of severance payments were made to these former associates during fiscal 1999, $0.1 million was paid in the first quarter of fiscal 2000 and the remainder is expected to be paid in fiscal 2000.</w:t>
      </w:r>
    </w:p>
    <w:p>
      <w:pPr>
        <w:spacing w:after="0" w:line="82"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1998 CHARGES</w:t>
      </w:r>
    </w:p>
    <w:p>
      <w:pPr>
        <w:spacing w:after="0" w:line="182" w:lineRule="exact"/>
        <w:rPr>
          <w:rFonts w:ascii="Courier New" w:cs="Courier New" w:eastAsia="Courier New" w:hAnsi="Courier New"/>
          <w:sz w:val="16"/>
          <w:szCs w:val="16"/>
          <w:color w:val="auto"/>
        </w:rPr>
      </w:pPr>
    </w:p>
    <w:p>
      <w:pPr>
        <w:ind w:left="843" w:right="267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1998, the Company recorded charges of $9.3 million in connection with its decision to close nine composting sites. As of September 30, 1999, $0.9 million remained accrued in the Company's consolidated balance sheet for costs to be incurred under contractual commitments and remaining lease obligations (a detailed discussion and rollforward is included in the Company's fiscal 1999 Annual Report on Form 10-K). In the first quarter of fiscal 2000, $0.3 million of the remaining obligations had been paid. The Company expects to make all remaining payments in fiscal 2000.</w:t>
      </w:r>
    </w:p>
    <w:p>
      <w:pPr>
        <w:spacing w:after="0" w:line="92"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82" w:lineRule="exact"/>
        <w:rPr>
          <w:rFonts w:ascii="Courier New" w:cs="Courier New" w:eastAsia="Courier New" w:hAnsi="Courier New"/>
          <w:sz w:val="16"/>
          <w:szCs w:val="16"/>
          <w:color w:val="auto"/>
        </w:rPr>
      </w:pPr>
    </w:p>
    <w:p>
      <w:pPr>
        <w:ind w:left="843" w:right="2579"/>
        <w:spacing w:after="0" w:line="27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January 1999, the Company acquired the assets of Monsanto's consumer lawn and garden businesses, exclusive of the Roundup(R) business ("Ortho"), for approximately $300 million, subject to adjustment based on working capital as of the closing date and as defined in the purchase agreement. Based on the estimate of working capital received from Monsanto, the Company made an additional payment of $39.9 million at the closing date. The Company has subsequently provided Monsanto with its estimate of working capital, which</w:t>
      </w:r>
    </w:p>
    <w:p>
      <w:pPr>
        <w:spacing w:after="0" w:line="7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142"/>
          </w:cols>
          <w:pgMar w:left="317" w:top="27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840" w:right="2759"/>
        <w:spacing w:after="0" w:line="263" w:lineRule="auto"/>
        <w:rPr>
          <w:sz w:val="20"/>
          <w:szCs w:val="20"/>
          <w:color w:val="auto"/>
        </w:rPr>
      </w:pPr>
      <w:r>
        <w:rPr>
          <w:rFonts w:ascii="Courier New" w:cs="Courier New" w:eastAsia="Courier New" w:hAnsi="Courier New"/>
          <w:sz w:val="16"/>
          <w:szCs w:val="16"/>
          <w:color w:val="auto"/>
        </w:rPr>
        <w:t>would result in a substantial reduction in the total purchase price. Monsanto has subsequently provided the Company with a revised assessment of working capital which would increase the final purchase price. The Company and Monsanto have resolved many of the items in dispute and are currently in negotiations to resolve the remaining disputed items.</w:t>
      </w:r>
    </w:p>
    <w:p>
      <w:pPr>
        <w:spacing w:after="0" w:line="82" w:lineRule="exact"/>
        <w:rPr>
          <w:sz w:val="20"/>
          <w:szCs w:val="20"/>
          <w:color w:val="auto"/>
        </w:rPr>
      </w:pPr>
    </w:p>
    <w:p>
      <w:pPr>
        <w:ind w:left="840" w:right="2579"/>
        <w:spacing w:after="0" w:line="263" w:lineRule="auto"/>
        <w:rPr>
          <w:sz w:val="20"/>
          <w:szCs w:val="20"/>
          <w:color w:val="auto"/>
        </w:rPr>
      </w:pPr>
      <w:r>
        <w:rPr>
          <w:rFonts w:ascii="Courier New" w:cs="Courier New" w:eastAsia="Courier New" w:hAnsi="Courier New"/>
          <w:sz w:val="16"/>
          <w:szCs w:val="16"/>
          <w:color w:val="auto"/>
        </w:rPr>
        <w:t>In October 1998, the Company acquired Rhone-Poulenc Jardin ("RPJ"), continental Europe's largest consumer lawn and garden products company. Management's initial estimate of the purchase price for Rhone-Poulenc Jardin was $216 million; however, subsequent adjustments for reductions in acquired working capital have resulted in a final purchase price of approximately $170 million.</w:t>
      </w:r>
    </w:p>
    <w:p>
      <w:pPr>
        <w:spacing w:after="0" w:line="82" w:lineRule="exact"/>
        <w:rPr>
          <w:sz w:val="20"/>
          <w:szCs w:val="20"/>
          <w:color w:val="auto"/>
        </w:rPr>
      </w:pPr>
    </w:p>
    <w:p>
      <w:pPr>
        <w:ind w:left="840" w:right="2579"/>
        <w:spacing w:after="0" w:line="262" w:lineRule="auto"/>
        <w:rPr>
          <w:sz w:val="20"/>
          <w:szCs w:val="20"/>
          <w:color w:val="auto"/>
        </w:rPr>
      </w:pPr>
      <w:r>
        <w:rPr>
          <w:rFonts w:ascii="Courier New" w:cs="Courier New" w:eastAsia="Courier New" w:hAnsi="Courier New"/>
          <w:sz w:val="15"/>
          <w:szCs w:val="15"/>
          <w:color w:val="auto"/>
        </w:rPr>
        <w:t>Each of the above acquisitions was made in exchange for cash or notes due to seller and was accounted for under the purchase method of accounting. Accordingly, the purchase prices have been allocated to the assets acquired and liabilities assumed based on their estimated fair values at the date of acquisition. Final determination of the purchase price of the Ortho business, as well as the allocation of the purchase price to the net assets acquired was not complete as of January 1,</w:t>
      </w:r>
    </w:p>
    <w:p>
      <w:pPr>
        <w:spacing w:after="0" w:line="3" w:lineRule="exact"/>
        <w:rPr>
          <w:sz w:val="20"/>
          <w:szCs w:val="20"/>
          <w:color w:val="auto"/>
        </w:rPr>
      </w:pPr>
    </w:p>
    <w:p>
      <w:pPr>
        <w:ind w:left="840" w:right="2579"/>
        <w:spacing w:after="0" w:line="304" w:lineRule="auto"/>
        <w:rPr>
          <w:sz w:val="20"/>
          <w:szCs w:val="20"/>
          <w:color w:val="auto"/>
        </w:rPr>
      </w:pPr>
      <w:r>
        <w:rPr>
          <w:rFonts w:ascii="Courier New" w:cs="Courier New" w:eastAsia="Courier New" w:hAnsi="Courier New"/>
          <w:sz w:val="15"/>
          <w:szCs w:val="15"/>
          <w:color w:val="auto"/>
        </w:rPr>
        <w:t>2000. The excess of the estimated purchase price for the Ortho business over the value of tangible assets acquired is currently recorded as an intangible asset and is being amortized over a period of 35 years.</w:t>
      </w:r>
    </w:p>
    <w:p>
      <w:pPr>
        <w:spacing w:after="0" w:line="54" w:lineRule="exact"/>
        <w:rPr>
          <w:sz w:val="20"/>
          <w:szCs w:val="20"/>
          <w:color w:val="auto"/>
        </w:rPr>
      </w:pPr>
    </w:p>
    <w:p>
      <w:pPr>
        <w:ind w:left="840" w:right="2679"/>
        <w:spacing w:after="0" w:line="352" w:lineRule="auto"/>
        <w:rPr>
          <w:sz w:val="20"/>
          <w:szCs w:val="20"/>
          <w:color w:val="auto"/>
        </w:rPr>
      </w:pPr>
      <w:r>
        <w:rPr>
          <w:rFonts w:ascii="Courier New" w:cs="Courier New" w:eastAsia="Courier New" w:hAnsi="Courier New"/>
          <w:sz w:val="16"/>
          <w:szCs w:val="16"/>
          <w:color w:val="auto"/>
        </w:rPr>
        <w:t>The following unaudited pro forma results of operations give effect to the Ortho acquisition as if it had occurred on October 1, 1998.</w:t>
      </w:r>
    </w:p>
    <w:p>
      <w:pPr>
        <w:spacing w:after="0" w:line="14" w:lineRule="exact"/>
        <w:rPr>
          <w:sz w:val="20"/>
          <w:szCs w:val="20"/>
          <w:color w:val="auto"/>
        </w:rPr>
      </w:pPr>
    </w:p>
    <w:tbl>
      <w:tblPr>
        <w:tblLayout w:type="fixed"/>
        <w:tblInd w:w="84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2180" w:type="dxa"/>
            <w:vAlign w:val="bottom"/>
            <w:gridSpan w:val="2"/>
          </w:tcPr>
          <w:p>
            <w:pPr>
              <w:jc w:val="center"/>
              <w:ind w:left="401"/>
              <w:spacing w:after="0"/>
              <w:rPr>
                <w:sz w:val="20"/>
                <w:szCs w:val="20"/>
                <w:color w:val="auto"/>
              </w:rPr>
            </w:pPr>
            <w:r>
              <w:rPr>
                <w:rFonts w:ascii="Courier New" w:cs="Courier New" w:eastAsia="Courier New" w:hAnsi="Courier New"/>
                <w:sz w:val="16"/>
                <w:szCs w:val="16"/>
                <w:color w:val="auto"/>
                <w:w w:val="98"/>
              </w:rPr>
              <w:t>THREE MONTHS ENDED</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2180" w:type="dxa"/>
            <w:vAlign w:val="bottom"/>
            <w:gridSpan w:val="2"/>
          </w:tcPr>
          <w:p>
            <w:pPr>
              <w:jc w:val="center"/>
              <w:ind w:left="40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2180" w:type="dxa"/>
            <w:vAlign w:val="bottom"/>
            <w:gridSpan w:val="2"/>
          </w:tcPr>
          <w:p>
            <w:pPr>
              <w:jc w:val="center"/>
              <w:ind w:left="401"/>
              <w:spacing w:after="0"/>
              <w:rPr>
                <w:sz w:val="20"/>
                <w:szCs w:val="20"/>
                <w:color w:val="auto"/>
              </w:rPr>
            </w:pPr>
            <w:r>
              <w:rPr>
                <w:rFonts w:ascii="Courier New" w:cs="Courier New" w:eastAsia="Courier New" w:hAnsi="Courier New"/>
                <w:sz w:val="16"/>
                <w:szCs w:val="16"/>
                <w:color w:val="auto"/>
                <w:w w:val="97"/>
              </w:rPr>
              <w:t>JANUARY 2,</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3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204.3</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20"/>
                <w:szCs w:val="20"/>
                <w:color w:val="auto"/>
              </w:rPr>
            </w:pPr>
            <w:r>
              <w:rPr>
                <w:rFonts w:ascii="Courier New" w:cs="Courier New" w:eastAsia="Courier New" w:hAnsi="Courier New"/>
                <w:sz w:val="16"/>
                <w:szCs w:val="16"/>
                <w:color w:val="auto"/>
              </w:rPr>
              <w:t>Loss before extraordinary loss</w:t>
            </w:r>
          </w:p>
        </w:tc>
        <w:tc>
          <w:tcPr>
            <w:tcW w:w="10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(19.5)</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0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(19.9)</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20"/>
                <w:szCs w:val="20"/>
                <w:color w:val="auto"/>
              </w:rPr>
            </w:pPr>
            <w:r>
              <w:rPr>
                <w:rFonts w:ascii="Courier New" w:cs="Courier New" w:eastAsia="Courier New" w:hAnsi="Courier New"/>
                <w:sz w:val="16"/>
                <w:szCs w:val="16"/>
                <w:color w:val="auto"/>
              </w:rPr>
              <w:t>Basic earning per share:</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r>
        <w:trPr>
          <w:trHeight w:val="182"/>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Before extraordinary loss</w:t>
            </w:r>
          </w:p>
        </w:tc>
        <w:tc>
          <w:tcPr>
            <w:tcW w:w="10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After extraordinary loss</w:t>
            </w:r>
          </w:p>
        </w:tc>
        <w:tc>
          <w:tcPr>
            <w:tcW w:w="104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(1.22)</w:t>
            </w:r>
          </w:p>
        </w:tc>
        <w:tc>
          <w:tcPr>
            <w:tcW w:w="0" w:type="dxa"/>
            <w:vAlign w:val="bottom"/>
          </w:tcPr>
          <w:p>
            <w:pPr>
              <w:spacing w:after="0"/>
              <w:rPr>
                <w:sz w:val="1"/>
                <w:szCs w:val="1"/>
                <w:color w:val="auto"/>
              </w:rPr>
            </w:pPr>
          </w:p>
        </w:tc>
      </w:tr>
      <w:tr>
        <w:trPr>
          <w:trHeight w:val="182"/>
        </w:trPr>
        <w:tc>
          <w:tcPr>
            <w:tcW w:w="33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r>
        <w:trPr>
          <w:trHeight w:val="182"/>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Before extraordinary loss</w:t>
            </w:r>
          </w:p>
        </w:tc>
        <w:tc>
          <w:tcPr>
            <w:tcW w:w="10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320" w:type="dxa"/>
            <w:vAlign w:val="bottom"/>
          </w:tcPr>
          <w:p>
            <w:pPr>
              <w:ind w:left="200"/>
              <w:spacing w:after="0"/>
              <w:rPr>
                <w:sz w:val="20"/>
                <w:szCs w:val="20"/>
                <w:color w:val="auto"/>
              </w:rPr>
            </w:pPr>
            <w:r>
              <w:rPr>
                <w:rFonts w:ascii="Courier New" w:cs="Courier New" w:eastAsia="Courier New" w:hAnsi="Courier New"/>
                <w:sz w:val="16"/>
                <w:szCs w:val="16"/>
                <w:color w:val="auto"/>
              </w:rPr>
              <w:t>After extraordinary loss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(1.22)</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840" w:right="2579"/>
        <w:spacing w:after="0" w:line="277" w:lineRule="auto"/>
        <w:rPr>
          <w:sz w:val="20"/>
          <w:szCs w:val="20"/>
          <w:color w:val="auto"/>
        </w:rPr>
      </w:pPr>
      <w:r>
        <w:rPr>
          <w:rFonts w:ascii="Courier New" w:cs="Courier New" w:eastAsia="Courier New" w:hAnsi="Courier New"/>
          <w:sz w:val="16"/>
          <w:szCs w:val="16"/>
          <w:color w:val="auto"/>
        </w:rPr>
        <w:t>The pro forma information provided does not purport to be indicative of actual results of operations if the Ortho acquisition had occurred as of October 1, 1998 and is not intended to be indicative of future results or trends.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10139"/>
          </w:cols>
          <w:pgMar w:left="320" w:top="271" w:right="1440" w:bottom="1440" w:gutter="0" w:footer="0" w:header="0"/>
        </w:sectPr>
      </w:pPr>
    </w:p>
    <w:bookmarkStart w:id="8" w:name="page9"/>
    <w:bookmarkEnd w:id="8"/>
    <w:p>
      <w:pPr>
        <w:ind w:left="283"/>
        <w:spacing w:after="0"/>
        <w:rPr>
          <w:sz w:val="20"/>
          <w:szCs w:val="20"/>
          <w:color w:val="auto"/>
        </w:rPr>
      </w:pPr>
      <w:r>
        <w:rPr>
          <w:rFonts w:ascii="Courier New" w:cs="Courier New" w:eastAsia="Courier New" w:hAnsi="Courier New"/>
          <w:sz w:val="16"/>
          <w:szCs w:val="16"/>
          <w:color w:val="auto"/>
        </w:rPr>
        <w:t>9</w:t>
      </w:r>
    </w:p>
    <w:p>
      <w:pPr>
        <w:spacing w:after="0" w:line="29" w:lineRule="exact"/>
        <w:rPr>
          <w:sz w:val="20"/>
          <w:szCs w:val="20"/>
          <w:color w:val="auto"/>
        </w:rPr>
      </w:pPr>
    </w:p>
    <w:p>
      <w:pPr>
        <w:ind w:left="843" w:hanging="843"/>
        <w:spacing w:after="0"/>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54" w:lineRule="exact"/>
        <w:rPr>
          <w:rFonts w:ascii="Courier New" w:cs="Courier New" w:eastAsia="Courier New" w:hAnsi="Courier New"/>
          <w:sz w:val="16"/>
          <w:szCs w:val="16"/>
          <w:color w:val="auto"/>
        </w:rPr>
      </w:pPr>
    </w:p>
    <w:p>
      <w:pPr>
        <w:ind w:left="843" w:right="275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net of provisions for slow moving and obsolete inventory of $30.9 million, $15.0 million, and $30.5 million, respectively, consisted of:</w:t>
      </w:r>
    </w:p>
    <w:p>
      <w:pPr>
        <w:spacing w:after="0" w:line="57"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JANUARY 1,</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JANUARY 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2000</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w w:val="98"/>
              </w:rPr>
              <w:t>1999</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0" w:type="dxa"/>
            <w:vAlign w:val="bottom"/>
          </w:tcPr>
          <w:p>
            <w:pPr>
              <w:spacing w:after="0"/>
              <w:rPr>
                <w:sz w:val="24"/>
                <w:szCs w:val="24"/>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Finished goods</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$346.5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$227.3</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$206.4</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Raw materials</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94.6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70.4</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106.5</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FIFO cost</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441.1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297.7</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312.9</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ind w:left="280"/>
              <w:spacing w:after="0"/>
              <w:rPr>
                <w:sz w:val="20"/>
                <w:szCs w:val="20"/>
                <w:color w:val="auto"/>
              </w:rPr>
            </w:pPr>
            <w:r>
              <w:rPr>
                <w:rFonts w:ascii="Courier New" w:cs="Courier New" w:eastAsia="Courier New" w:hAnsi="Courier New"/>
                <w:sz w:val="16"/>
                <w:szCs w:val="16"/>
                <w:color w:val="auto"/>
              </w:rPr>
              <w:t>LIFO reserve</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0.5</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vMerge w:val="restart"/>
          </w:tcPr>
          <w:p>
            <w:pPr>
              <w:ind w:left="1120"/>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$442.1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$298.2</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$313.2</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8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3160" w:type="dxa"/>
            <w:vAlign w:val="bottom"/>
          </w:tcPr>
          <w:p>
            <w:pPr>
              <w:ind w:left="360"/>
              <w:spacing w:after="0"/>
              <w:rPr>
                <w:sz w:val="20"/>
                <w:szCs w:val="20"/>
                <w:color w:val="auto"/>
              </w:rPr>
            </w:pPr>
            <w:r>
              <w:rPr>
                <w:rFonts w:ascii="Courier New" w:cs="Courier New" w:eastAsia="Courier New" w:hAnsi="Courier New"/>
                <w:sz w:val="16"/>
                <w:szCs w:val="16"/>
                <w:color w:val="auto"/>
              </w:rPr>
              <w:t>INTANGIBLE ASSETS, NET</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JANUARY 1,</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w w:val="97"/>
              </w:rPr>
              <w:t>JANUARY 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2000</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w w:val="98"/>
              </w:rPr>
              <w:t>1999</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0" w:type="dxa"/>
            <w:vAlign w:val="bottom"/>
          </w:tcPr>
          <w:p>
            <w:pPr>
              <w:spacing w:after="0"/>
              <w:rPr>
                <w:sz w:val="24"/>
                <w:szCs w:val="24"/>
                <w:color w:val="auto"/>
              </w:rPr>
            </w:pPr>
          </w:p>
        </w:tc>
        <w:tc>
          <w:tcPr>
            <w:tcW w:w="3160" w:type="dxa"/>
            <w:vAlign w:val="bottom"/>
          </w:tcPr>
          <w:p>
            <w:pPr>
              <w:ind w:left="360"/>
              <w:spacing w:after="0"/>
              <w:rPr>
                <w:sz w:val="20"/>
                <w:szCs w:val="20"/>
                <w:color w:val="auto"/>
              </w:rPr>
            </w:pPr>
            <w:r>
              <w:rPr>
                <w:rFonts w:ascii="Courier New" w:cs="Courier New" w:eastAsia="Courier New" w:hAnsi="Courier New"/>
                <w:sz w:val="16"/>
                <w:szCs w:val="16"/>
                <w:color w:val="auto"/>
              </w:rPr>
              <w:t>Goodwill</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$499.1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$386.6</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$508.6</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ind w:left="360"/>
              <w:spacing w:after="0"/>
              <w:rPr>
                <w:sz w:val="20"/>
                <w:szCs w:val="20"/>
                <w:color w:val="auto"/>
              </w:rPr>
            </w:pPr>
            <w:r>
              <w:rPr>
                <w:rFonts w:ascii="Courier New" w:cs="Courier New" w:eastAsia="Courier New" w:hAnsi="Courier New"/>
                <w:sz w:val="16"/>
                <w:szCs w:val="16"/>
                <w:color w:val="auto"/>
              </w:rPr>
              <w:t>Trademarks</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202.4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141.9</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207.9</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ind w:left="360"/>
              <w:spacing w:after="0"/>
              <w:rPr>
                <w:sz w:val="20"/>
                <w:szCs w:val="20"/>
                <w:color w:val="auto"/>
              </w:rPr>
            </w:pPr>
            <w:r>
              <w:rPr>
                <w:rFonts w:ascii="Courier New" w:cs="Courier New" w:eastAsia="Courier New" w:hAnsi="Courier New"/>
                <w:sz w:val="16"/>
                <w:szCs w:val="16"/>
                <w:color w:val="auto"/>
              </w:rPr>
              <w:t>Other</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72.5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80.1</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77.6</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vMerge w:val="restart"/>
          </w:tcPr>
          <w:p>
            <w:pPr>
              <w:ind w:left="1220"/>
              <w:spacing w:after="0"/>
              <w:rPr>
                <w:sz w:val="20"/>
                <w:szCs w:val="20"/>
                <w:color w:val="auto"/>
              </w:rPr>
            </w:pPr>
            <w:r>
              <w:rPr>
                <w:rFonts w:ascii="Courier New" w:cs="Courier New" w:eastAsia="Courier New" w:hAnsi="Courier New"/>
                <w:sz w:val="16"/>
                <w:szCs w:val="16"/>
                <w:color w:val="auto"/>
              </w:rPr>
              <w:t>Total</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$774.0</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$608.6</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$794.1</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8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3160" w:type="dxa"/>
            <w:vAlign w:val="bottom"/>
          </w:tcPr>
          <w:p>
            <w:pPr>
              <w:ind w:left="360"/>
              <w:spacing w:after="0"/>
              <w:rPr>
                <w:sz w:val="20"/>
                <w:szCs w:val="20"/>
                <w:color w:val="auto"/>
              </w:rPr>
            </w:pPr>
            <w:r>
              <w:rPr>
                <w:rFonts w:ascii="Courier New" w:cs="Courier New" w:eastAsia="Courier New" w:hAnsi="Courier New"/>
                <w:sz w:val="16"/>
                <w:szCs w:val="16"/>
                <w:color w:val="auto"/>
              </w:rPr>
              <w:t>LONG-TERM DEBT</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9"/>
              </w:rPr>
              <w:t>JANUARY 1,</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w w:val="97"/>
              </w:rPr>
              <w:t>JANUARY 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2000</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w w:val="98"/>
              </w:rPr>
              <w:t>1999</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Revolving loans under credit facility</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257.8</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$ 98.3</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$ 64.2</w:t>
            </w:r>
          </w:p>
        </w:tc>
        <w:tc>
          <w:tcPr>
            <w:tcW w:w="0" w:type="dxa"/>
            <w:vAlign w:val="bottom"/>
          </w:tcPr>
          <w:p>
            <w:pPr>
              <w:spacing w:after="0"/>
              <w:rPr>
                <w:sz w:val="1"/>
                <w:szCs w:val="1"/>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Term loans under credit facility</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502.9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525.0</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509.0</w:t>
            </w:r>
          </w:p>
        </w:tc>
        <w:tc>
          <w:tcPr>
            <w:tcW w:w="0" w:type="dxa"/>
            <w:vAlign w:val="bottom"/>
          </w:tcPr>
          <w:p>
            <w:pPr>
              <w:spacing w:after="0"/>
              <w:rPr>
                <w:sz w:val="1"/>
                <w:szCs w:val="1"/>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Senior Subordinated Notes</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318.3</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99.5</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318.0</w:t>
            </w:r>
          </w:p>
        </w:tc>
        <w:tc>
          <w:tcPr>
            <w:tcW w:w="0" w:type="dxa"/>
            <w:vAlign w:val="bottom"/>
          </w:tcPr>
          <w:p>
            <w:pPr>
              <w:spacing w:after="0"/>
              <w:rPr>
                <w:sz w:val="1"/>
                <w:szCs w:val="1"/>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Notes due to sellers</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30.9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42.8</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37.0</w:t>
            </w:r>
          </w:p>
        </w:tc>
        <w:tc>
          <w:tcPr>
            <w:tcW w:w="0" w:type="dxa"/>
            <w:vAlign w:val="bottom"/>
          </w:tcPr>
          <w:p>
            <w:pPr>
              <w:spacing w:after="0"/>
              <w:rPr>
                <w:sz w:val="1"/>
                <w:szCs w:val="1"/>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w w:val="99"/>
              </w:rPr>
              <w:t>Foreign bank borrowings and term loans</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14.2</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17.6</w:t>
            </w:r>
          </w:p>
        </w:tc>
        <w:tc>
          <w:tcPr>
            <w:tcW w:w="0" w:type="dxa"/>
            <w:vAlign w:val="bottom"/>
          </w:tcPr>
          <w:p>
            <w:pPr>
              <w:spacing w:after="0"/>
              <w:rPr>
                <w:sz w:val="1"/>
                <w:szCs w:val="1"/>
                <w:color w:val="auto"/>
              </w:rPr>
            </w:pPr>
          </w:p>
        </w:tc>
      </w:tr>
      <w:tr>
        <w:trPr>
          <w:trHeight w:val="182"/>
        </w:trPr>
        <w:tc>
          <w:tcPr>
            <w:tcW w:w="3640" w:type="dxa"/>
            <w:vAlign w:val="bottom"/>
            <w:gridSpan w:val="2"/>
          </w:tcPr>
          <w:p>
            <w:pPr>
              <w:spacing w:after="0"/>
              <w:rPr>
                <w:sz w:val="20"/>
                <w:szCs w:val="20"/>
                <w:color w:val="auto"/>
              </w:rPr>
            </w:pPr>
            <w:r>
              <w:rPr>
                <w:rFonts w:ascii="Courier New" w:cs="Courier New" w:eastAsia="Courier New" w:hAnsi="Courier New"/>
                <w:sz w:val="16"/>
                <w:szCs w:val="16"/>
                <w:color w:val="auto"/>
              </w:rPr>
              <w:t>Capital lease obligations and other</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2.8</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4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Less current portions</w:t>
            </w: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1,126.9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779.2</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950.0</w:t>
            </w:r>
          </w:p>
        </w:tc>
        <w:tc>
          <w:tcPr>
            <w:tcW w:w="0" w:type="dxa"/>
            <w:vAlign w:val="bottom"/>
          </w:tcPr>
          <w:p>
            <w:pPr>
              <w:spacing w:after="0"/>
              <w:rPr>
                <w:sz w:val="1"/>
                <w:szCs w:val="1"/>
                <w:color w:val="auto"/>
              </w:rPr>
            </w:pPr>
          </w:p>
        </w:tc>
      </w:tr>
      <w:tr>
        <w:trPr>
          <w:trHeight w:val="182"/>
        </w:trPr>
        <w:tc>
          <w:tcPr>
            <w:tcW w:w="3640" w:type="dxa"/>
            <w:vAlign w:val="bottom"/>
            <w:gridSpan w:val="2"/>
            <w:vMerge w:val="continue"/>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120.4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24.4</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56.4</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$1,006.5</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$754.8</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$893.6</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2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843" w:right="2679"/>
        <w:spacing w:after="0" w:line="273" w:lineRule="auto"/>
        <w:rPr>
          <w:sz w:val="20"/>
          <w:szCs w:val="20"/>
          <w:color w:val="auto"/>
        </w:rPr>
      </w:pPr>
      <w:r>
        <w:rPr>
          <w:rFonts w:ascii="Courier New" w:cs="Courier New" w:eastAsia="Courier New" w:hAnsi="Courier New"/>
          <w:sz w:val="15"/>
          <w:szCs w:val="15"/>
          <w:color w:val="auto"/>
        </w:rPr>
        <w:t>On December 4, 1998, the Company and certain of its subsidiaries entered into a credit facility which provides for borrowings in the aggregate principal amount of $1.025 billion and consists of term loan facilities in the aggregate amount of $525 million and a revolving credit facility in the amount of $500 million. Financial covenants included as part of the facility include, amongst others, minimum net worth, interest coverage and net leverage ratios. At January 1, 2000, the Company was in violation of the minimum net worth covenant. The Company obtained a waiver to cure default on February 15, 2000.</w:t>
      </w:r>
    </w:p>
    <w:p>
      <w:pPr>
        <w:spacing w:after="0" w:line="80" w:lineRule="exact"/>
        <w:rPr>
          <w:sz w:val="20"/>
          <w:szCs w:val="20"/>
          <w:color w:val="auto"/>
        </w:rPr>
      </w:pPr>
    </w:p>
    <w:p>
      <w:pPr>
        <w:ind w:left="843" w:right="2579"/>
        <w:spacing w:after="0" w:line="256" w:lineRule="auto"/>
        <w:rPr>
          <w:sz w:val="20"/>
          <w:szCs w:val="20"/>
          <w:color w:val="auto"/>
        </w:rPr>
      </w:pPr>
      <w:r>
        <w:rPr>
          <w:rFonts w:ascii="Courier New" w:cs="Courier New" w:eastAsia="Courier New" w:hAnsi="Courier New"/>
          <w:sz w:val="16"/>
          <w:szCs w:val="16"/>
          <w:color w:val="auto"/>
        </w:rPr>
        <w:t>In January 1999, the Company completed an offering of $330 million of 8 5/8% Senior Subordinated Notes ("the Notes") due 2009. The net proceeds from the offering, together with borrowings under the Company's credit facility, were used to fund the Ortho acquisition and to repurchase approximately 97% of Scotts $100.0 million outstanding 9 7/8% Senior Subordinated Notes due August 2004. In August 1999, the Company repurchased the remaining $2.9 million of the 9 7/8% Senior Subordinated Notes.</w:t>
      </w:r>
    </w:p>
    <w:p>
      <w:pPr>
        <w:spacing w:after="0" w:line="90" w:lineRule="exact"/>
        <w:rPr>
          <w:sz w:val="20"/>
          <w:szCs w:val="20"/>
          <w:color w:val="auto"/>
        </w:rPr>
      </w:pPr>
    </w:p>
    <w:p>
      <w:pPr>
        <w:ind w:left="843" w:right="2579"/>
        <w:spacing w:after="0" w:line="268" w:lineRule="auto"/>
        <w:rPr>
          <w:sz w:val="20"/>
          <w:szCs w:val="20"/>
          <w:color w:val="auto"/>
        </w:rPr>
      </w:pPr>
      <w:r>
        <w:rPr>
          <w:rFonts w:ascii="Courier New" w:cs="Courier New" w:eastAsia="Courier New" w:hAnsi="Courier New"/>
          <w:sz w:val="16"/>
          <w:szCs w:val="16"/>
          <w:color w:val="auto"/>
        </w:rPr>
        <w:t>The Company entered into two interest rate locks in fiscal 1998 to hedge its anticipated interest rate exposure on the Notes offering. The total amount paid under the interest rate locks of $12.9 million has been recorded as a reduction of the Notes' carrying value and is being amortized over the life of the Notes as interest expense.</w:t>
      </w:r>
    </w:p>
    <w:p>
      <w:pPr>
        <w:spacing w:after="0" w:line="79" w:lineRule="exact"/>
        <w:rPr>
          <w:sz w:val="20"/>
          <w:szCs w:val="20"/>
          <w:color w:val="auto"/>
        </w:rPr>
      </w:pPr>
    </w:p>
    <w:p>
      <w:pPr>
        <w:ind w:left="843" w:right="2579"/>
        <w:spacing w:after="0" w:line="268" w:lineRule="auto"/>
        <w:rPr>
          <w:sz w:val="20"/>
          <w:szCs w:val="20"/>
          <w:color w:val="auto"/>
        </w:rPr>
      </w:pPr>
      <w:r>
        <w:rPr>
          <w:rFonts w:ascii="Courier New" w:cs="Courier New" w:eastAsia="Courier New" w:hAnsi="Courier New"/>
          <w:sz w:val="16"/>
          <w:szCs w:val="16"/>
          <w:color w:val="auto"/>
        </w:rPr>
        <w:t>In conjunction with the acquisitions of Rhone-Poulenc Jardin and Sanford Scientific, notes were issued for certain portions of the total purchase price that are to be paid in annual installments over a four-year period. The present value of remaining note payments is $25.9 million and $5.0 million,</w:t>
      </w:r>
    </w:p>
    <w:p>
      <w:pPr>
        <w:spacing w:after="0" w:line="7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142"/>
          </w:cols>
          <w:pgMar w:left="317" w:top="271" w:right="1440" w:bottom="723" w:gutter="0" w:footer="0" w:header="0"/>
        </w:sectPr>
      </w:pPr>
    </w:p>
    <w:bookmarkStart w:id="9" w:name="page10"/>
    <w:bookmarkEnd w:id="9"/>
    <w:p>
      <w:pPr>
        <w:ind w:left="283"/>
        <w:spacing w:after="0"/>
        <w:rPr>
          <w:sz w:val="20"/>
          <w:szCs w:val="20"/>
          <w:color w:val="auto"/>
        </w:rPr>
      </w:pPr>
      <w:r>
        <w:rPr>
          <w:rFonts w:ascii="Courier New" w:cs="Courier New" w:eastAsia="Courier New" w:hAnsi="Courier New"/>
          <w:sz w:val="16"/>
          <w:szCs w:val="16"/>
          <w:color w:val="auto"/>
        </w:rPr>
        <w:t>10</w:t>
      </w:r>
    </w:p>
    <w:p>
      <w:pPr>
        <w:spacing w:after="0" w:line="183" w:lineRule="exact"/>
        <w:rPr>
          <w:sz w:val="20"/>
          <w:szCs w:val="20"/>
          <w:color w:val="auto"/>
        </w:rPr>
      </w:pPr>
    </w:p>
    <w:p>
      <w:pPr>
        <w:ind w:left="843" w:right="2679"/>
        <w:spacing w:after="0" w:line="296" w:lineRule="auto"/>
        <w:rPr>
          <w:sz w:val="20"/>
          <w:szCs w:val="20"/>
          <w:color w:val="auto"/>
        </w:rPr>
      </w:pPr>
      <w:r>
        <w:rPr>
          <w:rFonts w:ascii="Courier New" w:cs="Courier New" w:eastAsia="Courier New" w:hAnsi="Courier New"/>
          <w:sz w:val="16"/>
          <w:szCs w:val="16"/>
          <w:color w:val="auto"/>
        </w:rPr>
        <w:t>respectively. The Company is imputing interest on the non-interest bearing notes using an interest rate prevalent for similar instruments at the time of acquisition.</w:t>
      </w:r>
    </w:p>
    <w:p>
      <w:pPr>
        <w:spacing w:after="0" w:line="57" w:lineRule="exact"/>
        <w:rPr>
          <w:sz w:val="20"/>
          <w:szCs w:val="20"/>
          <w:color w:val="auto"/>
        </w:rPr>
      </w:pPr>
    </w:p>
    <w:p>
      <w:pPr>
        <w:ind w:left="843" w:right="2579"/>
        <w:spacing w:after="0" w:line="283" w:lineRule="auto"/>
        <w:rPr>
          <w:sz w:val="20"/>
          <w:szCs w:val="20"/>
          <w:color w:val="auto"/>
        </w:rPr>
      </w:pPr>
      <w:r>
        <w:rPr>
          <w:rFonts w:ascii="Courier New" w:cs="Courier New" w:eastAsia="Courier New" w:hAnsi="Courier New"/>
          <w:sz w:val="15"/>
          <w:szCs w:val="15"/>
          <w:color w:val="auto"/>
        </w:rPr>
        <w:t>The foreign term loans of $3.9 million issued on December 12, 1997, have an 8-year term and bear interest at 1% below LIBOR. The loans are denominated in Pounds Sterling and can be redeemed, on demand, by the note holder. The foreign bank borrowings of $10.3 million at January 1, 2000 represent lines of credit for foreign operations and are denominated in French Francs, Australian Dollars and Dutch Gilders.</w:t>
      </w:r>
    </w:p>
    <w:p>
      <w:pPr>
        <w:spacing w:after="0" w:line="71" w:lineRule="exact"/>
        <w:rPr>
          <w:sz w:val="20"/>
          <w:szCs w:val="20"/>
          <w:color w:val="auto"/>
        </w:rPr>
      </w:pPr>
    </w:p>
    <w:p>
      <w:pPr>
        <w:ind w:left="843" w:hanging="843"/>
        <w:spacing w:after="0"/>
        <w:tabs>
          <w:tab w:leader="none" w:pos="84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w:t>
      </w:r>
    </w:p>
    <w:p>
      <w:pPr>
        <w:spacing w:after="0" w:line="182" w:lineRule="exact"/>
        <w:rPr>
          <w:rFonts w:ascii="Courier New" w:cs="Courier New" w:eastAsia="Courier New" w:hAnsi="Courier New"/>
          <w:sz w:val="16"/>
          <w:szCs w:val="16"/>
          <w:color w:val="auto"/>
        </w:rPr>
      </w:pPr>
    </w:p>
    <w:p>
      <w:pPr>
        <w:ind w:left="843" w:right="2759"/>
        <w:spacing w:after="0" w:line="28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following table presents information necessary to calculate basic and diluted earnings per common share ("EPS"). For each period presented, basic and diluted EPS are equal since common share equivalents (stock options, Class A Convertible Preferred Stock and warrants) outstanding for each period were anti-dilutive and thus not considered in the diluted earnings per common share calculations.</w:t>
      </w:r>
    </w:p>
    <w:p>
      <w:pPr>
        <w:spacing w:after="0" w:line="71" w:lineRule="exact"/>
        <w:rPr>
          <w:sz w:val="20"/>
          <w:szCs w:val="20"/>
          <w:color w:val="auto"/>
        </w:rPr>
      </w:pPr>
    </w:p>
    <w:tbl>
      <w:tblPr>
        <w:tblLayout w:type="fixed"/>
        <w:tblInd w:w="843"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gridSpan w:val="3"/>
          </w:tcPr>
          <w:p>
            <w:pPr>
              <w:jc w:val="right"/>
              <w:ind w:right="221"/>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gridSpan w:val="3"/>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13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JANUARY 1,</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JANUARY 2,</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3"/>
              </w:rPr>
              <w:t>2000</w:t>
            </w:r>
          </w:p>
        </w:tc>
        <w:tc>
          <w:tcPr>
            <w:tcW w:w="44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1999</w:t>
            </w:r>
          </w:p>
        </w:tc>
        <w:tc>
          <w:tcPr>
            <w:tcW w:w="0" w:type="dxa"/>
            <w:vAlign w:val="bottom"/>
          </w:tcPr>
          <w:p>
            <w:pPr>
              <w:spacing w:after="0"/>
              <w:rPr>
                <w:sz w:val="1"/>
                <w:szCs w:val="1"/>
                <w:color w:val="auto"/>
              </w:rPr>
            </w:pPr>
          </w:p>
        </w:tc>
      </w:tr>
      <w:tr>
        <w:trPr>
          <w:trHeight w:val="265"/>
        </w:trPr>
        <w:tc>
          <w:tcPr>
            <w:tcW w:w="3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w:t>
            </w:r>
          </w:p>
        </w:tc>
        <w:tc>
          <w:tcPr>
            <w:tcW w:w="12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loss before extraordinary item</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(29.6)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(10.0)</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Extraordinary item, net of tax</w:t>
            </w:r>
          </w:p>
        </w:tc>
        <w:tc>
          <w:tcPr>
            <w:tcW w:w="340" w:type="dxa"/>
            <w:vAlign w:val="bottom"/>
          </w:tcPr>
          <w:p>
            <w:pPr>
              <w:spacing w:after="0"/>
              <w:rPr>
                <w:sz w:val="15"/>
                <w:szCs w:val="15"/>
                <w:color w:val="auto"/>
              </w:rPr>
            </w:pPr>
          </w:p>
        </w:tc>
        <w:tc>
          <w:tcPr>
            <w:tcW w:w="98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w:t>
            </w:r>
          </w:p>
        </w:tc>
        <w:tc>
          <w:tcPr>
            <w:tcW w:w="440" w:type="dxa"/>
            <w:vAlign w:val="bottom"/>
          </w:tcPr>
          <w:p>
            <w:pPr>
              <w:spacing w:after="0"/>
              <w:rPr>
                <w:sz w:val="15"/>
                <w:szCs w:val="15"/>
                <w:color w:val="auto"/>
              </w:rPr>
            </w:pP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Net loss</w:t>
            </w:r>
          </w:p>
        </w:tc>
        <w:tc>
          <w:tcPr>
            <w:tcW w:w="340" w:type="dxa"/>
            <w:vAlign w:val="bottom"/>
          </w:tcPr>
          <w:p>
            <w:pPr>
              <w:spacing w:after="0"/>
              <w:rPr>
                <w:sz w:val="15"/>
                <w:szCs w:val="15"/>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w:t>
            </w:r>
          </w:p>
        </w:tc>
        <w:tc>
          <w:tcPr>
            <w:tcW w:w="4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182"/>
        </w:trPr>
        <w:tc>
          <w:tcPr>
            <w:tcW w:w="3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(29.6)</w:t>
            </w:r>
          </w:p>
        </w:tc>
        <w:tc>
          <w:tcPr>
            <w:tcW w:w="4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(10.4)</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Payments to preferred shareholders</w:t>
            </w:r>
          </w:p>
        </w:tc>
        <w:tc>
          <w:tcPr>
            <w:tcW w:w="340" w:type="dxa"/>
            <w:vAlign w:val="bottom"/>
          </w:tcPr>
          <w:p>
            <w:pPr>
              <w:spacing w:after="0"/>
              <w:rPr>
                <w:sz w:val="15"/>
                <w:szCs w:val="15"/>
                <w:color w:val="auto"/>
              </w:rPr>
            </w:pP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(6.4)</w:t>
            </w:r>
          </w:p>
        </w:tc>
        <w:tc>
          <w:tcPr>
            <w:tcW w:w="4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2"/>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Loss applicable to common shareholders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182"/>
        </w:trPr>
        <w:tc>
          <w:tcPr>
            <w:tcW w:w="3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(36.0)</w:t>
            </w:r>
          </w:p>
        </w:tc>
        <w:tc>
          <w:tcPr>
            <w:tcW w:w="440" w:type="dxa"/>
            <w:vAlign w:val="bottom"/>
            <w:vMerge w:val="continue"/>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(12.8)</w:t>
            </w:r>
          </w:p>
        </w:tc>
        <w:tc>
          <w:tcPr>
            <w:tcW w:w="0" w:type="dxa"/>
            <w:vAlign w:val="bottom"/>
          </w:tcPr>
          <w:p>
            <w:pPr>
              <w:spacing w:after="0"/>
              <w:rPr>
                <w:sz w:val="1"/>
                <w:szCs w:val="1"/>
                <w:color w:val="auto"/>
              </w:rPr>
            </w:pPr>
          </w:p>
        </w:tc>
      </w:tr>
      <w:tr>
        <w:trPr>
          <w:trHeight w:val="265"/>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Weighted-average common shares</w:t>
            </w:r>
          </w:p>
        </w:tc>
        <w:tc>
          <w:tcPr>
            <w:tcW w:w="340" w:type="dxa"/>
            <w:vAlign w:val="bottom"/>
          </w:tcPr>
          <w:p>
            <w:pPr>
              <w:spacing w:after="0"/>
              <w:rPr>
                <w:sz w:val="23"/>
                <w:szCs w:val="23"/>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w:t>
            </w:r>
          </w:p>
        </w:tc>
        <w:tc>
          <w:tcPr>
            <w:tcW w:w="440" w:type="dxa"/>
            <w:vAlign w:val="bottom"/>
          </w:tcPr>
          <w:p>
            <w:pPr>
              <w:spacing w:after="0"/>
              <w:rPr>
                <w:sz w:val="23"/>
                <w:szCs w:val="23"/>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98"/>
        </w:trPr>
        <w:tc>
          <w:tcPr>
            <w:tcW w:w="37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vMerge w:val="restart"/>
          </w:tcPr>
          <w:p>
            <w:pPr>
              <w:jc w:val="center"/>
              <w:ind w:right="341"/>
              <w:spacing w:after="0"/>
              <w:rPr>
                <w:sz w:val="20"/>
                <w:szCs w:val="20"/>
                <w:color w:val="auto"/>
              </w:rPr>
            </w:pPr>
            <w:r>
              <w:rPr>
                <w:rFonts w:ascii="Courier New" w:cs="Courier New" w:eastAsia="Courier New" w:hAnsi="Courier New"/>
                <w:sz w:val="16"/>
                <w:szCs w:val="16"/>
                <w:color w:val="auto"/>
                <w:w w:val="93"/>
              </w:rPr>
              <w:t>28.2</w:t>
            </w:r>
          </w:p>
        </w:tc>
        <w:tc>
          <w:tcPr>
            <w:tcW w:w="440" w:type="dxa"/>
            <w:vAlign w:val="bottom"/>
          </w:tcPr>
          <w:p>
            <w:pPr>
              <w:spacing w:after="0"/>
              <w:rPr>
                <w:sz w:val="8"/>
                <w:szCs w:val="8"/>
                <w:color w:val="auto"/>
              </w:rPr>
            </w:pPr>
          </w:p>
        </w:tc>
        <w:tc>
          <w:tcPr>
            <w:tcW w:w="7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18.3</w:t>
            </w:r>
          </w:p>
        </w:tc>
        <w:tc>
          <w:tcPr>
            <w:tcW w:w="0" w:type="dxa"/>
            <w:vAlign w:val="bottom"/>
          </w:tcPr>
          <w:p>
            <w:pPr>
              <w:spacing w:after="0"/>
              <w:rPr>
                <w:sz w:val="1"/>
                <w:szCs w:val="1"/>
                <w:color w:val="auto"/>
              </w:rPr>
            </w:pPr>
          </w:p>
        </w:tc>
      </w:tr>
      <w:tr>
        <w:trPr>
          <w:trHeight w:val="182"/>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outstanding during the period</w:t>
            </w:r>
          </w:p>
        </w:tc>
        <w:tc>
          <w:tcPr>
            <w:tcW w:w="3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Basic and diluted earnings per common</w:t>
            </w:r>
          </w:p>
        </w:tc>
        <w:tc>
          <w:tcPr>
            <w:tcW w:w="340" w:type="dxa"/>
            <w:vAlign w:val="bottom"/>
          </w:tcPr>
          <w:p>
            <w:pPr>
              <w:spacing w:after="0"/>
              <w:rPr>
                <w:sz w:val="23"/>
                <w:szCs w:val="23"/>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w:t>
            </w:r>
          </w:p>
        </w:tc>
        <w:tc>
          <w:tcPr>
            <w:tcW w:w="440" w:type="dxa"/>
            <w:vAlign w:val="bottom"/>
          </w:tcPr>
          <w:p>
            <w:pPr>
              <w:spacing w:after="0"/>
              <w:rPr>
                <w:sz w:val="23"/>
                <w:szCs w:val="23"/>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98"/>
        </w:trPr>
        <w:tc>
          <w:tcPr>
            <w:tcW w:w="3740" w:type="dxa"/>
            <w:vAlign w:val="bottom"/>
            <w:vMerge w:val="continue"/>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center"/>
              <w:ind w:right="141"/>
              <w:spacing w:after="0"/>
              <w:rPr>
                <w:sz w:val="20"/>
                <w:szCs w:val="20"/>
                <w:color w:val="auto"/>
              </w:rPr>
            </w:pPr>
            <w:r>
              <w:rPr>
                <w:rFonts w:ascii="Courier New" w:cs="Courier New" w:eastAsia="Courier New" w:hAnsi="Courier New"/>
                <w:sz w:val="16"/>
                <w:szCs w:val="16"/>
                <w:color w:val="auto"/>
                <w:w w:val="97"/>
              </w:rPr>
              <w:t>(1.28)</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(.68)</w:t>
            </w:r>
          </w:p>
        </w:tc>
        <w:tc>
          <w:tcPr>
            <w:tcW w:w="0" w:type="dxa"/>
            <w:vAlign w:val="bottom"/>
          </w:tcPr>
          <w:p>
            <w:pPr>
              <w:spacing w:after="0"/>
              <w:rPr>
                <w:sz w:val="1"/>
                <w:szCs w:val="1"/>
                <w:color w:val="auto"/>
              </w:rPr>
            </w:pPr>
          </w:p>
        </w:tc>
      </w:tr>
      <w:tr>
        <w:trPr>
          <w:trHeight w:val="182"/>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share before extraordinary item</w:t>
            </w:r>
          </w:p>
        </w:tc>
        <w:tc>
          <w:tcPr>
            <w:tcW w:w="3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20"/>
                <w:szCs w:val="20"/>
                <w:color w:val="auto"/>
              </w:rPr>
            </w:pPr>
            <w:r>
              <w:rPr>
                <w:rFonts w:ascii="Courier New" w:cs="Courier New" w:eastAsia="Courier New" w:hAnsi="Courier New"/>
                <w:sz w:val="16"/>
                <w:szCs w:val="16"/>
                <w:color w:val="auto"/>
              </w:rPr>
              <w:t>Extraordinary item, net of tax</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center"/>
              <w:ind w:right="161"/>
              <w:spacing w:after="0"/>
              <w:rPr>
                <w:sz w:val="20"/>
                <w:szCs w:val="20"/>
                <w:color w:val="auto"/>
              </w:rPr>
            </w:pPr>
            <w:r>
              <w:rPr>
                <w:rFonts w:ascii="Courier New" w:cs="Courier New" w:eastAsia="Courier New" w:hAnsi="Courier New"/>
                <w:sz w:val="16"/>
                <w:szCs w:val="16"/>
                <w:color w:val="auto"/>
                <w:w w:val="93"/>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265"/>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Basic and diluted earnings per common</w:t>
            </w:r>
          </w:p>
        </w:tc>
        <w:tc>
          <w:tcPr>
            <w:tcW w:w="340" w:type="dxa"/>
            <w:vAlign w:val="bottom"/>
          </w:tcPr>
          <w:p>
            <w:pPr>
              <w:spacing w:after="0"/>
              <w:rPr>
                <w:sz w:val="23"/>
                <w:szCs w:val="23"/>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w:t>
            </w:r>
          </w:p>
        </w:tc>
        <w:tc>
          <w:tcPr>
            <w:tcW w:w="440" w:type="dxa"/>
            <w:vAlign w:val="bottom"/>
          </w:tcPr>
          <w:p>
            <w:pPr>
              <w:spacing w:after="0"/>
              <w:rPr>
                <w:sz w:val="23"/>
                <w:szCs w:val="23"/>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98"/>
        </w:trPr>
        <w:tc>
          <w:tcPr>
            <w:tcW w:w="3740" w:type="dxa"/>
            <w:vAlign w:val="bottom"/>
            <w:vMerge w:val="continue"/>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center"/>
              <w:ind w:right="141"/>
              <w:spacing w:after="0"/>
              <w:rPr>
                <w:sz w:val="20"/>
                <w:szCs w:val="20"/>
                <w:color w:val="auto"/>
              </w:rPr>
            </w:pPr>
            <w:r>
              <w:rPr>
                <w:rFonts w:ascii="Courier New" w:cs="Courier New" w:eastAsia="Courier New" w:hAnsi="Courier New"/>
                <w:sz w:val="16"/>
                <w:szCs w:val="16"/>
                <w:color w:val="auto"/>
                <w:w w:val="97"/>
              </w:rPr>
              <w:t>(1.28)</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(.70)</w:t>
            </w:r>
          </w:p>
        </w:tc>
        <w:tc>
          <w:tcPr>
            <w:tcW w:w="0" w:type="dxa"/>
            <w:vAlign w:val="bottom"/>
          </w:tcPr>
          <w:p>
            <w:pPr>
              <w:spacing w:after="0"/>
              <w:rPr>
                <w:sz w:val="1"/>
                <w:szCs w:val="1"/>
                <w:color w:val="auto"/>
              </w:rPr>
            </w:pPr>
          </w:p>
        </w:tc>
      </w:tr>
      <w:tr>
        <w:trPr>
          <w:trHeight w:val="182"/>
        </w:trPr>
        <w:tc>
          <w:tcPr>
            <w:tcW w:w="3740" w:type="dxa"/>
            <w:vAlign w:val="bottom"/>
          </w:tcPr>
          <w:p>
            <w:pPr>
              <w:ind w:left="200"/>
              <w:spacing w:after="0"/>
              <w:rPr>
                <w:sz w:val="20"/>
                <w:szCs w:val="20"/>
                <w:color w:val="auto"/>
              </w:rPr>
            </w:pPr>
            <w:r>
              <w:rPr>
                <w:rFonts w:ascii="Courier New" w:cs="Courier New" w:eastAsia="Courier New" w:hAnsi="Courier New"/>
                <w:sz w:val="16"/>
                <w:szCs w:val="16"/>
                <w:color w:val="auto"/>
              </w:rPr>
              <w:t>share</w:t>
            </w:r>
          </w:p>
        </w:tc>
        <w:tc>
          <w:tcPr>
            <w:tcW w:w="3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center"/>
              <w:ind w:right="341"/>
              <w:spacing w:after="0"/>
              <w:rPr>
                <w:sz w:val="20"/>
                <w:szCs w:val="20"/>
                <w:color w:val="auto"/>
              </w:rPr>
            </w:pPr>
            <w:r>
              <w:rPr>
                <w:rFonts w:ascii="Courier New" w:cs="Courier New" w:eastAsia="Courier New" w:hAnsi="Courier New"/>
                <w:sz w:val="16"/>
                <w:szCs w:val="16"/>
                <w:color w:val="auto"/>
                <w:w w:val="97"/>
              </w:rPr>
              <w:t>======</w:t>
            </w:r>
          </w:p>
        </w:tc>
        <w:tc>
          <w:tcPr>
            <w:tcW w:w="440" w:type="dxa"/>
            <w:vAlign w:val="bottom"/>
          </w:tcPr>
          <w:p>
            <w:pPr>
              <w:spacing w:after="0"/>
              <w:rPr>
                <w:sz w:val="23"/>
                <w:szCs w:val="23"/>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843" w:hanging="843"/>
        <w:spacing w:after="0"/>
        <w:tabs>
          <w:tab w:leader="none" w:pos="84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COMPREHENSIVE INCOME</w:t>
      </w:r>
    </w:p>
    <w:p>
      <w:pPr>
        <w:spacing w:after="0" w:line="182" w:lineRule="exact"/>
        <w:rPr>
          <w:rFonts w:ascii="Courier New" w:cs="Courier New" w:eastAsia="Courier New" w:hAnsi="Courier New"/>
          <w:sz w:val="16"/>
          <w:szCs w:val="16"/>
          <w:color w:val="auto"/>
        </w:rPr>
      </w:pPr>
    </w:p>
    <w:p>
      <w:pPr>
        <w:ind w:left="843" w:right="2579"/>
        <w:spacing w:after="0" w:line="27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Effective October 1, 1998, the Company adopted Statement of Financial Accounting Standards No. 130 (SFAS 130), "Reporting Comprehensive Income". SFAS 130 requires that changes in the amounts of certain items, including foreign currency translation adjustments, be presented in the Company's financial statements. The components of other comprehensive income and total comprehensive income for the three months ended January 1, 2000 and January 2, 1999 are as follows:</w:t>
      </w:r>
    </w:p>
    <w:p>
      <w:pPr>
        <w:spacing w:after="0" w:line="73" w:lineRule="exact"/>
        <w:rPr>
          <w:sz w:val="20"/>
          <w:szCs w:val="20"/>
          <w:color w:val="auto"/>
        </w:rPr>
      </w:pPr>
    </w:p>
    <w:tbl>
      <w:tblPr>
        <w:tblLayout w:type="fixed"/>
        <w:tblInd w:w="843"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25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15"/>
                <w:szCs w:val="15"/>
                <w:color w:val="auto"/>
              </w:rPr>
            </w:pPr>
          </w:p>
        </w:tc>
        <w:tc>
          <w:tcPr>
            <w:tcW w:w="25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15"/>
                <w:szCs w:val="15"/>
                <w:color w:val="auto"/>
              </w:rPr>
            </w:pPr>
          </w:p>
        </w:tc>
        <w:tc>
          <w:tcPr>
            <w:tcW w:w="13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JANUARY 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JANUARY 2,</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15"/>
                <w:szCs w:val="15"/>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3700" w:type="dxa"/>
            <w:vAlign w:val="bottom"/>
          </w:tcPr>
          <w:p>
            <w:pPr>
              <w:spacing w:after="0"/>
              <w:rPr>
                <w:sz w:val="23"/>
                <w:szCs w:val="23"/>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7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$(29.6)</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$(10.4)</w:t>
            </w:r>
          </w:p>
        </w:tc>
        <w:tc>
          <w:tcPr>
            <w:tcW w:w="0" w:type="dxa"/>
            <w:vAlign w:val="bottom"/>
          </w:tcPr>
          <w:p>
            <w:pPr>
              <w:spacing w:after="0"/>
              <w:rPr>
                <w:sz w:val="1"/>
                <w:szCs w:val="1"/>
                <w:color w:val="auto"/>
              </w:rPr>
            </w:pPr>
          </w:p>
        </w:tc>
      </w:tr>
      <w:tr>
        <w:trPr>
          <w:trHeight w:val="182"/>
        </w:trPr>
        <w:tc>
          <w:tcPr>
            <w:tcW w:w="3700" w:type="dxa"/>
            <w:vAlign w:val="bottom"/>
          </w:tcPr>
          <w:p>
            <w:pPr>
              <w:spacing w:after="0"/>
              <w:rPr>
                <w:sz w:val="20"/>
                <w:szCs w:val="20"/>
                <w:color w:val="auto"/>
              </w:rPr>
            </w:pPr>
            <w:r>
              <w:rPr>
                <w:rFonts w:ascii="Courier New" w:cs="Courier New" w:eastAsia="Courier New" w:hAnsi="Courier New"/>
                <w:sz w:val="16"/>
                <w:szCs w:val="16"/>
                <w:color w:val="auto"/>
              </w:rPr>
              <w:t>Other comprehensive income (expense):</w:t>
            </w:r>
          </w:p>
        </w:tc>
        <w:tc>
          <w:tcPr>
            <w:tcW w:w="1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00" w:type="dxa"/>
            <w:vAlign w:val="bottom"/>
          </w:tcPr>
          <w:p>
            <w:pPr>
              <w:ind w:left="200"/>
              <w:spacing w:after="0"/>
              <w:rPr>
                <w:sz w:val="20"/>
                <w:szCs w:val="20"/>
                <w:color w:val="auto"/>
              </w:rPr>
            </w:pPr>
            <w:r>
              <w:rPr>
                <w:rFonts w:ascii="Courier New" w:cs="Courier New" w:eastAsia="Courier New" w:hAnsi="Courier New"/>
                <w:sz w:val="16"/>
                <w:szCs w:val="16"/>
                <w:color w:val="auto"/>
              </w:rPr>
              <w:t>Foreign currency translation</w:t>
            </w:r>
          </w:p>
        </w:tc>
        <w:tc>
          <w:tcPr>
            <w:tcW w:w="13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(3.4)</w:t>
            </w:r>
          </w:p>
        </w:tc>
        <w:tc>
          <w:tcPr>
            <w:tcW w:w="12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3700" w:type="dxa"/>
            <w:vAlign w:val="bottom"/>
          </w:tcPr>
          <w:p>
            <w:pPr>
              <w:ind w:left="300"/>
              <w:spacing w:after="0"/>
              <w:rPr>
                <w:sz w:val="20"/>
                <w:szCs w:val="20"/>
                <w:color w:val="auto"/>
              </w:rPr>
            </w:pPr>
            <w:r>
              <w:rPr>
                <w:rFonts w:ascii="Courier New" w:cs="Courier New" w:eastAsia="Courier New" w:hAnsi="Courier New"/>
                <w:sz w:val="16"/>
                <w:szCs w:val="16"/>
                <w:color w:val="auto"/>
              </w:rPr>
              <w:t>adjustments</w:t>
            </w:r>
          </w:p>
        </w:tc>
        <w:tc>
          <w:tcPr>
            <w:tcW w:w="1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00" w:type="dxa"/>
            <w:vAlign w:val="bottom"/>
            <w:vMerge w:val="restart"/>
          </w:tcPr>
          <w:p>
            <w:pPr>
              <w:spacing w:after="0"/>
              <w:rPr>
                <w:sz w:val="20"/>
                <w:szCs w:val="20"/>
                <w:color w:val="auto"/>
              </w:rPr>
            </w:pPr>
            <w:r>
              <w:rPr>
                <w:rFonts w:ascii="Courier New" w:cs="Courier New" w:eastAsia="Courier New" w:hAnsi="Courier New"/>
                <w:sz w:val="16"/>
                <w:szCs w:val="16"/>
                <w:color w:val="auto"/>
              </w:rPr>
              <w:t>Comprehensive income (expense)</w:t>
            </w: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700" w:type="dxa"/>
            <w:vAlign w:val="bottom"/>
            <w:vMerge w:val="continue"/>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$(33.0)</w:t>
            </w:r>
          </w:p>
        </w:tc>
        <w:tc>
          <w:tcPr>
            <w:tcW w:w="12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$(10.8)</w:t>
            </w:r>
          </w:p>
        </w:tc>
        <w:tc>
          <w:tcPr>
            <w:tcW w:w="0" w:type="dxa"/>
            <w:vAlign w:val="bottom"/>
          </w:tcPr>
          <w:p>
            <w:pPr>
              <w:spacing w:after="0"/>
              <w:rPr>
                <w:sz w:val="1"/>
                <w:szCs w:val="1"/>
                <w:color w:val="auto"/>
              </w:rPr>
            </w:pPr>
          </w:p>
        </w:tc>
      </w:tr>
      <w:tr>
        <w:trPr>
          <w:trHeight w:val="265"/>
        </w:trPr>
        <w:tc>
          <w:tcPr>
            <w:tcW w:w="3700" w:type="dxa"/>
            <w:vAlign w:val="bottom"/>
          </w:tcPr>
          <w:p>
            <w:pPr>
              <w:spacing w:after="0"/>
              <w:rPr>
                <w:sz w:val="23"/>
                <w:szCs w:val="23"/>
                <w:color w:val="auto"/>
              </w:rPr>
            </w:pPr>
          </w:p>
        </w:tc>
        <w:tc>
          <w:tcPr>
            <w:tcW w:w="1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843" w:hanging="843"/>
        <w:spacing w:after="0"/>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2" w:lineRule="exact"/>
        <w:rPr>
          <w:rFonts w:ascii="Courier New" w:cs="Courier New" w:eastAsia="Courier New" w:hAnsi="Courier New"/>
          <w:sz w:val="16"/>
          <w:szCs w:val="16"/>
          <w:color w:val="auto"/>
        </w:rPr>
      </w:pPr>
    </w:p>
    <w:p>
      <w:pPr>
        <w:ind w:left="843" w:right="2579"/>
        <w:spacing w:after="0" w:line="27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w:t>
      </w:r>
    </w:p>
    <w:p>
      <w:pPr>
        <w:spacing w:after="0" w:line="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142"/>
          </w:cols>
          <w:pgMar w:left="317" w:top="271" w:right="1440" w:bottom="1086"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29" w:lineRule="exact"/>
        <w:rPr>
          <w:sz w:val="20"/>
          <w:szCs w:val="20"/>
          <w:color w:val="auto"/>
        </w:rPr>
      </w:pPr>
    </w:p>
    <w:p>
      <w:pPr>
        <w:ind w:left="840" w:right="2579"/>
        <w:spacing w:after="0" w:line="277" w:lineRule="auto"/>
        <w:rPr>
          <w:sz w:val="20"/>
          <w:szCs w:val="20"/>
          <w:color w:val="auto"/>
        </w:rPr>
      </w:pPr>
      <w:r>
        <w:rPr>
          <w:rFonts w:ascii="Courier New" w:cs="Courier New" w:eastAsia="Courier New" w:hAnsi="Courier New"/>
          <w:sz w:val="16"/>
          <w:szCs w:val="16"/>
          <w:color w:val="auto"/>
        </w:rPr>
        <w:t>operating results will not be materially affected by final resolution of these matters. The following matters are the more significant of the Company's identified contingencies.</w:t>
      </w:r>
    </w:p>
    <w:p>
      <w:pPr>
        <w:spacing w:after="0" w:line="72"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OHIO ENVIRONMENTAL PROTECTION AGENCY</w:t>
      </w:r>
    </w:p>
    <w:p>
      <w:pPr>
        <w:spacing w:after="0" w:line="183" w:lineRule="exact"/>
        <w:rPr>
          <w:sz w:val="20"/>
          <w:szCs w:val="20"/>
          <w:color w:val="auto"/>
        </w:rPr>
      </w:pPr>
    </w:p>
    <w:p>
      <w:pPr>
        <w:ind w:left="840" w:right="2579"/>
        <w:spacing w:after="0" w:line="276" w:lineRule="auto"/>
        <w:rPr>
          <w:sz w:val="20"/>
          <w:szCs w:val="20"/>
          <w:color w:val="auto"/>
        </w:rPr>
      </w:pPr>
      <w:r>
        <w:rPr>
          <w:rFonts w:ascii="Courier New" w:cs="Courier New" w:eastAsia="Courier New" w:hAnsi="Courier New"/>
          <w:sz w:val="15"/>
          <w:szCs w:val="15"/>
          <w:color w:val="auto"/>
        </w:rPr>
        <w:t>The Company has assessed and addressed environmental issues regarding the wastewater treatment plants which had operated at the Marysville facility. The Company decommissioned the old wastewater treatment plants and has connected the facility's wastewater system with the City of Marysville's municipal treatment system. Additionally, the Company has been assessing, under Ohio's new Voluntary Action Program ("VAP"), the possible remediation of several discontinued on-site waste disposal areas dating back to the early operations of its Marysville facility.</w:t>
      </w:r>
    </w:p>
    <w:p>
      <w:pPr>
        <w:spacing w:after="0" w:line="74" w:lineRule="exact"/>
        <w:rPr>
          <w:sz w:val="20"/>
          <w:szCs w:val="20"/>
          <w:color w:val="auto"/>
        </w:rPr>
      </w:pPr>
    </w:p>
    <w:p>
      <w:pPr>
        <w:ind w:left="840" w:right="2579"/>
        <w:spacing w:after="0" w:line="256" w:lineRule="auto"/>
        <w:rPr>
          <w:sz w:val="20"/>
          <w:szCs w:val="20"/>
          <w:color w:val="auto"/>
        </w:rPr>
      </w:pPr>
      <w:r>
        <w:rPr>
          <w:rFonts w:ascii="Courier New" w:cs="Courier New" w:eastAsia="Courier New" w:hAnsi="Courier New"/>
          <w:sz w:val="16"/>
          <w:szCs w:val="16"/>
          <w:color w:val="auto"/>
        </w:rPr>
        <w:t>In February 1997, the Company learned that the Ohio Environmental Protection Agency was referring certain matters relating to environmental conditions at the Company's Marysville site, including the existing wastewater treatment plants and the discontinued on-site waste disposal areas, to the Ohio Attorney General's Office. Representatives from the Ohio Environmental Protection Agency, the Ohio Attorney General and the Company continue to meet to discuss these issues.</w:t>
      </w:r>
    </w:p>
    <w:p>
      <w:pPr>
        <w:spacing w:after="0" w:line="90" w:lineRule="exact"/>
        <w:rPr>
          <w:sz w:val="20"/>
          <w:szCs w:val="20"/>
          <w:color w:val="auto"/>
        </w:rPr>
      </w:pPr>
    </w:p>
    <w:p>
      <w:pPr>
        <w:ind w:left="840" w:right="2679"/>
        <w:spacing w:after="0" w:line="247" w:lineRule="auto"/>
        <w:rPr>
          <w:sz w:val="20"/>
          <w:szCs w:val="20"/>
          <w:color w:val="auto"/>
        </w:rPr>
      </w:pPr>
      <w:r>
        <w:rPr>
          <w:rFonts w:ascii="Courier New" w:cs="Courier New" w:eastAsia="Courier New" w:hAnsi="Courier New"/>
          <w:sz w:val="16"/>
          <w:szCs w:val="16"/>
          <w:color w:val="auto"/>
        </w:rPr>
        <w:t>In June 1997, the Company received formal notice of an enforcement action and draft Findings and Orders from the Ohio Environmental Protection Agency. The draft Findings and Orders elaborated on the subject of the referral to the Ohio Attorney General alleging: potential surface water violations relating to possible historical sediment contamination possibly impacting water quality; inadequate treatment capabilities of the Company's existing and currently permitted wastewater treatment plants; and that the Marysville site is subject to corrective action under the Resource Conservation Recovery Act ("RCRA"). In late July 1997, the Company received a draft judicial consent order from the Ohio Attorney General which covered many of the same issues contained in the draft Findings and Orders including RCRA corrective action. As a result of on-going discussions, the Company received a revised draft of a judicial consent order from the Ohio Attorney General in late April 1999. Subsequently, the Company replied to the Ohio Attorney General with another revised draft, which is the focus of current negotiations.</w:t>
      </w:r>
    </w:p>
    <w:p>
      <w:pPr>
        <w:spacing w:after="0" w:line="103" w:lineRule="exact"/>
        <w:rPr>
          <w:sz w:val="20"/>
          <w:szCs w:val="20"/>
          <w:color w:val="auto"/>
        </w:rPr>
      </w:pPr>
    </w:p>
    <w:p>
      <w:pPr>
        <w:ind w:left="840" w:right="2579"/>
        <w:spacing w:after="0" w:line="247" w:lineRule="auto"/>
        <w:rPr>
          <w:sz w:val="20"/>
          <w:szCs w:val="20"/>
          <w:color w:val="auto"/>
        </w:rPr>
      </w:pPr>
      <w:r>
        <w:rPr>
          <w:rFonts w:ascii="Courier New" w:cs="Courier New" w:eastAsia="Courier New" w:hAnsi="Courier New"/>
          <w:sz w:val="16"/>
          <w:szCs w:val="16"/>
          <w:color w:val="auto"/>
        </w:rPr>
        <w:t>In accordance with the Company's past efforts to enter into Ohio's VAP, the Company submitted to the Ohio Environmental Protection Agency a "Demonstration of Sufficient Evidence of VAP Eligibility Compliance" on July 8, 1997. Among other issues contained in the VAP submission, was a description of the Company's ongoing efforts to assess potential environmental impacts of the discontinued on-site waste disposal areas as well as potential remediation efforts. Under the statutes covering VAP, an eligible participant in the program is not subject to State enforcement actions for those environmental matters being addressed. On October 21, 1997, the Company received a letter from the Director of the Ohio Environmental Protection Agency denying VAP eligibility based upon the timeliness of and completeness of the submittal. The Company has appealed the Director's action to the Environmental Review Appeals Commission. No hearing date has been set and the appeal remains pending. While negotiations continue, the Company has been voluntarily addressing a number of the historical onsite waste disposal areas with the knowledge of the Ohio Environmental Protection Agency. Interim measures consisting of capping two onsite waste disposal areas have been implemented.</w:t>
      </w:r>
    </w:p>
    <w:p>
      <w:pPr>
        <w:spacing w:after="0" w:line="94" w:lineRule="exact"/>
        <w:rPr>
          <w:sz w:val="20"/>
          <w:szCs w:val="20"/>
          <w:color w:val="auto"/>
        </w:rPr>
      </w:pPr>
    </w:p>
    <w:p>
      <w:pPr>
        <w:ind w:left="840" w:right="2759"/>
        <w:spacing w:after="0" w:line="268" w:lineRule="auto"/>
        <w:rPr>
          <w:sz w:val="20"/>
          <w:szCs w:val="20"/>
          <w:color w:val="auto"/>
        </w:rPr>
      </w:pPr>
      <w:r>
        <w:rPr>
          <w:rFonts w:ascii="Courier New" w:cs="Courier New" w:eastAsia="Courier New" w:hAnsi="Courier New"/>
          <w:sz w:val="16"/>
          <w:szCs w:val="16"/>
          <w:color w:val="auto"/>
        </w:rPr>
        <w:t>The Company is continuing to meet with the Ohio Attorney General and the Ohio Environmental Protection Agency in an effort to negotiate an amicable resolution of these issues but is unable at this stage to predict the outcome of the negotiations. While negotiations have narrowed the unresolved issues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11</w:t>
      </w:r>
    </w:p>
    <w:p>
      <w:pPr>
        <w:sectPr>
          <w:pgSz w:w="11900" w:h="16838" w:orient="portrait"/>
          <w:cols w:equalWidth="0" w:num="1">
            <w:col w:w="10139"/>
          </w:cols>
          <w:pgMar w:left="320" w:top="27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p>
      <w:pPr>
        <w:ind w:left="840" w:right="2759"/>
        <w:spacing w:after="0" w:line="263" w:lineRule="auto"/>
        <w:rPr>
          <w:sz w:val="20"/>
          <w:szCs w:val="20"/>
          <w:color w:val="auto"/>
        </w:rPr>
      </w:pPr>
      <w:r>
        <w:rPr>
          <w:rFonts w:ascii="Courier New" w:cs="Courier New" w:eastAsia="Courier New" w:hAnsi="Courier New"/>
          <w:sz w:val="16"/>
          <w:szCs w:val="16"/>
          <w:color w:val="auto"/>
        </w:rPr>
        <w:t>between the Company and the Ohio Attorney General/Ohio Environmental Protection Agency, several critical issues remain the subject of ongoing discussions. The Company believes that it has viable defenses to the State's enforcement action, including that it had been proceeding under VAP to address specified environmental issues, and will assert those defenses in any such action.</w:t>
      </w:r>
    </w:p>
    <w:p>
      <w:pPr>
        <w:spacing w:after="0" w:line="82" w:lineRule="exact"/>
        <w:rPr>
          <w:sz w:val="20"/>
          <w:szCs w:val="20"/>
          <w:color w:val="auto"/>
        </w:rPr>
      </w:pPr>
    </w:p>
    <w:p>
      <w:pPr>
        <w:ind w:left="840" w:right="2579"/>
        <w:spacing w:after="0" w:line="247" w:lineRule="auto"/>
        <w:rPr>
          <w:sz w:val="20"/>
          <w:szCs w:val="20"/>
          <w:color w:val="auto"/>
        </w:rPr>
      </w:pPr>
      <w:r>
        <w:rPr>
          <w:rFonts w:ascii="Courier New" w:cs="Courier New" w:eastAsia="Courier New" w:hAnsi="Courier New"/>
          <w:sz w:val="16"/>
          <w:szCs w:val="16"/>
          <w:color w:val="auto"/>
        </w:rPr>
        <w:t>Since receiving the notice of enforcement action in June 1997, management has continually assessed the potential costs that may be incurred to satisfactorily remediate the Marysville site and to pay any penalties sought by the State. Because the Company and the Ohio Environmental Protection Agency have not agreed as to the extent of any possible contamination and an appropriate remediation plan, the Company has developed and initiated an action plan to remediate the site based on its own assessments and consideration of specific actions which the Ohio Environmental Protection Agency will likely require. Because the extent of the ultimate remediation plan is uncertain, management is unable to predict with certainty the costs that will be incurred to remediate the site and to pay any penalties. Management estimates that the range of possible loss that could be incurred in connection with this matter is $2 million to $10 million. The Company has accrued for the amount it considers to be the most probable within that range and believes the outcome will not differ materially from the amount reserved. Many of the issues raised by the State are already being investigated and addressed by the Company during the normal course of conducting business.</w:t>
      </w:r>
    </w:p>
    <w:p>
      <w:pPr>
        <w:spacing w:after="0" w:line="9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LAFAYETTE</w:t>
      </w:r>
    </w:p>
    <w:p>
      <w:pPr>
        <w:spacing w:after="0" w:line="183" w:lineRule="exact"/>
        <w:rPr>
          <w:sz w:val="20"/>
          <w:szCs w:val="20"/>
          <w:color w:val="auto"/>
        </w:rPr>
      </w:pPr>
    </w:p>
    <w:p>
      <w:pPr>
        <w:ind w:left="840" w:right="2579"/>
        <w:spacing w:after="0" w:line="244" w:lineRule="auto"/>
        <w:rPr>
          <w:sz w:val="20"/>
          <w:szCs w:val="20"/>
          <w:color w:val="auto"/>
        </w:rPr>
      </w:pPr>
      <w:r>
        <w:rPr>
          <w:rFonts w:ascii="Courier New" w:cs="Courier New" w:eastAsia="Courier New" w:hAnsi="Courier New"/>
          <w:sz w:val="16"/>
          <w:szCs w:val="16"/>
          <w:color w:val="auto"/>
        </w:rPr>
        <w:t>In July 1990, the Philadelphia District of the U.S. Army Corps of Engineers ("Corps") directed that peat harvesting operations be discontinued at Hyponex's Lafayette, New Jersey facility, based on its contention that peat harvesting and related activities result in the "discharge of dredged or fill material into waters of the United States" and, therefore, require a permit under Section 404 of the Clean Water Act. In May 1992, the United States filed suit in the U.S. District Court for the District of New Jersey seeking a permanent injunction against such harvesting, and civil penalties in an unspecified amount. If the Corps' position is upheld, it is possible that further harvesting of peat from this facility would be prohibited. The Company is defending this suit and is asserting a right to recover its economic losses resulting from the government's actions. The suit was placed in administrative suspense during fiscal 1996 in order to allow the Company and the government an opportunity to negotiate a settlement, and it remains suspended while the parties develop, exchange and evaluate technical data. In July 1997, the Company's wetlands consultant submitted to the government a draft remediation plan. Comments were received and a revised plan was submitted in early 1998. Further comments from the government were received during 1998 and 1999. The Company believes agreement on the remediation plan has essentially been reached. Before this suit can be fully resolved, however, the Company and the government must reach agreement on the government's civil penalty demand. The Company has reserved for its estimate of the probable loss to be incurred under this proceeding. Furthermore, management believes the Company has sufficient raw material supplies available such that service to customers will not be materially adversely affected by continued closure of this peat harvesting operation.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10139"/>
          </w:cols>
          <w:pgMar w:left="320" w:top="27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AGREVO ENVIRONMENTAL HEALTH</w:t>
      </w:r>
    </w:p>
    <w:p>
      <w:pPr>
        <w:spacing w:after="0" w:line="183" w:lineRule="exact"/>
        <w:rPr>
          <w:sz w:val="20"/>
          <w:szCs w:val="20"/>
          <w:color w:val="auto"/>
        </w:rPr>
      </w:pPr>
    </w:p>
    <w:p>
      <w:pPr>
        <w:ind w:left="840" w:right="2679"/>
        <w:spacing w:after="0" w:line="262" w:lineRule="auto"/>
        <w:rPr>
          <w:sz w:val="20"/>
          <w:szCs w:val="20"/>
          <w:color w:val="auto"/>
        </w:rPr>
      </w:pPr>
      <w:r>
        <w:rPr>
          <w:rFonts w:ascii="Courier New" w:cs="Courier New" w:eastAsia="Courier New" w:hAnsi="Courier New"/>
          <w:sz w:val="15"/>
          <w:szCs w:val="15"/>
          <w:color w:val="auto"/>
        </w:rPr>
        <w:t>On June 3, 1999, AgrEvo Environmental Health, Inc. ("AgrEvo") filed a complaint in the District Court for the Southern District of New York, against the Company, a subsidiary of the Company and Monsanto seeking damages and injunctive relief for alleged antitrust violations and breach of contract by the Company and its subsidiary and antitrust violations and tortious interference with contact by Monsanto. The Company purchased a consumer herbicide business from AgrEvo in May</w:t>
      </w:r>
    </w:p>
    <w:p>
      <w:pPr>
        <w:spacing w:after="0" w:line="3" w:lineRule="exact"/>
        <w:rPr>
          <w:sz w:val="20"/>
          <w:szCs w:val="20"/>
          <w:color w:val="auto"/>
        </w:rPr>
      </w:pPr>
    </w:p>
    <w:p>
      <w:pPr>
        <w:jc w:val="both"/>
        <w:ind w:left="840" w:right="2579"/>
        <w:spacing w:after="0" w:line="256" w:lineRule="auto"/>
        <w:rPr>
          <w:sz w:val="20"/>
          <w:szCs w:val="20"/>
          <w:color w:val="auto"/>
        </w:rPr>
      </w:pPr>
      <w:r>
        <w:rPr>
          <w:rFonts w:ascii="Courier New" w:cs="Courier New" w:eastAsia="Courier New" w:hAnsi="Courier New"/>
          <w:sz w:val="15"/>
          <w:szCs w:val="15"/>
          <w:color w:val="auto"/>
        </w:rPr>
        <w:t>1998. AgrEvo claims in the suit that the Company's subsequent agreement to become Monsanto's exclusive sales and marketing agent for Monsanto's consumer Roundup(R) business violated the federal antitrust laws.</w:t>
      </w:r>
    </w:p>
    <w:p>
      <w:pPr>
        <w:spacing w:after="0" w:line="2" w:lineRule="exact"/>
        <w:rPr>
          <w:sz w:val="20"/>
          <w:szCs w:val="20"/>
          <w:color w:val="auto"/>
        </w:rPr>
      </w:pPr>
    </w:p>
    <w:p>
      <w:pPr>
        <w:ind w:left="840" w:right="2579"/>
        <w:spacing w:after="0" w:line="250" w:lineRule="auto"/>
        <w:rPr>
          <w:sz w:val="20"/>
          <w:szCs w:val="20"/>
          <w:color w:val="auto"/>
        </w:rPr>
      </w:pPr>
      <w:r>
        <w:rPr>
          <w:rFonts w:ascii="Courier New" w:cs="Courier New" w:eastAsia="Courier New" w:hAnsi="Courier New"/>
          <w:sz w:val="16"/>
          <w:szCs w:val="16"/>
          <w:color w:val="auto"/>
        </w:rPr>
        <w:t>AgrEvo contends that Monsanto attempted to or did monopolize the market for non-selective herbicides and conspired with the Company to eliminate the herbicide the Company previously purchased from AgrEvo, which competed with Monsanto's Roundup(R), in order to achieve or maintain a monopoly position in that market. AgrEvo also contends that the Company's execution of various agreements with Monsanto, including the Roundup(R) marketing agreement, as well as the Company's subsequent actions, violated the purchase agreements between AgrEvo and the Company.</w:t>
      </w:r>
    </w:p>
    <w:p>
      <w:pPr>
        <w:spacing w:after="0" w:line="92" w:lineRule="exact"/>
        <w:rPr>
          <w:sz w:val="20"/>
          <w:szCs w:val="20"/>
          <w:color w:val="auto"/>
        </w:rPr>
      </w:pPr>
    </w:p>
    <w:p>
      <w:pPr>
        <w:ind w:left="840" w:right="2579"/>
        <w:spacing w:after="0" w:line="265"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On September 20, 1999, the Company filed an answer denying liability and asserting counterclaims that it was fraudulently induced to enter into the agreement for purchase of the consumer herbicide business and the related agreements, and that AgrEvo breached the representations and warranties contained in those agreements. On October 1, 1999, the Company moved to dismiss the antitrust allegations against it on the ground that the claims fail to state claims for which relief may be granted. On October 12, 1999, AgrEvo moved to dismiss the Company's counterclaims. On January 27, 2000, AgrEvo sought leave to move to amend its complaint to add a claim for fraud and to incorporate the Delaware action described below. Under the indemnification provisions of the Roundup(R) marketing agreement, Monsanto and the Company each have requested that the other indemnify against any losses arising from this lawsuit.</w:t>
      </w:r>
    </w:p>
    <w:p>
      <w:pPr>
        <w:spacing w:after="0" w:line="272" w:lineRule="exact"/>
        <w:rPr>
          <w:sz w:val="20"/>
          <w:szCs w:val="20"/>
          <w:color w:val="auto"/>
        </w:rPr>
      </w:pPr>
    </w:p>
    <w:p>
      <w:pPr>
        <w:ind w:left="840" w:right="2679"/>
        <w:spacing w:after="0" w:line="270" w:lineRule="auto"/>
        <w:rPr>
          <w:sz w:val="20"/>
          <w:szCs w:val="20"/>
          <w:color w:val="auto"/>
        </w:rPr>
      </w:pPr>
      <w:r>
        <w:rPr>
          <w:rFonts w:ascii="Courier New" w:cs="Courier New" w:eastAsia="Courier New" w:hAnsi="Courier New"/>
          <w:sz w:val="15"/>
          <w:szCs w:val="15"/>
          <w:color w:val="auto"/>
        </w:rPr>
        <w:t>On June 29, 1999, AgrEvo also filed a complaint in the Superior Court for the State of Delaware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action in the Southern District of New York.</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BRAMFORD</w:t>
      </w:r>
    </w:p>
    <w:p>
      <w:pPr>
        <w:spacing w:after="0" w:line="183" w:lineRule="exact"/>
        <w:rPr>
          <w:sz w:val="20"/>
          <w:szCs w:val="20"/>
          <w:color w:val="auto"/>
        </w:rPr>
      </w:pPr>
    </w:p>
    <w:p>
      <w:pPr>
        <w:ind w:left="840" w:right="2579"/>
        <w:spacing w:after="0" w:line="250" w:lineRule="auto"/>
        <w:rPr>
          <w:sz w:val="20"/>
          <w:szCs w:val="20"/>
          <w:color w:val="auto"/>
        </w:rPr>
      </w:pPr>
      <w:r>
        <w:rPr>
          <w:rFonts w:ascii="Courier New" w:cs="Courier New" w:eastAsia="Courier New" w:hAnsi="Courier New"/>
          <w:sz w:val="16"/>
          <w:szCs w:val="16"/>
          <w:color w:val="auto"/>
        </w:rPr>
        <w:t>In the United Kingdom, major discharges of waste to air, water and land are regulated by the Environment Agency. The Scotts (UK) Ltd. fertilizer facility in Bramford (Suffolk), United Kingdom, is subject to environmental regulation by this Agency. Two manufacturing processes at this facility require process authorizations and previously required a waste management license (discharge to a licensed waste disposal lagoon having ceased in July 1999). The Company expects to surrender the waste management license in consultation with the Environment Agency. In connection with the renewal of an authorization, the Environment Agency has identified the need for remediation of the lagoon, and the potential for remediation of a former landfill at the site. The Company</w:t>
      </w: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139"/>
          </w:cols>
          <w:pgMar w:left="320" w:top="27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ind w:left="840" w:right="2679"/>
        <w:spacing w:after="0" w:line="254" w:lineRule="auto"/>
        <w:rPr>
          <w:sz w:val="20"/>
          <w:szCs w:val="20"/>
          <w:color w:val="auto"/>
        </w:rPr>
      </w:pPr>
      <w:r>
        <w:rPr>
          <w:rFonts w:ascii="Courier New" w:cs="Courier New" w:eastAsia="Courier New" w:hAnsi="Courier New"/>
          <w:sz w:val="16"/>
          <w:szCs w:val="16"/>
          <w:color w:val="auto"/>
        </w:rPr>
        <w:t>intends to comply with the reasonable remediation concerns of the Environment Agency. The Company previously installed an environmental enhancement to the facility to the satisfaction of the Environment Agency and believes that it has adequately addressed the environmental concerns of the Environment Agency regarding emissions to air and groundwater. The Company and the Environment Agency have not agreed on a final plan for remediating the lagoon and the landfill. The Company has reserved for its estimate of the probable loss to be incurred in connection with this matter.</w:t>
      </w:r>
    </w:p>
    <w:p>
      <w:pPr>
        <w:spacing w:after="0" w:line="9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OTHER</w:t>
      </w:r>
    </w:p>
    <w:p>
      <w:pPr>
        <w:spacing w:after="0" w:line="183" w:lineRule="exact"/>
        <w:rPr>
          <w:sz w:val="20"/>
          <w:szCs w:val="20"/>
          <w:color w:val="auto"/>
        </w:rPr>
      </w:pPr>
    </w:p>
    <w:p>
      <w:pPr>
        <w:ind w:left="840" w:right="2579"/>
        <w:spacing w:after="0" w:line="277" w:lineRule="auto"/>
        <w:rPr>
          <w:sz w:val="20"/>
          <w:szCs w:val="20"/>
          <w:color w:val="auto"/>
        </w:rPr>
      </w:pPr>
      <w:r>
        <w:rPr>
          <w:rFonts w:ascii="Courier New" w:cs="Courier New" w:eastAsia="Courier New" w:hAnsi="Courier New"/>
          <w:sz w:val="16"/>
          <w:szCs w:val="16"/>
          <w:color w:val="auto"/>
        </w:rPr>
        <w:t>The Company has determined that quantities of cement containing asbestos material at certain manufacturing facilities in the United Kingdom should be removed. The Company has reserved for the estimate of costs to be incurred for this matter.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139"/>
          </w:cols>
          <w:pgMar w:left="320" w:top="271" w:right="1440" w:bottom="1440" w:gutter="0" w:footer="0" w:header="0"/>
        </w:sectPr>
      </w:pPr>
    </w:p>
    <w:bookmarkStart w:id="14" w:name="page15"/>
    <w:bookmarkEnd w:id="14"/>
    <w:p>
      <w:pPr>
        <w:ind w:left="283"/>
        <w:spacing w:after="0"/>
        <w:rPr>
          <w:sz w:val="20"/>
          <w:szCs w:val="20"/>
          <w:color w:val="auto"/>
        </w:rPr>
      </w:pPr>
      <w:r>
        <w:rPr>
          <w:rFonts w:ascii="Courier New" w:cs="Courier New" w:eastAsia="Courier New" w:hAnsi="Courier New"/>
          <w:sz w:val="16"/>
          <w:szCs w:val="16"/>
          <w:color w:val="auto"/>
        </w:rPr>
        <w:t>15</w:t>
      </w:r>
    </w:p>
    <w:p>
      <w:pPr>
        <w:spacing w:after="0" w:line="29" w:lineRule="exact"/>
        <w:rPr>
          <w:sz w:val="20"/>
          <w:szCs w:val="20"/>
          <w:color w:val="auto"/>
        </w:rPr>
      </w:pPr>
    </w:p>
    <w:p>
      <w:pPr>
        <w:ind w:left="843" w:hanging="843"/>
        <w:spacing w:after="0"/>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PREFERRED STOCK</w:t>
      </w:r>
    </w:p>
    <w:p>
      <w:pPr>
        <w:spacing w:after="0" w:line="154" w:lineRule="exact"/>
        <w:rPr>
          <w:rFonts w:ascii="Courier New" w:cs="Courier New" w:eastAsia="Courier New" w:hAnsi="Courier New"/>
          <w:sz w:val="16"/>
          <w:szCs w:val="16"/>
          <w:color w:val="auto"/>
        </w:rPr>
      </w:pPr>
    </w:p>
    <w:p>
      <w:pPr>
        <w:ind w:left="843" w:right="267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1999, all of the then outstanding Class A Convertible Preferred Shares were converted into 10.1 million common shares. The Company paid the holders of the Preferred Shares $6.4 million. The amount represents the dividends on the Preferred Shares that otherwise would have been payable through May 2000, the month during which the Preferred Shares could first be redeemed by the Company. In fiscal 1999, certain of the Preferred Shares were converted into 0.2 million common shares at the holders option.</w:t>
      </w:r>
    </w:p>
    <w:p>
      <w:pPr>
        <w:spacing w:after="0" w:line="90"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STANDARDS</w:t>
      </w:r>
    </w:p>
    <w:p>
      <w:pPr>
        <w:spacing w:after="0" w:line="182" w:lineRule="exact"/>
        <w:rPr>
          <w:rFonts w:ascii="Courier New" w:cs="Courier New" w:eastAsia="Courier New" w:hAnsi="Courier New"/>
          <w:sz w:val="16"/>
          <w:szCs w:val="16"/>
          <w:color w:val="auto"/>
        </w:rPr>
      </w:pPr>
    </w:p>
    <w:p>
      <w:pPr>
        <w:ind w:left="843" w:right="25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August 1998, the FASB issued SFAS No. 133, "Accounting For Derivative Instruments and Hedging Activities." SFAS NO. 133 (as amended) is effective for fiscal years beginning after June 15, 2000. SFAS No. 133 establishes accounting and reporting standards for derivative instruments and for hedging activities. It requires that an entity recognize all derivatives as either assets or liabilities in the statement of financial position and measure those instruments at fair value. The Company has not yet determined the impact this statement will have on its operating results. The Company plans to adopt SFAS No. 133 in fiscal 2001.</w:t>
      </w:r>
    </w:p>
    <w:p>
      <w:pPr>
        <w:spacing w:after="0" w:line="68" w:lineRule="exact"/>
        <w:rPr>
          <w:rFonts w:ascii="Courier New" w:cs="Courier New" w:eastAsia="Courier New" w:hAnsi="Courier New"/>
          <w:sz w:val="16"/>
          <w:szCs w:val="16"/>
          <w:color w:val="auto"/>
        </w:rPr>
      </w:pPr>
    </w:p>
    <w:p>
      <w:pPr>
        <w:ind w:left="843" w:right="257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1999, the Securities and Exchange Commission issued SEC Staff Accounting Bulletin No. 101, "Revenue Recognition in Financial Statements." This staff accounting bulletin summarizes certain of the staff's views in applying generally accepted accounting principles to revenue recognition in financial statements. The Company believes its annual accounting policies are consistent with the staff's views. The Company will be required, however, to conform its interim period revenue recognition policies for the commission under the Roundup(R) marketing agreement to be consistent with the staff's views. The impact of conforming the Company's interim period revenue recognition policies for the commission under the Roundup(R) marketing agreement will require the Company to defer the recognition of commission earned in interim periods but will not impact the commission earned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142"/>
          </w:cols>
          <w:pgMar w:left="317" w:top="271" w:right="1440" w:bottom="1440" w:gutter="0" w:footer="0" w:header="0"/>
        </w:sectPr>
      </w:pPr>
    </w:p>
    <w:bookmarkStart w:id="15" w:name="page16"/>
    <w:bookmarkEnd w:id="15"/>
    <w:p>
      <w:pPr>
        <w:ind w:left="283"/>
        <w:spacing w:after="0"/>
        <w:rPr>
          <w:sz w:val="20"/>
          <w:szCs w:val="20"/>
          <w:color w:val="auto"/>
        </w:rPr>
      </w:pPr>
      <w:r>
        <w:rPr>
          <w:rFonts w:ascii="Courier New" w:cs="Courier New" w:eastAsia="Courier New" w:hAnsi="Courier New"/>
          <w:sz w:val="16"/>
          <w:szCs w:val="16"/>
          <w:color w:val="auto"/>
        </w:rPr>
        <w:t>16</w:t>
      </w:r>
    </w:p>
    <w:p>
      <w:pPr>
        <w:spacing w:after="0" w:line="200" w:lineRule="exact"/>
        <w:rPr>
          <w:sz w:val="20"/>
          <w:szCs w:val="20"/>
          <w:color w:val="auto"/>
        </w:rPr>
      </w:pPr>
    </w:p>
    <w:p>
      <w:pPr>
        <w:spacing w:after="0" w:line="346" w:lineRule="exact"/>
        <w:rPr>
          <w:sz w:val="20"/>
          <w:szCs w:val="20"/>
          <w:color w:val="auto"/>
        </w:rPr>
      </w:pPr>
    </w:p>
    <w:p>
      <w:pPr>
        <w:ind w:left="843" w:hanging="843"/>
        <w:spacing w:after="0"/>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INFORMATION</w:t>
      </w:r>
    </w:p>
    <w:p>
      <w:pPr>
        <w:spacing w:after="0" w:line="182" w:lineRule="exact"/>
        <w:rPr>
          <w:rFonts w:ascii="Courier New" w:cs="Courier New" w:eastAsia="Courier New" w:hAnsi="Courier New"/>
          <w:sz w:val="16"/>
          <w:szCs w:val="16"/>
          <w:color w:val="auto"/>
        </w:rPr>
      </w:pPr>
    </w:p>
    <w:p>
      <w:pPr>
        <w:ind w:left="843" w:right="2759"/>
        <w:spacing w:after="0" w:line="2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divided into three reportable segments--North American Consumer, Professional and International. The North American Consumer segment consists of the Lawns, Gardens, Growing Media and Ortho business units.</w:t>
      </w:r>
    </w:p>
    <w:p>
      <w:pPr>
        <w:spacing w:after="0" w:line="72" w:lineRule="exact"/>
        <w:rPr>
          <w:rFonts w:ascii="Courier New" w:cs="Courier New" w:eastAsia="Courier New" w:hAnsi="Courier New"/>
          <w:sz w:val="16"/>
          <w:szCs w:val="16"/>
          <w:color w:val="auto"/>
        </w:rPr>
      </w:pPr>
    </w:p>
    <w:p>
      <w:pPr>
        <w:ind w:left="843" w:right="257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90" w:lineRule="exact"/>
        <w:rPr>
          <w:rFonts w:ascii="Courier New" w:cs="Courier New" w:eastAsia="Courier New" w:hAnsi="Courier New"/>
          <w:sz w:val="16"/>
          <w:szCs w:val="16"/>
          <w:color w:val="auto"/>
        </w:rPr>
      </w:pPr>
    </w:p>
    <w:p>
      <w:pPr>
        <w:ind w:left="843" w:right="257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Professional segment is focused on a full line of turf and horticulture products including controlled-release and water-soluble fertilizers and plant protection products, grass seed, spreaders, custom application services and growing media. Products are sold to golf courses, professional baseball, football and soccer stadiums, lawn and landscape service companies, commercial nurseries and greenhouses and specialty crop growers.</w:t>
      </w:r>
    </w:p>
    <w:p>
      <w:pPr>
        <w:spacing w:after="0" w:line="86" w:lineRule="exact"/>
        <w:rPr>
          <w:rFonts w:ascii="Courier New" w:cs="Courier New" w:eastAsia="Courier New" w:hAnsi="Courier New"/>
          <w:sz w:val="16"/>
          <w:szCs w:val="16"/>
          <w:color w:val="auto"/>
        </w:rPr>
      </w:pPr>
    </w:p>
    <w:p>
      <w:pPr>
        <w:ind w:left="843" w:right="2679"/>
        <w:spacing w:after="0" w:line="30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International segment provides a broad range of controlled-release and water-soluble fertilizers and related products, including ornamental horticulture, turf and landscape, and consumer lawn and garden products which are sold to all customer groups mentioned above.</w:t>
      </w:r>
    </w:p>
    <w:p>
      <w:pPr>
        <w:spacing w:after="0" w:line="200" w:lineRule="exact"/>
        <w:rPr>
          <w:sz w:val="20"/>
          <w:szCs w:val="20"/>
          <w:color w:val="auto"/>
        </w:rPr>
      </w:pPr>
    </w:p>
    <w:p>
      <w:pPr>
        <w:spacing w:after="0" w:line="22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142"/>
          </w:cols>
          <w:pgMar w:left="317" w:top="27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29" w:lineRule="exact"/>
        <w:rPr>
          <w:sz w:val="20"/>
          <w:szCs w:val="20"/>
          <w:color w:val="auto"/>
        </w:rPr>
      </w:pPr>
    </w:p>
    <w:p>
      <w:pPr>
        <w:ind w:left="840" w:right="3600"/>
        <w:spacing w:after="0" w:line="253" w:lineRule="auto"/>
        <w:rPr>
          <w:sz w:val="20"/>
          <w:szCs w:val="20"/>
          <w:color w:val="auto"/>
        </w:rPr>
      </w:pPr>
      <w:r>
        <w:rPr>
          <w:rFonts w:ascii="Courier New" w:cs="Courier New" w:eastAsia="Courier New" w:hAnsi="Courier New"/>
          <w:sz w:val="16"/>
          <w:szCs w:val="16"/>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760" w:type="dxa"/>
        <w:tblCellMar>
          <w:top w:w="0" w:type="dxa"/>
          <w:left w:w="0" w:type="dxa"/>
          <w:bottom w:w="0" w:type="dxa"/>
          <w:right w:w="0" w:type="dxa"/>
        </w:tblCellMar>
      </w:tblPr>
      <w:tr>
        <w:trPr>
          <w:trHeight w:val="182"/>
        </w:trPr>
        <w:tc>
          <w:tcPr>
            <w:tcW w:w="268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(in millions)</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N.A.</w:t>
            </w:r>
          </w:p>
        </w:tc>
        <w:tc>
          <w:tcPr>
            <w:tcW w:w="140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PROFESSIONAL</w:t>
            </w:r>
          </w:p>
        </w:tc>
        <w:tc>
          <w:tcPr>
            <w:tcW w:w="1480" w:type="dxa"/>
            <w:vAlign w:val="bottom"/>
            <w:gridSpan w:val="2"/>
            <w:vMerge w:val="restart"/>
          </w:tcPr>
          <w:p>
            <w:pPr>
              <w:jc w:val="right"/>
              <w:ind w:right="21"/>
              <w:spacing w:after="0"/>
              <w:rPr>
                <w:sz w:val="20"/>
                <w:szCs w:val="20"/>
                <w:color w:val="auto"/>
              </w:rPr>
            </w:pPr>
            <w:r>
              <w:rPr>
                <w:rFonts w:ascii="Courier New" w:cs="Courier New" w:eastAsia="Courier New" w:hAnsi="Courier New"/>
                <w:sz w:val="16"/>
                <w:szCs w:val="16"/>
                <w:color w:val="auto"/>
              </w:rPr>
              <w:t>INTERNATIONAL</w:t>
            </w: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320" w:type="dxa"/>
            <w:vAlign w:val="bottom"/>
          </w:tcPr>
          <w:p>
            <w:pPr>
              <w:spacing w:after="0"/>
              <w:rPr>
                <w:sz w:val="15"/>
                <w:szCs w:val="15"/>
                <w:color w:val="auto"/>
              </w:rPr>
            </w:pPr>
          </w:p>
        </w:tc>
        <w:tc>
          <w:tcPr>
            <w:tcW w:w="8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2"/>
        </w:trPr>
        <w:tc>
          <w:tcPr>
            <w:tcW w:w="26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CONSUMER</w:t>
            </w:r>
          </w:p>
        </w:tc>
        <w:tc>
          <w:tcPr>
            <w:tcW w:w="140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6"/>
                <w:szCs w:val="16"/>
                <w:color w:val="auto"/>
              </w:rPr>
              <w:t>CORPORATE</w:t>
            </w: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23"/>
                <w:szCs w:val="23"/>
                <w:color w:val="auto"/>
              </w:rPr>
            </w:pPr>
          </w:p>
        </w:tc>
        <w:tc>
          <w:tcPr>
            <w:tcW w:w="1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3"/>
                <w:szCs w:val="23"/>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68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7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440" w:type="dxa"/>
            <w:vAlign w:val="bottom"/>
            <w:vMerge w:val="restart"/>
          </w:tcPr>
          <w:p>
            <w:pPr>
              <w:ind w:left="3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101.6</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23.6</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66.3</w:t>
            </w:r>
          </w:p>
        </w:tc>
        <w:tc>
          <w:tcPr>
            <w:tcW w:w="128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191.5</w:t>
            </w:r>
          </w:p>
        </w:tc>
        <w:tc>
          <w:tcPr>
            <w:tcW w:w="0" w:type="dxa"/>
            <w:vAlign w:val="bottom"/>
          </w:tcPr>
          <w:p>
            <w:pPr>
              <w:spacing w:after="0"/>
              <w:rPr>
                <w:sz w:val="1"/>
                <w:szCs w:val="1"/>
                <w:color w:val="auto"/>
              </w:rPr>
            </w:pPr>
          </w:p>
        </w:tc>
      </w:tr>
      <w:tr>
        <w:trPr>
          <w:trHeight w:val="182"/>
        </w:trPr>
        <w:tc>
          <w:tcPr>
            <w:tcW w:w="2680" w:type="dxa"/>
            <w:vAlign w:val="bottom"/>
          </w:tcPr>
          <w:p>
            <w:pPr>
              <w:ind w:left="2460"/>
              <w:spacing w:after="0"/>
              <w:rPr>
                <w:sz w:val="20"/>
                <w:szCs w:val="20"/>
                <w:color w:val="auto"/>
              </w:rPr>
            </w:pPr>
            <w:r>
              <w:rPr>
                <w:rFonts w:ascii="Courier New" w:cs="Courier New" w:eastAsia="Courier New" w:hAnsi="Courier New"/>
                <w:sz w:val="16"/>
                <w:szCs w:val="16"/>
                <w:color w:val="auto"/>
              </w:rPr>
              <w:t>Q1</w:t>
            </w: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680" w:type="dxa"/>
            <w:vAlign w:val="bottom"/>
          </w:tcPr>
          <w:p>
            <w:pPr>
              <w:ind w:left="2460"/>
              <w:spacing w:after="0"/>
              <w:rPr>
                <w:sz w:val="20"/>
                <w:szCs w:val="20"/>
                <w:color w:val="auto"/>
              </w:rPr>
            </w:pPr>
            <w:r>
              <w:rPr>
                <w:rFonts w:ascii="Courier New" w:cs="Courier New" w:eastAsia="Courier New" w:hAnsi="Courier New"/>
                <w:sz w:val="16"/>
                <w:szCs w:val="16"/>
                <w:color w:val="auto"/>
              </w:rPr>
              <w:t>Q1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72.8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32.5</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79.1</w:t>
            </w:r>
          </w:p>
        </w:tc>
        <w:tc>
          <w:tcPr>
            <w:tcW w:w="12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184.4</w:t>
            </w:r>
          </w:p>
        </w:tc>
        <w:tc>
          <w:tcPr>
            <w:tcW w:w="0" w:type="dxa"/>
            <w:vAlign w:val="bottom"/>
          </w:tcPr>
          <w:p>
            <w:pPr>
              <w:spacing w:after="0"/>
              <w:rPr>
                <w:sz w:val="1"/>
                <w:szCs w:val="1"/>
                <w:color w:val="auto"/>
              </w:rPr>
            </w:pPr>
          </w:p>
        </w:tc>
      </w:tr>
      <w:tr>
        <w:trPr>
          <w:trHeight w:val="280"/>
        </w:trPr>
        <w:tc>
          <w:tcPr>
            <w:tcW w:w="26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7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440" w:type="dxa"/>
            <w:vAlign w:val="bottom"/>
            <w:vMerge w:val="restart"/>
          </w:tcPr>
          <w:p>
            <w:pPr>
              <w:ind w:left="34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(4.9)</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(0.3)</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(1.9)</w:t>
            </w:r>
          </w:p>
        </w:tc>
        <w:tc>
          <w:tcPr>
            <w:tcW w:w="12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$(19.0)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(26.1)</w:t>
            </w:r>
          </w:p>
        </w:tc>
        <w:tc>
          <w:tcPr>
            <w:tcW w:w="0" w:type="dxa"/>
            <w:vAlign w:val="bottom"/>
          </w:tcPr>
          <w:p>
            <w:pPr>
              <w:spacing w:after="0"/>
              <w:rPr>
                <w:sz w:val="1"/>
                <w:szCs w:val="1"/>
                <w:color w:val="auto"/>
              </w:rPr>
            </w:pPr>
          </w:p>
        </w:tc>
      </w:tr>
      <w:tr>
        <w:trPr>
          <w:trHeight w:val="182"/>
        </w:trPr>
        <w:tc>
          <w:tcPr>
            <w:tcW w:w="2680" w:type="dxa"/>
            <w:vAlign w:val="bottom"/>
          </w:tcPr>
          <w:p>
            <w:pPr>
              <w:ind w:left="2460"/>
              <w:spacing w:after="0"/>
              <w:rPr>
                <w:sz w:val="20"/>
                <w:szCs w:val="20"/>
                <w:color w:val="auto"/>
              </w:rPr>
            </w:pPr>
            <w:r>
              <w:rPr>
                <w:rFonts w:ascii="Courier New" w:cs="Courier New" w:eastAsia="Courier New" w:hAnsi="Courier New"/>
                <w:sz w:val="16"/>
                <w:szCs w:val="16"/>
                <w:color w:val="auto"/>
              </w:rPr>
              <w:t>Q1</w:t>
            </w: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680" w:type="dxa"/>
            <w:vAlign w:val="bottom"/>
          </w:tcPr>
          <w:p>
            <w:pPr>
              <w:ind w:left="2460"/>
              <w:spacing w:after="0"/>
              <w:rPr>
                <w:sz w:val="20"/>
                <w:szCs w:val="20"/>
                <w:color w:val="auto"/>
              </w:rPr>
            </w:pPr>
            <w:r>
              <w:rPr>
                <w:rFonts w:ascii="Courier New" w:cs="Courier New" w:eastAsia="Courier New" w:hAnsi="Courier New"/>
                <w:sz w:val="16"/>
                <w:szCs w:val="16"/>
                <w:color w:val="auto"/>
              </w:rPr>
              <w:t>Q1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spacing w:after="0"/>
              <w:rPr>
                <w:sz w:val="23"/>
                <w:szCs w:val="23"/>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w:t>
            </w:r>
          </w:p>
        </w:tc>
        <w:tc>
          <w:tcPr>
            <w:tcW w:w="420" w:type="dxa"/>
            <w:vAlign w:val="bottom"/>
          </w:tcPr>
          <w:p>
            <w:pPr>
              <w:spacing w:after="0"/>
              <w:rPr>
                <w:sz w:val="23"/>
                <w:szCs w:val="23"/>
                <w:color w:val="auto"/>
              </w:rPr>
            </w:pP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(0.6)</w:t>
            </w:r>
          </w:p>
        </w:tc>
        <w:tc>
          <w:tcPr>
            <w:tcW w:w="5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9.5</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(14.0)</w:t>
            </w:r>
          </w:p>
        </w:tc>
        <w:tc>
          <w:tcPr>
            <w:tcW w:w="32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w:t>
            </w:r>
          </w:p>
        </w:tc>
        <w:tc>
          <w:tcPr>
            <w:tcW w:w="0" w:type="dxa"/>
            <w:vAlign w:val="bottom"/>
          </w:tcPr>
          <w:p>
            <w:pPr>
              <w:spacing w:after="0"/>
              <w:rPr>
                <w:sz w:val="1"/>
                <w:szCs w:val="1"/>
                <w:color w:val="auto"/>
              </w:rPr>
            </w:pPr>
          </w:p>
        </w:tc>
      </w:tr>
      <w:tr>
        <w:trPr>
          <w:trHeight w:val="280"/>
        </w:trPr>
        <w:tc>
          <w:tcPr>
            <w:tcW w:w="2680" w:type="dxa"/>
            <w:vAlign w:val="bottom"/>
          </w:tcPr>
          <w:p>
            <w:pPr>
              <w:spacing w:after="0"/>
              <w:rPr>
                <w:sz w:val="20"/>
                <w:szCs w:val="20"/>
                <w:color w:val="auto"/>
              </w:rPr>
            </w:pPr>
            <w:r>
              <w:rPr>
                <w:rFonts w:ascii="Courier New" w:cs="Courier New" w:eastAsia="Courier New" w:hAnsi="Courier New"/>
                <w:sz w:val="16"/>
                <w:szCs w:val="16"/>
                <w:color w:val="auto"/>
              </w:rPr>
              <w:t>Operating Margin:</w:t>
            </w:r>
          </w:p>
        </w:tc>
        <w:tc>
          <w:tcPr>
            <w:tcW w:w="7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440" w:type="dxa"/>
            <w:vAlign w:val="bottom"/>
          </w:tcPr>
          <w:p>
            <w:pPr>
              <w:spacing w:after="0"/>
              <w:rPr>
                <w:sz w:val="24"/>
                <w:szCs w:val="24"/>
                <w:color w:val="auto"/>
              </w:rPr>
            </w:pPr>
          </w:p>
        </w:tc>
        <w:tc>
          <w:tcPr>
            <w:tcW w:w="90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(4.8%)</w:t>
            </w:r>
          </w:p>
        </w:tc>
        <w:tc>
          <w:tcPr>
            <w:tcW w:w="420" w:type="dxa"/>
            <w:vAlign w:val="bottom"/>
          </w:tcPr>
          <w:p>
            <w:pPr>
              <w:spacing w:after="0"/>
              <w:rPr>
                <w:sz w:val="24"/>
                <w:szCs w:val="24"/>
                <w:color w:val="auto"/>
              </w:rPr>
            </w:pPr>
          </w:p>
        </w:tc>
        <w:tc>
          <w:tcPr>
            <w:tcW w:w="98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(1.3%)</w:t>
            </w:r>
          </w:p>
        </w:tc>
        <w:tc>
          <w:tcPr>
            <w:tcW w:w="520" w:type="dxa"/>
            <w:vAlign w:val="bottom"/>
          </w:tcPr>
          <w:p>
            <w:pPr>
              <w:spacing w:after="0"/>
              <w:rPr>
                <w:sz w:val="24"/>
                <w:szCs w:val="24"/>
                <w:color w:val="auto"/>
              </w:rPr>
            </w:pPr>
          </w:p>
        </w:tc>
        <w:tc>
          <w:tcPr>
            <w:tcW w:w="96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(2.9%)</w:t>
            </w:r>
          </w:p>
        </w:tc>
        <w:tc>
          <w:tcPr>
            <w:tcW w:w="12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nm</w:t>
            </w:r>
          </w:p>
        </w:tc>
        <w:tc>
          <w:tcPr>
            <w:tcW w:w="3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(13.6%)</w:t>
            </w:r>
          </w:p>
        </w:tc>
        <w:tc>
          <w:tcPr>
            <w:tcW w:w="0" w:type="dxa"/>
            <w:vAlign w:val="bottom"/>
          </w:tcPr>
          <w:p>
            <w:pPr>
              <w:spacing w:after="0"/>
              <w:rPr>
                <w:sz w:val="1"/>
                <w:szCs w:val="1"/>
                <w:color w:val="auto"/>
              </w:rPr>
            </w:pPr>
          </w:p>
        </w:tc>
      </w:tr>
      <w:tr>
        <w:trPr>
          <w:trHeight w:val="182"/>
        </w:trPr>
        <w:tc>
          <w:tcPr>
            <w:tcW w:w="2680" w:type="dxa"/>
            <w:vAlign w:val="bottom"/>
          </w:tcPr>
          <w:p>
            <w:pPr>
              <w:ind w:left="2460"/>
              <w:spacing w:after="0"/>
              <w:rPr>
                <w:sz w:val="20"/>
                <w:szCs w:val="20"/>
                <w:color w:val="auto"/>
              </w:rPr>
            </w:pPr>
            <w:r>
              <w:rPr>
                <w:rFonts w:ascii="Courier New" w:cs="Courier New" w:eastAsia="Courier New" w:hAnsi="Courier New"/>
                <w:sz w:val="16"/>
                <w:szCs w:val="16"/>
                <w:color w:val="auto"/>
              </w:rPr>
              <w:t>Q1</w:t>
            </w:r>
          </w:p>
        </w:tc>
        <w:tc>
          <w:tcPr>
            <w:tcW w:w="7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680" w:type="dxa"/>
            <w:vAlign w:val="bottom"/>
          </w:tcPr>
          <w:p>
            <w:pPr>
              <w:ind w:left="2460"/>
              <w:spacing w:after="0"/>
              <w:rPr>
                <w:sz w:val="20"/>
                <w:szCs w:val="20"/>
                <w:color w:val="auto"/>
              </w:rPr>
            </w:pPr>
            <w:r>
              <w:rPr>
                <w:rFonts w:ascii="Courier New" w:cs="Courier New" w:eastAsia="Courier New" w:hAnsi="Courier New"/>
                <w:sz w:val="16"/>
                <w:szCs w:val="16"/>
                <w:color w:val="auto"/>
              </w:rPr>
              <w:t>Q1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spacing w:after="0"/>
              <w:rPr>
                <w:sz w:val="23"/>
                <w:szCs w:val="23"/>
                <w:color w:val="auto"/>
              </w:rPr>
            </w:pPr>
          </w:p>
        </w:tc>
        <w:tc>
          <w:tcPr>
            <w:tcW w:w="9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(2.7%)</w:t>
            </w:r>
          </w:p>
        </w:tc>
        <w:tc>
          <w:tcPr>
            <w:tcW w:w="420" w:type="dxa"/>
            <w:vAlign w:val="bottom"/>
          </w:tcPr>
          <w:p>
            <w:pPr>
              <w:spacing w:after="0"/>
              <w:rPr>
                <w:sz w:val="23"/>
                <w:szCs w:val="23"/>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w:t>
            </w:r>
          </w:p>
        </w:tc>
        <w:tc>
          <w:tcPr>
            <w:tcW w:w="520" w:type="dxa"/>
            <w:vAlign w:val="bottom"/>
          </w:tcPr>
          <w:p>
            <w:pPr>
              <w:spacing w:after="0"/>
              <w:rPr>
                <w:sz w:val="23"/>
                <w:szCs w:val="23"/>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12.0%</w:t>
            </w: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nm</w:t>
            </w:r>
          </w:p>
        </w:tc>
        <w:tc>
          <w:tcPr>
            <w:tcW w:w="3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280"/>
        </w:trPr>
        <w:tc>
          <w:tcPr>
            <w:tcW w:w="26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76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1340" w:type="dxa"/>
            <w:vAlign w:val="bottom"/>
            <w:gridSpan w:val="2"/>
            <w:vMerge w:val="restart"/>
          </w:tcPr>
          <w:p>
            <w:pPr>
              <w:jc w:val="right"/>
              <w:ind w:right="261"/>
              <w:spacing w:after="0"/>
              <w:rPr>
                <w:sz w:val="20"/>
                <w:szCs w:val="20"/>
                <w:color w:val="auto"/>
              </w:rPr>
            </w:pPr>
            <w:r>
              <w:rPr>
                <w:rFonts w:ascii="Courier New" w:cs="Courier New" w:eastAsia="Courier New" w:hAnsi="Courier New"/>
                <w:sz w:val="16"/>
                <w:szCs w:val="16"/>
                <w:color w:val="auto"/>
              </w:rPr>
              <w:t>1,077.7</w:t>
            </w:r>
          </w:p>
        </w:tc>
        <w:tc>
          <w:tcPr>
            <w:tcW w:w="420" w:type="dxa"/>
            <w:vAlign w:val="bottom"/>
          </w:tcPr>
          <w:p>
            <w:pPr>
              <w:spacing w:after="0"/>
              <w:rPr>
                <w:sz w:val="24"/>
                <w:szCs w:val="24"/>
                <w:color w:val="auto"/>
              </w:rPr>
            </w:pPr>
          </w:p>
        </w:tc>
        <w:tc>
          <w:tcPr>
            <w:tcW w:w="9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w w:val="91"/>
              </w:rPr>
              <w:t>200.9</w:t>
            </w:r>
          </w:p>
        </w:tc>
        <w:tc>
          <w:tcPr>
            <w:tcW w:w="520" w:type="dxa"/>
            <w:vAlign w:val="bottom"/>
          </w:tcPr>
          <w:p>
            <w:pPr>
              <w:spacing w:after="0"/>
              <w:rPr>
                <w:sz w:val="24"/>
                <w:szCs w:val="24"/>
                <w:color w:val="auto"/>
              </w:rPr>
            </w:pPr>
          </w:p>
        </w:tc>
        <w:tc>
          <w:tcPr>
            <w:tcW w:w="96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w w:val="95"/>
              </w:rPr>
              <w:t>508.6</w:t>
            </w:r>
          </w:p>
        </w:tc>
        <w:tc>
          <w:tcPr>
            <w:tcW w:w="12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89.6</w:t>
            </w:r>
          </w:p>
        </w:tc>
        <w:tc>
          <w:tcPr>
            <w:tcW w:w="320" w:type="dxa"/>
            <w:vAlign w:val="bottom"/>
          </w:tcPr>
          <w:p>
            <w:pPr>
              <w:spacing w:after="0"/>
              <w:rPr>
                <w:sz w:val="24"/>
                <w:szCs w:val="24"/>
                <w:color w:val="auto"/>
              </w:rPr>
            </w:pP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w w:val="95"/>
              </w:rPr>
              <w:t>1,876.8</w:t>
            </w:r>
          </w:p>
        </w:tc>
        <w:tc>
          <w:tcPr>
            <w:tcW w:w="0" w:type="dxa"/>
            <w:vAlign w:val="bottom"/>
          </w:tcPr>
          <w:p>
            <w:pPr>
              <w:spacing w:after="0"/>
              <w:rPr>
                <w:sz w:val="1"/>
                <w:szCs w:val="1"/>
                <w:color w:val="auto"/>
              </w:rPr>
            </w:pPr>
          </w:p>
        </w:tc>
      </w:tr>
      <w:tr>
        <w:trPr>
          <w:trHeight w:val="182"/>
        </w:trPr>
        <w:tc>
          <w:tcPr>
            <w:tcW w:w="2680" w:type="dxa"/>
            <w:vAlign w:val="bottom"/>
          </w:tcPr>
          <w:p>
            <w:pPr>
              <w:ind w:left="2460"/>
              <w:spacing w:after="0"/>
              <w:rPr>
                <w:sz w:val="20"/>
                <w:szCs w:val="20"/>
                <w:color w:val="auto"/>
              </w:rPr>
            </w:pPr>
            <w:r>
              <w:rPr>
                <w:rFonts w:ascii="Courier New" w:cs="Courier New" w:eastAsia="Courier New" w:hAnsi="Courier New"/>
                <w:sz w:val="16"/>
                <w:szCs w:val="16"/>
                <w:color w:val="auto"/>
              </w:rPr>
              <w:t>Q1</w:t>
            </w:r>
          </w:p>
        </w:tc>
        <w:tc>
          <w:tcPr>
            <w:tcW w:w="76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680" w:type="dxa"/>
            <w:vAlign w:val="bottom"/>
          </w:tcPr>
          <w:p>
            <w:pPr>
              <w:ind w:left="2460"/>
              <w:spacing w:after="0"/>
              <w:rPr>
                <w:sz w:val="20"/>
                <w:szCs w:val="20"/>
                <w:color w:val="auto"/>
              </w:rPr>
            </w:pPr>
            <w:r>
              <w:rPr>
                <w:rFonts w:ascii="Courier New" w:cs="Courier New" w:eastAsia="Courier New" w:hAnsi="Courier New"/>
                <w:sz w:val="16"/>
                <w:szCs w:val="16"/>
                <w:color w:val="auto"/>
              </w:rPr>
              <w:t>Q1</w:t>
            </w:r>
          </w:p>
        </w:tc>
        <w:tc>
          <w:tcPr>
            <w:tcW w:w="7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spacing w:after="0"/>
              <w:rPr>
                <w:sz w:val="23"/>
                <w:szCs w:val="23"/>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661.4</w:t>
            </w:r>
          </w:p>
        </w:tc>
        <w:tc>
          <w:tcPr>
            <w:tcW w:w="420" w:type="dxa"/>
            <w:vAlign w:val="bottom"/>
          </w:tcPr>
          <w:p>
            <w:pPr>
              <w:spacing w:after="0"/>
              <w:rPr>
                <w:sz w:val="23"/>
                <w:szCs w:val="23"/>
                <w:color w:val="auto"/>
              </w:rPr>
            </w:pPr>
          </w:p>
        </w:tc>
        <w:tc>
          <w:tcPr>
            <w:tcW w:w="98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1"/>
              </w:rPr>
              <w:t>194.0</w:t>
            </w:r>
          </w:p>
        </w:tc>
        <w:tc>
          <w:tcPr>
            <w:tcW w:w="520" w:type="dxa"/>
            <w:vAlign w:val="bottom"/>
          </w:tcPr>
          <w:p>
            <w:pPr>
              <w:spacing w:after="0"/>
              <w:rPr>
                <w:sz w:val="23"/>
                <w:szCs w:val="23"/>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535.1</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55.0</w:t>
            </w:r>
          </w:p>
        </w:tc>
        <w:tc>
          <w:tcPr>
            <w:tcW w:w="320" w:type="dxa"/>
            <w:vAlign w:val="bottom"/>
          </w:tcPr>
          <w:p>
            <w:pPr>
              <w:spacing w:after="0"/>
              <w:rPr>
                <w:sz w:val="23"/>
                <w:szCs w:val="23"/>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1,445.5</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760"/>
        <w:spacing w:after="0"/>
        <w:tabs>
          <w:tab w:leader="none" w:pos="1120" w:val="left"/>
        </w:tabs>
        <w:rPr>
          <w:sz w:val="20"/>
          <w:szCs w:val="20"/>
          <w:color w:val="auto"/>
        </w:rPr>
      </w:pPr>
      <w:r>
        <w:rPr>
          <w:rFonts w:ascii="Courier New" w:cs="Courier New" w:eastAsia="Courier New" w:hAnsi="Courier New"/>
          <w:sz w:val="16"/>
          <w:szCs w:val="16"/>
          <w:color w:val="auto"/>
        </w:rPr>
        <w:t>nm</w:t>
        <w:tab/>
        <w:t>Not meaningful.</w:t>
      </w:r>
    </w:p>
    <w:p>
      <w:pPr>
        <w:spacing w:after="0" w:line="200" w:lineRule="exact"/>
        <w:rPr>
          <w:sz w:val="20"/>
          <w:szCs w:val="20"/>
          <w:color w:val="auto"/>
        </w:rPr>
      </w:pPr>
    </w:p>
    <w:p>
      <w:pPr>
        <w:spacing w:after="0" w:line="346" w:lineRule="exact"/>
        <w:rPr>
          <w:sz w:val="20"/>
          <w:szCs w:val="20"/>
          <w:color w:val="auto"/>
        </w:rPr>
      </w:pPr>
    </w:p>
    <w:p>
      <w:pPr>
        <w:ind w:left="840" w:right="3320"/>
        <w:spacing w:after="0" w:line="265" w:lineRule="auto"/>
        <w:rPr>
          <w:sz w:val="20"/>
          <w:szCs w:val="20"/>
          <w:color w:val="auto"/>
        </w:rPr>
      </w:pPr>
      <w:r>
        <w:rPr>
          <w:rFonts w:ascii="Courier New" w:cs="Courier New" w:eastAsia="Courier New" w:hAnsi="Courier New"/>
          <w:sz w:val="15"/>
          <w:szCs w:val="15"/>
          <w:color w:val="auto"/>
        </w:rPr>
        <w:t>Operating loss reported for the Company's three operating segments represents earnings before amortization of intangible assets, interest and taxes, since this is the measure of profitability used by management. Accordingly, Corporate operating loss for the three month periods ended January 1, 2000 and January 2, 1999 includes amortization of certain intangible assets, corporate general and administrative expenses, and certain "other" income/expense not allocated to the business segments. In the first quarter of fiscal 2000, management changed the measure of profitability for the business segments as compared to the method used at September 30, 1999, to include the allocation of certain costs to the business segments which historically were included in corporate costs. Such costs include research and development, administrative and certain "other" income/expense items which could be directly attributable to a business segment. The results shown above for the first quarter of fiscal 1999 have been reclassified to conform to the fiscal 2000 basis of presentation.</w:t>
      </w:r>
    </w:p>
    <w:p>
      <w:pPr>
        <w:spacing w:after="0" w:line="91" w:lineRule="exact"/>
        <w:rPr>
          <w:sz w:val="20"/>
          <w:szCs w:val="20"/>
          <w:color w:val="auto"/>
        </w:rPr>
      </w:pPr>
    </w:p>
    <w:p>
      <w:pPr>
        <w:ind w:left="840" w:right="3320"/>
        <w:spacing w:after="0" w:line="301" w:lineRule="auto"/>
        <w:rPr>
          <w:sz w:val="20"/>
          <w:szCs w:val="20"/>
          <w:color w:val="auto"/>
        </w:rPr>
      </w:pPr>
      <w:r>
        <w:rPr>
          <w:rFonts w:ascii="Courier New" w:cs="Courier New" w:eastAsia="Courier New" w:hAnsi="Courier New"/>
          <w:sz w:val="15"/>
          <w:szCs w:val="15"/>
          <w:color w:val="auto"/>
        </w:rPr>
        <w:t>Total assets reported for the Company's operating segments include the intangible assets for the acquired business within those segments. Corporate assets primarily include deferred financing and debt issuance costs, corporate fixed assets as well as deferred tax assets.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880"/>
          </w:cols>
          <w:pgMar w:left="320" w:top="271" w:right="699" w:bottom="1440" w:gutter="0" w:footer="0" w:header="0"/>
        </w:sectPr>
      </w:pPr>
    </w:p>
    <w:bookmarkStart w:id="17" w:name="page18"/>
    <w:bookmarkEnd w:id="17"/>
    <w:p>
      <w:pPr>
        <w:ind w:left="283"/>
        <w:spacing w:after="0"/>
        <w:rPr>
          <w:sz w:val="20"/>
          <w:szCs w:val="20"/>
          <w:color w:val="auto"/>
        </w:rPr>
      </w:pPr>
      <w:r>
        <w:rPr>
          <w:rFonts w:ascii="Courier New" w:cs="Courier New" w:eastAsia="Courier New" w:hAnsi="Courier New"/>
          <w:sz w:val="16"/>
          <w:szCs w:val="16"/>
          <w:color w:val="auto"/>
        </w:rPr>
        <w:t>18</w:t>
      </w:r>
    </w:p>
    <w:p>
      <w:pPr>
        <w:spacing w:after="0" w:line="364" w:lineRule="exact"/>
        <w:rPr>
          <w:sz w:val="20"/>
          <w:szCs w:val="20"/>
          <w:color w:val="auto"/>
        </w:rPr>
      </w:pPr>
    </w:p>
    <w:p>
      <w:pPr>
        <w:ind w:left="843" w:right="2579" w:hanging="843"/>
        <w:spacing w:after="0" w:line="328" w:lineRule="auto"/>
        <w:tabs>
          <w:tab w:leader="none" w:pos="84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FOR SUBSIDIARY GUARANTORS AND NON-GUARANTORS In January 1999, the Company issued $330 million of 8 5/8% Senior Subordinated Notes due 2009 to qualified institutional buyers under the provisions of Rule 144A of the Securities Act of 1993. The Company intends to register these Notes under the Securities Act.</w:t>
      </w:r>
    </w:p>
    <w:p>
      <w:pPr>
        <w:spacing w:after="0" w:line="34" w:lineRule="exact"/>
        <w:rPr>
          <w:rFonts w:ascii="Courier New" w:cs="Courier New" w:eastAsia="Courier New" w:hAnsi="Courier New"/>
          <w:sz w:val="16"/>
          <w:szCs w:val="16"/>
          <w:color w:val="auto"/>
        </w:rPr>
      </w:pPr>
    </w:p>
    <w:p>
      <w:pPr>
        <w:ind w:left="843" w:right="2679"/>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are general obligations of the Company and are guaranteed by all of the existing and future wholly-owned and significant domestic subsidiaries of the Company. The following unaudited information presents consolidating Statements of Operations, Statements of Cash Flows and Balance Sheets for the three month periods ended January 1, 2000 and January 2,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142"/>
          </w:cols>
          <w:pgMar w:left="317" w:top="27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JANUARY 1, 2000 (in millions)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18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PARENT AND</w:t>
            </w:r>
          </w:p>
        </w:tc>
        <w:tc>
          <w:tcPr>
            <w:tcW w:w="118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NON-</w:t>
            </w: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8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SUBSIDIARY</w:t>
            </w:r>
          </w:p>
        </w:tc>
        <w:tc>
          <w:tcPr>
            <w:tcW w:w="1180" w:type="dxa"/>
            <w:vAlign w:val="bottom"/>
            <w:vMerge w:val="continue"/>
          </w:tcPr>
          <w:p>
            <w:pPr>
              <w:spacing w:after="0"/>
              <w:rPr>
                <w:sz w:val="15"/>
                <w:szCs w:val="15"/>
                <w:color w:val="auto"/>
              </w:rPr>
            </w:pPr>
          </w:p>
        </w:tc>
        <w:tc>
          <w:tcPr>
            <w:tcW w:w="13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ELIMINATIONS</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8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GUARANTORS</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GUARANTORS</w:t>
            </w:r>
          </w:p>
        </w:tc>
        <w:tc>
          <w:tcPr>
            <w:tcW w:w="13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8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2"/>
        </w:trPr>
        <w:tc>
          <w:tcPr>
            <w:tcW w:w="478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$122.4</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$ 69.1</w:t>
            </w:r>
          </w:p>
        </w:tc>
        <w:tc>
          <w:tcPr>
            <w:tcW w:w="1320" w:type="dxa"/>
            <w:vAlign w:val="bottom"/>
          </w:tcPr>
          <w:p>
            <w:pPr>
              <w:spacing w:after="0"/>
              <w:rPr>
                <w:sz w:val="24"/>
                <w:szCs w:val="24"/>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$191.5</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79.0</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38.6</w:t>
            </w:r>
          </w:p>
        </w:tc>
        <w:tc>
          <w:tcPr>
            <w:tcW w:w="13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117.6</w:t>
            </w: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780" w:type="dxa"/>
            <w:vAlign w:val="bottom"/>
            <w:vMerge w:val="continue"/>
          </w:tcPr>
          <w:p>
            <w:pPr>
              <w:spacing w:after="0"/>
              <w:rPr>
                <w:sz w:val="23"/>
                <w:szCs w:val="23"/>
                <w:color w:val="auto"/>
              </w:rPr>
            </w:pP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43.4</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30.5</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73.9</w:t>
            </w:r>
          </w:p>
        </w:tc>
        <w:tc>
          <w:tcPr>
            <w:tcW w:w="0" w:type="dxa"/>
            <w:vAlign w:val="bottom"/>
          </w:tcPr>
          <w:p>
            <w:pPr>
              <w:spacing w:after="0"/>
              <w:rPr>
                <w:sz w:val="1"/>
                <w:szCs w:val="1"/>
                <w:color w:val="auto"/>
              </w:rPr>
            </w:pPr>
          </w:p>
        </w:tc>
      </w:tr>
      <w:tr>
        <w:trPr>
          <w:trHeight w:val="364"/>
        </w:trPr>
        <w:tc>
          <w:tcPr>
            <w:tcW w:w="4780" w:type="dxa"/>
            <w:vAlign w:val="bottom"/>
          </w:tcPr>
          <w:p>
            <w:pPr>
              <w:spacing w:after="0"/>
              <w:rPr>
                <w:sz w:val="20"/>
                <w:szCs w:val="20"/>
                <w:color w:val="auto"/>
              </w:rPr>
            </w:pPr>
            <w:r>
              <w:rPr>
                <w:rFonts w:ascii="Courier New" w:cs="Courier New" w:eastAsia="Courier New" w:hAnsi="Courier New"/>
                <w:sz w:val="16"/>
                <w:szCs w:val="16"/>
                <w:color w:val="auto"/>
              </w:rPr>
              <w:t>Commission earned for agency agreement, net</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8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14.8</w:t>
            </w:r>
          </w:p>
        </w:tc>
        <w:tc>
          <w:tcPr>
            <w:tcW w:w="11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8.9</w:t>
            </w:r>
          </w:p>
        </w:tc>
        <w:tc>
          <w:tcPr>
            <w:tcW w:w="1320" w:type="dxa"/>
            <w:vAlign w:val="bottom"/>
          </w:tcPr>
          <w:p>
            <w:pPr>
              <w:spacing w:after="0"/>
              <w:rPr>
                <w:sz w:val="24"/>
                <w:szCs w:val="24"/>
                <w:color w:val="auto"/>
              </w:rPr>
            </w:pPr>
          </w:p>
        </w:tc>
        <w:tc>
          <w:tcPr>
            <w:tcW w:w="12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23.7</w:t>
            </w:r>
          </w:p>
        </w:tc>
        <w:tc>
          <w:tcPr>
            <w:tcW w:w="0" w:type="dxa"/>
            <w:vAlign w:val="bottom"/>
          </w:tcPr>
          <w:p>
            <w:pPr>
              <w:spacing w:after="0"/>
              <w:rPr>
                <w:sz w:val="1"/>
                <w:szCs w:val="1"/>
                <w:color w:val="auto"/>
              </w:rPr>
            </w:pPr>
          </w:p>
        </w:tc>
      </w:tr>
      <w:tr>
        <w:trPr>
          <w:trHeight w:val="182"/>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Advertising and promotion</w:t>
            </w: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Selling, general and administration</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44.0</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24.1</w:t>
            </w:r>
          </w:p>
        </w:tc>
        <w:tc>
          <w:tcPr>
            <w:tcW w:w="132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68.1</w:t>
            </w:r>
          </w:p>
        </w:tc>
        <w:tc>
          <w:tcPr>
            <w:tcW w:w="0" w:type="dxa"/>
            <w:vAlign w:val="bottom"/>
          </w:tcPr>
          <w:p>
            <w:pPr>
              <w:spacing w:after="0"/>
              <w:rPr>
                <w:sz w:val="1"/>
                <w:szCs w:val="1"/>
                <w:color w:val="auto"/>
              </w:rPr>
            </w:pPr>
          </w:p>
        </w:tc>
      </w:tr>
      <w:tr>
        <w:trPr>
          <w:trHeight w:val="182"/>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or goodwill and other</w:t>
            </w:r>
          </w:p>
        </w:tc>
        <w:tc>
          <w:tcPr>
            <w:tcW w:w="18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3.6</w:t>
            </w:r>
          </w:p>
        </w:tc>
        <w:tc>
          <w:tcPr>
            <w:tcW w:w="11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2.3</w:t>
            </w:r>
          </w:p>
        </w:tc>
        <w:tc>
          <w:tcPr>
            <w:tcW w:w="1320" w:type="dxa"/>
            <w:vAlign w:val="bottom"/>
          </w:tcPr>
          <w:p>
            <w:pPr>
              <w:spacing w:after="0"/>
              <w:rPr>
                <w:sz w:val="15"/>
                <w:szCs w:val="15"/>
                <w:color w:val="auto"/>
              </w:rPr>
            </w:pPr>
          </w:p>
        </w:tc>
        <w:tc>
          <w:tcPr>
            <w:tcW w:w="12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intangibles</w:t>
            </w:r>
          </w:p>
        </w:tc>
        <w:tc>
          <w:tcPr>
            <w:tcW w:w="18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Restructuring and other changes</w:t>
            </w:r>
          </w:p>
        </w:tc>
        <w:tc>
          <w:tcPr>
            <w:tcW w:w="18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7.2</w:t>
            </w:r>
          </w:p>
        </w:tc>
        <w:tc>
          <w:tcPr>
            <w:tcW w:w="1180" w:type="dxa"/>
            <w:vAlign w:val="bottom"/>
          </w:tcPr>
          <w:p>
            <w:pPr>
              <w:spacing w:after="0"/>
              <w:rPr>
                <w:sz w:val="15"/>
                <w:szCs w:val="15"/>
                <w:color w:val="auto"/>
              </w:rPr>
            </w:pPr>
          </w:p>
        </w:tc>
        <w:tc>
          <w:tcPr>
            <w:tcW w:w="13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(7.2)</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Equity income in non-guarantors</w:t>
            </w:r>
          </w:p>
        </w:tc>
        <w:tc>
          <w:tcPr>
            <w:tcW w:w="1800" w:type="dxa"/>
            <w:vAlign w:val="bottom"/>
            <w:vMerge w:val="continue"/>
          </w:tcPr>
          <w:p>
            <w:pPr>
              <w:spacing w:after="0"/>
              <w:rPr>
                <w:sz w:val="15"/>
                <w:szCs w:val="15"/>
                <w:color w:val="auto"/>
              </w:rPr>
            </w:pPr>
          </w:p>
        </w:tc>
        <w:tc>
          <w:tcPr>
            <w:tcW w:w="118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1.3</w:t>
            </w:r>
          </w:p>
        </w:tc>
        <w:tc>
          <w:tcPr>
            <w:tcW w:w="1320" w:type="dxa"/>
            <w:vAlign w:val="bottom"/>
            <w:vMerge w:val="continue"/>
          </w:tcPr>
          <w:p>
            <w:pPr>
              <w:spacing w:after="0"/>
              <w:rPr>
                <w:sz w:val="15"/>
                <w:szCs w:val="15"/>
                <w:color w:val="auto"/>
              </w:rPr>
            </w:pPr>
          </w:p>
        </w:tc>
        <w:tc>
          <w:tcPr>
            <w:tcW w:w="12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Intracompany allocations</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w:t>
            </w:r>
          </w:p>
        </w:tc>
        <w:tc>
          <w:tcPr>
            <w:tcW w:w="11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100"/>
              <w:spacing w:after="0"/>
              <w:rPr>
                <w:sz w:val="20"/>
                <w:szCs w:val="20"/>
                <w:color w:val="auto"/>
              </w:rPr>
            </w:pPr>
            <w:r>
              <w:rPr>
                <w:rFonts w:ascii="Courier New" w:cs="Courier New" w:eastAsia="Courier New" w:hAnsi="Courier New"/>
                <w:sz w:val="16"/>
                <w:szCs w:val="16"/>
                <w:color w:val="auto"/>
              </w:rPr>
              <w:t>Other expense (income), net</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(0.1)</w:t>
            </w:r>
          </w:p>
        </w:tc>
        <w:tc>
          <w:tcPr>
            <w:tcW w:w="13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from operations</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(27.3)</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(26.1)</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17.5</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6.2</w:t>
            </w:r>
          </w:p>
        </w:tc>
        <w:tc>
          <w:tcPr>
            <w:tcW w:w="13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23.7</w:t>
            </w: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(44.8)</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(12.2)</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(49.8)</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(15.2)</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w:t>
            </w:r>
          </w:p>
        </w:tc>
        <w:tc>
          <w:tcPr>
            <w:tcW w:w="132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(20.2)</w:t>
            </w: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continue"/>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1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(29.6)</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(29.6)</w:t>
            </w: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18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300"/>
          </w:cols>
          <w:pgMar w:left="320" w:top="271" w:right="1279"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 PERIOD ENDED JANUARY 1, 2000 (in millions)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16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PARENT AND</w:t>
            </w:r>
          </w:p>
        </w:tc>
        <w:tc>
          <w:tcPr>
            <w:tcW w:w="560" w:type="dxa"/>
            <w:vAlign w:val="bottom"/>
          </w:tcPr>
          <w:p>
            <w:pPr>
              <w:spacing w:after="0"/>
              <w:rPr>
                <w:sz w:val="15"/>
                <w:szCs w:val="15"/>
                <w:color w:val="auto"/>
              </w:rPr>
            </w:pPr>
          </w:p>
        </w:tc>
        <w:tc>
          <w:tcPr>
            <w:tcW w:w="10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NON-</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16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SUBSIDIARY</w:t>
            </w: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0" w:type="dxa"/>
            <w:vAlign w:val="bottom"/>
            <w:gridSpan w:val="2"/>
            <w:vMerge w:val="restart"/>
          </w:tcPr>
          <w:p>
            <w:pPr>
              <w:jc w:val="right"/>
              <w:ind w:right="161"/>
              <w:spacing w:after="0"/>
              <w:rPr>
                <w:sz w:val="20"/>
                <w:szCs w:val="20"/>
                <w:color w:val="auto"/>
              </w:rPr>
            </w:pPr>
            <w:r>
              <w:rPr>
                <w:rFonts w:ascii="Courier New" w:cs="Courier New" w:eastAsia="Courier New" w:hAnsi="Courier New"/>
                <w:sz w:val="16"/>
                <w:szCs w:val="16"/>
                <w:color w:val="auto"/>
              </w:rPr>
              <w:t>ELIMINATIONS</w:t>
            </w:r>
          </w:p>
        </w:tc>
        <w:tc>
          <w:tcPr>
            <w:tcW w:w="13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2"/>
        </w:trPr>
        <w:tc>
          <w:tcPr>
            <w:tcW w:w="4300" w:type="dxa"/>
            <w:vAlign w:val="bottom"/>
          </w:tcPr>
          <w:p>
            <w:pPr>
              <w:spacing w:after="0"/>
              <w:rPr>
                <w:sz w:val="15"/>
                <w:szCs w:val="15"/>
                <w:color w:val="auto"/>
              </w:rPr>
            </w:pPr>
          </w:p>
        </w:tc>
        <w:tc>
          <w:tcPr>
            <w:tcW w:w="16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GUARANTORS</w:t>
            </w:r>
          </w:p>
        </w:tc>
        <w:tc>
          <w:tcPr>
            <w:tcW w:w="15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GUARANTORS</w:t>
            </w:r>
          </w:p>
        </w:tc>
        <w:tc>
          <w:tcPr>
            <w:tcW w:w="160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16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62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(29.6)</w:t>
            </w:r>
          </w:p>
        </w:tc>
        <w:tc>
          <w:tcPr>
            <w:tcW w:w="56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(7.2)</w:t>
            </w:r>
          </w:p>
        </w:tc>
        <w:tc>
          <w:tcPr>
            <w:tcW w:w="66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7.2</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(29.6)</w:t>
            </w: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Net loss</w:t>
            </w:r>
          </w:p>
        </w:tc>
        <w:tc>
          <w:tcPr>
            <w:tcW w:w="6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loss</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560"/>
              <w:spacing w:after="0"/>
              <w:rPr>
                <w:sz w:val="20"/>
                <w:szCs w:val="20"/>
                <w:color w:val="auto"/>
              </w:rPr>
            </w:pPr>
            <w:r>
              <w:rPr>
                <w:rFonts w:ascii="Courier New" w:cs="Courier New" w:eastAsia="Courier New" w:hAnsi="Courier New"/>
                <w:sz w:val="16"/>
                <w:szCs w:val="16"/>
                <w:color w:val="auto"/>
              </w:rPr>
              <w:t>to net cash used in operating</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560"/>
              <w:spacing w:after="0"/>
              <w:rPr>
                <w:sz w:val="20"/>
                <w:szCs w:val="20"/>
                <w:color w:val="auto"/>
              </w:rPr>
            </w:pPr>
            <w:r>
              <w:rPr>
                <w:rFonts w:ascii="Courier New" w:cs="Courier New" w:eastAsia="Courier New" w:hAnsi="Courier New"/>
                <w:sz w:val="16"/>
                <w:szCs w:val="16"/>
                <w:color w:val="auto"/>
              </w:rPr>
              <w:t>activities:</w:t>
            </w:r>
          </w:p>
        </w:tc>
        <w:tc>
          <w:tcPr>
            <w:tcW w:w="62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11.3</w:t>
            </w:r>
          </w:p>
        </w:tc>
        <w:tc>
          <w:tcPr>
            <w:tcW w:w="56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3.7</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15.0</w:t>
            </w: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(7.2)</w:t>
            </w: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Equity income in non-guarantors</w:t>
            </w:r>
          </w:p>
        </w:tc>
        <w:tc>
          <w:tcPr>
            <w:tcW w:w="62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7.2</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Net Change in certain components of</w:t>
            </w:r>
          </w:p>
        </w:tc>
        <w:tc>
          <w:tcPr>
            <w:tcW w:w="62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(133.2)</w:t>
            </w:r>
          </w:p>
        </w:tc>
        <w:tc>
          <w:tcPr>
            <w:tcW w:w="560" w:type="dxa"/>
            <w:vAlign w:val="bottom"/>
          </w:tcPr>
          <w:p>
            <w:pPr>
              <w:spacing w:after="0"/>
              <w:rPr>
                <w:sz w:val="15"/>
                <w:szCs w:val="15"/>
                <w:color w:val="auto"/>
              </w:rPr>
            </w:pP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(16.9)</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(150.1)</w:t>
            </w:r>
          </w:p>
        </w:tc>
        <w:tc>
          <w:tcPr>
            <w:tcW w:w="0" w:type="dxa"/>
            <w:vAlign w:val="bottom"/>
          </w:tcPr>
          <w:p>
            <w:pPr>
              <w:spacing w:after="0"/>
              <w:rPr>
                <w:sz w:val="1"/>
                <w:szCs w:val="1"/>
                <w:color w:val="auto"/>
              </w:rPr>
            </w:pPr>
          </w:p>
        </w:tc>
      </w:tr>
      <w:tr>
        <w:trPr>
          <w:trHeight w:val="182"/>
        </w:trPr>
        <w:tc>
          <w:tcPr>
            <w:tcW w:w="4300" w:type="dxa"/>
            <w:vAlign w:val="bottom"/>
          </w:tcPr>
          <w:p>
            <w:pPr>
              <w:ind w:left="560"/>
              <w:spacing w:after="0"/>
              <w:rPr>
                <w:sz w:val="20"/>
                <w:szCs w:val="20"/>
                <w:color w:val="auto"/>
              </w:rPr>
            </w:pPr>
            <w:r>
              <w:rPr>
                <w:rFonts w:ascii="Courier New" w:cs="Courier New" w:eastAsia="Courier New" w:hAnsi="Courier New"/>
                <w:sz w:val="16"/>
                <w:szCs w:val="16"/>
                <w:color w:val="auto"/>
              </w:rPr>
              <w:t>working capital</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Net changes in other assets and</w:t>
            </w:r>
          </w:p>
        </w:tc>
        <w:tc>
          <w:tcPr>
            <w:tcW w:w="62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2.4</w:t>
            </w:r>
          </w:p>
        </w:tc>
        <w:tc>
          <w:tcPr>
            <w:tcW w:w="560" w:type="dxa"/>
            <w:vAlign w:val="bottom"/>
          </w:tcPr>
          <w:p>
            <w:pPr>
              <w:spacing w:after="0"/>
              <w:rPr>
                <w:sz w:val="15"/>
                <w:szCs w:val="15"/>
                <w:color w:val="auto"/>
              </w:rPr>
            </w:pP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(7.0)</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(4.6)</w:t>
            </w:r>
          </w:p>
        </w:tc>
        <w:tc>
          <w:tcPr>
            <w:tcW w:w="0" w:type="dxa"/>
            <w:vAlign w:val="bottom"/>
          </w:tcPr>
          <w:p>
            <w:pPr>
              <w:spacing w:after="0"/>
              <w:rPr>
                <w:sz w:val="1"/>
                <w:szCs w:val="1"/>
                <w:color w:val="auto"/>
              </w:rPr>
            </w:pPr>
          </w:p>
        </w:tc>
      </w:tr>
      <w:tr>
        <w:trPr>
          <w:trHeight w:val="182"/>
        </w:trPr>
        <w:tc>
          <w:tcPr>
            <w:tcW w:w="4300" w:type="dxa"/>
            <w:vAlign w:val="bottom"/>
          </w:tcPr>
          <w:p>
            <w:pPr>
              <w:ind w:left="560"/>
              <w:spacing w:after="0"/>
              <w:rPr>
                <w:sz w:val="20"/>
                <w:szCs w:val="20"/>
                <w:color w:val="auto"/>
              </w:rPr>
            </w:pPr>
            <w:r>
              <w:rPr>
                <w:rFonts w:ascii="Courier New" w:cs="Courier New" w:eastAsia="Courier New" w:hAnsi="Courier New"/>
                <w:sz w:val="16"/>
                <w:szCs w:val="16"/>
                <w:color w:val="auto"/>
              </w:rPr>
              <w:t>liabilities and other adjustments</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0" w:type="dxa"/>
            <w:vAlign w:val="bottom"/>
            <w:gridSpan w:val="2"/>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operating activities</w:t>
            </w: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vMerge w:val="continue"/>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(141.9)</w:t>
            </w:r>
          </w:p>
        </w:tc>
        <w:tc>
          <w:tcPr>
            <w:tcW w:w="5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(27.4)</w:t>
            </w:r>
          </w:p>
        </w:tc>
        <w:tc>
          <w:tcPr>
            <w:tcW w:w="660" w:type="dxa"/>
            <w:vAlign w:val="bottom"/>
          </w:tcPr>
          <w:p>
            <w:pPr>
              <w:spacing w:after="0"/>
              <w:rPr>
                <w:sz w:val="15"/>
                <w:szCs w:val="15"/>
                <w:color w:val="auto"/>
              </w:rPr>
            </w:pP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(169.3)</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Investment in property, plant</w:t>
            </w:r>
          </w:p>
        </w:tc>
        <w:tc>
          <w:tcPr>
            <w:tcW w:w="62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(5.6)</w:t>
            </w:r>
          </w:p>
        </w:tc>
        <w:tc>
          <w:tcPr>
            <w:tcW w:w="560" w:type="dxa"/>
            <w:vAlign w:val="bottom"/>
          </w:tcPr>
          <w:p>
            <w:pPr>
              <w:spacing w:after="0"/>
              <w:rPr>
                <w:sz w:val="15"/>
                <w:szCs w:val="15"/>
                <w:color w:val="auto"/>
              </w:rPr>
            </w:pP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(1.6)</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(7.2)</w:t>
            </w:r>
          </w:p>
        </w:tc>
        <w:tc>
          <w:tcPr>
            <w:tcW w:w="0" w:type="dxa"/>
            <w:vAlign w:val="bottom"/>
          </w:tcPr>
          <w:p>
            <w:pPr>
              <w:spacing w:after="0"/>
              <w:rPr>
                <w:sz w:val="1"/>
                <w:szCs w:val="1"/>
                <w:color w:val="auto"/>
              </w:rPr>
            </w:pPr>
          </w:p>
        </w:tc>
      </w:tr>
      <w:tr>
        <w:trPr>
          <w:trHeight w:val="182"/>
        </w:trPr>
        <w:tc>
          <w:tcPr>
            <w:tcW w:w="4300" w:type="dxa"/>
            <w:vAlign w:val="bottom"/>
          </w:tcPr>
          <w:p>
            <w:pPr>
              <w:ind w:left="560"/>
              <w:spacing w:after="0"/>
              <w:rPr>
                <w:sz w:val="20"/>
                <w:szCs w:val="20"/>
                <w:color w:val="auto"/>
              </w:rPr>
            </w:pPr>
            <w:r>
              <w:rPr>
                <w:rFonts w:ascii="Courier New" w:cs="Courier New" w:eastAsia="Courier New" w:hAnsi="Courier New"/>
                <w:sz w:val="16"/>
                <w:szCs w:val="16"/>
                <w:color w:val="auto"/>
              </w:rPr>
              <w:t>and equipment</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7.1</w:t>
            </w: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non-guarantors</w:t>
            </w:r>
          </w:p>
        </w:tc>
        <w:tc>
          <w:tcPr>
            <w:tcW w:w="6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w:t>
            </w:r>
          </w:p>
        </w:tc>
        <w:tc>
          <w:tcPr>
            <w:tcW w:w="1560" w:type="dxa"/>
            <w:vAlign w:val="bottom"/>
            <w:gridSpan w:val="2"/>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vMerge w:val="continue"/>
          </w:tcPr>
          <w:p>
            <w:pPr>
              <w:spacing w:after="0"/>
              <w:rPr>
                <w:sz w:val="15"/>
                <w:szCs w:val="15"/>
                <w:color w:val="auto"/>
              </w:rPr>
            </w:pPr>
          </w:p>
        </w:tc>
        <w:tc>
          <w:tcPr>
            <w:tcW w:w="16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(12.7)</w:t>
            </w:r>
          </w:p>
        </w:tc>
        <w:tc>
          <w:tcPr>
            <w:tcW w:w="5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w:t>
            </w:r>
          </w:p>
        </w:tc>
        <w:tc>
          <w:tcPr>
            <w:tcW w:w="660" w:type="dxa"/>
            <w:vAlign w:val="bottom"/>
          </w:tcPr>
          <w:p>
            <w:pPr>
              <w:spacing w:after="0"/>
              <w:rPr>
                <w:sz w:val="15"/>
                <w:szCs w:val="15"/>
                <w:color w:val="auto"/>
              </w:rPr>
            </w:pPr>
          </w:p>
        </w:tc>
        <w:tc>
          <w:tcPr>
            <w:tcW w:w="9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7.1</w:t>
            </w:r>
          </w:p>
        </w:tc>
        <w:tc>
          <w:tcPr>
            <w:tcW w:w="48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Net borrowings under revolving and bank</w:t>
            </w:r>
          </w:p>
        </w:tc>
        <w:tc>
          <w:tcPr>
            <w:tcW w:w="62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174.5</w:t>
            </w:r>
          </w:p>
        </w:tc>
        <w:tc>
          <w:tcPr>
            <w:tcW w:w="56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27.6</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202.1</w:t>
            </w:r>
          </w:p>
        </w:tc>
        <w:tc>
          <w:tcPr>
            <w:tcW w:w="0" w:type="dxa"/>
            <w:vAlign w:val="bottom"/>
          </w:tcPr>
          <w:p>
            <w:pPr>
              <w:spacing w:after="0"/>
              <w:rPr>
                <w:sz w:val="1"/>
                <w:szCs w:val="1"/>
                <w:color w:val="auto"/>
              </w:rPr>
            </w:pPr>
          </w:p>
        </w:tc>
      </w:tr>
      <w:tr>
        <w:trPr>
          <w:trHeight w:val="182"/>
        </w:trPr>
        <w:tc>
          <w:tcPr>
            <w:tcW w:w="4300" w:type="dxa"/>
            <w:vAlign w:val="bottom"/>
          </w:tcPr>
          <w:p>
            <w:pPr>
              <w:ind w:left="480"/>
              <w:spacing w:after="0"/>
              <w:rPr>
                <w:sz w:val="20"/>
                <w:szCs w:val="20"/>
                <w:color w:val="auto"/>
              </w:rPr>
            </w:pPr>
            <w:r>
              <w:rPr>
                <w:rFonts w:ascii="Courier New" w:cs="Courier New" w:eastAsia="Courier New" w:hAnsi="Courier New"/>
                <w:sz w:val="16"/>
                <w:szCs w:val="16"/>
                <w:color w:val="auto"/>
              </w:rPr>
              <w:t>lines of credit</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Gross borrowings under term loans</w:t>
            </w:r>
          </w:p>
        </w:tc>
        <w:tc>
          <w:tcPr>
            <w:tcW w:w="62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(0.5)</w:t>
            </w:r>
          </w:p>
        </w:tc>
        <w:tc>
          <w:tcPr>
            <w:tcW w:w="560" w:type="dxa"/>
            <w:vAlign w:val="bottom"/>
          </w:tcPr>
          <w:p>
            <w:pPr>
              <w:spacing w:after="0"/>
              <w:rPr>
                <w:sz w:val="15"/>
                <w:szCs w:val="15"/>
                <w:color w:val="auto"/>
              </w:rPr>
            </w:pPr>
          </w:p>
        </w:tc>
        <w:tc>
          <w:tcPr>
            <w:tcW w:w="1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(5.8)</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Gross repayments under term loans</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Dividends on Class A Convertible</w:t>
            </w:r>
          </w:p>
        </w:tc>
        <w:tc>
          <w:tcPr>
            <w:tcW w:w="62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(6.4)</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2"/>
        </w:trPr>
        <w:tc>
          <w:tcPr>
            <w:tcW w:w="4300" w:type="dxa"/>
            <w:vAlign w:val="bottom"/>
          </w:tcPr>
          <w:p>
            <w:pPr>
              <w:ind w:left="480"/>
              <w:spacing w:after="0"/>
              <w:rPr>
                <w:sz w:val="20"/>
                <w:szCs w:val="20"/>
                <w:color w:val="auto"/>
              </w:rPr>
            </w:pPr>
            <w:r>
              <w:rPr>
                <w:rFonts w:ascii="Courier New" w:cs="Courier New" w:eastAsia="Courier New" w:hAnsi="Courier New"/>
                <w:sz w:val="16"/>
                <w:szCs w:val="16"/>
                <w:color w:val="auto"/>
              </w:rPr>
              <w:t>Preferred Stock</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Repurchase of treasury shares</w:t>
            </w:r>
          </w:p>
        </w:tc>
        <w:tc>
          <w:tcPr>
            <w:tcW w:w="6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(21.0)</w:t>
            </w:r>
          </w:p>
        </w:tc>
        <w:tc>
          <w:tcPr>
            <w:tcW w:w="56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7.1</w:t>
            </w:r>
          </w:p>
        </w:tc>
        <w:tc>
          <w:tcPr>
            <w:tcW w:w="660" w:type="dxa"/>
            <w:vAlign w:val="bottom"/>
          </w:tcPr>
          <w:p>
            <w:pPr>
              <w:spacing w:after="0"/>
              <w:rPr>
                <w:sz w:val="15"/>
                <w:szCs w:val="15"/>
                <w:color w:val="auto"/>
              </w:rPr>
            </w:pPr>
          </w:p>
        </w:tc>
        <w:tc>
          <w:tcPr>
            <w:tcW w:w="9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(7.1)</w:t>
            </w:r>
          </w:p>
        </w:tc>
        <w:tc>
          <w:tcPr>
            <w:tcW w:w="48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(21.0)</w:t>
            </w: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Investments from parent</w:t>
            </w:r>
          </w:p>
        </w:tc>
        <w:tc>
          <w:tcPr>
            <w:tcW w:w="62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0.2</w:t>
            </w: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2"/>
        </w:trPr>
        <w:tc>
          <w:tcPr>
            <w:tcW w:w="4300" w:type="dxa"/>
            <w:vAlign w:val="bottom"/>
          </w:tcPr>
          <w:p>
            <w:pPr>
              <w:ind w:left="180"/>
              <w:spacing w:after="0"/>
              <w:rPr>
                <w:sz w:val="20"/>
                <w:szCs w:val="20"/>
                <w:color w:val="auto"/>
              </w:rPr>
            </w:pPr>
            <w:r>
              <w:rPr>
                <w:rFonts w:ascii="Courier New" w:cs="Courier New" w:eastAsia="Courier New" w:hAnsi="Courier New"/>
                <w:sz w:val="16"/>
                <w:szCs w:val="16"/>
                <w:color w:val="auto"/>
              </w:rPr>
              <w:t>Other, net</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(5.8)</w:t>
            </w:r>
          </w:p>
        </w:tc>
        <w:tc>
          <w:tcPr>
            <w:tcW w:w="1600" w:type="dxa"/>
            <w:vAlign w:val="bottom"/>
            <w:gridSpan w:val="2"/>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0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vMerge w:val="continue"/>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3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146.8</w:t>
            </w:r>
          </w:p>
        </w:tc>
        <w:tc>
          <w:tcPr>
            <w:tcW w:w="56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23.1</w:t>
            </w:r>
          </w:p>
        </w:tc>
        <w:tc>
          <w:tcPr>
            <w:tcW w:w="66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w:t>
            </w:r>
          </w:p>
        </w:tc>
        <w:tc>
          <w:tcPr>
            <w:tcW w:w="48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162.8</w:t>
            </w: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(0.8)</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(0.8)</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Courier New" w:cs="Courier New" w:eastAsia="Courier New" w:hAnsi="Courier New"/>
                <w:sz w:val="16"/>
                <w:szCs w:val="16"/>
                <w:color w:val="auto"/>
              </w:rPr>
              <w:t>Net decrease in cash</w:t>
            </w:r>
          </w:p>
        </w:tc>
        <w:tc>
          <w:tcPr>
            <w:tcW w:w="62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w:t>
            </w:r>
          </w:p>
        </w:tc>
        <w:tc>
          <w:tcPr>
            <w:tcW w:w="560" w:type="dxa"/>
            <w:vAlign w:val="bottom"/>
          </w:tcPr>
          <w:p>
            <w:pPr>
              <w:spacing w:after="0"/>
              <w:rPr>
                <w:sz w:val="24"/>
                <w:szCs w:val="24"/>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(6.7)</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(14.5)</w:t>
            </w:r>
          </w:p>
        </w:tc>
        <w:tc>
          <w:tcPr>
            <w:tcW w:w="0" w:type="dxa"/>
            <w:vAlign w:val="bottom"/>
          </w:tcPr>
          <w:p>
            <w:pPr>
              <w:spacing w:after="0"/>
              <w:rPr>
                <w:sz w:val="1"/>
                <w:szCs w:val="1"/>
                <w:color w:val="auto"/>
              </w:rPr>
            </w:pP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62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11.6</w:t>
            </w:r>
          </w:p>
        </w:tc>
        <w:tc>
          <w:tcPr>
            <w:tcW w:w="560" w:type="dxa"/>
            <w:vAlign w:val="bottom"/>
          </w:tcPr>
          <w:p>
            <w:pPr>
              <w:spacing w:after="0"/>
              <w:rPr>
                <w:sz w:val="15"/>
                <w:szCs w:val="15"/>
                <w:color w:val="auto"/>
              </w:rPr>
            </w:pP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18.7</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30.3</w:t>
            </w: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beginning of period</w:t>
            </w:r>
          </w:p>
        </w:tc>
        <w:tc>
          <w:tcPr>
            <w:tcW w:w="6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0" w:type="dxa"/>
            <w:vAlign w:val="bottom"/>
            <w:gridSpan w:val="2"/>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0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w:t>
            </w: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vMerge w:val="continue"/>
          </w:tcPr>
          <w:p>
            <w:pPr>
              <w:spacing w:after="0"/>
              <w:rPr>
                <w:sz w:val="23"/>
                <w:szCs w:val="23"/>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300" w:type="dxa"/>
            <w:vAlign w:val="bottom"/>
            <w:vMerge w:val="continue"/>
          </w:tcPr>
          <w:p>
            <w:pPr>
              <w:spacing w:after="0"/>
              <w:rPr>
                <w:sz w:val="8"/>
                <w:szCs w:val="8"/>
                <w:color w:val="auto"/>
              </w:rPr>
            </w:pPr>
          </w:p>
        </w:tc>
        <w:tc>
          <w:tcPr>
            <w:tcW w:w="620" w:type="dxa"/>
            <w:vAlign w:val="bottom"/>
            <w:vMerge w:val="restart"/>
          </w:tcPr>
          <w:p>
            <w:pPr>
              <w:ind w:left="420"/>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3.8</w:t>
            </w:r>
          </w:p>
        </w:tc>
        <w:tc>
          <w:tcPr>
            <w:tcW w:w="5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12.0</w:t>
            </w:r>
          </w:p>
        </w:tc>
        <w:tc>
          <w:tcPr>
            <w:tcW w:w="6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15.8</w:t>
            </w:r>
          </w:p>
        </w:tc>
        <w:tc>
          <w:tcPr>
            <w:tcW w:w="0" w:type="dxa"/>
            <w:vAlign w:val="bottom"/>
          </w:tcPr>
          <w:p>
            <w:pPr>
              <w:spacing w:after="0"/>
              <w:rPr>
                <w:sz w:val="1"/>
                <w:szCs w:val="1"/>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end of period</w:t>
            </w:r>
          </w:p>
        </w:tc>
        <w:tc>
          <w:tcPr>
            <w:tcW w:w="6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300" w:type="dxa"/>
            <w:vAlign w:val="bottom"/>
          </w:tcPr>
          <w:p>
            <w:pPr>
              <w:spacing w:after="0"/>
              <w:rPr>
                <w:sz w:val="23"/>
                <w:szCs w:val="23"/>
                <w:color w:val="auto"/>
              </w:rPr>
            </w:pPr>
          </w:p>
        </w:tc>
        <w:tc>
          <w:tcPr>
            <w:tcW w:w="16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20</w:t>
      </w:r>
    </w:p>
    <w:p>
      <w:pPr>
        <w:sectPr>
          <w:pgSz w:w="11900" w:h="16838" w:orient="portrait"/>
          <w:cols w:equalWidth="0" w:num="1">
            <w:col w:w="10500"/>
          </w:cols>
          <w:pgMar w:left="320" w:top="271" w:right="1079"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JANUARY 1, 2000 (in millions, except share information)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20" w:type="dxa"/>
            <w:vAlign w:val="bottom"/>
          </w:tcPr>
          <w:p>
            <w:pPr>
              <w:spacing w:after="0"/>
              <w:rPr>
                <w:sz w:val="15"/>
                <w:szCs w:val="15"/>
                <w:color w:val="auto"/>
              </w:rPr>
            </w:pPr>
          </w:p>
        </w:tc>
        <w:tc>
          <w:tcPr>
            <w:tcW w:w="1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PARENT AND</w:t>
            </w:r>
          </w:p>
        </w:tc>
        <w:tc>
          <w:tcPr>
            <w:tcW w:w="118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NON-</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1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SUBSIDIARY</w:t>
            </w:r>
          </w:p>
        </w:tc>
        <w:tc>
          <w:tcPr>
            <w:tcW w:w="1180" w:type="dxa"/>
            <w:vAlign w:val="bottom"/>
            <w:vMerge w:val="continue"/>
          </w:tcPr>
          <w:p>
            <w:pPr>
              <w:spacing w:after="0"/>
              <w:rPr>
                <w:sz w:val="15"/>
                <w:szCs w:val="15"/>
                <w:color w:val="auto"/>
              </w:rPr>
            </w:pPr>
          </w:p>
        </w:tc>
        <w:tc>
          <w:tcPr>
            <w:tcW w:w="13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ELIMINATIONS</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1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GUARANTORS</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GUARANTORS</w:t>
            </w:r>
          </w:p>
        </w:tc>
        <w:tc>
          <w:tcPr>
            <w:tcW w:w="138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9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7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3.8</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$ 12.0</w:t>
            </w:r>
          </w:p>
        </w:tc>
        <w:tc>
          <w:tcPr>
            <w:tcW w:w="13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15.8</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0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144.4</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80.9</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225.3</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356.4</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85.7</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442.1</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Current deferred tax asset</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28.6</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19.4</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28.6</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Prepaid and other assets</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40.9</w:t>
            </w:r>
          </w:p>
        </w:tc>
        <w:tc>
          <w:tcPr>
            <w:tcW w:w="1180" w:type="dxa"/>
            <w:vAlign w:val="bottom"/>
            <w:vMerge w:val="continue"/>
          </w:tcPr>
          <w:p>
            <w:pPr>
              <w:spacing w:after="0"/>
              <w:rPr>
                <w:sz w:val="15"/>
                <w:szCs w:val="15"/>
                <w:color w:val="auto"/>
              </w:rPr>
            </w:pPr>
          </w:p>
        </w:tc>
        <w:tc>
          <w:tcPr>
            <w:tcW w:w="13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60.3</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current assets</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574.1</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198.0</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772.1</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215.5</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40.5</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256.0</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492.3</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281.7</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774.0</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65.4</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w:t>
            </w:r>
          </w:p>
        </w:tc>
        <w:tc>
          <w:tcPr>
            <w:tcW w:w="13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(93.9)</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74.7</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Investment in affiliates</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93.9</w:t>
            </w:r>
          </w:p>
        </w:tc>
        <w:tc>
          <w:tcPr>
            <w:tcW w:w="1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Intracompany assets</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12.4</w:t>
            </w:r>
          </w:p>
        </w:tc>
        <w:tc>
          <w:tcPr>
            <w:tcW w:w="11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(12.4)</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assets</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1,453.6</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529.5</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(106.3)</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1,876.8</w:t>
            </w:r>
          </w:p>
        </w:tc>
        <w:tc>
          <w:tcPr>
            <w:tcW w:w="0" w:type="dxa"/>
            <w:vAlign w:val="bottom"/>
          </w:tcPr>
          <w:p>
            <w:pPr>
              <w:spacing w:after="0"/>
              <w:rPr>
                <w:sz w:val="1"/>
                <w:szCs w:val="1"/>
                <w:color w:val="auto"/>
              </w:rPr>
            </w:pPr>
          </w:p>
        </w:tc>
      </w:tr>
      <w:tr>
        <w:trPr>
          <w:trHeight w:val="265"/>
        </w:trPr>
        <w:tc>
          <w:tcPr>
            <w:tcW w:w="4720" w:type="dxa"/>
            <w:vAlign w:val="bottom"/>
            <w:vMerge w:val="restart"/>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2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40" w:type="dxa"/>
            <w:vAlign w:val="bottom"/>
          </w:tcPr>
          <w:p>
            <w:pPr>
              <w:spacing w:after="0"/>
              <w:rPr>
                <w:sz w:val="15"/>
                <w:szCs w:val="15"/>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95.1</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25.3</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120.4</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Short-term debt</w:t>
            </w:r>
          </w:p>
        </w:tc>
        <w:tc>
          <w:tcPr>
            <w:tcW w:w="10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100.0</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49.5</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149.5</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Accrued liabilities</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120.0</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33.8</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153.8</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current liabilities</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315.1</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108.6</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423.7</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701.0</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305.5</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1,006.5</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42.3</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21.2</w:t>
            </w:r>
          </w:p>
        </w:tc>
        <w:tc>
          <w:tcPr>
            <w:tcW w:w="13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(12.4)</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63.5</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Intracompany liabilities</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12.4</w:t>
            </w:r>
          </w:p>
        </w:tc>
        <w:tc>
          <w:tcPr>
            <w:tcW w:w="1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liabilities</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1,058.4</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447.7</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(12.4)</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1,493.7</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57.4</w:t>
            </w:r>
          </w:p>
        </w:tc>
        <w:tc>
          <w:tcPr>
            <w:tcW w:w="13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(57.4)</w:t>
            </w:r>
          </w:p>
        </w:tc>
        <w:tc>
          <w:tcPr>
            <w:tcW w:w="420" w:type="dxa"/>
            <w:vAlign w:val="bottom"/>
          </w:tcPr>
          <w:p>
            <w:pPr>
              <w:spacing w:after="0"/>
              <w:rPr>
                <w:sz w:val="15"/>
                <w:szCs w:val="15"/>
                <w:color w:val="auto"/>
              </w:rPr>
            </w:pP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Investment from parent</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Common shares, no par value per share,</w:t>
            </w:r>
          </w:p>
        </w:tc>
        <w:tc>
          <w:tcPr>
            <w:tcW w:w="1040" w:type="dxa"/>
            <w:vAlign w:val="bottom"/>
          </w:tcPr>
          <w:p>
            <w:pPr>
              <w:spacing w:after="0"/>
              <w:rPr>
                <w:sz w:val="15"/>
                <w:szCs w:val="15"/>
                <w:color w:val="auto"/>
              </w:rPr>
            </w:pPr>
          </w:p>
        </w:tc>
        <w:tc>
          <w:tcPr>
            <w:tcW w:w="9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4720" w:type="dxa"/>
            <w:vAlign w:val="bottom"/>
          </w:tcPr>
          <w:p>
            <w:pPr>
              <w:ind w:left="560"/>
              <w:spacing w:after="0"/>
              <w:rPr>
                <w:sz w:val="20"/>
                <w:szCs w:val="20"/>
                <w:color w:val="auto"/>
              </w:rPr>
            </w:pPr>
            <w:r>
              <w:rPr>
                <w:rFonts w:ascii="Courier New" w:cs="Courier New" w:eastAsia="Courier New" w:hAnsi="Courier New"/>
                <w:sz w:val="16"/>
                <w:szCs w:val="16"/>
                <w:color w:val="auto"/>
              </w:rPr>
              <w:t>$.01 stated value per share</w:t>
            </w:r>
          </w:p>
        </w:tc>
        <w:tc>
          <w:tcPr>
            <w:tcW w:w="10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387.9</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36.5</w:t>
            </w:r>
          </w:p>
        </w:tc>
        <w:tc>
          <w:tcPr>
            <w:tcW w:w="13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(36.5)</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387.9</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94.1</w:t>
            </w:r>
          </w:p>
        </w:tc>
        <w:tc>
          <w:tcPr>
            <w:tcW w:w="11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94.1</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3.4 shares at cost</w:t>
            </w:r>
          </w:p>
        </w:tc>
        <w:tc>
          <w:tcPr>
            <w:tcW w:w="10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(82.9)</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(82.9)</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Accumulated other comprehensive</w:t>
            </w:r>
          </w:p>
        </w:tc>
        <w:tc>
          <w:tcPr>
            <w:tcW w:w="1040" w:type="dxa"/>
            <w:vAlign w:val="bottom"/>
          </w:tcPr>
          <w:p>
            <w:pPr>
              <w:spacing w:after="0"/>
              <w:rPr>
                <w:sz w:val="15"/>
                <w:szCs w:val="15"/>
                <w:color w:val="auto"/>
              </w:rPr>
            </w:pP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(4.2)</w:t>
            </w:r>
          </w:p>
        </w:tc>
        <w:tc>
          <w:tcPr>
            <w:tcW w:w="11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(12.1)</w:t>
            </w:r>
          </w:p>
        </w:tc>
        <w:tc>
          <w:tcPr>
            <w:tcW w:w="1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(16.3)</w:t>
            </w:r>
          </w:p>
        </w:tc>
        <w:tc>
          <w:tcPr>
            <w:tcW w:w="0" w:type="dxa"/>
            <w:vAlign w:val="bottom"/>
          </w:tcPr>
          <w:p>
            <w:pPr>
              <w:spacing w:after="0"/>
              <w:rPr>
                <w:sz w:val="1"/>
                <w:szCs w:val="1"/>
                <w:color w:val="auto"/>
              </w:rPr>
            </w:pPr>
          </w:p>
        </w:tc>
      </w:tr>
      <w:tr>
        <w:trPr>
          <w:trHeight w:val="182"/>
        </w:trPr>
        <w:tc>
          <w:tcPr>
            <w:tcW w:w="4720" w:type="dxa"/>
            <w:vAlign w:val="bottom"/>
          </w:tcPr>
          <w:p>
            <w:pPr>
              <w:ind w:left="560"/>
              <w:spacing w:after="0"/>
              <w:rPr>
                <w:sz w:val="20"/>
                <w:szCs w:val="20"/>
                <w:color w:val="auto"/>
              </w:rPr>
            </w:pPr>
            <w:r>
              <w:rPr>
                <w:rFonts w:ascii="Courier New" w:cs="Courier New" w:eastAsia="Courier New" w:hAnsi="Courier New"/>
                <w:sz w:val="16"/>
                <w:szCs w:val="16"/>
                <w:color w:val="auto"/>
              </w:rPr>
              <w:t>income</w:t>
            </w:r>
          </w:p>
        </w:tc>
        <w:tc>
          <w:tcPr>
            <w:tcW w:w="10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shareholders' equity</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395.2</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81.8</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(93.9)</w:t>
            </w:r>
          </w:p>
        </w:tc>
        <w:tc>
          <w:tcPr>
            <w:tcW w:w="42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383.1</w:t>
            </w:r>
          </w:p>
        </w:tc>
        <w:tc>
          <w:tcPr>
            <w:tcW w:w="0" w:type="dxa"/>
            <w:vAlign w:val="bottom"/>
          </w:tcPr>
          <w:p>
            <w:pPr>
              <w:spacing w:after="0"/>
              <w:rPr>
                <w:sz w:val="1"/>
                <w:szCs w:val="1"/>
                <w:color w:val="auto"/>
              </w:rPr>
            </w:pPr>
          </w:p>
        </w:tc>
      </w:tr>
      <w:tr>
        <w:trPr>
          <w:trHeight w:val="265"/>
        </w:trPr>
        <w:tc>
          <w:tcPr>
            <w:tcW w:w="4720" w:type="dxa"/>
            <w:vAlign w:val="bottom"/>
            <w:vMerge w:val="restart"/>
          </w:tcPr>
          <w:p>
            <w:pPr>
              <w:spacing w:after="0"/>
              <w:rPr>
                <w:sz w:val="20"/>
                <w:szCs w:val="20"/>
                <w:color w:val="auto"/>
              </w:rPr>
            </w:pPr>
            <w:r>
              <w:rPr>
                <w:rFonts w:ascii="Courier New" w:cs="Courier New" w:eastAsia="Courier New" w:hAnsi="Courier New"/>
                <w:sz w:val="16"/>
                <w:szCs w:val="16"/>
                <w:color w:val="auto"/>
              </w:rPr>
              <w:t>Total liabilities and shareholders'</w:t>
            </w: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20" w:type="dxa"/>
            <w:vAlign w:val="bottom"/>
            <w:vMerge w:val="continue"/>
          </w:tcPr>
          <w:p>
            <w:pPr>
              <w:spacing w:after="0"/>
              <w:rPr>
                <w:sz w:val="8"/>
                <w:szCs w:val="8"/>
                <w:color w:val="auto"/>
              </w:rPr>
            </w:pPr>
          </w:p>
        </w:tc>
        <w:tc>
          <w:tcPr>
            <w:tcW w:w="1940" w:type="dxa"/>
            <w:vAlign w:val="bottom"/>
            <w:gridSpan w:val="2"/>
            <w:vMerge w:val="restart"/>
          </w:tcPr>
          <w:p>
            <w:pPr>
              <w:jc w:val="right"/>
              <w:ind w:right="161"/>
              <w:spacing w:after="0"/>
              <w:rPr>
                <w:sz w:val="20"/>
                <w:szCs w:val="20"/>
                <w:color w:val="auto"/>
              </w:rPr>
            </w:pPr>
            <w:r>
              <w:rPr>
                <w:rFonts w:ascii="Courier New" w:cs="Courier New" w:eastAsia="Courier New" w:hAnsi="Courier New"/>
                <w:sz w:val="16"/>
                <w:szCs w:val="16"/>
                <w:color w:val="auto"/>
              </w:rPr>
              <w:t>$1,453.6</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$529.5</w:t>
            </w:r>
          </w:p>
        </w:tc>
        <w:tc>
          <w:tcPr>
            <w:tcW w:w="13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$(106.3)</w:t>
            </w:r>
          </w:p>
        </w:tc>
        <w:tc>
          <w:tcPr>
            <w:tcW w:w="1280" w:type="dxa"/>
            <w:vAlign w:val="bottom"/>
            <w:gridSpan w:val="2"/>
            <w:vMerge w:val="restart"/>
          </w:tcPr>
          <w:p>
            <w:pPr>
              <w:jc w:val="right"/>
              <w:ind w:right="121"/>
              <w:spacing w:after="0"/>
              <w:rPr>
                <w:sz w:val="20"/>
                <w:szCs w:val="20"/>
                <w:color w:val="auto"/>
              </w:rPr>
            </w:pPr>
            <w:r>
              <w:rPr>
                <w:rFonts w:ascii="Courier New" w:cs="Courier New" w:eastAsia="Courier New" w:hAnsi="Courier New"/>
                <w:sz w:val="16"/>
                <w:szCs w:val="16"/>
                <w:color w:val="auto"/>
              </w:rPr>
              <w:t>$1,876.8</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equity</w:t>
            </w:r>
          </w:p>
        </w:tc>
        <w:tc>
          <w:tcPr>
            <w:tcW w:w="19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9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21</w:t>
      </w:r>
    </w:p>
    <w:p>
      <w:pPr>
        <w:sectPr>
          <w:pgSz w:w="11900" w:h="16838" w:orient="portrait"/>
          <w:cols w:equalWidth="0" w:num="1">
            <w:col w:w="10500"/>
          </w:cols>
          <w:pgMar w:left="320" w:top="271" w:right="107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JANUARY 2, 1999 (in millions)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2000" w:type="dxa"/>
            <w:vAlign w:val="bottom"/>
          </w:tcPr>
          <w:p>
            <w:pPr>
              <w:ind w:left="900"/>
              <w:spacing w:after="0"/>
              <w:rPr>
                <w:sz w:val="20"/>
                <w:szCs w:val="20"/>
                <w:color w:val="auto"/>
              </w:rPr>
            </w:pPr>
            <w:r>
              <w:rPr>
                <w:rFonts w:ascii="Courier New" w:cs="Courier New" w:eastAsia="Courier New" w:hAnsi="Courier New"/>
                <w:sz w:val="16"/>
                <w:szCs w:val="16"/>
                <w:color w:val="auto"/>
              </w:rPr>
              <w:t>PARENT AND</w:t>
            </w:r>
          </w:p>
        </w:tc>
        <w:tc>
          <w:tcPr>
            <w:tcW w:w="10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NON-</w:t>
            </w: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2000" w:type="dxa"/>
            <w:vAlign w:val="bottom"/>
          </w:tcPr>
          <w:p>
            <w:pPr>
              <w:ind w:left="900"/>
              <w:spacing w:after="0"/>
              <w:rPr>
                <w:sz w:val="20"/>
                <w:szCs w:val="20"/>
                <w:color w:val="auto"/>
              </w:rPr>
            </w:pPr>
            <w:r>
              <w:rPr>
                <w:rFonts w:ascii="Courier New" w:cs="Courier New" w:eastAsia="Courier New" w:hAnsi="Courier New"/>
                <w:sz w:val="16"/>
                <w:szCs w:val="16"/>
                <w:color w:val="auto"/>
              </w:rPr>
              <w:t>SUBSIDIARY</w:t>
            </w:r>
          </w:p>
        </w:tc>
        <w:tc>
          <w:tcPr>
            <w:tcW w:w="10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5340" w:type="dxa"/>
            <w:vAlign w:val="bottom"/>
            <w:gridSpan w:val="4"/>
          </w:tcPr>
          <w:p>
            <w:pPr>
              <w:ind w:left="900"/>
              <w:spacing w:after="0"/>
              <w:rPr>
                <w:sz w:val="20"/>
                <w:szCs w:val="20"/>
                <w:color w:val="auto"/>
              </w:rPr>
            </w:pPr>
            <w:r>
              <w:rPr>
                <w:rFonts w:ascii="Courier New" w:cs="Courier New" w:eastAsia="Courier New" w:hAnsi="Courier New"/>
                <w:sz w:val="16"/>
                <w:szCs w:val="16"/>
                <w:color w:val="auto"/>
                <w:w w:val="97"/>
              </w:rPr>
              <w:t>GUARANTORS GUARANTORS ELIMINATIONS CONSOLIDATED</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5340" w:type="dxa"/>
            <w:vAlign w:val="bottom"/>
            <w:gridSpan w:val="4"/>
          </w:tcPr>
          <w:p>
            <w:pPr>
              <w:ind w:left="900"/>
              <w:spacing w:after="0"/>
              <w:rPr>
                <w:sz w:val="20"/>
                <w:szCs w:val="20"/>
                <w:color w:val="auto"/>
              </w:rPr>
            </w:pPr>
            <w:r>
              <w:rPr>
                <w:rFonts w:ascii="Courier New" w:cs="Courier New" w:eastAsia="Courier New" w:hAnsi="Courier New"/>
                <w:sz w:val="16"/>
                <w:szCs w:val="16"/>
                <w:color w:val="auto"/>
                <w:w w:val="97"/>
              </w:rPr>
              <w:t>---------- ---------- ------------ ------------</w:t>
            </w:r>
          </w:p>
        </w:tc>
        <w:tc>
          <w:tcPr>
            <w:tcW w:w="0" w:type="dxa"/>
            <w:vAlign w:val="bottom"/>
          </w:tcPr>
          <w:p>
            <w:pPr>
              <w:spacing w:after="0"/>
              <w:rPr>
                <w:sz w:val="1"/>
                <w:szCs w:val="1"/>
                <w:color w:val="auto"/>
              </w:rPr>
            </w:pPr>
          </w:p>
        </w:tc>
      </w:tr>
      <w:tr>
        <w:trPr>
          <w:trHeight w:val="280"/>
        </w:trPr>
        <w:tc>
          <w:tcPr>
            <w:tcW w:w="4580" w:type="dxa"/>
            <w:vAlign w:val="bottom"/>
          </w:tcPr>
          <w:p>
            <w:pPr>
              <w:spacing w:after="0"/>
              <w:rPr>
                <w:sz w:val="20"/>
                <w:szCs w:val="20"/>
                <w:color w:val="auto"/>
              </w:rPr>
            </w:pPr>
            <w:r>
              <w:rPr>
                <w:rFonts w:ascii="Courier New" w:cs="Courier New" w:eastAsia="Courier New" w:hAnsi="Courier New"/>
                <w:sz w:val="16"/>
                <w:szCs w:val="16"/>
                <w:color w:val="auto"/>
              </w:rPr>
              <w:t>Sales</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$103.3</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$81.1</w:t>
            </w:r>
          </w:p>
        </w:tc>
        <w:tc>
          <w:tcPr>
            <w:tcW w:w="1180" w:type="dxa"/>
            <w:vAlign w:val="bottom"/>
          </w:tcPr>
          <w:p>
            <w:pPr>
              <w:spacing w:after="0"/>
              <w:rPr>
                <w:sz w:val="24"/>
                <w:szCs w:val="24"/>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$184.4</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74.7</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45.0</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119.7</w:t>
            </w:r>
          </w:p>
        </w:tc>
        <w:tc>
          <w:tcPr>
            <w:tcW w:w="0" w:type="dxa"/>
            <w:vAlign w:val="bottom"/>
          </w:tcPr>
          <w:p>
            <w:pPr>
              <w:spacing w:after="0"/>
              <w:rPr>
                <w:sz w:val="1"/>
                <w:szCs w:val="1"/>
                <w:color w:val="auto"/>
              </w:rPr>
            </w:pPr>
          </w:p>
        </w:tc>
      </w:tr>
      <w:tr>
        <w:trPr>
          <w:trHeight w:val="182"/>
        </w:trPr>
        <w:tc>
          <w:tcPr>
            <w:tcW w:w="458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580" w:type="dxa"/>
            <w:vAlign w:val="bottom"/>
            <w:vMerge w:val="continue"/>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28.6</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36.1</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64.7</w:t>
            </w:r>
          </w:p>
        </w:tc>
        <w:tc>
          <w:tcPr>
            <w:tcW w:w="0" w:type="dxa"/>
            <w:vAlign w:val="bottom"/>
          </w:tcPr>
          <w:p>
            <w:pPr>
              <w:spacing w:after="0"/>
              <w:rPr>
                <w:sz w:val="1"/>
                <w:szCs w:val="1"/>
                <w:color w:val="auto"/>
              </w:rPr>
            </w:pPr>
          </w:p>
        </w:tc>
      </w:tr>
      <w:tr>
        <w:trPr>
          <w:trHeight w:val="364"/>
        </w:trPr>
        <w:tc>
          <w:tcPr>
            <w:tcW w:w="4580" w:type="dxa"/>
            <w:vAlign w:val="bottom"/>
          </w:tcPr>
          <w:p>
            <w:pPr>
              <w:spacing w:after="0"/>
              <w:rPr>
                <w:sz w:val="20"/>
                <w:szCs w:val="20"/>
                <w:color w:val="auto"/>
              </w:rPr>
            </w:pPr>
            <w:r>
              <w:rPr>
                <w:rFonts w:ascii="Courier New" w:cs="Courier New" w:eastAsia="Courier New" w:hAnsi="Courier New"/>
                <w:sz w:val="16"/>
                <w:szCs w:val="16"/>
                <w:color w:val="auto"/>
              </w:rPr>
              <w:t>Commission earned from agency agreement</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5.0</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280"/>
        </w:trPr>
        <w:tc>
          <w:tcPr>
            <w:tcW w:w="458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9.1</w:t>
            </w:r>
          </w:p>
        </w:tc>
        <w:tc>
          <w:tcPr>
            <w:tcW w:w="10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7.6</w:t>
            </w:r>
          </w:p>
        </w:tc>
        <w:tc>
          <w:tcPr>
            <w:tcW w:w="1180" w:type="dxa"/>
            <w:vAlign w:val="bottom"/>
          </w:tcPr>
          <w:p>
            <w:pPr>
              <w:spacing w:after="0"/>
              <w:rPr>
                <w:sz w:val="24"/>
                <w:szCs w:val="24"/>
                <w:color w:val="auto"/>
              </w:rPr>
            </w:pPr>
          </w:p>
        </w:tc>
        <w:tc>
          <w:tcPr>
            <w:tcW w:w="11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16.7</w:t>
            </w:r>
          </w:p>
        </w:tc>
        <w:tc>
          <w:tcPr>
            <w:tcW w:w="0" w:type="dxa"/>
            <w:vAlign w:val="bottom"/>
          </w:tcPr>
          <w:p>
            <w:pPr>
              <w:spacing w:after="0"/>
              <w:rPr>
                <w:sz w:val="1"/>
                <w:szCs w:val="1"/>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w:t>
            </w:r>
          </w:p>
        </w:tc>
        <w:tc>
          <w:tcPr>
            <w:tcW w:w="20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administration</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34.2</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19.7</w:t>
            </w:r>
          </w:p>
        </w:tc>
        <w:tc>
          <w:tcPr>
            <w:tcW w:w="118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53.9</w:t>
            </w:r>
          </w:p>
        </w:tc>
        <w:tc>
          <w:tcPr>
            <w:tcW w:w="0" w:type="dxa"/>
            <w:vAlign w:val="bottom"/>
          </w:tcPr>
          <w:p>
            <w:pPr>
              <w:spacing w:after="0"/>
              <w:rPr>
                <w:sz w:val="1"/>
                <w:szCs w:val="1"/>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Amortization or goodwill and other</w:t>
            </w:r>
          </w:p>
        </w:tc>
        <w:tc>
          <w:tcPr>
            <w:tcW w:w="2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2.8</w:t>
            </w:r>
          </w:p>
        </w:tc>
        <w:tc>
          <w:tcPr>
            <w:tcW w:w="10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2.1</w:t>
            </w:r>
          </w:p>
        </w:tc>
        <w:tc>
          <w:tcPr>
            <w:tcW w:w="1180" w:type="dxa"/>
            <w:vAlign w:val="bottom"/>
          </w:tcPr>
          <w:p>
            <w:pPr>
              <w:spacing w:after="0"/>
              <w:rPr>
                <w:sz w:val="15"/>
                <w:szCs w:val="15"/>
                <w:color w:val="auto"/>
              </w:rPr>
            </w:pPr>
          </w:p>
        </w:tc>
        <w:tc>
          <w:tcPr>
            <w:tcW w:w="11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0" w:type="dxa"/>
            <w:vAlign w:val="bottom"/>
          </w:tcPr>
          <w:p>
            <w:pPr>
              <w:spacing w:after="0"/>
              <w:rPr>
                <w:sz w:val="1"/>
                <w:szCs w:val="1"/>
                <w:color w:val="auto"/>
              </w:rPr>
            </w:pPr>
          </w:p>
        </w:tc>
      </w:tr>
      <w:tr>
        <w:trPr>
          <w:trHeight w:val="182"/>
        </w:trPr>
        <w:tc>
          <w:tcPr>
            <w:tcW w:w="4580" w:type="dxa"/>
            <w:vAlign w:val="bottom"/>
          </w:tcPr>
          <w:p>
            <w:pPr>
              <w:ind w:left="380"/>
              <w:spacing w:after="0"/>
              <w:rPr>
                <w:sz w:val="20"/>
                <w:szCs w:val="20"/>
                <w:color w:val="auto"/>
              </w:rPr>
            </w:pPr>
            <w:r>
              <w:rPr>
                <w:rFonts w:ascii="Courier New" w:cs="Courier New" w:eastAsia="Courier New" w:hAnsi="Courier New"/>
                <w:sz w:val="16"/>
                <w:szCs w:val="16"/>
                <w:color w:val="auto"/>
              </w:rPr>
              <w:t>intangibles</w:t>
            </w:r>
          </w:p>
        </w:tc>
        <w:tc>
          <w:tcPr>
            <w:tcW w:w="20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Restructuring and other changes</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w:t>
            </w:r>
          </w:p>
        </w:tc>
        <w:tc>
          <w:tcPr>
            <w:tcW w:w="1040" w:type="dxa"/>
            <w:vAlign w:val="bottom"/>
          </w:tcPr>
          <w:p>
            <w:pPr>
              <w:spacing w:after="0"/>
              <w:rPr>
                <w:sz w:val="15"/>
                <w:szCs w:val="15"/>
                <w:color w:val="auto"/>
              </w:rPr>
            </w:pP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1.7</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Equity income in non-guarantors</w:t>
            </w:r>
          </w:p>
        </w:tc>
        <w:tc>
          <w:tcPr>
            <w:tcW w:w="2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w:t>
            </w:r>
          </w:p>
        </w:tc>
        <w:tc>
          <w:tcPr>
            <w:tcW w:w="10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0.9</w:t>
            </w:r>
          </w:p>
        </w:tc>
        <w:tc>
          <w:tcPr>
            <w:tcW w:w="1180" w:type="dxa"/>
            <w:vAlign w:val="bottom"/>
            <w:vMerge w:val="continue"/>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Intracompany allocations</w:t>
            </w:r>
          </w:p>
        </w:tc>
        <w:tc>
          <w:tcPr>
            <w:tcW w:w="2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(0.9)</w:t>
            </w:r>
          </w:p>
        </w:tc>
        <w:tc>
          <w:tcPr>
            <w:tcW w:w="10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Other expenses, net</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0.1</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58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from operations</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2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(11.4)</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6.0</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(7.1)</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6.6</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3.2</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9.8</w:t>
            </w:r>
          </w:p>
        </w:tc>
        <w:tc>
          <w:tcPr>
            <w:tcW w:w="0" w:type="dxa"/>
            <w:vAlign w:val="bottom"/>
          </w:tcPr>
          <w:p>
            <w:pPr>
              <w:spacing w:after="0"/>
              <w:rPr>
                <w:sz w:val="1"/>
                <w:szCs w:val="1"/>
                <w:color w:val="auto"/>
              </w:rPr>
            </w:pPr>
          </w:p>
        </w:tc>
      </w:tr>
      <w:tr>
        <w:trPr>
          <w:trHeight w:val="182"/>
        </w:trPr>
        <w:tc>
          <w:tcPr>
            <w:tcW w:w="458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before income taxes</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2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2.8</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(16.9)</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(8.0)</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w:t>
            </w:r>
          </w:p>
        </w:tc>
        <w:tc>
          <w:tcPr>
            <w:tcW w:w="0" w:type="dxa"/>
            <w:vAlign w:val="bottom"/>
          </w:tcPr>
          <w:p>
            <w:pPr>
              <w:spacing w:after="0"/>
              <w:rPr>
                <w:sz w:val="1"/>
                <w:szCs w:val="1"/>
                <w:color w:val="auto"/>
              </w:rPr>
            </w:pPr>
          </w:p>
        </w:tc>
      </w:tr>
      <w:tr>
        <w:trPr>
          <w:trHeight w:val="182"/>
        </w:trPr>
        <w:tc>
          <w:tcPr>
            <w:tcW w:w="458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before extraordinary item</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2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(10.0)</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w:t>
            </w:r>
          </w:p>
        </w:tc>
        <w:tc>
          <w:tcPr>
            <w:tcW w:w="0" w:type="dxa"/>
            <w:vAlign w:val="bottom"/>
          </w:tcPr>
          <w:p>
            <w:pPr>
              <w:spacing w:after="0"/>
              <w:rPr>
                <w:sz w:val="1"/>
                <w:szCs w:val="1"/>
                <w:color w:val="auto"/>
              </w:rPr>
            </w:pPr>
          </w:p>
        </w:tc>
      </w:tr>
      <w:tr>
        <w:trPr>
          <w:trHeight w:val="182"/>
        </w:trPr>
        <w:tc>
          <w:tcPr>
            <w:tcW w:w="4580" w:type="dxa"/>
            <w:vAlign w:val="bottom"/>
          </w:tcPr>
          <w:p>
            <w:pPr>
              <w:spacing w:after="0"/>
              <w:rPr>
                <w:sz w:val="20"/>
                <w:szCs w:val="20"/>
                <w:color w:val="auto"/>
              </w:rPr>
            </w:pPr>
            <w:r>
              <w:rPr>
                <w:rFonts w:ascii="Courier New" w:cs="Courier New" w:eastAsia="Courier New" w:hAnsi="Courier New"/>
                <w:sz w:val="16"/>
                <w:szCs w:val="16"/>
                <w:color w:val="auto"/>
              </w:rPr>
              <w:t>Extraordinary loss on early</w:t>
            </w:r>
          </w:p>
        </w:tc>
        <w:tc>
          <w:tcPr>
            <w:tcW w:w="2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tcPr>
          <w:p>
            <w:pPr>
              <w:ind w:left="280"/>
              <w:spacing w:after="0"/>
              <w:rPr>
                <w:sz w:val="20"/>
                <w:szCs w:val="20"/>
                <w:color w:val="auto"/>
              </w:rPr>
            </w:pPr>
            <w:r>
              <w:rPr>
                <w:rFonts w:ascii="Courier New" w:cs="Courier New" w:eastAsia="Courier New" w:hAnsi="Courier New"/>
                <w:sz w:val="16"/>
                <w:szCs w:val="16"/>
                <w:color w:val="auto"/>
              </w:rPr>
              <w:t>extinguishment of debt, net</w:t>
            </w:r>
          </w:p>
        </w:tc>
        <w:tc>
          <w:tcPr>
            <w:tcW w:w="20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0.4</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0.4</w:t>
            </w:r>
          </w:p>
        </w:tc>
        <w:tc>
          <w:tcPr>
            <w:tcW w:w="0" w:type="dxa"/>
            <w:vAlign w:val="bottom"/>
          </w:tcPr>
          <w:p>
            <w:pPr>
              <w:spacing w:after="0"/>
              <w:rPr>
                <w:sz w:val="1"/>
                <w:szCs w:val="1"/>
                <w:color w:val="auto"/>
              </w:rPr>
            </w:pPr>
          </w:p>
        </w:tc>
      </w:tr>
      <w:tr>
        <w:trPr>
          <w:trHeight w:val="182"/>
        </w:trPr>
        <w:tc>
          <w:tcPr>
            <w:tcW w:w="4580" w:type="dxa"/>
            <w:vAlign w:val="bottom"/>
          </w:tcPr>
          <w:p>
            <w:pPr>
              <w:ind w:left="280"/>
              <w:spacing w:after="0"/>
              <w:rPr>
                <w:sz w:val="20"/>
                <w:szCs w:val="20"/>
                <w:color w:val="auto"/>
              </w:rPr>
            </w:pPr>
            <w:r>
              <w:rPr>
                <w:rFonts w:ascii="Courier New" w:cs="Courier New" w:eastAsia="Courier New" w:hAnsi="Courier New"/>
                <w:sz w:val="16"/>
                <w:szCs w:val="16"/>
                <w:color w:val="auto"/>
              </w:rPr>
              <w:t>of income tax benefit</w:t>
            </w:r>
          </w:p>
        </w:tc>
        <w:tc>
          <w:tcPr>
            <w:tcW w:w="2000" w:type="dxa"/>
            <w:vAlign w:val="bottom"/>
            <w:vMerge w:val="continue"/>
          </w:tcPr>
          <w:p>
            <w:pPr>
              <w:spacing w:after="0"/>
              <w:rPr>
                <w:sz w:val="15"/>
                <w:szCs w:val="15"/>
                <w:color w:val="auto"/>
              </w:rPr>
            </w:pPr>
          </w:p>
        </w:tc>
        <w:tc>
          <w:tcPr>
            <w:tcW w:w="10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8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2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$ 1.7</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$(10.4)</w:t>
            </w:r>
          </w:p>
        </w:tc>
        <w:tc>
          <w:tcPr>
            <w:tcW w:w="0" w:type="dxa"/>
            <w:vAlign w:val="bottom"/>
          </w:tcPr>
          <w:p>
            <w:pPr>
              <w:spacing w:after="0"/>
              <w:rPr>
                <w:sz w:val="1"/>
                <w:szCs w:val="1"/>
                <w:color w:val="auto"/>
              </w:rPr>
            </w:pPr>
          </w:p>
        </w:tc>
      </w:tr>
      <w:tr>
        <w:trPr>
          <w:trHeight w:val="265"/>
        </w:trPr>
        <w:tc>
          <w:tcPr>
            <w:tcW w:w="4580" w:type="dxa"/>
            <w:vAlign w:val="bottom"/>
          </w:tcPr>
          <w:p>
            <w:pPr>
              <w:spacing w:after="0"/>
              <w:rPr>
                <w:sz w:val="23"/>
                <w:szCs w:val="23"/>
                <w:color w:val="auto"/>
              </w:rPr>
            </w:pPr>
          </w:p>
        </w:tc>
        <w:tc>
          <w:tcPr>
            <w:tcW w:w="2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22</w:t>
      </w:r>
    </w:p>
    <w:p>
      <w:pPr>
        <w:sectPr>
          <w:pgSz w:w="11900" w:h="16838" w:orient="portrait"/>
          <w:cols w:equalWidth="0" w:num="1">
            <w:col w:w="10139"/>
          </w:cols>
          <w:pgMar w:left="320" w:top="27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 PERIOD ENDED JANUARY 2, 1999 (in millions)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20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PARENT AND</w:t>
            </w:r>
          </w:p>
        </w:tc>
        <w:tc>
          <w:tcPr>
            <w:tcW w:w="380" w:type="dxa"/>
            <w:vAlign w:val="bottom"/>
          </w:tcPr>
          <w:p>
            <w:pPr>
              <w:spacing w:after="0"/>
              <w:rPr>
                <w:sz w:val="15"/>
                <w:szCs w:val="15"/>
                <w:color w:val="auto"/>
              </w:rPr>
            </w:pPr>
          </w:p>
        </w:tc>
        <w:tc>
          <w:tcPr>
            <w:tcW w:w="110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NON-</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20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SUBSIDIARY</w:t>
            </w: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640" w:type="dxa"/>
            <w:vAlign w:val="bottom"/>
            <w:gridSpan w:val="2"/>
            <w:vMerge w:val="restart"/>
          </w:tcPr>
          <w:p>
            <w:pPr>
              <w:jc w:val="right"/>
              <w:ind w:right="101"/>
              <w:spacing w:after="0"/>
              <w:rPr>
                <w:sz w:val="20"/>
                <w:szCs w:val="20"/>
                <w:color w:val="auto"/>
              </w:rPr>
            </w:pPr>
            <w:r>
              <w:rPr>
                <w:rFonts w:ascii="Courier New" w:cs="Courier New" w:eastAsia="Courier New" w:hAnsi="Courier New"/>
                <w:sz w:val="16"/>
                <w:szCs w:val="16"/>
                <w:color w:val="auto"/>
              </w:rPr>
              <w:t>ELIMINATIONS</w:t>
            </w:r>
          </w:p>
        </w:tc>
        <w:tc>
          <w:tcPr>
            <w:tcW w:w="14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CONSOLIDATED</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20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GUARANTORS</w:t>
            </w:r>
          </w:p>
        </w:tc>
        <w:tc>
          <w:tcPr>
            <w:tcW w:w="380" w:type="dxa"/>
            <w:vAlign w:val="bottom"/>
          </w:tcPr>
          <w:p>
            <w:pPr>
              <w:spacing w:after="0"/>
              <w:rPr>
                <w:sz w:val="15"/>
                <w:szCs w:val="15"/>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GUARANTORS</w:t>
            </w:r>
          </w:p>
        </w:tc>
        <w:tc>
          <w:tcPr>
            <w:tcW w:w="164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2020" w:type="dxa"/>
            <w:vAlign w:val="bottom"/>
            <w:gridSpan w:val="2"/>
          </w:tcPr>
          <w:p>
            <w:pPr>
              <w:ind w:left="8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Net loss</w:t>
            </w:r>
          </w:p>
        </w:tc>
        <w:tc>
          <w:tcPr>
            <w:tcW w:w="980" w:type="dxa"/>
            <w:vAlign w:val="bottom"/>
            <w:vMerge w:val="restart"/>
          </w:tcPr>
          <w:p>
            <w:pPr>
              <w:ind w:left="800"/>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(10.4)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1.7</w:t>
            </w:r>
          </w:p>
        </w:tc>
        <w:tc>
          <w:tcPr>
            <w:tcW w:w="7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520" w:type="dxa"/>
            <w:vAlign w:val="bottom"/>
            <w:vMerge w:val="restart"/>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(10.4)</w:t>
            </w: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Adjustments to reconcile net loss</w:t>
            </w: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to net cash used in operating</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activities:</w:t>
            </w:r>
          </w:p>
        </w:tc>
        <w:tc>
          <w:tcPr>
            <w:tcW w:w="98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7.6</w:t>
            </w:r>
          </w:p>
        </w:tc>
        <w:tc>
          <w:tcPr>
            <w:tcW w:w="380" w:type="dxa"/>
            <w:vAlign w:val="bottom"/>
          </w:tcPr>
          <w:p>
            <w:pPr>
              <w:spacing w:after="0"/>
              <w:rPr>
                <w:sz w:val="15"/>
                <w:szCs w:val="15"/>
                <w:color w:val="auto"/>
              </w:rPr>
            </w:pPr>
          </w:p>
        </w:tc>
        <w:tc>
          <w:tcPr>
            <w:tcW w:w="11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4.2</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Equity income in non-guarantors</w:t>
            </w:r>
          </w:p>
        </w:tc>
        <w:tc>
          <w:tcPr>
            <w:tcW w:w="9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Net Change in certain components of</w:t>
            </w:r>
          </w:p>
        </w:tc>
        <w:tc>
          <w:tcPr>
            <w:tcW w:w="98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(87.5)</w:t>
            </w:r>
          </w:p>
        </w:tc>
        <w:tc>
          <w:tcPr>
            <w:tcW w:w="380" w:type="dxa"/>
            <w:vAlign w:val="bottom"/>
          </w:tcPr>
          <w:p>
            <w:pPr>
              <w:spacing w:after="0"/>
              <w:rPr>
                <w:sz w:val="15"/>
                <w:szCs w:val="15"/>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(47.4)</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(134.9)</w:t>
            </w:r>
          </w:p>
        </w:tc>
        <w:tc>
          <w:tcPr>
            <w:tcW w:w="0" w:type="dxa"/>
            <w:vAlign w:val="bottom"/>
          </w:tcPr>
          <w:p>
            <w:pPr>
              <w:spacing w:after="0"/>
              <w:rPr>
                <w:sz w:val="1"/>
                <w:szCs w:val="1"/>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working capital</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Net changes in other assets and</w:t>
            </w:r>
          </w:p>
        </w:tc>
        <w:tc>
          <w:tcPr>
            <w:tcW w:w="9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(38.9)</w:t>
            </w:r>
          </w:p>
        </w:tc>
        <w:tc>
          <w:tcPr>
            <w:tcW w:w="38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9.0</w:t>
            </w:r>
          </w:p>
        </w:tc>
        <w:tc>
          <w:tcPr>
            <w:tcW w:w="164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(29.9)</w:t>
            </w: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operating activities</w:t>
            </w:r>
          </w:p>
        </w:tc>
        <w:tc>
          <w:tcPr>
            <w:tcW w:w="2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vMerge w:val="continue"/>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(130.9)</w:t>
            </w:r>
          </w:p>
        </w:tc>
        <w:tc>
          <w:tcPr>
            <w:tcW w:w="3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(32.5)</w:t>
            </w:r>
          </w:p>
        </w:tc>
        <w:tc>
          <w:tcPr>
            <w:tcW w:w="760" w:type="dxa"/>
            <w:vAlign w:val="bottom"/>
          </w:tcPr>
          <w:p>
            <w:pPr>
              <w:spacing w:after="0"/>
              <w:rPr>
                <w:sz w:val="15"/>
                <w:szCs w:val="15"/>
                <w:color w:val="auto"/>
              </w:rPr>
            </w:pPr>
          </w:p>
        </w:tc>
        <w:tc>
          <w:tcPr>
            <w:tcW w:w="8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(163.4)</w:t>
            </w:r>
          </w:p>
        </w:tc>
        <w:tc>
          <w:tcPr>
            <w:tcW w:w="0" w:type="dxa"/>
            <w:vAlign w:val="bottom"/>
          </w:tcPr>
          <w:p>
            <w:pPr>
              <w:spacing w:after="0"/>
              <w:rPr>
                <w:sz w:val="1"/>
                <w:szCs w:val="1"/>
                <w:color w:val="auto"/>
              </w:rPr>
            </w:pPr>
          </w:p>
        </w:tc>
      </w:tr>
      <w:tr>
        <w:trPr>
          <w:trHeight w:val="265"/>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Investment in property, plant</w:t>
            </w:r>
          </w:p>
        </w:tc>
        <w:tc>
          <w:tcPr>
            <w:tcW w:w="98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(12.1)</w:t>
            </w:r>
          </w:p>
        </w:tc>
        <w:tc>
          <w:tcPr>
            <w:tcW w:w="380" w:type="dxa"/>
            <w:vAlign w:val="bottom"/>
          </w:tcPr>
          <w:p>
            <w:pPr>
              <w:spacing w:after="0"/>
              <w:rPr>
                <w:sz w:val="15"/>
                <w:szCs w:val="15"/>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(1.7)</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(13.8)</w:t>
            </w:r>
          </w:p>
        </w:tc>
        <w:tc>
          <w:tcPr>
            <w:tcW w:w="0" w:type="dxa"/>
            <w:vAlign w:val="bottom"/>
          </w:tcPr>
          <w:p>
            <w:pPr>
              <w:spacing w:after="0"/>
              <w:rPr>
                <w:sz w:val="1"/>
                <w:szCs w:val="1"/>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and equipment</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28.6</w:t>
            </w: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acquired businesses,</w:t>
            </w:r>
          </w:p>
        </w:tc>
        <w:tc>
          <w:tcPr>
            <w:tcW w:w="9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(28.6)</w:t>
            </w:r>
          </w:p>
        </w:tc>
        <w:tc>
          <w:tcPr>
            <w:tcW w:w="380" w:type="dxa"/>
            <w:vAlign w:val="bottom"/>
          </w:tcPr>
          <w:p>
            <w:pPr>
              <w:spacing w:after="0"/>
              <w:rPr>
                <w:sz w:val="15"/>
                <w:szCs w:val="15"/>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(160.7)</w:t>
            </w:r>
          </w:p>
        </w:tc>
        <w:tc>
          <w:tcPr>
            <w:tcW w:w="7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(160.7)</w:t>
            </w:r>
          </w:p>
        </w:tc>
        <w:tc>
          <w:tcPr>
            <w:tcW w:w="0" w:type="dxa"/>
            <w:vAlign w:val="bottom"/>
          </w:tcPr>
          <w:p>
            <w:pPr>
              <w:spacing w:after="0"/>
              <w:rPr>
                <w:sz w:val="1"/>
                <w:szCs w:val="1"/>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net of cash acquired</w:t>
            </w:r>
          </w:p>
        </w:tc>
        <w:tc>
          <w:tcPr>
            <w:tcW w:w="98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(7.3)</w:t>
            </w: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Investments in non-guarantors</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(0.3)</w:t>
            </w:r>
          </w:p>
        </w:tc>
        <w:tc>
          <w:tcPr>
            <w:tcW w:w="164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w:t>
            </w: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2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vMerge w:val="continue"/>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(48.0)</w:t>
            </w:r>
          </w:p>
        </w:tc>
        <w:tc>
          <w:tcPr>
            <w:tcW w:w="38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(162.7)</w:t>
            </w:r>
          </w:p>
        </w:tc>
        <w:tc>
          <w:tcPr>
            <w:tcW w:w="760" w:type="dxa"/>
            <w:vAlign w:val="bottom"/>
          </w:tcPr>
          <w:p>
            <w:pPr>
              <w:spacing w:after="0"/>
              <w:rPr>
                <w:sz w:val="15"/>
                <w:szCs w:val="15"/>
                <w:color w:val="auto"/>
              </w:rPr>
            </w:pPr>
          </w:p>
        </w:tc>
        <w:tc>
          <w:tcPr>
            <w:tcW w:w="8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28.6</w:t>
            </w:r>
          </w:p>
        </w:tc>
        <w:tc>
          <w:tcPr>
            <w:tcW w:w="520" w:type="dxa"/>
            <w:vAlign w:val="bottom"/>
          </w:tcPr>
          <w:p>
            <w:pPr>
              <w:spacing w:after="0"/>
              <w:rPr>
                <w:sz w:val="15"/>
                <w:szCs w:val="15"/>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(182.1)</w:t>
            </w:r>
          </w:p>
        </w:tc>
        <w:tc>
          <w:tcPr>
            <w:tcW w:w="0" w:type="dxa"/>
            <w:vAlign w:val="bottom"/>
          </w:tcPr>
          <w:p>
            <w:pPr>
              <w:spacing w:after="0"/>
              <w:rPr>
                <w:sz w:val="1"/>
                <w:szCs w:val="1"/>
                <w:color w:val="auto"/>
              </w:rPr>
            </w:pPr>
          </w:p>
        </w:tc>
      </w:tr>
      <w:tr>
        <w:trPr>
          <w:trHeight w:val="265"/>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7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Net borrowings under revolving and bank</w:t>
            </w:r>
          </w:p>
        </w:tc>
        <w:tc>
          <w:tcPr>
            <w:tcW w:w="98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185.4</w:t>
            </w:r>
          </w:p>
        </w:tc>
        <w:tc>
          <w:tcPr>
            <w:tcW w:w="380" w:type="dxa"/>
            <w:vAlign w:val="bottom"/>
          </w:tcPr>
          <w:p>
            <w:pPr>
              <w:spacing w:after="0"/>
              <w:rPr>
                <w:sz w:val="15"/>
                <w:szCs w:val="15"/>
                <w:color w:val="auto"/>
              </w:rPr>
            </w:pPr>
          </w:p>
        </w:tc>
        <w:tc>
          <w:tcPr>
            <w:tcW w:w="110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(96.8)</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88.6</w:t>
            </w:r>
          </w:p>
        </w:tc>
        <w:tc>
          <w:tcPr>
            <w:tcW w:w="0" w:type="dxa"/>
            <w:vAlign w:val="bottom"/>
          </w:tcPr>
          <w:p>
            <w:pPr>
              <w:spacing w:after="0"/>
              <w:rPr>
                <w:sz w:val="1"/>
                <w:szCs w:val="1"/>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lines of credit</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Gross borrowings under term loans</w:t>
            </w:r>
          </w:p>
        </w:tc>
        <w:tc>
          <w:tcPr>
            <w:tcW w:w="9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260.0</w:t>
            </w:r>
          </w:p>
        </w:tc>
        <w:tc>
          <w:tcPr>
            <w:tcW w:w="38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265.0</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525.0</w:t>
            </w: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Gross repayments under term loans</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Repayment of outstanding balance on</w:t>
            </w:r>
          </w:p>
        </w:tc>
        <w:tc>
          <w:tcPr>
            <w:tcW w:w="98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(241.0)</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(241.0)</w:t>
            </w:r>
          </w:p>
        </w:tc>
        <w:tc>
          <w:tcPr>
            <w:tcW w:w="0" w:type="dxa"/>
            <w:vAlign w:val="bottom"/>
          </w:tcPr>
          <w:p>
            <w:pPr>
              <w:spacing w:after="0"/>
              <w:rPr>
                <w:sz w:val="1"/>
                <w:szCs w:val="1"/>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previous credit facility</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Dividends on Class A Convertible</w:t>
            </w:r>
          </w:p>
        </w:tc>
        <w:tc>
          <w:tcPr>
            <w:tcW w:w="98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(4.9)</w:t>
            </w:r>
          </w:p>
        </w:tc>
        <w:tc>
          <w:tcPr>
            <w:tcW w:w="0" w:type="dxa"/>
            <w:vAlign w:val="bottom"/>
          </w:tcPr>
          <w:p>
            <w:pPr>
              <w:spacing w:after="0"/>
              <w:rPr>
                <w:sz w:val="1"/>
                <w:szCs w:val="1"/>
                <w:color w:val="auto"/>
              </w:rPr>
            </w:pPr>
          </w:p>
        </w:tc>
      </w:tr>
      <w:tr>
        <w:trPr>
          <w:trHeight w:val="182"/>
        </w:trPr>
        <w:tc>
          <w:tcPr>
            <w:tcW w:w="4780" w:type="dxa"/>
            <w:vAlign w:val="bottom"/>
          </w:tcPr>
          <w:p>
            <w:pPr>
              <w:ind w:left="560"/>
              <w:spacing w:after="0"/>
              <w:rPr>
                <w:sz w:val="20"/>
                <w:szCs w:val="20"/>
                <w:color w:val="auto"/>
              </w:rPr>
            </w:pPr>
            <w:r>
              <w:rPr>
                <w:rFonts w:ascii="Courier New" w:cs="Courier New" w:eastAsia="Courier New" w:hAnsi="Courier New"/>
                <w:sz w:val="16"/>
                <w:szCs w:val="16"/>
                <w:color w:val="auto"/>
              </w:rPr>
              <w:t>Preferred Stock</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28.6</w:t>
            </w:r>
          </w:p>
        </w:tc>
        <w:tc>
          <w:tcPr>
            <w:tcW w:w="760" w:type="dxa"/>
            <w:vAlign w:val="bottom"/>
          </w:tcPr>
          <w:p>
            <w:pPr>
              <w:spacing w:after="0"/>
              <w:rPr>
                <w:sz w:val="15"/>
                <w:szCs w:val="15"/>
                <w:color w:val="auto"/>
              </w:rPr>
            </w:pPr>
          </w:p>
        </w:tc>
        <w:tc>
          <w:tcPr>
            <w:tcW w:w="88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(28.6)</w:t>
            </w: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Investments from parent</w:t>
            </w:r>
          </w:p>
        </w:tc>
        <w:tc>
          <w:tcPr>
            <w:tcW w:w="980" w:type="dxa"/>
            <w:vAlign w:val="bottom"/>
          </w:tcPr>
          <w:p>
            <w:pPr>
              <w:spacing w:after="0"/>
              <w:rPr>
                <w:sz w:val="15"/>
                <w:szCs w:val="15"/>
                <w:color w:val="auto"/>
              </w:rPr>
            </w:pPr>
          </w:p>
        </w:tc>
        <w:tc>
          <w:tcPr>
            <w:tcW w:w="10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(24.5)</w:t>
            </w: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(24.5)</w:t>
            </w: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Other, net</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80" w:type="dxa"/>
            <w:vAlign w:val="bottom"/>
            <w:gridSpan w:val="2"/>
            <w:vMerge w:val="restart"/>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175.0</w:t>
            </w:r>
          </w:p>
        </w:tc>
        <w:tc>
          <w:tcPr>
            <w:tcW w:w="38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196.8</w:t>
            </w:r>
          </w:p>
        </w:tc>
        <w:tc>
          <w:tcPr>
            <w:tcW w:w="760" w:type="dxa"/>
            <w:vAlign w:val="bottom"/>
          </w:tcPr>
          <w:p>
            <w:pPr>
              <w:spacing w:after="0"/>
              <w:rPr>
                <w:sz w:val="15"/>
                <w:szCs w:val="15"/>
                <w:color w:val="auto"/>
              </w:rPr>
            </w:pPr>
          </w:p>
        </w:tc>
        <w:tc>
          <w:tcPr>
            <w:tcW w:w="8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(28.6)</w:t>
            </w:r>
          </w:p>
        </w:tc>
        <w:tc>
          <w:tcPr>
            <w:tcW w:w="52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343.2</w:t>
            </w:r>
          </w:p>
        </w:tc>
        <w:tc>
          <w:tcPr>
            <w:tcW w:w="0" w:type="dxa"/>
            <w:vAlign w:val="bottom"/>
          </w:tcPr>
          <w:p>
            <w:pPr>
              <w:spacing w:after="0"/>
              <w:rPr>
                <w:sz w:val="1"/>
                <w:szCs w:val="1"/>
                <w:color w:val="auto"/>
              </w:rPr>
            </w:pPr>
          </w:p>
        </w:tc>
      </w:tr>
      <w:tr>
        <w:trPr>
          <w:trHeight w:val="182"/>
        </w:trPr>
        <w:tc>
          <w:tcPr>
            <w:tcW w:w="4780" w:type="dxa"/>
            <w:vAlign w:val="bottom"/>
            <w:vMerge w:val="restart"/>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2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780" w:type="dxa"/>
            <w:vAlign w:val="bottom"/>
            <w:vMerge w:val="continue"/>
          </w:tcPr>
          <w:p>
            <w:pPr>
              <w:spacing w:after="0"/>
              <w:rPr>
                <w:sz w:val="23"/>
                <w:szCs w:val="23"/>
                <w:color w:val="auto"/>
              </w:rPr>
            </w:pPr>
          </w:p>
        </w:tc>
        <w:tc>
          <w:tcPr>
            <w:tcW w:w="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(0.1)</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2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9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w:t>
            </w:r>
          </w:p>
        </w:tc>
        <w:tc>
          <w:tcPr>
            <w:tcW w:w="38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980" w:type="dxa"/>
            <w:vAlign w:val="bottom"/>
          </w:tcPr>
          <w:p>
            <w:pPr>
              <w:spacing w:after="0"/>
              <w:rPr>
                <w:sz w:val="15"/>
                <w:szCs w:val="15"/>
                <w:color w:val="auto"/>
              </w:rPr>
            </w:pPr>
          </w:p>
        </w:tc>
        <w:tc>
          <w:tcPr>
            <w:tcW w:w="10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2.8</w:t>
            </w:r>
          </w:p>
        </w:tc>
        <w:tc>
          <w:tcPr>
            <w:tcW w:w="380" w:type="dxa"/>
            <w:vAlign w:val="bottom"/>
          </w:tcPr>
          <w:p>
            <w:pPr>
              <w:spacing w:after="0"/>
              <w:rPr>
                <w:sz w:val="15"/>
                <w:szCs w:val="15"/>
                <w:color w:val="auto"/>
              </w:rPr>
            </w:pPr>
          </w:p>
        </w:tc>
        <w:tc>
          <w:tcPr>
            <w:tcW w:w="110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7.8</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beginning of period</w:t>
            </w:r>
          </w:p>
        </w:tc>
        <w:tc>
          <w:tcPr>
            <w:tcW w:w="9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64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vMerge w:val="continue"/>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end of period</w:t>
            </w:r>
          </w:p>
        </w:tc>
        <w:tc>
          <w:tcPr>
            <w:tcW w:w="980" w:type="dxa"/>
            <w:vAlign w:val="bottom"/>
          </w:tcPr>
          <w:p>
            <w:pPr>
              <w:ind w:left="8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9.3</w:t>
            </w:r>
          </w:p>
        </w:tc>
        <w:tc>
          <w:tcPr>
            <w:tcW w:w="7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w:t>
            </w: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3"/>
                <w:szCs w:val="23"/>
                <w:color w:val="auto"/>
              </w:rPr>
            </w:pPr>
          </w:p>
        </w:tc>
        <w:tc>
          <w:tcPr>
            <w:tcW w:w="20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1340"/>
          </w:cols>
          <w:pgMar w:left="320" w:top="271" w:right="239"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24</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JANUARY 2, 1999 (IN MILLIONS, EXCEPT SHARE INFORMATION)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00" w:type="dxa"/>
            <w:vAlign w:val="bottom"/>
          </w:tcPr>
          <w:p>
            <w:pPr>
              <w:spacing w:after="0"/>
              <w:rPr>
                <w:sz w:val="15"/>
                <w:szCs w:val="15"/>
                <w:color w:val="auto"/>
              </w:rPr>
            </w:pPr>
          </w:p>
        </w:tc>
        <w:tc>
          <w:tcPr>
            <w:tcW w:w="2080" w:type="dxa"/>
            <w:vAlign w:val="bottom"/>
          </w:tcPr>
          <w:p>
            <w:pPr>
              <w:ind w:left="980"/>
              <w:spacing w:after="0"/>
              <w:rPr>
                <w:sz w:val="20"/>
                <w:szCs w:val="20"/>
                <w:color w:val="auto"/>
              </w:rPr>
            </w:pPr>
            <w:r>
              <w:rPr>
                <w:rFonts w:ascii="Courier New" w:cs="Courier New" w:eastAsia="Courier New" w:hAnsi="Courier New"/>
                <w:sz w:val="16"/>
                <w:szCs w:val="16"/>
                <w:color w:val="auto"/>
              </w:rPr>
              <w:t>PARENT AND</w:t>
            </w:r>
          </w:p>
        </w:tc>
        <w:tc>
          <w:tcPr>
            <w:tcW w:w="104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NON-</w:t>
            </w: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2080" w:type="dxa"/>
            <w:vAlign w:val="bottom"/>
          </w:tcPr>
          <w:p>
            <w:pPr>
              <w:ind w:left="980"/>
              <w:spacing w:after="0"/>
              <w:rPr>
                <w:sz w:val="20"/>
                <w:szCs w:val="20"/>
                <w:color w:val="auto"/>
              </w:rPr>
            </w:pPr>
            <w:r>
              <w:rPr>
                <w:rFonts w:ascii="Courier New" w:cs="Courier New" w:eastAsia="Courier New" w:hAnsi="Courier New"/>
                <w:sz w:val="16"/>
                <w:szCs w:val="16"/>
                <w:color w:val="auto"/>
              </w:rPr>
              <w:t>SUBSIDIARY</w:t>
            </w:r>
          </w:p>
        </w:tc>
        <w:tc>
          <w:tcPr>
            <w:tcW w:w="10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5420" w:type="dxa"/>
            <w:vAlign w:val="bottom"/>
            <w:gridSpan w:val="4"/>
          </w:tcPr>
          <w:p>
            <w:pPr>
              <w:ind w:left="980"/>
              <w:spacing w:after="0"/>
              <w:rPr>
                <w:sz w:val="20"/>
                <w:szCs w:val="20"/>
                <w:color w:val="auto"/>
              </w:rPr>
            </w:pPr>
            <w:r>
              <w:rPr>
                <w:rFonts w:ascii="Courier New" w:cs="Courier New" w:eastAsia="Courier New" w:hAnsi="Courier New"/>
                <w:sz w:val="16"/>
                <w:szCs w:val="16"/>
                <w:color w:val="auto"/>
                <w:w w:val="97"/>
              </w:rPr>
              <w:t>GUARANTORS GUARANTORS ELIMINATIONS CONSOLIDATED</w:t>
            </w:r>
          </w:p>
        </w:tc>
        <w:tc>
          <w:tcPr>
            <w:tcW w:w="0" w:type="dxa"/>
            <w:vAlign w:val="bottom"/>
          </w:tcPr>
          <w:p>
            <w:pPr>
              <w:spacing w:after="0"/>
              <w:rPr>
                <w:sz w:val="1"/>
                <w:szCs w:val="1"/>
                <w:color w:val="auto"/>
              </w:rPr>
            </w:pPr>
          </w:p>
        </w:tc>
      </w:tr>
      <w:tr>
        <w:trPr>
          <w:trHeight w:val="265"/>
        </w:trPr>
        <w:tc>
          <w:tcPr>
            <w:tcW w:w="4500" w:type="dxa"/>
            <w:vAlign w:val="bottom"/>
          </w:tcPr>
          <w:p>
            <w:pPr>
              <w:spacing w:after="0"/>
              <w:rPr>
                <w:sz w:val="23"/>
                <w:szCs w:val="23"/>
                <w:color w:val="auto"/>
              </w:rPr>
            </w:pPr>
          </w:p>
        </w:tc>
        <w:tc>
          <w:tcPr>
            <w:tcW w:w="5420" w:type="dxa"/>
            <w:vAlign w:val="bottom"/>
            <w:gridSpan w:val="4"/>
          </w:tcPr>
          <w:p>
            <w:pPr>
              <w:ind w:left="980"/>
              <w:spacing w:after="0"/>
              <w:rPr>
                <w:sz w:val="20"/>
                <w:szCs w:val="20"/>
                <w:color w:val="auto"/>
              </w:rPr>
            </w:pPr>
            <w:r>
              <w:rPr>
                <w:rFonts w:ascii="Courier New" w:cs="Courier New" w:eastAsia="Courier New" w:hAnsi="Courier New"/>
                <w:sz w:val="16"/>
                <w:szCs w:val="16"/>
                <w:color w:val="auto"/>
                <w:w w:val="97"/>
              </w:rPr>
              <w:t>---------- ---------- ------------ ------------</w:t>
            </w:r>
          </w:p>
        </w:tc>
        <w:tc>
          <w:tcPr>
            <w:tcW w:w="0" w:type="dxa"/>
            <w:vAlign w:val="bottom"/>
          </w:tcPr>
          <w:p>
            <w:pPr>
              <w:spacing w:after="0"/>
              <w:rPr>
                <w:sz w:val="1"/>
                <w:szCs w:val="1"/>
                <w:color w:val="auto"/>
              </w:rPr>
            </w:pPr>
          </w:p>
        </w:tc>
      </w:tr>
      <w:tr>
        <w:trPr>
          <w:trHeight w:val="2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0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 (1.1)</w:t>
            </w: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  9.3</w:t>
            </w:r>
          </w:p>
        </w:tc>
        <w:tc>
          <w:tcPr>
            <w:tcW w:w="1180" w:type="dxa"/>
            <w:vAlign w:val="bottom"/>
          </w:tcPr>
          <w:p>
            <w:pPr>
              <w:spacing w:after="0"/>
              <w:rPr>
                <w:sz w:val="15"/>
                <w:szCs w:val="15"/>
                <w:color w:val="auto"/>
              </w:rPr>
            </w:pPr>
          </w:p>
        </w:tc>
        <w:tc>
          <w:tcPr>
            <w:tcW w:w="11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   8.2</w:t>
            </w: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2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Accounts receivable, net</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113.2</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93.5</w:t>
            </w:r>
          </w:p>
        </w:tc>
        <w:tc>
          <w:tcPr>
            <w:tcW w:w="118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206.7</w:t>
            </w: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Inventories, net</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222.5</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75.7</w:t>
            </w:r>
          </w:p>
        </w:tc>
        <w:tc>
          <w:tcPr>
            <w:tcW w:w="118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298.2</w:t>
            </w: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Current deferred tax asset</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20.8</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10.6</w:t>
            </w:r>
          </w:p>
        </w:tc>
        <w:tc>
          <w:tcPr>
            <w:tcW w:w="118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31.4</w:t>
            </w: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Prepaid and other assets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11.2</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10.3</w:t>
            </w:r>
          </w:p>
        </w:tc>
        <w:tc>
          <w:tcPr>
            <w:tcW w:w="11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21.5</w:t>
            </w:r>
          </w:p>
        </w:tc>
        <w:tc>
          <w:tcPr>
            <w:tcW w:w="0" w:type="dxa"/>
            <w:vAlign w:val="bottom"/>
          </w:tcPr>
          <w:p>
            <w:pPr>
              <w:spacing w:after="0"/>
              <w:rPr>
                <w:sz w:val="1"/>
                <w:szCs w:val="1"/>
                <w:color w:val="auto"/>
              </w:rPr>
            </w:pPr>
          </w:p>
        </w:tc>
      </w:tr>
      <w:tr>
        <w:trPr>
          <w:trHeight w:val="182"/>
        </w:trPr>
        <w:tc>
          <w:tcPr>
            <w:tcW w:w="450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current assets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366.6</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199.4</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566.0</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170.0</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38.9</w:t>
            </w:r>
          </w:p>
        </w:tc>
        <w:tc>
          <w:tcPr>
            <w:tcW w:w="118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208.9</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291.4</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317.2</w:t>
            </w:r>
          </w:p>
        </w:tc>
        <w:tc>
          <w:tcPr>
            <w:tcW w:w="118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608.6</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61.8</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1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(99.2)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62.0</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Investment in affiliates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99.2</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Intracompany assets</w:t>
            </w:r>
          </w:p>
        </w:tc>
        <w:tc>
          <w:tcPr>
            <w:tcW w:w="20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50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assets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989.0</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555.9</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(99.4)</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1,445.5</w:t>
            </w:r>
          </w:p>
        </w:tc>
        <w:tc>
          <w:tcPr>
            <w:tcW w:w="0" w:type="dxa"/>
            <w:vAlign w:val="bottom"/>
          </w:tcPr>
          <w:p>
            <w:pPr>
              <w:spacing w:after="0"/>
              <w:rPr>
                <w:sz w:val="1"/>
                <w:szCs w:val="1"/>
                <w:color w:val="auto"/>
              </w:rPr>
            </w:pPr>
          </w:p>
        </w:tc>
      </w:tr>
      <w:tr>
        <w:trPr>
          <w:trHeight w:val="265"/>
        </w:trPr>
        <w:tc>
          <w:tcPr>
            <w:tcW w:w="4500" w:type="dxa"/>
            <w:vAlign w:val="bottom"/>
          </w:tcPr>
          <w:p>
            <w:pPr>
              <w:spacing w:after="0"/>
              <w:rPr>
                <w:sz w:val="23"/>
                <w:szCs w:val="23"/>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1.1</w:t>
            </w: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23.3</w:t>
            </w:r>
          </w:p>
        </w:tc>
        <w:tc>
          <w:tcPr>
            <w:tcW w:w="1180" w:type="dxa"/>
            <w:vAlign w:val="bottom"/>
          </w:tcPr>
          <w:p>
            <w:pPr>
              <w:spacing w:after="0"/>
              <w:rPr>
                <w:sz w:val="15"/>
                <w:szCs w:val="15"/>
                <w:color w:val="auto"/>
              </w:rPr>
            </w:pPr>
          </w:p>
        </w:tc>
        <w:tc>
          <w:tcPr>
            <w:tcW w:w="11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24.4</w:t>
            </w: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Short-term debt</w:t>
            </w:r>
          </w:p>
        </w:tc>
        <w:tc>
          <w:tcPr>
            <w:tcW w:w="2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68.7</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43.8</w:t>
            </w:r>
          </w:p>
        </w:tc>
        <w:tc>
          <w:tcPr>
            <w:tcW w:w="1180" w:type="dxa"/>
            <w:vAlign w:val="bottom"/>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112.5</w:t>
            </w: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Accrued liabilities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62.6</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48.9</w:t>
            </w:r>
          </w:p>
        </w:tc>
        <w:tc>
          <w:tcPr>
            <w:tcW w:w="11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111.5</w:t>
            </w:r>
          </w:p>
        </w:tc>
        <w:tc>
          <w:tcPr>
            <w:tcW w:w="0" w:type="dxa"/>
            <w:vAlign w:val="bottom"/>
          </w:tcPr>
          <w:p>
            <w:pPr>
              <w:spacing w:after="0"/>
              <w:rPr>
                <w:sz w:val="1"/>
                <w:szCs w:val="1"/>
                <w:color w:val="auto"/>
              </w:rPr>
            </w:pPr>
          </w:p>
        </w:tc>
      </w:tr>
      <w:tr>
        <w:trPr>
          <w:trHeight w:val="182"/>
        </w:trPr>
        <w:tc>
          <w:tcPr>
            <w:tcW w:w="450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current liabilities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500" w:type="dxa"/>
            <w:vAlign w:val="bottom"/>
            <w:vMerge w:val="continue"/>
          </w:tcPr>
          <w:p>
            <w:pPr>
              <w:spacing w:after="0"/>
              <w:rPr>
                <w:sz w:val="23"/>
                <w:szCs w:val="23"/>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132.4</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116.0</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248.4</w:t>
            </w:r>
          </w:p>
        </w:tc>
        <w:tc>
          <w:tcPr>
            <w:tcW w:w="0" w:type="dxa"/>
            <w:vAlign w:val="bottom"/>
          </w:tcPr>
          <w:p>
            <w:pPr>
              <w:spacing w:after="0"/>
              <w:rPr>
                <w:sz w:val="1"/>
                <w:szCs w:val="1"/>
                <w:color w:val="auto"/>
              </w:rPr>
            </w:pPr>
          </w:p>
        </w:tc>
      </w:tr>
      <w:tr>
        <w:trPr>
          <w:trHeight w:val="280"/>
        </w:trPr>
        <w:tc>
          <w:tcPr>
            <w:tcW w:w="45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425.9</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328.9</w:t>
            </w:r>
          </w:p>
        </w:tc>
        <w:tc>
          <w:tcPr>
            <w:tcW w:w="1180" w:type="dxa"/>
            <w:vAlign w:val="bottom"/>
          </w:tcPr>
          <w:p>
            <w:pPr>
              <w:spacing w:after="0"/>
              <w:rPr>
                <w:sz w:val="24"/>
                <w:szCs w:val="24"/>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754.8</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36.0</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15.2</w:t>
            </w:r>
          </w:p>
        </w:tc>
        <w:tc>
          <w:tcPr>
            <w:tcW w:w="11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(0.2)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51.2</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Intracompany liabilities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50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liabilities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594.5</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460.1</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1,054.4</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Class A Convertible Preferred</w:t>
            </w:r>
          </w:p>
        </w:tc>
        <w:tc>
          <w:tcPr>
            <w:tcW w:w="20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177.3</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177.3</w:t>
            </w: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Stock, no par value</w:t>
            </w:r>
          </w:p>
        </w:tc>
        <w:tc>
          <w:tcPr>
            <w:tcW w:w="2080" w:type="dxa"/>
            <w:vAlign w:val="bottom"/>
            <w:vMerge w:val="continue"/>
          </w:tcPr>
          <w:p>
            <w:pPr>
              <w:spacing w:after="0"/>
              <w:rPr>
                <w:sz w:val="15"/>
                <w:szCs w:val="15"/>
                <w:color w:val="auto"/>
              </w:rPr>
            </w:pP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57.4</w:t>
            </w:r>
          </w:p>
        </w:tc>
        <w:tc>
          <w:tcPr>
            <w:tcW w:w="11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(57.4)</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Investment from parent</w:t>
            </w:r>
          </w:p>
        </w:tc>
        <w:tc>
          <w:tcPr>
            <w:tcW w:w="20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0.0</w:t>
            </w: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Common shares, no par value per</w:t>
            </w:r>
          </w:p>
        </w:tc>
        <w:tc>
          <w:tcPr>
            <w:tcW w:w="2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share, $.01 stated value per</w:t>
            </w:r>
          </w:p>
        </w:tc>
        <w:tc>
          <w:tcPr>
            <w:tcW w:w="2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share, issued 21.1 shares in</w:t>
            </w:r>
          </w:p>
        </w:tc>
        <w:tc>
          <w:tcPr>
            <w:tcW w:w="20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1998 and 1997</w:t>
            </w:r>
          </w:p>
        </w:tc>
        <w:tc>
          <w:tcPr>
            <w:tcW w:w="20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Capital in excess of par value</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208.9</w:t>
            </w: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41.8</w:t>
            </w:r>
          </w:p>
        </w:tc>
        <w:tc>
          <w:tcPr>
            <w:tcW w:w="11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(41.8)</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208.9</w:t>
            </w: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63.8</w:t>
            </w:r>
          </w:p>
        </w:tc>
        <w:tc>
          <w:tcPr>
            <w:tcW w:w="10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63.8</w:t>
            </w: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Treasury stock, 2.8 shares at cost</w:t>
            </w:r>
          </w:p>
        </w:tc>
        <w:tc>
          <w:tcPr>
            <w:tcW w:w="2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(55.5)</w:t>
            </w: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(55.5)</w:t>
            </w: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Accumulated other comprehensive</w:t>
            </w:r>
          </w:p>
        </w:tc>
        <w:tc>
          <w:tcPr>
            <w:tcW w:w="20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(0.2)</w:t>
            </w:r>
          </w:p>
        </w:tc>
        <w:tc>
          <w:tcPr>
            <w:tcW w:w="104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(3.4)</w:t>
            </w:r>
          </w:p>
        </w:tc>
        <w:tc>
          <w:tcPr>
            <w:tcW w:w="1180" w:type="dxa"/>
            <w:vAlign w:val="bottom"/>
          </w:tcPr>
          <w:p>
            <w:pPr>
              <w:spacing w:after="0"/>
              <w:rPr>
                <w:sz w:val="15"/>
                <w:szCs w:val="15"/>
                <w:color w:val="auto"/>
              </w:rPr>
            </w:pPr>
          </w:p>
        </w:tc>
        <w:tc>
          <w:tcPr>
            <w:tcW w:w="112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182"/>
        </w:trPr>
        <w:tc>
          <w:tcPr>
            <w:tcW w:w="4500" w:type="dxa"/>
            <w:vAlign w:val="bottom"/>
          </w:tcPr>
          <w:p>
            <w:pPr>
              <w:ind w:left="560"/>
              <w:spacing w:after="0"/>
              <w:rPr>
                <w:sz w:val="20"/>
                <w:szCs w:val="20"/>
                <w:color w:val="auto"/>
              </w:rPr>
            </w:pPr>
            <w:r>
              <w:rPr>
                <w:rFonts w:ascii="Courier New" w:cs="Courier New" w:eastAsia="Courier New" w:hAnsi="Courier New"/>
                <w:sz w:val="16"/>
                <w:szCs w:val="16"/>
                <w:color w:val="auto"/>
              </w:rPr>
              <w:t>income</w:t>
            </w:r>
          </w:p>
        </w:tc>
        <w:tc>
          <w:tcPr>
            <w:tcW w:w="2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Total shareholders' equity</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continue"/>
          </w:tcPr>
          <w:p>
            <w:pPr>
              <w:spacing w:after="0"/>
              <w:rPr>
                <w:sz w:val="15"/>
                <w:szCs w:val="15"/>
                <w:color w:val="auto"/>
              </w:rPr>
            </w:pP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500" w:type="dxa"/>
            <w:vAlign w:val="bottom"/>
            <w:vMerge w:val="continue"/>
          </w:tcPr>
          <w:p>
            <w:pPr>
              <w:spacing w:after="0"/>
              <w:rPr>
                <w:sz w:val="15"/>
                <w:szCs w:val="15"/>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394.5</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95.8</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(99.2)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391.1</w:t>
            </w:r>
          </w:p>
        </w:tc>
        <w:tc>
          <w:tcPr>
            <w:tcW w:w="0" w:type="dxa"/>
            <w:vAlign w:val="bottom"/>
          </w:tcPr>
          <w:p>
            <w:pPr>
              <w:spacing w:after="0"/>
              <w:rPr>
                <w:sz w:val="1"/>
                <w:szCs w:val="1"/>
                <w:color w:val="auto"/>
              </w:rPr>
            </w:pPr>
          </w:p>
        </w:tc>
      </w:tr>
      <w:tr>
        <w:trPr>
          <w:trHeight w:val="265"/>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Total liabilities and shareholders'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500" w:type="dxa"/>
            <w:vAlign w:val="bottom"/>
            <w:vMerge w:val="continue"/>
          </w:tcPr>
          <w:p>
            <w:pPr>
              <w:spacing w:after="0"/>
              <w:rPr>
                <w:sz w:val="8"/>
                <w:szCs w:val="8"/>
                <w:color w:val="auto"/>
              </w:rPr>
            </w:pPr>
          </w:p>
        </w:tc>
        <w:tc>
          <w:tcPr>
            <w:tcW w:w="20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$989.0</w:t>
            </w:r>
          </w:p>
        </w:tc>
        <w:tc>
          <w:tcPr>
            <w:tcW w:w="10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$555.9</w:t>
            </w:r>
          </w:p>
        </w:tc>
        <w:tc>
          <w:tcPr>
            <w:tcW w:w="11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$(99.4)</w:t>
            </w:r>
          </w:p>
        </w:tc>
        <w:tc>
          <w:tcPr>
            <w:tcW w:w="11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$1,445.5</w:t>
            </w:r>
          </w:p>
        </w:tc>
        <w:tc>
          <w:tcPr>
            <w:tcW w:w="0" w:type="dxa"/>
            <w:vAlign w:val="bottom"/>
          </w:tcPr>
          <w:p>
            <w:pPr>
              <w:spacing w:after="0"/>
              <w:rPr>
                <w:sz w:val="1"/>
                <w:szCs w:val="1"/>
                <w:color w:val="auto"/>
              </w:rPr>
            </w:pPr>
          </w:p>
        </w:tc>
      </w:tr>
      <w:tr>
        <w:trPr>
          <w:trHeight w:val="182"/>
        </w:trPr>
        <w:tc>
          <w:tcPr>
            <w:tcW w:w="4500" w:type="dxa"/>
            <w:vAlign w:val="bottom"/>
          </w:tcPr>
          <w:p>
            <w:pPr>
              <w:ind w:left="280"/>
              <w:spacing w:after="0"/>
              <w:rPr>
                <w:sz w:val="20"/>
                <w:szCs w:val="20"/>
                <w:color w:val="auto"/>
              </w:rPr>
            </w:pPr>
            <w:r>
              <w:rPr>
                <w:rFonts w:ascii="Courier New" w:cs="Courier New" w:eastAsia="Courier New" w:hAnsi="Courier New"/>
                <w:sz w:val="16"/>
                <w:szCs w:val="16"/>
                <w:color w:val="auto"/>
              </w:rPr>
              <w:t>equity</w:t>
            </w:r>
          </w:p>
        </w:tc>
        <w:tc>
          <w:tcPr>
            <w:tcW w:w="2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500" w:type="dxa"/>
            <w:vAlign w:val="bottom"/>
          </w:tcPr>
          <w:p>
            <w:pPr>
              <w:spacing w:after="0"/>
              <w:rPr>
                <w:sz w:val="23"/>
                <w:szCs w:val="23"/>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139"/>
          </w:cols>
          <w:pgMar w:left="320" w:top="271"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25</w:t>
      </w:r>
    </w:p>
    <w:p>
      <w:pPr>
        <w:spacing w:after="0" w:line="29"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ITEM 2. MANAGEMENT'S DISCUSSION AND ANALYSIS OF</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(ALL AMOUNTS ARE IN MILLIONS EXCEPT PER SHARE DATA OR AS OTHERWISE NOTED)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6"/>
          <w:szCs w:val="16"/>
          <w:color w:val="auto"/>
        </w:rPr>
        <w:t>Scotts is a leading manufacturer and marketer of consumer branded products for lawn and garden care, professional turf care and professional horticulture businesses in the United States and Europe. Our operations are divided into three business segments: North American Consumer, Professional and International. The North American Consumer segment includes the Lawns, Gardens, Growing Media and Ortho business groups.</w:t>
      </w:r>
    </w:p>
    <w:p>
      <w:pPr>
        <w:spacing w:after="0" w:line="82" w:lineRule="exact"/>
        <w:rPr>
          <w:sz w:val="20"/>
          <w:szCs w:val="20"/>
          <w:color w:val="auto"/>
        </w:rPr>
      </w:pPr>
    </w:p>
    <w:p>
      <w:pPr>
        <w:ind w:right="2579"/>
        <w:spacing w:after="0" w:line="250" w:lineRule="auto"/>
        <w:rPr>
          <w:sz w:val="20"/>
          <w:szCs w:val="20"/>
          <w:color w:val="auto"/>
        </w:rPr>
      </w:pPr>
      <w:r>
        <w:rPr>
          <w:rFonts w:ascii="Courier New" w:cs="Courier New" w:eastAsia="Courier New" w:hAnsi="Courier New"/>
          <w:sz w:val="16"/>
          <w:szCs w:val="16"/>
          <w:color w:val="auto"/>
        </w:rPr>
        <w:t>As a leading consumer branded lawn and garden company, we focus on our consumer marketing efforts, including advertising and consumer research, to create demand to pull product through the retail distribution channels. During fiscal 1999, we spent $189.0 million on advertising and promotional activities, which is a significant increase over fiscal 1998 spending levels. We have applied this consumer marketing focus over the past several years, and we believe that Scotts continues to receive a significant return on these increased marketing expenditures. For example, sales in our Consumer Lawns business group increased 24.9% from fiscal 1998 to fiscal 1999. We believe that this dramatic sales growth resulted primarily from our increased consumer-oriented marketing efforts. We expect that we will continue to focus our marketing efforts toward the consumer and to increase consumer marketing expenditures in the future to drive market share and sales growth.</w:t>
      </w:r>
    </w:p>
    <w:p>
      <w:pPr>
        <w:spacing w:after="0" w:line="92" w:lineRule="exact"/>
        <w:rPr>
          <w:sz w:val="20"/>
          <w:szCs w:val="20"/>
          <w:color w:val="auto"/>
        </w:rPr>
      </w:pPr>
    </w:p>
    <w:p>
      <w:pPr>
        <w:ind w:right="2679"/>
        <w:spacing w:after="0" w:line="283" w:lineRule="auto"/>
        <w:rPr>
          <w:sz w:val="20"/>
          <w:szCs w:val="20"/>
          <w:color w:val="auto"/>
        </w:rPr>
      </w:pPr>
      <w:r>
        <w:rPr>
          <w:rFonts w:ascii="Courier New" w:cs="Courier New" w:eastAsia="Courier New" w:hAnsi="Courier New"/>
          <w:sz w:val="15"/>
          <w:szCs w:val="15"/>
          <w:color w:val="auto"/>
        </w:rPr>
        <w:t>Scotts' sales are seasonal in nature and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recent acquisitions diversify both our product line risk and geographic risk to weather conditions.</w:t>
      </w:r>
    </w:p>
    <w:p>
      <w:pPr>
        <w:spacing w:after="0" w:line="71" w:lineRule="exact"/>
        <w:rPr>
          <w:sz w:val="20"/>
          <w:szCs w:val="20"/>
          <w:color w:val="auto"/>
        </w:rPr>
      </w:pPr>
    </w:p>
    <w:p>
      <w:pPr>
        <w:ind w:right="2579"/>
        <w:spacing w:after="0" w:line="250" w:lineRule="auto"/>
        <w:rPr>
          <w:sz w:val="20"/>
          <w:szCs w:val="20"/>
          <w:color w:val="auto"/>
        </w:rPr>
      </w:pPr>
      <w:r>
        <w:rPr>
          <w:rFonts w:ascii="Courier New" w:cs="Courier New" w:eastAsia="Courier New" w:hAnsi="Courier New"/>
          <w:sz w:val="16"/>
          <w:szCs w:val="16"/>
          <w:color w:val="auto"/>
        </w:rPr>
        <w:t>On September 30, 1998, Scotts entered into a long-term marketing agreement with Monsanto for its consumer Roundup(R) herbicide products. Under the marketing agreement, Scotts and Monsanto will jointly develop global consumer and trade marketing programs for Roundup(R), and Scotts has assumed responsibility for sales support, merchandising, distribution, logistics and certain administrative functions. In addition, in January 1999 Scotts purchased from Monsanto the assets of its worldwide consumer lawn and garden businesses, exclusive of the Roundup(R) business, for $300 million plus an amount for normalized working capital. These transactions with Monsanto will further our strategic objective of significantly enhancing our position in the pesticides segment of the consumer lawn and garden category. These businesses make up the Ortho business group within the North American Consumer segment.</w:t>
      </w:r>
    </w:p>
    <w:p>
      <w:pPr>
        <w:spacing w:after="0" w:line="99" w:lineRule="exact"/>
        <w:rPr>
          <w:sz w:val="20"/>
          <w:szCs w:val="20"/>
          <w:color w:val="auto"/>
        </w:rPr>
      </w:pPr>
    </w:p>
    <w:p>
      <w:pPr>
        <w:ind w:right="2579"/>
        <w:spacing w:after="0" w:line="279" w:lineRule="auto"/>
        <w:rPr>
          <w:sz w:val="20"/>
          <w:szCs w:val="20"/>
          <w:color w:val="auto"/>
        </w:rPr>
      </w:pPr>
      <w:r>
        <w:rPr>
          <w:rFonts w:ascii="Courier New" w:cs="Courier New" w:eastAsia="Courier New" w:hAnsi="Courier New"/>
          <w:sz w:val="15"/>
          <w:szCs w:val="15"/>
          <w:color w:val="auto"/>
        </w:rPr>
        <w:t>We believe that these transactions provide us with several strategic benefits including immediate market penetration, geographic expansion, brand leveraging opportunities, and the achievement of substantial cost savings. With the Ortho acquisition, we are currently a leader by market share in all five segments of the U.S. consumer lawn and garden category: lawn fertilizer, garden fertilizer, growing media, grass seeds and pesticides. We believe that we are now positioned as the only national company with a complete offering of consumer products.</w:t>
      </w:r>
    </w:p>
    <w:p>
      <w:pPr>
        <w:spacing w:after="0" w:line="73" w:lineRule="exact"/>
        <w:rPr>
          <w:sz w:val="20"/>
          <w:szCs w:val="20"/>
          <w:color w:val="auto"/>
        </w:rPr>
      </w:pPr>
    </w:p>
    <w:p>
      <w:pPr>
        <w:ind w:right="2579"/>
        <w:spacing w:after="0" w:line="252" w:lineRule="auto"/>
        <w:rPr>
          <w:sz w:val="20"/>
          <w:szCs w:val="20"/>
          <w:color w:val="auto"/>
        </w:rPr>
      </w:pPr>
      <w:r>
        <w:rPr>
          <w:rFonts w:ascii="Courier New" w:cs="Courier New" w:eastAsia="Courier New" w:hAnsi="Courier New"/>
          <w:sz w:val="16"/>
          <w:szCs w:val="16"/>
          <w:color w:val="auto"/>
        </w:rPr>
        <w:t>The addition of strong pesticide brands completes our product portfolio of powerful branded consumer lawn and garden products that should provide Scotts with brand leveraging opportunities for revenue growth. For example, our strengthened market position should create category management opportunities to enhance shelf positioning, consumer communication, trade incentives and trade programs. In addition, significant synergies have been and should continue to be realized from the combined businesses, including reductions in general and administrative, sales, distribution, purchasing, research and development and corporate overhead costs. We have redirected, and expect to continue to redirect, a portion of these cost savings into increased consumer marketing spending in support of the Ortho(R) brand.</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25</w:t>
      </w:r>
    </w:p>
    <w:p>
      <w:pPr>
        <w:sectPr>
          <w:pgSz w:w="11900" w:h="16838" w:orient="portrait"/>
          <w:cols w:equalWidth="0" w:num="1">
            <w:col w:w="10139"/>
          </w:cols>
          <w:pgMar w:left="320" w:top="27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26</w:t>
      </w:r>
    </w:p>
    <w:p>
      <w:pPr>
        <w:spacing w:after="0" w:line="183" w:lineRule="exact"/>
        <w:rPr>
          <w:sz w:val="20"/>
          <w:szCs w:val="20"/>
          <w:color w:val="auto"/>
        </w:rPr>
      </w:pPr>
    </w:p>
    <w:p>
      <w:pPr>
        <w:ind w:right="2579"/>
        <w:spacing w:after="0" w:line="253" w:lineRule="auto"/>
        <w:rPr>
          <w:sz w:val="20"/>
          <w:szCs w:val="20"/>
          <w:color w:val="auto"/>
        </w:rPr>
      </w:pPr>
      <w:r>
        <w:rPr>
          <w:rFonts w:ascii="Courier New" w:cs="Courier New" w:eastAsia="Courier New" w:hAnsi="Courier New"/>
          <w:sz w:val="16"/>
          <w:szCs w:val="16"/>
          <w:color w:val="auto"/>
        </w:rPr>
        <w:t>Over the past two years, we have made several other acquisitions to strengthen our global market position in the lawn and garden category. In October 1998, we purchased Rhone-Poulenc Jardin, a leading European lawn and garden business, for approximately $170.0 million. This acquisition provides a significant addition to our existing European platform and strengthens our foothold in the continental European consumer lawn and garden market. Through this acquisition, we have established a strong presence in France, Germany, Austria, and the Benelux countries. This acquisition may also mitigate, to a certain extent, our susceptibility to weather conditions by expanding the regions in which we operate.</w:t>
      </w:r>
    </w:p>
    <w:p>
      <w:pPr>
        <w:spacing w:after="0" w:line="90" w:lineRule="exact"/>
        <w:rPr>
          <w:sz w:val="20"/>
          <w:szCs w:val="20"/>
          <w:color w:val="auto"/>
        </w:rPr>
      </w:pPr>
    </w:p>
    <w:p>
      <w:pPr>
        <w:ind w:right="2579"/>
        <w:spacing w:after="0" w:line="271" w:lineRule="auto"/>
        <w:rPr>
          <w:sz w:val="20"/>
          <w:szCs w:val="20"/>
          <w:color w:val="auto"/>
        </w:rPr>
      </w:pPr>
      <w:r>
        <w:rPr>
          <w:rFonts w:ascii="Courier New" w:cs="Courier New" w:eastAsia="Courier New" w:hAnsi="Courier New"/>
          <w:sz w:val="15"/>
          <w:szCs w:val="15"/>
          <w:color w:val="auto"/>
        </w:rPr>
        <w:t>In December 1998, we acquired Asef Holding B.V., a privately-held Netherlands-based lawn and garden products company. In February 1998, we acquired EarthGro, Inc., a Northeastern U.S. growing media producer. In December 1997, we acquired Levington Group Limited, a leading producer of consumer and professional lawn fertilizer and growing media in the United Kingdom. In January 1997, we acquired the approximate two-thirds interest in Miracle Holdings Limited which we did not already own. Miracle Holdings owns Miracle Garden Care Limited, a manufacturer and distributor of lawn and garden products in the United Kingdom. These acquisitions are consistent with our stated objective of becoming the world's foremost branded lawn and garden company.</w:t>
      </w:r>
    </w:p>
    <w:p>
      <w:pPr>
        <w:spacing w:after="0" w:line="82"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6"/>
          <w:szCs w:val="16"/>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1999 includes additional information about the Company, our operations, and our financial position, and should be read in conjunction with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26</w:t>
      </w:r>
    </w:p>
    <w:p>
      <w:pPr>
        <w:sectPr>
          <w:pgSz w:w="11900" w:h="16838" w:orient="portrait"/>
          <w:cols w:equalWidth="0" w:num="1">
            <w:col w:w="10139"/>
          </w:cols>
          <w:pgMar w:left="320" w:top="27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27</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2859"/>
        <w:spacing w:after="0" w:line="352" w:lineRule="auto"/>
        <w:rPr>
          <w:sz w:val="20"/>
          <w:szCs w:val="20"/>
          <w:color w:val="auto"/>
        </w:rPr>
      </w:pPr>
      <w:r>
        <w:rPr>
          <w:rFonts w:ascii="Courier New" w:cs="Courier New" w:eastAsia="Courier New" w:hAnsi="Courier New"/>
          <w:sz w:val="16"/>
          <w:szCs w:val="16"/>
          <w:color w:val="auto"/>
        </w:rPr>
        <w:t>The following table sets forth sales by business segment for the three months ended January 1, 2000 and January 2, 1999:</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60" w:type="dxa"/>
            <w:vAlign w:val="bottom"/>
          </w:tcPr>
          <w:p>
            <w:pPr>
              <w:spacing w:after="0"/>
              <w:rPr>
                <w:sz w:val="15"/>
                <w:szCs w:val="15"/>
                <w:color w:val="auto"/>
              </w:rPr>
            </w:pPr>
          </w:p>
        </w:tc>
        <w:tc>
          <w:tcPr>
            <w:tcW w:w="312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FOR THE THREE MONTHS ENDED</w:t>
            </w: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w w:val="94"/>
              </w:rPr>
              <w:t>PERIOD TO</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15"/>
                <w:szCs w:val="15"/>
                <w:color w:val="auto"/>
              </w:rPr>
            </w:pPr>
          </w:p>
        </w:tc>
        <w:tc>
          <w:tcPr>
            <w:tcW w:w="15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JANUARY 1,</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JANUARY 2,</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PERIOD</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15"/>
                <w:szCs w:val="15"/>
                <w:color w:val="auto"/>
              </w:rPr>
            </w:pP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2000</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 CHANGE</w:t>
            </w: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3"/>
                <w:szCs w:val="23"/>
                <w:color w:val="auto"/>
              </w:rPr>
            </w:pPr>
          </w:p>
        </w:tc>
        <w:tc>
          <w:tcPr>
            <w:tcW w:w="15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560" w:type="dxa"/>
            <w:vAlign w:val="bottom"/>
          </w:tcPr>
          <w:p>
            <w:pPr>
              <w:spacing w:after="0"/>
              <w:rPr>
                <w:sz w:val="20"/>
                <w:szCs w:val="20"/>
                <w:color w:val="auto"/>
              </w:rPr>
            </w:pPr>
            <w:r>
              <w:rPr>
                <w:rFonts w:ascii="Courier New" w:cs="Courier New" w:eastAsia="Courier New" w:hAnsi="Courier New"/>
                <w:sz w:val="16"/>
                <w:szCs w:val="16"/>
                <w:color w:val="auto"/>
              </w:rPr>
              <w:t>North American Consumer:</w:t>
            </w:r>
          </w:p>
        </w:tc>
        <w:tc>
          <w:tcPr>
            <w:tcW w:w="150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$ 47.9</w:t>
            </w:r>
          </w:p>
        </w:tc>
        <w:tc>
          <w:tcPr>
            <w:tcW w:w="1620" w:type="dxa"/>
            <w:vAlign w:val="bottom"/>
            <w:vMerge w:val="restart"/>
          </w:tcPr>
          <w:p>
            <w:pPr>
              <w:jc w:val="right"/>
              <w:ind w:right="501"/>
              <w:spacing w:after="0"/>
              <w:rPr>
                <w:sz w:val="20"/>
                <w:szCs w:val="20"/>
                <w:color w:val="auto"/>
              </w:rPr>
            </w:pPr>
            <w:r>
              <w:rPr>
                <w:rFonts w:ascii="Courier New" w:cs="Courier New" w:eastAsia="Courier New" w:hAnsi="Courier New"/>
                <w:sz w:val="16"/>
                <w:szCs w:val="16"/>
                <w:color w:val="auto"/>
              </w:rPr>
              <w:t>$ 39.1</w:t>
            </w:r>
          </w:p>
        </w:tc>
        <w:tc>
          <w:tcPr>
            <w:tcW w:w="11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22.5%</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Lawns</w:t>
            </w:r>
          </w:p>
        </w:tc>
        <w:tc>
          <w:tcPr>
            <w:tcW w:w="15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Gardens</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14.2</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13.2</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Growing Media</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20.0</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(0.5)</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Ortho</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18.2</w:t>
            </w:r>
          </w:p>
        </w:tc>
        <w:tc>
          <w:tcPr>
            <w:tcW w:w="16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NA</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Canada</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0.5</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180.0</w:t>
            </w:r>
          </w:p>
        </w:tc>
        <w:tc>
          <w:tcPr>
            <w:tcW w:w="0" w:type="dxa"/>
            <w:vAlign w:val="bottom"/>
          </w:tcPr>
          <w:p>
            <w:pPr>
              <w:spacing w:after="0"/>
              <w:rPr>
                <w:sz w:val="1"/>
                <w:szCs w:val="1"/>
                <w:color w:val="auto"/>
              </w:rPr>
            </w:pPr>
          </w:p>
        </w:tc>
      </w:tr>
      <w:tr>
        <w:trPr>
          <w:trHeight w:val="182"/>
        </w:trPr>
        <w:tc>
          <w:tcPr>
            <w:tcW w:w="25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39.6</w:t>
            </w:r>
          </w:p>
        </w:tc>
        <w:tc>
          <w:tcPr>
            <w:tcW w:w="0" w:type="dxa"/>
            <w:vAlign w:val="bottom"/>
          </w:tcPr>
          <w:p>
            <w:pPr>
              <w:spacing w:after="0"/>
              <w:rPr>
                <w:sz w:val="1"/>
                <w:szCs w:val="1"/>
                <w:color w:val="auto"/>
              </w:rPr>
            </w:pPr>
          </w:p>
        </w:tc>
      </w:tr>
      <w:tr>
        <w:trPr>
          <w:trHeight w:val="182"/>
        </w:trPr>
        <w:tc>
          <w:tcPr>
            <w:tcW w:w="2560" w:type="dxa"/>
            <w:vAlign w:val="bottom"/>
            <w:vMerge w:val="continue"/>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101.6</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72.8</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Professional</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23.6</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32.5</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(27.4)</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66.3</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79.1</w:t>
            </w:r>
          </w:p>
        </w:tc>
        <w:tc>
          <w:tcPr>
            <w:tcW w:w="1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(16.2)</w:t>
            </w:r>
          </w:p>
        </w:tc>
        <w:tc>
          <w:tcPr>
            <w:tcW w:w="0" w:type="dxa"/>
            <w:vAlign w:val="bottom"/>
          </w:tcPr>
          <w:p>
            <w:pPr>
              <w:spacing w:after="0"/>
              <w:rPr>
                <w:sz w:val="1"/>
                <w:szCs w:val="1"/>
                <w:color w:val="auto"/>
              </w:rPr>
            </w:pPr>
          </w:p>
        </w:tc>
      </w:tr>
      <w:tr>
        <w:trPr>
          <w:trHeight w:val="182"/>
        </w:trPr>
        <w:tc>
          <w:tcPr>
            <w:tcW w:w="2560" w:type="dxa"/>
            <w:vAlign w:val="bottom"/>
            <w:vMerge w:val="restart"/>
          </w:tcPr>
          <w:p>
            <w:pPr>
              <w:spacing w:after="0"/>
              <w:rPr>
                <w:sz w:val="20"/>
                <w:szCs w:val="20"/>
                <w:color w:val="auto"/>
              </w:rPr>
            </w:pPr>
            <w:r>
              <w:rPr>
                <w:rFonts w:ascii="Courier New" w:cs="Courier New" w:eastAsia="Courier New" w:hAnsi="Courier New"/>
                <w:sz w:val="16"/>
                <w:szCs w:val="16"/>
                <w:color w:val="auto"/>
              </w:rPr>
              <w:t>Consolidated</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2"/>
        </w:trPr>
        <w:tc>
          <w:tcPr>
            <w:tcW w:w="2560" w:type="dxa"/>
            <w:vAlign w:val="bottom"/>
            <w:vMerge w:val="continue"/>
          </w:tcPr>
          <w:p>
            <w:pPr>
              <w:spacing w:after="0"/>
              <w:rPr>
                <w:sz w:val="15"/>
                <w:szCs w:val="15"/>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$191.5</w:t>
            </w:r>
          </w:p>
        </w:tc>
        <w:tc>
          <w:tcPr>
            <w:tcW w:w="16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$184.4</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3"/>
                <w:szCs w:val="23"/>
                <w:color w:val="auto"/>
              </w:rPr>
            </w:pP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2859"/>
        <w:spacing w:after="0" w:line="296" w:lineRule="auto"/>
        <w:rPr>
          <w:sz w:val="20"/>
          <w:szCs w:val="20"/>
          <w:color w:val="auto"/>
        </w:rPr>
      </w:pPr>
      <w:r>
        <w:rPr>
          <w:rFonts w:ascii="Courier New" w:cs="Courier New" w:eastAsia="Courier New" w:hAnsi="Courier New"/>
          <w:sz w:val="16"/>
          <w:szCs w:val="16"/>
          <w:color w:val="auto"/>
        </w:rPr>
        <w:t>The following table sets forth the components of income and expense as a percentage of sales for the three months ended January 1, 2000 and January 2, 1999:</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24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FOR THE THREE</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4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MONTHS ENDED</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24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JANUARY 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JANUARY 2,</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61.4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64.9</w:t>
            </w:r>
          </w:p>
        </w:tc>
        <w:tc>
          <w:tcPr>
            <w:tcW w:w="0" w:type="dxa"/>
            <w:vAlign w:val="bottom"/>
          </w:tcPr>
          <w:p>
            <w:pPr>
              <w:spacing w:after="0"/>
              <w:rPr>
                <w:sz w:val="1"/>
                <w:szCs w:val="1"/>
                <w:color w:val="auto"/>
              </w:rPr>
            </w:pPr>
          </w:p>
        </w:tc>
      </w:t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38.6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35.1</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Commission earned from agency agreement, net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(0.5)</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32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12.4</w:t>
            </w:r>
          </w:p>
        </w:tc>
        <w:tc>
          <w:tcPr>
            <w:tcW w:w="11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9.1</w:t>
            </w:r>
          </w:p>
        </w:tc>
        <w:tc>
          <w:tcPr>
            <w:tcW w:w="0" w:type="dxa"/>
            <w:vAlign w:val="bottom"/>
          </w:tcPr>
          <w:p>
            <w:pPr>
              <w:spacing w:after="0"/>
              <w:rPr>
                <w:sz w:val="1"/>
                <w:szCs w:val="1"/>
                <w:color w:val="auto"/>
              </w:rPr>
            </w:pPr>
          </w:p>
        </w:tc>
      </w:tr>
      <w:tr>
        <w:trPr>
          <w:trHeight w:val="182"/>
        </w:trPr>
        <w:tc>
          <w:tcPr>
            <w:tcW w:w="4820" w:type="dxa"/>
            <w:vAlign w:val="bottom"/>
          </w:tcPr>
          <w:p>
            <w:pPr>
              <w:ind w:left="280"/>
              <w:spacing w:after="0"/>
              <w:rPr>
                <w:sz w:val="20"/>
                <w:szCs w:val="20"/>
                <w:color w:val="auto"/>
              </w:rPr>
            </w:pPr>
            <w:r>
              <w:rPr>
                <w:rFonts w:ascii="Courier New" w:cs="Courier New" w:eastAsia="Courier New" w:hAnsi="Courier New"/>
                <w:sz w:val="16"/>
                <w:szCs w:val="16"/>
                <w:color w:val="auto"/>
              </w:rPr>
              <w:t>Advertising and promotion</w:t>
            </w:r>
          </w:p>
        </w:tc>
        <w:tc>
          <w:tcPr>
            <w:tcW w:w="13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280"/>
              <w:spacing w:after="0"/>
              <w:rPr>
                <w:sz w:val="20"/>
                <w:szCs w:val="20"/>
                <w:color w:val="auto"/>
              </w:rPr>
            </w:pPr>
            <w:r>
              <w:rPr>
                <w:rFonts w:ascii="Courier New" w:cs="Courier New" w:eastAsia="Courier New" w:hAnsi="Courier New"/>
                <w:sz w:val="16"/>
                <w:szCs w:val="16"/>
                <w:color w:val="auto"/>
              </w:rPr>
              <w:t>Selling, general and administrative</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35.6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29.2</w:t>
            </w:r>
          </w:p>
        </w:tc>
        <w:tc>
          <w:tcPr>
            <w:tcW w:w="0" w:type="dxa"/>
            <w:vAlign w:val="bottom"/>
          </w:tcPr>
          <w:p>
            <w:pPr>
              <w:spacing w:after="0"/>
              <w:rPr>
                <w:sz w:val="1"/>
                <w:szCs w:val="1"/>
                <w:color w:val="auto"/>
              </w:rPr>
            </w:pPr>
          </w:p>
        </w:tc>
      </w:tr>
      <w:tr>
        <w:trPr>
          <w:trHeight w:val="182"/>
        </w:trPr>
        <w:tc>
          <w:tcPr>
            <w:tcW w:w="482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3.1</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2"/>
        </w:trPr>
        <w:tc>
          <w:tcPr>
            <w:tcW w:w="4820" w:type="dxa"/>
            <w:vAlign w:val="bottom"/>
          </w:tcPr>
          <w:p>
            <w:pPr>
              <w:ind w:left="280"/>
              <w:spacing w:after="0"/>
              <w:rPr>
                <w:sz w:val="20"/>
                <w:szCs w:val="20"/>
                <w:color w:val="auto"/>
              </w:rPr>
            </w:pPr>
            <w:r>
              <w:rPr>
                <w:rFonts w:ascii="Courier New" w:cs="Courier New" w:eastAsia="Courier New" w:hAnsi="Courier New"/>
                <w:sz w:val="16"/>
                <w:szCs w:val="16"/>
                <w:color w:val="auto"/>
              </w:rPr>
              <w:t>Restructuring and other charges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0.8</w:t>
            </w:r>
          </w:p>
        </w:tc>
        <w:tc>
          <w:tcPr>
            <w:tcW w:w="0" w:type="dxa"/>
            <w:vAlign w:val="bottom"/>
          </w:tcPr>
          <w:p>
            <w:pPr>
              <w:spacing w:after="0"/>
              <w:rPr>
                <w:sz w:val="1"/>
                <w:szCs w:val="1"/>
                <w:color w:val="auto"/>
              </w:rPr>
            </w:pPr>
          </w:p>
        </w:tc>
      </w:tr>
      <w:tr>
        <w:trPr>
          <w:trHeight w:val="182"/>
        </w:trPr>
        <w:tc>
          <w:tcPr>
            <w:tcW w:w="4820" w:type="dxa"/>
            <w:vAlign w:val="bottom"/>
          </w:tcPr>
          <w:p>
            <w:pPr>
              <w:ind w:left="280"/>
              <w:spacing w:after="0"/>
              <w:rPr>
                <w:sz w:val="20"/>
                <w:szCs w:val="20"/>
                <w:color w:val="auto"/>
              </w:rPr>
            </w:pPr>
            <w:r>
              <w:rPr>
                <w:rFonts w:ascii="Courier New" w:cs="Courier New" w:eastAsia="Courier New" w:hAnsi="Courier New"/>
                <w:sz w:val="16"/>
                <w:szCs w:val="16"/>
                <w:color w:val="auto"/>
              </w:rPr>
              <w:t>Other expense (income), net</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Loss from operations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(13.6)</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12.4</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Loss before income taxes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820" w:type="dxa"/>
            <w:vAlign w:val="bottom"/>
            <w:vMerge w:val="continue"/>
          </w:tcPr>
          <w:p>
            <w:pPr>
              <w:spacing w:after="0"/>
              <w:rPr>
                <w:sz w:val="23"/>
                <w:szCs w:val="23"/>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(9.2)</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Net loss before extraordinary item</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Extraordinary item, net of tax</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Net loss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13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(15.5)</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Payments to preferred shareholders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Loss applicable to common shareholders</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27</w:t>
      </w:r>
    </w:p>
    <w:p>
      <w:pPr>
        <w:sectPr>
          <w:pgSz w:w="11900" w:h="16838" w:orient="portrait"/>
          <w:cols w:equalWidth="0" w:num="1">
            <w:col w:w="10139"/>
          </w:cols>
          <w:pgMar w:left="320" w:top="27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28</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JANUARY 1, 2000 VERSUS THREE MONTHS ENDED JANUARY 2, 1999</w:t>
      </w:r>
    </w:p>
    <w:p>
      <w:pPr>
        <w:spacing w:after="0" w:line="183"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6"/>
          <w:szCs w:val="16"/>
          <w:color w:val="auto"/>
        </w:rPr>
        <w:t>Sales for the three months ended January 1, 2000 were $191.5 million, an increase of 3.9% over the three months ended January 2, 1999 of $184.4 million. On a pro forma basis, assuming that the Ortho acquisition had occurred on October 1, 1998, sales for the first quarter of fiscal 2000 were 6.3% lower than pro forma sales for the first quarter of fiscal 1999 of $204.3 million. The decrease in pro forma sales was driven primarily by decreases in sales in the Professional and International segments as discussed below.</w:t>
      </w:r>
    </w:p>
    <w:p>
      <w:pPr>
        <w:spacing w:after="0" w:line="86" w:lineRule="exact"/>
        <w:rPr>
          <w:sz w:val="20"/>
          <w:szCs w:val="20"/>
          <w:color w:val="auto"/>
        </w:rPr>
      </w:pPr>
    </w:p>
    <w:p>
      <w:pPr>
        <w:ind w:right="2579"/>
        <w:spacing w:after="0" w:line="268" w:lineRule="auto"/>
        <w:rPr>
          <w:sz w:val="20"/>
          <w:szCs w:val="20"/>
          <w:color w:val="auto"/>
        </w:rPr>
      </w:pPr>
      <w:r>
        <w:rPr>
          <w:rFonts w:ascii="Courier New" w:cs="Courier New" w:eastAsia="Courier New" w:hAnsi="Courier New"/>
          <w:sz w:val="15"/>
          <w:szCs w:val="15"/>
          <w:color w:val="auto"/>
        </w:rPr>
        <w:t>North American Consumer segment sales were $101.6 million in the first quarter of fiscal 2000, an increase of $28.8 million, or 39.6%, over sales for the first quarter of fiscal 1999 of $72.8 million. Sales in the Consumer Lawns business group within this segment increased $8.8 million, or 22.5%, from fiscal 1999 to fiscal 2000, reflecting increased early season sales to distributors facilitated by improved product availability when compared to the prior year. Sales in the Consumer Gardens business group increased $1.0 million, or 7.6%, from the first quarter of fiscal 1999 to fiscal 2000, primarily due to strong volume in the specialty fertilizers and feeders product lines. On a proforma basis, sales in the Ortho business group declined 9.0% from the first quarter of fiscal 1999, reflecting initiatives to reduce trade inventory levels for certain significant retailers. Selling price changes did not have a material impact in the North American Consumer segment in the first quarter of fiscal 2000.</w:t>
      </w:r>
    </w:p>
    <w:p>
      <w:pPr>
        <w:spacing w:after="0" w:line="80" w:lineRule="exact"/>
        <w:rPr>
          <w:sz w:val="20"/>
          <w:szCs w:val="20"/>
          <w:color w:val="auto"/>
        </w:rPr>
      </w:pPr>
    </w:p>
    <w:p>
      <w:pPr>
        <w:ind w:right="2579"/>
        <w:spacing w:after="0" w:line="253" w:lineRule="auto"/>
        <w:rPr>
          <w:sz w:val="20"/>
          <w:szCs w:val="20"/>
          <w:color w:val="auto"/>
        </w:rPr>
      </w:pPr>
      <w:r>
        <w:rPr>
          <w:rFonts w:ascii="Courier New" w:cs="Courier New" w:eastAsia="Courier New" w:hAnsi="Courier New"/>
          <w:sz w:val="16"/>
          <w:szCs w:val="16"/>
          <w:color w:val="auto"/>
        </w:rPr>
        <w:t>Professional segment sales of $23.6 million in the first quarter of fiscal 2000 were $8.9 million lower than first quarter of fiscal 1999 sales of $32.5 million. The decrease in sales for the Professional segment was primarily due to lower sales of ProTurf(R) products. In the second quarter of fiscal 1999, we changed from selling direct to customers to selling through distributors. The timing of this change and continuing performance issues with one of our largest ProTurf(R) distributors caused sales to decrease when compared to the prior year. Sales of horticulture products within this segment also decreased year-to-year as a result of de-emphasizing early season incentives to distributors which previously contributed to high pre-season inventory levels.</w:t>
      </w:r>
    </w:p>
    <w:p>
      <w:pPr>
        <w:spacing w:after="0" w:line="90"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6"/>
          <w:szCs w:val="16"/>
          <w:color w:val="auto"/>
        </w:rPr>
        <w:t>International segment sales of $66.3 million in the first quarter of fiscal 2000 were $12.8 million lower than sales for the first quarter of fiscal 1999 of $79.1 million. The decrease in sales was primarily due to shifting our business models in the United Kingdom and France toward direct distribution to customers and away from using third-party distributors. This change is expected to reduce pre-season inventory levels and shift sales from the first quarter to the remainder of the year.</w:t>
      </w:r>
    </w:p>
    <w:p>
      <w:pPr>
        <w:spacing w:after="0" w:line="86" w:lineRule="exact"/>
        <w:rPr>
          <w:sz w:val="20"/>
          <w:szCs w:val="20"/>
          <w:color w:val="auto"/>
        </w:rPr>
      </w:pPr>
    </w:p>
    <w:p>
      <w:pPr>
        <w:ind w:right="2579"/>
        <w:spacing w:after="0" w:line="256" w:lineRule="auto"/>
        <w:rPr>
          <w:sz w:val="20"/>
          <w:szCs w:val="20"/>
          <w:color w:val="auto"/>
        </w:rPr>
      </w:pPr>
      <w:r>
        <w:rPr>
          <w:rFonts w:ascii="Courier New" w:cs="Courier New" w:eastAsia="Courier New" w:hAnsi="Courier New"/>
          <w:sz w:val="16"/>
          <w:szCs w:val="16"/>
          <w:color w:val="auto"/>
        </w:rPr>
        <w:t>Gross profit increased to $73.9 million in the first quarter of fiscal 2000, an increase of 14.2% over fiscal 1999 gross profit of $64.7 million. As a percentage of sales, gross profit was 38.6% of sales for fiscal 2000 compared to 35.1% of sales for the first quarter of fiscal 1999. This increase in profitability on sales was driven by decreased unit costs for products manufactured in our Marysville facility reflecting higher production levels and improved efficiencies this year and a shift in sales mix toward higher margin products, particularly within the Consumer Lawns business group.</w:t>
      </w:r>
    </w:p>
    <w:p>
      <w:pPr>
        <w:spacing w:after="0" w:line="90" w:lineRule="exact"/>
        <w:rPr>
          <w:sz w:val="20"/>
          <w:szCs w:val="20"/>
          <w:color w:val="auto"/>
        </w:rPr>
      </w:pPr>
    </w:p>
    <w:p>
      <w:pPr>
        <w:ind w:right="2579"/>
        <w:spacing w:after="0" w:line="250" w:lineRule="auto"/>
        <w:rPr>
          <w:sz w:val="20"/>
          <w:szCs w:val="20"/>
          <w:color w:val="auto"/>
        </w:rPr>
      </w:pPr>
      <w:r>
        <w:rPr>
          <w:rFonts w:ascii="Courier New" w:cs="Courier New" w:eastAsia="Courier New" w:hAnsi="Courier New"/>
          <w:sz w:val="16"/>
          <w:szCs w:val="16"/>
          <w:color w:val="auto"/>
        </w:rPr>
        <w:t>The "commission earned from agency agreement" in the first quarter of fiscal 2000 represents net costs incurred of $1.0 million compared to income of $5.0 million in the first quarter of fiscal 1999. In the prior year, we recorded commission based on our estimated pro-rata share of Roundup(R) EBIT for the quarter. In fiscal 2000, in accordance with revenue recognition guidance recently put forward by the SEC, we will not record commission under the Roundup(R) agency agreement until minimum EBIT thresholds as required by the agreement are achieved. We expect to begin recognizing commission in the second quarter of fiscal 2000 and do not expect that this policy will have any effect on the recognition of commission on a full-year basis. The costs of $1.0 million recorded in the first quarter of fiscal 2000 primarily represents amortization of the fiscal 2000 contribution payment due to Monsanto as required by the marketing agreement.</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28</w:t>
      </w:r>
    </w:p>
    <w:p>
      <w:pPr>
        <w:sectPr>
          <w:pgSz w:w="11900" w:h="16838" w:orient="portrait"/>
          <w:cols w:equalWidth="0" w:num="1">
            <w:col w:w="10139"/>
          </w:cols>
          <w:pgMar w:left="320" w:top="27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29</w:t>
      </w:r>
    </w:p>
    <w:p>
      <w:pPr>
        <w:spacing w:after="0" w:line="29" w:lineRule="exact"/>
        <w:rPr>
          <w:sz w:val="20"/>
          <w:szCs w:val="20"/>
          <w:color w:val="auto"/>
        </w:rPr>
      </w:pPr>
    </w:p>
    <w:p>
      <w:pPr>
        <w:ind w:right="2579"/>
        <w:spacing w:after="0" w:line="253" w:lineRule="auto"/>
        <w:rPr>
          <w:sz w:val="20"/>
          <w:szCs w:val="20"/>
          <w:color w:val="auto"/>
        </w:rPr>
      </w:pPr>
      <w:r>
        <w:rPr>
          <w:rFonts w:ascii="Courier New" w:cs="Courier New" w:eastAsia="Courier New" w:hAnsi="Courier New"/>
          <w:sz w:val="16"/>
          <w:szCs w:val="16"/>
          <w:color w:val="auto"/>
        </w:rPr>
        <w:t>Advertising and promotion expenses in the first quarter of fiscal 2000 were $23.7 million, an increase of $7.0 million, or 41.9% over fiscal 1999 advertising and promotion expenses of $16.7 million. This increase was primarily due to advertising and promotion expenses for the Ortho business, support of the increase in sales within the North American Consumer segment and investments in advertising and promotion to drive future sales growth in the International segment.</w:t>
      </w:r>
    </w:p>
    <w:p>
      <w:pPr>
        <w:spacing w:after="0" w:line="90" w:lineRule="exact"/>
        <w:rPr>
          <w:sz w:val="20"/>
          <w:szCs w:val="20"/>
          <w:color w:val="auto"/>
        </w:rPr>
      </w:pPr>
    </w:p>
    <w:p>
      <w:pPr>
        <w:ind w:right="2579"/>
        <w:spacing w:after="0" w:line="271" w:lineRule="auto"/>
        <w:rPr>
          <w:sz w:val="20"/>
          <w:szCs w:val="20"/>
          <w:color w:val="auto"/>
        </w:rPr>
      </w:pPr>
      <w:r>
        <w:rPr>
          <w:rFonts w:ascii="Courier New" w:cs="Courier New" w:eastAsia="Courier New" w:hAnsi="Courier New"/>
          <w:sz w:val="15"/>
          <w:szCs w:val="15"/>
          <w:color w:val="auto"/>
        </w:rPr>
        <w:t>Selling, general and administrative expenses in the first quarter of fiscal 2000 were $68.1 million, an increase of $14.2 million, or 26.3% over similar expenses in the first quarter of fiscal 1999 of $53.9 million. As a percentage of sales, selling, general and administrative expenses were 35.6% for the first quarter of fiscal 2000 compared to 29.2% for fiscal 1999. The increase in selling, general and administrative expenses was primarily related to support of the increased sales levels in the Consumer Lawns business group, infrastructure expenses within the International segment, and selling, general and administrative expenses for the Ortho business group which were not incurred in the first quarter of fiscal 1999 due to the timing of the acquisition in January 1999.</w:t>
      </w:r>
    </w:p>
    <w:p>
      <w:pPr>
        <w:spacing w:after="0" w:line="82" w:lineRule="exact"/>
        <w:rPr>
          <w:sz w:val="20"/>
          <w:szCs w:val="20"/>
          <w:color w:val="auto"/>
        </w:rPr>
      </w:pPr>
    </w:p>
    <w:p>
      <w:pPr>
        <w:ind w:right="2579"/>
        <w:spacing w:after="0" w:line="296" w:lineRule="auto"/>
        <w:rPr>
          <w:sz w:val="20"/>
          <w:szCs w:val="20"/>
          <w:color w:val="auto"/>
        </w:rPr>
      </w:pPr>
      <w:r>
        <w:rPr>
          <w:rFonts w:ascii="Courier New" w:cs="Courier New" w:eastAsia="Courier New" w:hAnsi="Courier New"/>
          <w:sz w:val="16"/>
          <w:szCs w:val="16"/>
          <w:color w:val="auto"/>
        </w:rPr>
        <w:t>Amortization of goodwill and other intangibles increased to $5.9 million in the first quarter of fiscal 2000, compared to $4.9 million in the prior year, due to additional intangibles resulting from the Ortho acquisition.</w:t>
      </w:r>
    </w:p>
    <w:p>
      <w:pPr>
        <w:spacing w:after="0" w:line="57" w:lineRule="exact"/>
        <w:rPr>
          <w:sz w:val="20"/>
          <w:szCs w:val="20"/>
          <w:color w:val="auto"/>
        </w:rPr>
      </w:pPr>
    </w:p>
    <w:p>
      <w:pPr>
        <w:ind w:right="2579"/>
        <w:spacing w:after="0" w:line="263" w:lineRule="auto"/>
        <w:rPr>
          <w:sz w:val="20"/>
          <w:szCs w:val="20"/>
          <w:color w:val="auto"/>
        </w:rPr>
      </w:pPr>
      <w:r>
        <w:rPr>
          <w:rFonts w:ascii="Courier New" w:cs="Courier New" w:eastAsia="Courier New" w:hAnsi="Courier New"/>
          <w:sz w:val="16"/>
          <w:szCs w:val="16"/>
          <w:color w:val="auto"/>
        </w:rPr>
        <w:t>Restructuring and other charges were $1.4 million in the first quarter of fiscal 1999. These charges represent severance costs associated with the reorganization of North American Professional Business Group to strengthen distribution and technical sales support, integrate brand management across market segments and reduce annual operating expenses. To date, approximately $1.2 million has been paid.</w:t>
      </w:r>
    </w:p>
    <w:p>
      <w:pPr>
        <w:spacing w:after="0" w:line="82" w:lineRule="exact"/>
        <w:rPr>
          <w:sz w:val="20"/>
          <w:szCs w:val="20"/>
          <w:color w:val="auto"/>
        </w:rPr>
      </w:pPr>
    </w:p>
    <w:p>
      <w:pPr>
        <w:ind w:right="2679"/>
        <w:spacing w:after="0" w:line="296" w:lineRule="auto"/>
        <w:rPr>
          <w:sz w:val="20"/>
          <w:szCs w:val="20"/>
          <w:color w:val="auto"/>
        </w:rPr>
      </w:pPr>
      <w:r>
        <w:rPr>
          <w:rFonts w:ascii="Courier New" w:cs="Courier New" w:eastAsia="Courier New" w:hAnsi="Courier New"/>
          <w:sz w:val="16"/>
          <w:szCs w:val="16"/>
          <w:color w:val="auto"/>
        </w:rPr>
        <w:t>Other expense for the first quarter of fiscal 2000 was $1.3 million compared to other income of $0.1 million in the prior year. The increase in expense was primarily due to losses associated with the disposal of fixed assets.</w:t>
      </w:r>
    </w:p>
    <w:p>
      <w:pPr>
        <w:spacing w:after="0" w:line="57" w:lineRule="exact"/>
        <w:rPr>
          <w:sz w:val="20"/>
          <w:szCs w:val="20"/>
          <w:color w:val="auto"/>
        </w:rPr>
      </w:pPr>
    </w:p>
    <w:p>
      <w:pPr>
        <w:ind w:right="2759"/>
        <w:spacing w:after="0" w:line="283" w:lineRule="auto"/>
        <w:rPr>
          <w:sz w:val="20"/>
          <w:szCs w:val="20"/>
          <w:color w:val="auto"/>
        </w:rPr>
      </w:pPr>
      <w:r>
        <w:rPr>
          <w:rFonts w:ascii="Courier New" w:cs="Courier New" w:eastAsia="Courier New" w:hAnsi="Courier New"/>
          <w:sz w:val="15"/>
          <w:szCs w:val="15"/>
          <w:color w:val="auto"/>
        </w:rPr>
        <w:t>Loss from operations for the first quarter of fiscal 2000 was $26.1 million compared to $7.1 million for the first quarter of fiscal 1999. The increase in the loss was primarily due to the factors described above: lower sales in the Professional segment; delayed sales in the International segment due to the changes in distribution to retailers; and a reduction in Roundup(R) commission due to a change in the method for recognizing commission within the year.</w:t>
      </w:r>
    </w:p>
    <w:p>
      <w:pPr>
        <w:spacing w:after="0" w:line="71" w:lineRule="exact"/>
        <w:rPr>
          <w:sz w:val="20"/>
          <w:szCs w:val="20"/>
          <w:color w:val="auto"/>
        </w:rPr>
      </w:pPr>
    </w:p>
    <w:p>
      <w:pPr>
        <w:ind w:right="2579"/>
        <w:spacing w:after="0" w:line="268" w:lineRule="auto"/>
        <w:rPr>
          <w:sz w:val="20"/>
          <w:szCs w:val="20"/>
          <w:color w:val="auto"/>
        </w:rPr>
      </w:pPr>
      <w:r>
        <w:rPr>
          <w:rFonts w:ascii="Courier New" w:cs="Courier New" w:eastAsia="Courier New" w:hAnsi="Courier New"/>
          <w:sz w:val="16"/>
          <w:szCs w:val="16"/>
          <w:color w:val="auto"/>
        </w:rPr>
        <w:t>Interest expense for the first quarter of fiscal 2000 was $23.7 million, an increase of $13.9 million over fiscal 1999 interest expense of $9.8 million. The increase in interest expense was due to increased borrowings to fund the Ortho acquisition and increased working capital, and an increase in average borrowing rates under our credit facility.</w:t>
      </w:r>
    </w:p>
    <w:p>
      <w:pPr>
        <w:spacing w:after="0" w:line="79" w:lineRule="exact"/>
        <w:rPr>
          <w:sz w:val="20"/>
          <w:szCs w:val="20"/>
          <w:color w:val="auto"/>
        </w:rPr>
      </w:pPr>
    </w:p>
    <w:p>
      <w:pPr>
        <w:ind w:right="2579"/>
        <w:spacing w:after="0" w:line="277" w:lineRule="auto"/>
        <w:rPr>
          <w:sz w:val="20"/>
          <w:szCs w:val="20"/>
          <w:color w:val="auto"/>
        </w:rPr>
      </w:pPr>
      <w:r>
        <w:rPr>
          <w:rFonts w:ascii="Courier New" w:cs="Courier New" w:eastAsia="Courier New" w:hAnsi="Courier New"/>
          <w:sz w:val="16"/>
          <w:szCs w:val="16"/>
          <w:color w:val="auto"/>
        </w:rPr>
        <w:t>Income tax benefit was $20.2 million for fiscal 2000 compared to a benefit of $6.9 million in the prior year due to the increased loss recognized in the first quarter of fiscal 2000. The Company's effective tax rate did not change significantly from quarter to quarter.</w:t>
      </w:r>
    </w:p>
    <w:p>
      <w:pPr>
        <w:spacing w:after="0" w:line="73"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6"/>
          <w:szCs w:val="16"/>
          <w:color w:val="auto"/>
        </w:rPr>
        <w:t>On December 4, 1998, Scotts and certain of its subsidiaries entered into a credit facility and used borrowings under the facility to repay amounts outstanding under the then existing credit facility. The write-off of deferred financing costs associated with the previous credit facility resulted in an extraordinary loss in the first quarter of fiscal 1999, net of income taxes, of $0.4 million.</w:t>
      </w:r>
    </w:p>
    <w:p>
      <w:pPr>
        <w:spacing w:after="0" w:line="82" w:lineRule="exact"/>
        <w:rPr>
          <w:sz w:val="20"/>
          <w:szCs w:val="20"/>
          <w:color w:val="auto"/>
        </w:rPr>
      </w:pPr>
    </w:p>
    <w:p>
      <w:pPr>
        <w:ind w:right="2579"/>
        <w:spacing w:after="0" w:line="256" w:lineRule="auto"/>
        <w:rPr>
          <w:sz w:val="20"/>
          <w:szCs w:val="20"/>
          <w:color w:val="auto"/>
        </w:rPr>
      </w:pPr>
      <w:r>
        <w:rPr>
          <w:rFonts w:ascii="Courier New" w:cs="Courier New" w:eastAsia="Courier New" w:hAnsi="Courier New"/>
          <w:sz w:val="16"/>
          <w:szCs w:val="16"/>
          <w:color w:val="auto"/>
        </w:rPr>
        <w:t>Scotts reported a net loss of $29.6 million for the first quarter of fiscal 2000, or $1.28 loss per common share on a basic and diluted basis, compared to a net loss of $10.4 million for fiscal 1999, or $0.70 loss per common share on a basic and diluted basis. Due to the early conversion of the then outstanding preferred shares on October 1, 1999, as discussed in "Liquidity and Capital Resources", there were approximately 28.2 million shares outstanding for the first quarter of fiscal 2000. There were 18.3 million common shares outstanding during the first quarter of fiscal 1999.</w:t>
      </w:r>
    </w:p>
    <w:p>
      <w:pPr>
        <w:sectPr>
          <w:pgSz w:w="11900" w:h="16838" w:orient="portrait"/>
          <w:cols w:equalWidth="0" w:num="1">
            <w:col w:w="10139"/>
          </w:cols>
          <w:pgMar w:left="32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0139"/>
          </w:cols>
          <w:pgMar w:left="320" w:top="271"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30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55" w:lineRule="exact"/>
        <w:rPr>
          <w:sz w:val="20"/>
          <w:szCs w:val="20"/>
          <w:color w:val="auto"/>
        </w:rPr>
      </w:pPr>
    </w:p>
    <w:p>
      <w:pPr>
        <w:ind w:right="2579"/>
        <w:spacing w:after="0" w:line="269" w:lineRule="auto"/>
        <w:rPr>
          <w:sz w:val="20"/>
          <w:szCs w:val="20"/>
          <w:color w:val="auto"/>
        </w:rPr>
      </w:pPr>
      <w:r>
        <w:rPr>
          <w:rFonts w:ascii="Courier New" w:cs="Courier New" w:eastAsia="Courier New" w:hAnsi="Courier New"/>
          <w:sz w:val="15"/>
          <w:szCs w:val="15"/>
          <w:color w:val="auto"/>
        </w:rPr>
        <w:t>Cash used in operating activities totaled $169.3 million for the three months ended January 1, 2000 compared to a use of $163.4 million for the three months ended January 2, 1999. The seasonal nature of our operations generally requires cash to fund significant increases in working capital (primarily inventory and accounts receivable) during the first and second quarters. The third fiscal quarter is a period for collecting accounts receivable and liquidating inventory levels. The slight increase in cash used in operating activities for the first quarter of fiscal 2000 compared to the prior year is attributable to the increased loss in the quarter and the build of inventory levels to meet anticipated seasonal demand, partially offset by a smaller increase in accounts receivable resulting from the factors affecting sales as described above and the payment of Roundup(R) marketing fees made in the first quarter of fiscal 1999.</w:t>
      </w:r>
    </w:p>
    <w:p>
      <w:pPr>
        <w:spacing w:after="0" w:line="79"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6"/>
          <w:szCs w:val="16"/>
          <w:color w:val="auto"/>
        </w:rPr>
        <w:t>Cash used in investing activities was $7.2 million for the first quarter of fiscal 2000 compared to $182.1 million in the prior year. In the first quarter of fiscal 1999, we purchased the Rhone-Poulenc Jardin and Asef businesses for approximately $160 million. Additionally, capital investments decreased by $6.6 million to $7.2 million in the first quarter of fiscal 2000 compared to $13.8 million in the first quarter of fiscal 1999.</w:t>
      </w:r>
    </w:p>
    <w:p>
      <w:pPr>
        <w:spacing w:after="0" w:line="82" w:lineRule="exact"/>
        <w:rPr>
          <w:sz w:val="20"/>
          <w:szCs w:val="20"/>
          <w:color w:val="auto"/>
        </w:rPr>
      </w:pPr>
    </w:p>
    <w:p>
      <w:pPr>
        <w:ind w:right="2579"/>
        <w:spacing w:after="0" w:line="250" w:lineRule="auto"/>
        <w:rPr>
          <w:sz w:val="20"/>
          <w:szCs w:val="20"/>
          <w:color w:val="auto"/>
        </w:rPr>
      </w:pPr>
      <w:r>
        <w:rPr>
          <w:rFonts w:ascii="Courier New" w:cs="Courier New" w:eastAsia="Courier New" w:hAnsi="Courier New"/>
          <w:sz w:val="16"/>
          <w:szCs w:val="16"/>
          <w:color w:val="auto"/>
        </w:rPr>
        <w:t>Financing activities generated cash of $162.8 million for the three months ended January 1, 2000 compared to $343.2 million in the prior year. In the first quarter of fiscal 1999, Scotts borrowed funds under its credit facility in order to purchase the Rhone-Poulenc Jardin and Asef businesses, to pay marketing fees associated with the Roundup(R) agency agreement, to pay financing fees associated with the new credit facility and to settle the then outstanding interest rate locks (as described below). In addition, on October 1, 1999, all of the then outstanding Class A Convertible Preferred Shares were converted into 10.1 million common shares. In connection with the conversion, the Company paid the holders of the Preferred Shares $6.4 million. The amount represents the dividends on the Preferred Shares that otherwise would have been payable through May 2000, the month during which the Preferred Shares could first be redeemed by the Company.</w:t>
      </w:r>
    </w:p>
    <w:p>
      <w:pPr>
        <w:spacing w:after="0" w:line="92" w:lineRule="exact"/>
        <w:rPr>
          <w:sz w:val="20"/>
          <w:szCs w:val="20"/>
          <w:color w:val="auto"/>
        </w:rPr>
      </w:pPr>
    </w:p>
    <w:p>
      <w:pPr>
        <w:ind w:right="2679"/>
        <w:spacing w:after="0" w:line="268" w:lineRule="auto"/>
        <w:rPr>
          <w:sz w:val="20"/>
          <w:szCs w:val="20"/>
          <w:color w:val="auto"/>
        </w:rPr>
      </w:pPr>
      <w:r>
        <w:rPr>
          <w:rFonts w:ascii="Courier New" w:cs="Courier New" w:eastAsia="Courier New" w:hAnsi="Courier New"/>
          <w:sz w:val="16"/>
          <w:szCs w:val="16"/>
          <w:color w:val="auto"/>
        </w:rPr>
        <w:t>Total debt was $1,126.9 million as of January 1, 2000, an increase of $176.9 million compared with debt at September 30, 1999 and an increase of $347.7 compared with debt levels at January 2, 1999. The increase in debt period to period was primarily due to funding the Ortho acquisition and increased working capital levels as described above.</w:t>
      </w:r>
    </w:p>
    <w:p>
      <w:pPr>
        <w:spacing w:after="0" w:line="79"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Our primary sources of liquidity are funds generated by operations and borrowings under our credit facility. The credit facility provides for borrowings in the aggregate principal amount of $1.025 billion and consists of term loan facilities in the aggregate amount of $525 million and a revolving credit facility in the amount of $500 million.</w:t>
      </w:r>
    </w:p>
    <w:p>
      <w:pPr>
        <w:spacing w:after="0" w:line="79"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6"/>
          <w:szCs w:val="16"/>
          <w:color w:val="auto"/>
        </w:rPr>
        <w:t>We funded the acquisition of the Rhone-Poulenc Jardin and Asef businesses with borrowings under our credit facility. Additional borrowings under the credit facility, along with proceeds from the January 1999 offering of $330 million of 10-year 8 5/8% Senior Subordinated Notes due 2009, were used to fund the Ortho acquisition and to repurchase approximately 97% of Scotts' then outstanding $100.0 million 9 7/8% Senior Subordinated Notes.</w:t>
      </w:r>
    </w:p>
    <w:p>
      <w:pPr>
        <w:spacing w:after="0" w:line="82" w:lineRule="exact"/>
        <w:rPr>
          <w:sz w:val="20"/>
          <w:szCs w:val="20"/>
          <w:color w:val="auto"/>
        </w:rPr>
      </w:pPr>
    </w:p>
    <w:p>
      <w:pPr>
        <w:ind w:right="2579"/>
        <w:spacing w:after="0" w:line="279" w:lineRule="auto"/>
        <w:rPr>
          <w:sz w:val="20"/>
          <w:szCs w:val="20"/>
          <w:color w:val="auto"/>
        </w:rPr>
      </w:pPr>
      <w:r>
        <w:rPr>
          <w:rFonts w:ascii="Courier New" w:cs="Courier New" w:eastAsia="Courier New" w:hAnsi="Courier New"/>
          <w:sz w:val="15"/>
          <w:szCs w:val="15"/>
          <w:color w:val="auto"/>
        </w:rPr>
        <w:t>Coincidental with the notes offering, Scotts settled its then outstanding interest rate lock for approximately $3.6 million. We entered into two interest rate locks in fiscal 1998 to hedge the anticipated interest rate exposure on the $330 million note offering. In October 1998, we terminated one of the interest rate locks for $9.3 million and entered into a new interest rate lock instrument. The total amount paid under the interest rate locks of $12.9 million has been deferred and is being amortized over the life of the notes.</w:t>
      </w:r>
    </w:p>
    <w:p>
      <w:pPr>
        <w:spacing w:after="0" w:line="73"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6"/>
          <w:szCs w:val="16"/>
          <w:color w:val="auto"/>
        </w:rPr>
        <w:t>In July 1998, our Board of Directors authorized the repurchase of up to $100 million of our common shares on the open market or in privately negotiated transactions on or prior to September 30, 2001. As of January 1, 2000, 1,025,495 common shares (or $37.7 million) have been repurchased under the new repurchase program limit. The timing and amount of any purchases under the new repurchase program will be at our discretion and will depend upon market conditions and our operating performance and liquidity.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30</w:t>
      </w:r>
    </w:p>
    <w:p>
      <w:pPr>
        <w:sectPr>
          <w:pgSz w:w="11900" w:h="16838" w:orient="portrait"/>
          <w:cols w:equalWidth="0" w:num="1">
            <w:col w:w="10139"/>
          </w:cols>
          <w:pgMar w:left="320" w:top="27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31</w:t>
      </w:r>
    </w:p>
    <w:p>
      <w:pPr>
        <w:spacing w:after="0" w:line="29" w:lineRule="exact"/>
        <w:rPr>
          <w:sz w:val="20"/>
          <w:szCs w:val="20"/>
          <w:color w:val="auto"/>
        </w:rPr>
      </w:pPr>
    </w:p>
    <w:p>
      <w:pPr>
        <w:ind w:right="2679"/>
        <w:spacing w:after="0" w:line="253" w:lineRule="auto"/>
        <w:rPr>
          <w:sz w:val="20"/>
          <w:szCs w:val="20"/>
          <w:color w:val="auto"/>
        </w:rPr>
      </w:pPr>
      <w:r>
        <w:rPr>
          <w:rFonts w:ascii="Courier New" w:cs="Courier New" w:eastAsia="Courier New" w:hAnsi="Courier New"/>
          <w:sz w:val="16"/>
          <w:szCs w:val="16"/>
          <w:color w:val="auto"/>
        </w:rPr>
        <w:t>Any repurchase will also be subject to the covenants contained in our credit facility as well as our other debt instruments. The repurchased shares will be held in treasury and will thereafter be used for the exercise of employee stock options and for other valid corporate purposes. We anticipate that any repurchases will be made in the open market or in privately negotiated transactions, and that Hagedorn Partnership, L.P. will sell its pro rata share (approximately 42%) of such repurchased shares in the open market.</w:t>
      </w:r>
    </w:p>
    <w:p>
      <w:pPr>
        <w:spacing w:after="0" w:line="90" w:lineRule="exact"/>
        <w:rPr>
          <w:sz w:val="20"/>
          <w:szCs w:val="20"/>
          <w:color w:val="auto"/>
        </w:rPr>
      </w:pPr>
    </w:p>
    <w:p>
      <w:pPr>
        <w:ind w:right="2579"/>
        <w:spacing w:after="0" w:line="296" w:lineRule="auto"/>
        <w:rPr>
          <w:sz w:val="20"/>
          <w:szCs w:val="20"/>
          <w:color w:val="auto"/>
        </w:rPr>
      </w:pPr>
      <w:r>
        <w:rPr>
          <w:rFonts w:ascii="Courier New" w:cs="Courier New" w:eastAsia="Courier New" w:hAnsi="Courier New"/>
          <w:sz w:val="16"/>
          <w:szCs w:val="16"/>
          <w:color w:val="auto"/>
        </w:rPr>
        <w:t>As of January 1, 2000 the Company was in violation of the minimum net worth covenant contained in our credit facility. The Company obtained a waiver to cure default on February 15, 2000.</w:t>
      </w:r>
    </w:p>
    <w:p>
      <w:pPr>
        <w:spacing w:after="0" w:line="57" w:lineRule="exact"/>
        <w:rPr>
          <w:sz w:val="20"/>
          <w:szCs w:val="20"/>
          <w:color w:val="auto"/>
        </w:rPr>
      </w:pPr>
    </w:p>
    <w:p>
      <w:pPr>
        <w:ind w:right="2759"/>
        <w:spacing w:after="0" w:line="252" w:lineRule="auto"/>
        <w:rPr>
          <w:sz w:val="20"/>
          <w:szCs w:val="20"/>
          <w:color w:val="auto"/>
        </w:rPr>
      </w:pPr>
      <w:r>
        <w:rPr>
          <w:rFonts w:ascii="Courier New" w:cs="Courier New" w:eastAsia="Courier New" w:hAnsi="Courier New"/>
          <w:sz w:val="16"/>
          <w:szCs w:val="16"/>
          <w:color w:val="auto"/>
        </w:rPr>
        <w:t>In our opinion, cash flows from operations and capital resources will be sufficient to meet debt service and working capital needs during fiscal 2000,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3"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5"/>
          <w:szCs w:val="15"/>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environmental related legal actions with various governmental agencies.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10 to the Company's unaudited Condensed, Consolidated Financial Statements as of and for the three months ended January 1, 2000 and in the 1999 Annual Report on Form 10-K under "ITEM 1 BUSINESS... ENVIRONMENTAL AND REGULATORY CONSIDERATIONS" and "ITEM 3 LEGAL PROCEEDINGS"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READINESS</w:t>
      </w:r>
    </w:p>
    <w:p>
      <w:pPr>
        <w:spacing w:after="0" w:line="183" w:lineRule="exact"/>
        <w:rPr>
          <w:sz w:val="20"/>
          <w:szCs w:val="20"/>
          <w:color w:val="auto"/>
        </w:rPr>
      </w:pPr>
    </w:p>
    <w:p>
      <w:pPr>
        <w:ind w:right="2579"/>
        <w:spacing w:after="0" w:line="253" w:lineRule="auto"/>
        <w:rPr>
          <w:sz w:val="20"/>
          <w:szCs w:val="20"/>
          <w:color w:val="auto"/>
        </w:rPr>
      </w:pPr>
      <w:r>
        <w:rPr>
          <w:rFonts w:ascii="Courier New" w:cs="Courier New" w:eastAsia="Courier New" w:hAnsi="Courier New"/>
          <w:sz w:val="16"/>
          <w:szCs w:val="16"/>
          <w:color w:val="auto"/>
        </w:rPr>
        <w:t>In order to address issues surrounding the potential inability of our computer software applications and other business systems to properly identify the Year 2000, we established a readiness program to assess the extent and impact of potential business interruptions and other risks. The readiness program included a review of all significant information technology systems within the Company, as well as significant non-information technology business systems including machinery and equipment operating control systems, telecommunications systems, building air management systems, security and fire control systems and electrical and natural gas systems. Remediation, upgrade or replacement of the affected systems was made as necessary.</w:t>
      </w:r>
    </w:p>
    <w:p>
      <w:pPr>
        <w:spacing w:after="0" w:line="90" w:lineRule="exact"/>
        <w:rPr>
          <w:sz w:val="20"/>
          <w:szCs w:val="20"/>
          <w:color w:val="auto"/>
        </w:rPr>
      </w:pPr>
    </w:p>
    <w:p>
      <w:pPr>
        <w:ind w:right="2579"/>
        <w:spacing w:after="0" w:line="296" w:lineRule="auto"/>
        <w:rPr>
          <w:sz w:val="20"/>
          <w:szCs w:val="20"/>
          <w:color w:val="auto"/>
        </w:rPr>
      </w:pPr>
      <w:r>
        <w:rPr>
          <w:rFonts w:ascii="Courier New" w:cs="Courier New" w:eastAsia="Courier New" w:hAnsi="Courier New"/>
          <w:sz w:val="16"/>
          <w:szCs w:val="16"/>
          <w:color w:val="auto"/>
        </w:rPr>
        <w:t>The readiness program also included evaluation of the year 2000 readiness of significant third-party suppliers through confirmation and follow-up procedures, including selected site assessments, where necessary.</w:t>
      </w:r>
    </w:p>
    <w:p>
      <w:pPr>
        <w:spacing w:after="0" w:line="57" w:lineRule="exact"/>
        <w:rPr>
          <w:sz w:val="20"/>
          <w:szCs w:val="20"/>
          <w:color w:val="auto"/>
        </w:rPr>
      </w:pPr>
    </w:p>
    <w:p>
      <w:pPr>
        <w:ind w:right="2579"/>
        <w:spacing w:after="0" w:line="263" w:lineRule="auto"/>
        <w:rPr>
          <w:sz w:val="20"/>
          <w:szCs w:val="20"/>
          <w:color w:val="auto"/>
        </w:rPr>
      </w:pPr>
      <w:r>
        <w:rPr>
          <w:rFonts w:ascii="Courier New" w:cs="Courier New" w:eastAsia="Courier New" w:hAnsi="Courier New"/>
          <w:sz w:val="16"/>
          <w:szCs w:val="16"/>
          <w:color w:val="auto"/>
        </w:rPr>
        <w:t>Excluding the cost of internally dedicated resources, we have incurred approximately $5.5 million to address potential year 2000 risks as of January 1, 2000. These costs, with the exception of relatively small capital expenditures, were expensed as incurred and were funded through operating cash flows or from borrowings under our credit facility. We do not expect to incur any significant additional costs related to the year 2000 issue.</w:t>
      </w:r>
    </w:p>
    <w:p>
      <w:pPr>
        <w:spacing w:after="0" w:line="82" w:lineRule="exact"/>
        <w:rPr>
          <w:sz w:val="20"/>
          <w:szCs w:val="20"/>
          <w:color w:val="auto"/>
        </w:rPr>
      </w:pPr>
    </w:p>
    <w:p>
      <w:pPr>
        <w:jc w:val="both"/>
        <w:ind w:right="2679"/>
        <w:spacing w:after="0" w:line="296" w:lineRule="auto"/>
        <w:rPr>
          <w:sz w:val="20"/>
          <w:szCs w:val="20"/>
          <w:color w:val="auto"/>
        </w:rPr>
      </w:pPr>
      <w:r>
        <w:rPr>
          <w:rFonts w:ascii="Courier New" w:cs="Courier New" w:eastAsia="Courier New" w:hAnsi="Courier New"/>
          <w:sz w:val="16"/>
          <w:szCs w:val="16"/>
          <w:color w:val="auto"/>
        </w:rPr>
        <w:t>Through January 2000, we have not experienced any significant issues related to the ability of our information technology and business systems to recognize the year</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31</w:t>
      </w:r>
    </w:p>
    <w:p>
      <w:pPr>
        <w:sectPr>
          <w:pgSz w:w="11900" w:h="16838" w:orient="portrait"/>
          <w:cols w:equalWidth="0" w:num="1">
            <w:col w:w="10139"/>
          </w:cols>
          <w:pgMar w:left="320" w:top="27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32</w:t>
      </w:r>
    </w:p>
    <w:p>
      <w:pPr>
        <w:spacing w:after="0" w:line="29"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6"/>
          <w:szCs w:val="16"/>
          <w:color w:val="auto"/>
        </w:rPr>
        <w:t>2000. In addition, we have not experienced any significant supply difficulties related to our vendors'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85" w:lineRule="exact"/>
        <w:rPr>
          <w:sz w:val="20"/>
          <w:szCs w:val="20"/>
          <w:color w:val="auto"/>
        </w:rPr>
      </w:pPr>
    </w:p>
    <w:p>
      <w:pPr>
        <w:ind w:right="2579"/>
        <w:spacing w:after="0" w:line="296" w:lineRule="auto"/>
        <w:rPr>
          <w:sz w:val="20"/>
          <w:szCs w:val="20"/>
          <w:color w:val="auto"/>
        </w:rPr>
      </w:pPr>
      <w:r>
        <w:rPr>
          <w:rFonts w:ascii="Courier New" w:cs="Courier New" w:eastAsia="Courier New" w:hAnsi="Courier New"/>
          <w:sz w:val="16"/>
          <w:szCs w:val="16"/>
          <w:color w:val="auto"/>
        </w:rPr>
        <w:t>The Company's readiness program is an ongoing process and the estimates of costs and completion dates for various components of the program described above are subject to change.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ENTERPRISE RESOURCE PLANNING ("ERP")</w:t>
      </w:r>
    </w:p>
    <w:p>
      <w:pPr>
        <w:spacing w:after="0" w:line="183"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6"/>
          <w:szCs w:val="16"/>
          <w:color w:val="auto"/>
        </w:rPr>
        <w:t>In July 1998, we announced a project designed to bring our information system resources in line with our current strategic objectives. The project includes the redesign of certain key business processes in connection with the installation of new software on a world-wide basis over the course of the next several fiscal years. We estimate that the project will cost approximately $65 million, of which we expect 75% will be capitalized and depreciated over a period of four to eight years. SAP has been selected as the primary software provider for this project.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w:t>
      </w:r>
    </w:p>
    <w:p>
      <w:pPr>
        <w:spacing w:after="0" w:line="183" w:lineRule="exact"/>
        <w:rPr>
          <w:sz w:val="20"/>
          <w:szCs w:val="20"/>
          <w:color w:val="auto"/>
        </w:rPr>
      </w:pPr>
    </w:p>
    <w:p>
      <w:pPr>
        <w:ind w:right="2579"/>
        <w:spacing w:after="0" w:line="253" w:lineRule="auto"/>
        <w:rPr>
          <w:sz w:val="20"/>
          <w:szCs w:val="20"/>
          <w:color w:val="auto"/>
        </w:rPr>
      </w:pPr>
      <w:r>
        <w:rPr>
          <w:rFonts w:ascii="Courier New" w:cs="Courier New" w:eastAsia="Courier New" w:hAnsi="Courier New"/>
          <w:sz w:val="16"/>
          <w:szCs w:val="16"/>
          <w:color w:val="auto"/>
        </w:rPr>
        <w:t>A new currency called the "Euro" has been introduced in certain Economic and Monetary Union countries. During 2002, all EMU countries are expected to be operating with the Euro as their single currency. Uncertainty exists as to the effects the Euro currency will have on the marketplace. We are assessing the impact the EMU formation and Euro implementation will have on our internal systems and the sale of our products. We expect to take appropriate actions based on the results of this assessment. We have not yet determined the cost related to addressing this issue and there can be no assurance that this issue and its related costs will not have a materially adverse effect on our business, operating results and financial condition.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83" w:lineRule="exact"/>
        <w:rPr>
          <w:sz w:val="20"/>
          <w:szCs w:val="20"/>
          <w:color w:val="auto"/>
        </w:rPr>
      </w:pPr>
    </w:p>
    <w:p>
      <w:pPr>
        <w:ind w:right="2579"/>
        <w:spacing w:after="0" w:line="263" w:lineRule="auto"/>
        <w:rPr>
          <w:sz w:val="20"/>
          <w:szCs w:val="20"/>
          <w:color w:val="auto"/>
        </w:rPr>
      </w:pPr>
      <w:r>
        <w:rPr>
          <w:rFonts w:ascii="Courier New" w:cs="Courier New" w:eastAsia="Courier New" w:hAnsi="Courier New"/>
          <w:sz w:val="16"/>
          <w:szCs w:val="16"/>
          <w:color w:val="auto"/>
        </w:rPr>
        <w:t>On February 7, 2000, the Company announced that it had signed a letter of intent to sell its North American Professional Turf business. The Company expects the transaction to close in the third quarter of fiscal 2000 and does not expect the transaction to have a material impact on its fiscal 2000 results of operations. The Company will retain the professional horticulture and grass seed segments of its Professional Business Segment.</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32</w:t>
      </w:r>
    </w:p>
    <w:p>
      <w:pPr>
        <w:sectPr>
          <w:pgSz w:w="11900" w:h="16838" w:orient="portrait"/>
          <w:cols w:equalWidth="0" w:num="1">
            <w:col w:w="10139"/>
          </w:cols>
          <w:pgMar w:left="320" w:top="27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33</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OUTLOOK</w:t>
      </w:r>
    </w:p>
    <w:p>
      <w:pPr>
        <w:spacing w:after="0" w:line="183" w:lineRule="exact"/>
        <w:rPr>
          <w:sz w:val="20"/>
          <w:szCs w:val="20"/>
          <w:color w:val="auto"/>
        </w:rPr>
      </w:pPr>
    </w:p>
    <w:p>
      <w:pPr>
        <w:ind w:right="2579"/>
        <w:spacing w:after="0" w:line="271" w:lineRule="auto"/>
        <w:rPr>
          <w:sz w:val="20"/>
          <w:szCs w:val="20"/>
          <w:color w:val="auto"/>
        </w:rPr>
      </w:pPr>
      <w:r>
        <w:rPr>
          <w:rFonts w:ascii="Courier New" w:cs="Courier New" w:eastAsia="Courier New" w:hAnsi="Courier New"/>
          <w:sz w:val="15"/>
          <w:szCs w:val="15"/>
          <w:color w:val="auto"/>
        </w:rPr>
        <w:t>Results for the first quarter of fiscal 2000 are in line with management's expectations and position us to continue our trend of significant sales and earnings growth. We are coming off a very strong fiscal 1999 as we reported record sales of $1.65 billion, achieved market share growth in every one of our major U. S. categories and established a number one market share position in most of the significant lawn and garden categories across the world. The performance in 1999 reflected the successful continuation of our primary growth drivers: to emphasize consumer-oriented marketing efforts to pull demand through distribution channels, and to make strategic acquisitions to increase market share in global markets and within segments of the lawn and garden category.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Looking forward, we maintain the following broad tenets to our strategic plan:</w:t>
      </w:r>
    </w:p>
    <w:p>
      <w:pPr>
        <w:spacing w:after="0" w:line="183" w:lineRule="exact"/>
        <w:rPr>
          <w:sz w:val="20"/>
          <w:szCs w:val="20"/>
          <w:color w:val="auto"/>
        </w:rPr>
      </w:pPr>
    </w:p>
    <w:p>
      <w:pPr>
        <w:ind w:left="1700" w:right="2579" w:hanging="852"/>
        <w:spacing w:after="0" w:line="254" w:lineRule="auto"/>
        <w:tabs>
          <w:tab w:leader="none" w:pos="17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 and capitalize on the strengths of the Scotts(R), Miracle-Gro(R), Hyponex(R) and Ortho(R) industry-leading brands, as well as our portfolio of powerful brands in our international markets. This involves a commitment to investors and retail partners that we will support these brands through advertising and promotion unequaled in the lawn and garden consumables market. In the Professional categories, it signifies a commitment to customers to provide value as an integral element in their long-term success;</w:t>
      </w:r>
    </w:p>
    <w:p>
      <w:pPr>
        <w:spacing w:after="0" w:line="92" w:lineRule="exact"/>
        <w:rPr>
          <w:rFonts w:ascii="Courier New" w:cs="Courier New" w:eastAsia="Courier New" w:hAnsi="Courier New"/>
          <w:sz w:val="16"/>
          <w:szCs w:val="16"/>
          <w:color w:val="auto"/>
        </w:rPr>
      </w:pPr>
    </w:p>
    <w:p>
      <w:pPr>
        <w:ind w:left="1700" w:right="3039" w:hanging="852"/>
        <w:spacing w:after="0" w:line="352" w:lineRule="auto"/>
        <w:tabs>
          <w:tab w:leader="none" w:pos="17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 to continuously study and improve knowledge of the market, the consumer and the competition;</w:t>
      </w:r>
    </w:p>
    <w:p>
      <w:pPr>
        <w:spacing w:after="0" w:line="14" w:lineRule="exact"/>
        <w:rPr>
          <w:rFonts w:ascii="Courier New" w:cs="Courier New" w:eastAsia="Courier New" w:hAnsi="Courier New"/>
          <w:sz w:val="16"/>
          <w:szCs w:val="16"/>
          <w:color w:val="auto"/>
        </w:rPr>
      </w:pPr>
    </w:p>
    <w:p>
      <w:pPr>
        <w:ind w:left="1700" w:right="2579" w:hanging="852"/>
        <w:spacing w:after="0" w:line="296" w:lineRule="auto"/>
        <w:tabs>
          <w:tab w:leader="none" w:pos="17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Simplify product lines and business processes, to focus on those that deliver value, evaluate marginal ones and eliminate those that lack future prospects; and</w:t>
      </w:r>
    </w:p>
    <w:p>
      <w:pPr>
        <w:spacing w:after="0" w:line="57" w:lineRule="exact"/>
        <w:rPr>
          <w:rFonts w:ascii="Courier New" w:cs="Courier New" w:eastAsia="Courier New" w:hAnsi="Courier New"/>
          <w:sz w:val="16"/>
          <w:szCs w:val="16"/>
          <w:color w:val="auto"/>
        </w:rPr>
      </w:pPr>
    </w:p>
    <w:p>
      <w:pPr>
        <w:ind w:left="1700" w:right="2679" w:hanging="852"/>
        <w:spacing w:after="0" w:line="296" w:lineRule="auto"/>
        <w:tabs>
          <w:tab w:leader="none" w:pos="17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Achieve world leadership in operations, leveraging technology and know-how to deliver outstanding customer service and quality.</w:t>
      </w:r>
    </w:p>
    <w:p>
      <w:pPr>
        <w:spacing w:after="0" w:line="57" w:lineRule="exact"/>
        <w:rPr>
          <w:sz w:val="20"/>
          <w:szCs w:val="20"/>
          <w:color w:val="auto"/>
        </w:rPr>
      </w:pPr>
    </w:p>
    <w:p>
      <w:pPr>
        <w:ind w:left="840" w:right="3039"/>
        <w:spacing w:after="0" w:line="385" w:lineRule="auto"/>
        <w:rPr>
          <w:sz w:val="20"/>
          <w:szCs w:val="20"/>
          <w:color w:val="auto"/>
        </w:rPr>
      </w:pPr>
      <w:r>
        <w:rPr>
          <w:rFonts w:ascii="Courier New" w:cs="Courier New" w:eastAsia="Courier New" w:hAnsi="Courier New"/>
          <w:sz w:val="15"/>
          <w:szCs w:val="15"/>
          <w:color w:val="auto"/>
        </w:rPr>
        <w:t>As part of our ongoing strategic plans, management has established challenging, but realistic, financial goals, including:</w:t>
      </w:r>
    </w:p>
    <w:p>
      <w:pPr>
        <w:spacing w:after="0" w:line="1" w:lineRule="exact"/>
        <w:rPr>
          <w:sz w:val="20"/>
          <w:szCs w:val="20"/>
          <w:color w:val="auto"/>
        </w:rPr>
      </w:pPr>
    </w:p>
    <w:p>
      <w:pPr>
        <w:ind w:left="1700" w:hanging="852"/>
        <w:spacing w:after="0"/>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growth of 10% per year;</w:t>
      </w:r>
    </w:p>
    <w:p>
      <w:pPr>
        <w:spacing w:after="0" w:line="182" w:lineRule="exact"/>
        <w:rPr>
          <w:rFonts w:ascii="Courier New" w:cs="Courier New" w:eastAsia="Courier New" w:hAnsi="Courier New"/>
          <w:sz w:val="16"/>
          <w:szCs w:val="16"/>
          <w:color w:val="auto"/>
        </w:rPr>
      </w:pPr>
    </w:p>
    <w:p>
      <w:pPr>
        <w:ind w:left="1700" w:right="2959" w:hanging="852"/>
        <w:spacing w:after="0" w:line="352" w:lineRule="auto"/>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aggregate operating margin improvement of 1/2 to 1% per year;</w:t>
      </w:r>
    </w:p>
    <w:p>
      <w:pPr>
        <w:spacing w:after="0" w:line="14" w:lineRule="exact"/>
        <w:rPr>
          <w:rFonts w:ascii="Courier New" w:cs="Courier New" w:eastAsia="Courier New" w:hAnsi="Courier New"/>
          <w:sz w:val="16"/>
          <w:szCs w:val="16"/>
          <w:color w:val="auto"/>
        </w:rPr>
      </w:pPr>
    </w:p>
    <w:p>
      <w:pPr>
        <w:ind w:left="1700" w:right="2959" w:hanging="852"/>
        <w:spacing w:after="0" w:line="352" w:lineRule="auto"/>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compounded annual earnings per share growth of 15% to 20%; and</w:t>
      </w:r>
    </w:p>
    <w:p>
      <w:pPr>
        <w:spacing w:after="0" w:line="14" w:lineRule="exact"/>
        <w:rPr>
          <w:rFonts w:ascii="Courier New" w:cs="Courier New" w:eastAsia="Courier New" w:hAnsi="Courier New"/>
          <w:sz w:val="16"/>
          <w:szCs w:val="16"/>
          <w:color w:val="auto"/>
        </w:rPr>
      </w:pPr>
    </w:p>
    <w:p>
      <w:pPr>
        <w:ind w:left="1700" w:hanging="852"/>
        <w:spacing w:after="0"/>
        <w:tabs>
          <w:tab w:leader="none" w:pos="17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on equity of 18%.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679"/>
        <w:spacing w:after="0" w:line="276"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74"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the Act.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33</w:t>
      </w:r>
    </w:p>
    <w:p>
      <w:pPr>
        <w:sectPr>
          <w:pgSz w:w="11900" w:h="16838" w:orient="portrait"/>
          <w:cols w:equalWidth="0" w:num="1">
            <w:col w:w="10139"/>
          </w:cols>
          <w:pgMar w:left="320" w:top="27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34</w:t>
      </w:r>
    </w:p>
    <w:p>
      <w:pPr>
        <w:spacing w:after="0" w:line="183" w:lineRule="exact"/>
        <w:rPr>
          <w:sz w:val="20"/>
          <w:szCs w:val="20"/>
          <w:color w:val="auto"/>
        </w:rPr>
      </w:pPr>
    </w:p>
    <w:p>
      <w:pPr>
        <w:ind w:right="2579"/>
        <w:spacing w:after="0" w:line="256" w:lineRule="auto"/>
        <w:rPr>
          <w:sz w:val="20"/>
          <w:szCs w:val="20"/>
          <w:color w:val="auto"/>
        </w:rPr>
      </w:pPr>
      <w:r>
        <w:rPr>
          <w:rFonts w:ascii="Courier New" w:cs="Courier New" w:eastAsia="Courier New" w:hAnsi="Courier New"/>
          <w:sz w:val="16"/>
          <w:szCs w:val="16"/>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90" w:lineRule="exact"/>
        <w:rPr>
          <w:sz w:val="20"/>
          <w:szCs w:val="20"/>
          <w:color w:val="auto"/>
        </w:rPr>
      </w:pPr>
    </w:p>
    <w:p>
      <w:pPr>
        <w:ind w:left="1700" w:right="2859" w:hanging="852"/>
        <w:spacing w:after="0" w:line="352"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WEATHER CONDITIONS COULD ADVERSELY IMPACT FINANCIAL RESULTS.</w:t>
      </w:r>
    </w:p>
    <w:p>
      <w:pPr>
        <w:spacing w:after="0" w:line="14" w:lineRule="exact"/>
        <w:rPr>
          <w:rFonts w:ascii="Courier New" w:cs="Courier New" w:eastAsia="Courier New" w:hAnsi="Courier New"/>
          <w:sz w:val="16"/>
          <w:szCs w:val="16"/>
          <w:color w:val="auto"/>
        </w:rPr>
      </w:pPr>
    </w:p>
    <w:p>
      <w:pPr>
        <w:ind w:left="1700" w:right="267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90" w:lineRule="exact"/>
        <w:rPr>
          <w:rFonts w:ascii="Courier New" w:cs="Courier New" w:eastAsia="Courier New" w:hAnsi="Courier New"/>
          <w:sz w:val="16"/>
          <w:szCs w:val="16"/>
          <w:color w:val="auto"/>
        </w:rPr>
      </w:pPr>
    </w:p>
    <w:p>
      <w:pPr>
        <w:ind w:left="1700" w:right="2859" w:hanging="852"/>
        <w:spacing w:after="0" w:line="352"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HISTORICAL SEASONALITY COULD IMPAIR OUR ABILITY TO MAKE INTEREST PAYMENTS ON INDEBTEDNESS.</w:t>
      </w:r>
    </w:p>
    <w:p>
      <w:pPr>
        <w:spacing w:after="0" w:line="14" w:lineRule="exact"/>
        <w:rPr>
          <w:rFonts w:ascii="Courier New" w:cs="Courier New" w:eastAsia="Courier New" w:hAnsi="Courier New"/>
          <w:sz w:val="16"/>
          <w:szCs w:val="16"/>
          <w:color w:val="auto"/>
        </w:rPr>
      </w:pPr>
    </w:p>
    <w:p>
      <w:pPr>
        <w:ind w:left="1700" w:right="257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our products are used primarily in the spring and summer, our business is highly seasonal. For the past two fiscal years, approximately 70% to 75% of our sales have occurred in the second and third fiscal quarters combined. Our working capital needs and our borrowings peak during our second fiscal quarter because we are generating fewer revenues while incurring expenditures in preparation for the spring selling season. If cash on hand is insufficient to cover interest payments due on our indebtedness at a time when we are unable to draw on our credit facilities, this seasonality could adversely affect our ability to make interest payments as required by our indebtedness. Adverse weather conditions could heighten this risk.</w:t>
      </w:r>
    </w:p>
    <w:p>
      <w:pPr>
        <w:spacing w:after="0" w:line="92" w:lineRule="exact"/>
        <w:rPr>
          <w:rFonts w:ascii="Courier New" w:cs="Courier New" w:eastAsia="Courier New" w:hAnsi="Courier New"/>
          <w:sz w:val="16"/>
          <w:szCs w:val="16"/>
          <w:color w:val="auto"/>
        </w:rPr>
      </w:pPr>
    </w:p>
    <w:p>
      <w:pPr>
        <w:ind w:left="1700" w:right="2579" w:hanging="852"/>
        <w:spacing w:after="0" w:line="352"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THAT THE PRODUCTS WE PRODUCE AND MARKET ARE NOT SAFE COULD ADVERSELY AFFECT US.</w:t>
      </w:r>
    </w:p>
    <w:p>
      <w:pPr>
        <w:spacing w:after="0" w:line="14" w:lineRule="exact"/>
        <w:rPr>
          <w:rFonts w:ascii="Courier New" w:cs="Courier New" w:eastAsia="Courier New" w:hAnsi="Courier New"/>
          <w:sz w:val="16"/>
          <w:szCs w:val="16"/>
          <w:color w:val="auto"/>
        </w:rPr>
      </w:pPr>
    </w:p>
    <w:p>
      <w:pPr>
        <w:ind w:left="1700" w:right="2679"/>
        <w:spacing w:after="0" w:line="27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w:t>
      </w:r>
    </w:p>
    <w:p>
      <w:pPr>
        <w:spacing w:after="0" w:line="73" w:lineRule="exact"/>
        <w:rPr>
          <w:rFonts w:ascii="Courier New" w:cs="Courier New" w:eastAsia="Courier New" w:hAnsi="Courier New"/>
          <w:sz w:val="16"/>
          <w:szCs w:val="16"/>
          <w:color w:val="auto"/>
        </w:rPr>
      </w:pPr>
    </w:p>
    <w:p>
      <w:pPr>
        <w:ind w:left="1700" w:right="3239" w:hanging="852"/>
        <w:spacing w:after="0" w:line="296" w:lineRule="auto"/>
        <w:tabs>
          <w:tab w:leader="none" w:pos="17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w:t>
      </w:r>
    </w:p>
    <w:p>
      <w:pPr>
        <w:spacing w:after="0" w:line="57"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indebtedness could:</w:t>
      </w:r>
    </w:p>
    <w:p>
      <w:pPr>
        <w:spacing w:after="0" w:line="182" w:lineRule="exact"/>
        <w:rPr>
          <w:rFonts w:ascii="Courier New" w:cs="Courier New" w:eastAsia="Courier New" w:hAnsi="Courier New"/>
          <w:sz w:val="16"/>
          <w:szCs w:val="16"/>
          <w:color w:val="auto"/>
        </w:rPr>
      </w:pPr>
    </w:p>
    <w:p>
      <w:pPr>
        <w:ind w:left="2560" w:right="3419" w:hanging="860"/>
        <w:spacing w:after="0" w:line="352" w:lineRule="auto"/>
        <w:tabs>
          <w:tab w:leader="none" w:pos="256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w:t>
      </w:r>
    </w:p>
    <w:p>
      <w:pPr>
        <w:spacing w:after="0" w:line="14" w:lineRule="exact"/>
        <w:rPr>
          <w:rFonts w:ascii="Courier New" w:cs="Courier New" w:eastAsia="Courier New" w:hAnsi="Courier New"/>
          <w:sz w:val="16"/>
          <w:szCs w:val="16"/>
          <w:color w:val="auto"/>
        </w:rPr>
      </w:pPr>
    </w:p>
    <w:p>
      <w:pPr>
        <w:ind w:left="2560" w:right="3339" w:hanging="860"/>
        <w:spacing w:after="0" w:line="352" w:lineRule="auto"/>
        <w:tabs>
          <w:tab w:leader="none" w:pos="256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4" w:lineRule="exact"/>
        <w:rPr>
          <w:rFonts w:ascii="Courier New" w:cs="Courier New" w:eastAsia="Courier New" w:hAnsi="Courier New"/>
          <w:sz w:val="16"/>
          <w:szCs w:val="16"/>
          <w:color w:val="auto"/>
        </w:rPr>
      </w:pPr>
    </w:p>
    <w:p>
      <w:pPr>
        <w:ind w:left="2560" w:right="2679" w:hanging="860"/>
        <w:spacing w:after="0" w:line="296" w:lineRule="auto"/>
        <w:tabs>
          <w:tab w:leader="none" w:pos="256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fund future working capital, capital expenditures, research and development costs and other general corporate requirements;</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34</w:t>
      </w:r>
    </w:p>
    <w:p>
      <w:pPr>
        <w:sectPr>
          <w:pgSz w:w="11900" w:h="16838" w:orient="portrait"/>
          <w:cols w:equalWidth="0" w:num="1">
            <w:col w:w="10139"/>
          </w:cols>
          <w:pgMar w:left="320" w:top="27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35</w:t>
      </w:r>
    </w:p>
    <w:p>
      <w:pPr>
        <w:spacing w:after="0" w:line="183" w:lineRule="exact"/>
        <w:rPr>
          <w:sz w:val="20"/>
          <w:szCs w:val="20"/>
          <w:color w:val="auto"/>
        </w:rPr>
      </w:pPr>
    </w:p>
    <w:p>
      <w:pPr>
        <w:ind w:left="2560" w:right="2859" w:hanging="860"/>
        <w:spacing w:after="0" w:line="263" w:lineRule="auto"/>
        <w:tabs>
          <w:tab w:leader="none" w:pos="25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us to dedicate a substantial portion of cash flow from operations to payments on our indebtedness, which would reduce the cash flow available to fund working capital, capital expenditures, research and development efforts and other general corporate requirements;</w:t>
      </w:r>
    </w:p>
    <w:p>
      <w:pPr>
        <w:spacing w:after="0" w:line="81" w:lineRule="exact"/>
        <w:rPr>
          <w:rFonts w:ascii="Courier New" w:cs="Courier New" w:eastAsia="Courier New" w:hAnsi="Courier New"/>
          <w:sz w:val="16"/>
          <w:szCs w:val="16"/>
          <w:color w:val="auto"/>
        </w:rPr>
      </w:pPr>
    </w:p>
    <w:p>
      <w:pPr>
        <w:ind w:left="2560" w:right="2579" w:hanging="860"/>
        <w:spacing w:after="0" w:line="296" w:lineRule="auto"/>
        <w:tabs>
          <w:tab w:leader="none" w:pos="25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57" w:lineRule="exact"/>
        <w:rPr>
          <w:rFonts w:ascii="Courier New" w:cs="Courier New" w:eastAsia="Courier New" w:hAnsi="Courier New"/>
          <w:sz w:val="16"/>
          <w:szCs w:val="16"/>
          <w:color w:val="auto"/>
        </w:rPr>
      </w:pPr>
    </w:p>
    <w:p>
      <w:pPr>
        <w:ind w:left="2560" w:right="2859" w:hanging="860"/>
        <w:spacing w:after="0" w:line="352" w:lineRule="auto"/>
        <w:tabs>
          <w:tab w:leader="none" w:pos="25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4" w:lineRule="exact"/>
        <w:rPr>
          <w:rFonts w:ascii="Courier New" w:cs="Courier New" w:eastAsia="Courier New" w:hAnsi="Courier New"/>
          <w:sz w:val="16"/>
          <w:szCs w:val="16"/>
          <w:color w:val="auto"/>
        </w:rPr>
      </w:pPr>
    </w:p>
    <w:p>
      <w:pPr>
        <w:ind w:left="2560" w:hanging="860"/>
        <w:spacing w:after="0"/>
        <w:tabs>
          <w:tab w:leader="none" w:pos="25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pacing w:after="0" w:line="183" w:lineRule="exact"/>
        <w:rPr>
          <w:sz w:val="20"/>
          <w:szCs w:val="20"/>
          <w:color w:val="auto"/>
        </w:rPr>
      </w:pPr>
    </w:p>
    <w:p>
      <w:pPr>
        <w:ind w:left="1700" w:right="2579"/>
        <w:spacing w:after="0" w:line="263"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our indebtedness could become due and payable in full prior to its stated due date. We cannot be sure that our lenders would waive a default or that we could pay the indebtedness in full if it were accelerated.</w:t>
      </w:r>
    </w:p>
    <w:p>
      <w:pPr>
        <w:spacing w:after="0" w:line="82" w:lineRule="exact"/>
        <w:rPr>
          <w:sz w:val="20"/>
          <w:szCs w:val="20"/>
          <w:color w:val="auto"/>
        </w:rPr>
      </w:pPr>
    </w:p>
    <w:p>
      <w:pPr>
        <w:ind w:left="1700" w:right="2959" w:hanging="852"/>
        <w:spacing w:after="0" w:line="385" w:lineRule="auto"/>
        <w:tabs>
          <w:tab w:leader="none" w:pos="1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SERVICE OUR INDEBTEDNESS, WE WILL REQUIRE A SIGNIFICANT AMOUNT OF CASH, WHICH WE MAY NOT BE ABLE TO GENERATE.</w:t>
      </w:r>
    </w:p>
    <w:p>
      <w:pPr>
        <w:ind w:left="1700" w:right="2579"/>
        <w:spacing w:after="0" w:line="26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 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other liquidity needs. We may need to refinance all or a portion of our indebtedness, on or before maturity. We cannot assure that we will be able to refinance any of our indebtedness on commercially reasonable terms or at all.</w:t>
      </w:r>
    </w:p>
    <w:p>
      <w:pPr>
        <w:spacing w:after="0" w:line="90" w:lineRule="exact"/>
        <w:rPr>
          <w:rFonts w:ascii="Courier New" w:cs="Courier New" w:eastAsia="Courier New" w:hAnsi="Courier New"/>
          <w:sz w:val="15"/>
          <w:szCs w:val="15"/>
          <w:color w:val="auto"/>
        </w:rPr>
      </w:pPr>
    </w:p>
    <w:p>
      <w:pPr>
        <w:ind w:left="1700" w:right="2579" w:hanging="852"/>
        <w:spacing w:after="0" w:line="352" w:lineRule="auto"/>
        <w:tabs>
          <w:tab w:leader="none" w:pos="17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4" w:lineRule="exact"/>
        <w:rPr>
          <w:rFonts w:ascii="Courier New" w:cs="Courier New" w:eastAsia="Courier New" w:hAnsi="Courier New"/>
          <w:sz w:val="16"/>
          <w:szCs w:val="16"/>
          <w:color w:val="auto"/>
        </w:rPr>
      </w:pPr>
    </w:p>
    <w:p>
      <w:pPr>
        <w:ind w:left="1700" w:right="25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effectively integrate the acquired business. We believe that our recent acquisitions provide us with significant cost saving opportunities. However, if we are not able to successfully integrate Ortho, Rhone-Poulenc Jardin or our other acquired businesses, we will not be able to maximize such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35</w:t>
      </w:r>
    </w:p>
    <w:p>
      <w:pPr>
        <w:sectPr>
          <w:pgSz w:w="11900" w:h="16838" w:orient="portrait"/>
          <w:cols w:equalWidth="0" w:num="1">
            <w:col w:w="10139"/>
          </w:cols>
          <w:pgMar w:left="320" w:top="27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jc w:val="both"/>
        <w:ind w:left="1700" w:right="2579" w:hanging="852"/>
        <w:spacing w:after="0" w:line="296" w:lineRule="auto"/>
        <w:tabs>
          <w:tab w:leader="none" w:pos="17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57" w:lineRule="exact"/>
        <w:rPr>
          <w:rFonts w:ascii="Courier New" w:cs="Courier New" w:eastAsia="Courier New" w:hAnsi="Courier New"/>
          <w:sz w:val="16"/>
          <w:szCs w:val="16"/>
          <w:color w:val="auto"/>
        </w:rPr>
      </w:pPr>
    </w:p>
    <w:p>
      <w:pPr>
        <w:ind w:left="1700" w:right="257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Our top 10 North American retail customers together accounted for approximately 52% of our fiscal 1999 sales and 41% of our outstanding accounts receivable as of September 30, 1999. Our top three customers,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95" w:lineRule="exact"/>
        <w:rPr>
          <w:rFonts w:ascii="Courier New" w:cs="Courier New" w:eastAsia="Courier New" w:hAnsi="Courier New"/>
          <w:sz w:val="16"/>
          <w:szCs w:val="16"/>
          <w:color w:val="auto"/>
        </w:rPr>
      </w:pPr>
    </w:p>
    <w:p>
      <w:pPr>
        <w:jc w:val="both"/>
        <w:ind w:left="1700" w:right="3039" w:hanging="852"/>
        <w:spacing w:after="0" w:line="296" w:lineRule="auto"/>
        <w:tabs>
          <w:tab w:leader="none" w:pos="17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MONSANTO WERE TO TERMINATE THE MARKETING AGREEMENT FOR CONSUMER ROUNDUP(R) PRODUCTS, WE WOULD LOSE A SUBSTANTIAL SOURCE OF FUTURE EARNINGS.</w:t>
      </w:r>
    </w:p>
    <w:p>
      <w:pPr>
        <w:spacing w:after="0" w:line="57" w:lineRule="exact"/>
        <w:rPr>
          <w:rFonts w:ascii="Courier New" w:cs="Courier New" w:eastAsia="Courier New" w:hAnsi="Courier New"/>
          <w:sz w:val="16"/>
          <w:szCs w:val="16"/>
          <w:color w:val="auto"/>
        </w:rPr>
      </w:pPr>
    </w:p>
    <w:p>
      <w:pPr>
        <w:ind w:left="1700" w:right="2579"/>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terminate the marketing agreement within a given region, including North America, without paying us a termination fee if sales to consumers in that region decline:</w:t>
      </w:r>
    </w:p>
    <w:p>
      <w:pPr>
        <w:spacing w:after="0" w:line="82" w:lineRule="exact"/>
        <w:rPr>
          <w:rFonts w:ascii="Courier New" w:cs="Courier New" w:eastAsia="Courier New" w:hAnsi="Courier New"/>
          <w:sz w:val="16"/>
          <w:szCs w:val="16"/>
          <w:color w:val="auto"/>
        </w:rPr>
      </w:pPr>
    </w:p>
    <w:p>
      <w:pPr>
        <w:ind w:left="2560" w:hanging="860"/>
        <w:spacing w:after="0"/>
        <w:tabs>
          <w:tab w:leader="none" w:pos="25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year fiscal year period; or</w:t>
      </w:r>
    </w:p>
    <w:p>
      <w:pPr>
        <w:spacing w:after="0" w:line="182" w:lineRule="exact"/>
        <w:rPr>
          <w:rFonts w:ascii="Courier New" w:cs="Courier New" w:eastAsia="Courier New" w:hAnsi="Courier New"/>
          <w:sz w:val="16"/>
          <w:szCs w:val="16"/>
          <w:color w:val="auto"/>
        </w:rPr>
      </w:pPr>
    </w:p>
    <w:p>
      <w:pPr>
        <w:ind w:left="2560" w:right="2679" w:hanging="860"/>
        <w:spacing w:after="0" w:line="256" w:lineRule="auto"/>
        <w:tabs>
          <w:tab w:leader="none" w:pos="25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 Monsanto may not terminate the marketing agreement, however, if we can demonstrate that the sales decline was caused by a severe decline of general economic conditions or a severe decline in the lawn and garden market in the region rather than by our failure to perform our duties under the agreement.</w:t>
      </w:r>
    </w:p>
    <w:p>
      <w:pPr>
        <w:spacing w:after="0" w:line="90" w:lineRule="exact"/>
        <w:rPr>
          <w:rFonts w:ascii="Courier New" w:cs="Courier New" w:eastAsia="Courier New" w:hAnsi="Courier New"/>
          <w:sz w:val="16"/>
          <w:szCs w:val="16"/>
          <w:color w:val="auto"/>
        </w:rPr>
      </w:pPr>
    </w:p>
    <w:p>
      <w:pPr>
        <w:ind w:left="1700" w:right="2859" w:hanging="852"/>
        <w:spacing w:after="0" w:line="324" w:lineRule="auto"/>
        <w:tabs>
          <w:tab w:leader="none" w:pos="1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39" w:lineRule="exact"/>
        <w:rPr>
          <w:rFonts w:ascii="Courier New" w:cs="Courier New" w:eastAsia="Courier New" w:hAnsi="Courier New"/>
          <w:sz w:val="15"/>
          <w:szCs w:val="15"/>
          <w:color w:val="auto"/>
        </w:rPr>
      </w:pPr>
    </w:p>
    <w:p>
      <w:pPr>
        <w:ind w:left="1700" w:right="2579"/>
        <w:spacing w:after="0" w:line="25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Glyphosate, the active ingredient in Roundup(R), is covered by a patent in the United States that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w:t>
      </w:r>
    </w:p>
    <w:p>
      <w:pPr>
        <w:spacing w:after="0" w:line="92" w:lineRule="exact"/>
        <w:rPr>
          <w:rFonts w:ascii="Courier New" w:cs="Courier New" w:eastAsia="Courier New" w:hAnsi="Courier New"/>
          <w:sz w:val="15"/>
          <w:szCs w:val="15"/>
          <w:color w:val="auto"/>
        </w:rPr>
      </w:pPr>
    </w:p>
    <w:p>
      <w:pPr>
        <w:ind w:left="1700" w:right="2579"/>
        <w:spacing w:after="0" w:line="25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Our methylene-urea product composition patent, which covers Scotts Turf Builder(R), Scotts Turf Builder(R) with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36</w:t>
      </w:r>
    </w:p>
    <w:p>
      <w:pPr>
        <w:sectPr>
          <w:pgSz w:w="11900" w:h="16838" w:orient="portrait"/>
          <w:cols w:equalWidth="0" w:num="1">
            <w:col w:w="10139"/>
          </w:cols>
          <w:pgMar w:left="320" w:top="27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37</w:t>
      </w:r>
    </w:p>
    <w:p>
      <w:pPr>
        <w:spacing w:after="0" w:line="29" w:lineRule="exact"/>
        <w:rPr>
          <w:sz w:val="20"/>
          <w:szCs w:val="20"/>
          <w:color w:val="auto"/>
        </w:rPr>
      </w:pPr>
    </w:p>
    <w:p>
      <w:pPr>
        <w:ind w:left="1700" w:right="2959" w:hanging="852"/>
        <w:spacing w:after="0" w:line="315" w:lineRule="auto"/>
        <w:tabs>
          <w:tab w:leader="none" w:pos="17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THE FORMER MIRACLE-GRO SHAREHOLDERS COULD CONFLICT WITH THOSE OF OUR OTHER SHAREHOLDERS.</w:t>
      </w:r>
    </w:p>
    <w:p>
      <w:pPr>
        <w:spacing w:after="0" w:line="41" w:lineRule="exact"/>
        <w:rPr>
          <w:rFonts w:ascii="Courier New" w:cs="Courier New" w:eastAsia="Courier New" w:hAnsi="Courier New"/>
          <w:sz w:val="16"/>
          <w:szCs w:val="16"/>
          <w:color w:val="auto"/>
        </w:rPr>
      </w:pPr>
    </w:p>
    <w:p>
      <w:pPr>
        <w:ind w:left="1700" w:right="257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former shareholders of Stern's Miracle-Gro Products, Inc., through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w:t>
      </w:r>
    </w:p>
    <w:p>
      <w:pPr>
        <w:spacing w:after="0" w:line="92" w:lineRule="exact"/>
        <w:rPr>
          <w:rFonts w:ascii="Courier New" w:cs="Courier New" w:eastAsia="Courier New" w:hAnsi="Courier New"/>
          <w:sz w:val="16"/>
          <w:szCs w:val="16"/>
          <w:color w:val="auto"/>
        </w:rPr>
      </w:pPr>
    </w:p>
    <w:p>
      <w:pPr>
        <w:ind w:left="1700" w:right="2579" w:hanging="852"/>
        <w:spacing w:after="0" w:line="266" w:lineRule="auto"/>
        <w:tabs>
          <w:tab w:leader="none" w:pos="17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ENVIRONMENTAL AND OTHER PUBLIC HEALTH REGULATIONS COULD INCREASE OUR COST OF DOING BUSINESS. Local, state, federal and foreign laws and regulations relating to environmental matters affect us in several ways. All products containing pesticides must be registered with the United States Environmental Protection Agency and, in many cases,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competitors were similarly affected. We attempt to anticipate regulatory developments and maintain registrations of, and access to, substitute chemicals. We may not always be able to avoid or minimize these risks.</w:t>
      </w:r>
    </w:p>
    <w:p>
      <w:pPr>
        <w:spacing w:after="0" w:line="79" w:lineRule="exact"/>
        <w:rPr>
          <w:rFonts w:ascii="Courier New" w:cs="Courier New" w:eastAsia="Courier New" w:hAnsi="Courier New"/>
          <w:sz w:val="16"/>
          <w:szCs w:val="16"/>
          <w:color w:val="auto"/>
        </w:rPr>
      </w:pPr>
    </w:p>
    <w:p>
      <w:pPr>
        <w:ind w:left="1700" w:right="257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the severity of the effect of the U.S. Environmental Protection Agency's evaluation. We believe that we should be able to obtain substitute ingredients if selected pesticides are limited or made unavailable, but there can be no assurance that we will be able to do so for all products.</w:t>
      </w:r>
    </w:p>
    <w:p>
      <w:pPr>
        <w:spacing w:after="0" w:line="98" w:lineRule="exact"/>
        <w:rPr>
          <w:rFonts w:ascii="Courier New" w:cs="Courier New" w:eastAsia="Courier New" w:hAnsi="Courier New"/>
          <w:sz w:val="16"/>
          <w:szCs w:val="16"/>
          <w:color w:val="auto"/>
        </w:rPr>
      </w:pPr>
    </w:p>
    <w:p>
      <w:pPr>
        <w:ind w:left="1700" w:right="2579"/>
        <w:spacing w:after="0" w:line="26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Regulations regarding the use of some pesticide and fertilizer products may include requirements that only certified or professional users apply the product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such regulations and obtain all necessary registrations, we cannot assure that our products, particularly pesticide products, will not cause injury to the environment or to people under all circumstances.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37</w:t>
      </w:r>
    </w:p>
    <w:p>
      <w:pPr>
        <w:sectPr>
          <w:pgSz w:w="11900" w:h="16838" w:orient="portrait"/>
          <w:cols w:equalWidth="0" w:num="1">
            <w:col w:w="10139"/>
          </w:cols>
          <w:pgMar w:left="320" w:top="27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38</w:t>
      </w:r>
    </w:p>
    <w:p>
      <w:pPr>
        <w:spacing w:after="0" w:line="29" w:lineRule="exact"/>
        <w:rPr>
          <w:sz w:val="20"/>
          <w:szCs w:val="20"/>
          <w:color w:val="auto"/>
        </w:rPr>
      </w:pPr>
    </w:p>
    <w:p>
      <w:pPr>
        <w:ind w:left="1700" w:right="2759"/>
        <w:spacing w:after="0" w:line="265" w:lineRule="auto"/>
        <w:rPr>
          <w:sz w:val="20"/>
          <w:szCs w:val="20"/>
          <w:color w:val="auto"/>
        </w:rPr>
      </w:pPr>
      <w:r>
        <w:rPr>
          <w:rFonts w:ascii="Courier New" w:cs="Courier New" w:eastAsia="Courier New" w:hAnsi="Courier New"/>
          <w:sz w:val="16"/>
          <w:szCs w:val="16"/>
          <w:color w:val="auto"/>
        </w:rPr>
        <w:t>The costs of compliance, remediation or products liability have adversely affected operating results in the past and could materially affect future quarterly or annual operating results.</w:t>
      </w:r>
    </w:p>
    <w:p>
      <w:pPr>
        <w:spacing w:after="0" w:line="81" w:lineRule="exact"/>
        <w:rPr>
          <w:sz w:val="20"/>
          <w:szCs w:val="20"/>
          <w:color w:val="auto"/>
        </w:rPr>
      </w:pPr>
    </w:p>
    <w:p>
      <w:pPr>
        <w:ind w:left="1700" w:right="2579"/>
        <w:spacing w:after="0" w:line="249" w:lineRule="auto"/>
        <w:rPr>
          <w:sz w:val="20"/>
          <w:szCs w:val="20"/>
          <w:color w:val="auto"/>
        </w:rPr>
      </w:pPr>
      <w:r>
        <w:rPr>
          <w:rFonts w:ascii="Courier New" w:cs="Courier New" w:eastAsia="Courier New" w:hAnsi="Courier New"/>
          <w:sz w:val="16"/>
          <w:szCs w:val="16"/>
          <w:color w:val="auto"/>
        </w:rPr>
        <w:t>The harvesting of peat for our growing media business has come under increasing regulatory and environmental scrutiny. In the United States, state regulations frequently require us to limit our harvesting and to restore the property to its intended use. In some locations we have been required to create water retention ponds to control the sediment content of discharged water. In the United Kingdom, our peat extraction efforts are also the subject of legislation. Since 1990, we have been involved in litigation with the Philadelphia District of the U.S. Army Corps of Engineers involving our peat harvesting operations at Hyponex's Lafayette, New Jersey facility. The Corps of Engineers is seeking a permanent injunction against harvesting and civil penalties in an unspecified amount.</w:t>
      </w:r>
    </w:p>
    <w:p>
      <w:pPr>
        <w:spacing w:after="0" w:line="96" w:lineRule="exact"/>
        <w:rPr>
          <w:sz w:val="20"/>
          <w:szCs w:val="20"/>
          <w:color w:val="auto"/>
        </w:rPr>
      </w:pPr>
    </w:p>
    <w:p>
      <w:pPr>
        <w:ind w:left="1700" w:right="2579"/>
        <w:spacing w:after="0" w:line="248"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We are currently unable to predict the ultimate outcome of this matter.</w:t>
      </w:r>
    </w:p>
    <w:p>
      <w:pPr>
        <w:spacing w:after="0" w:line="96" w:lineRule="exact"/>
        <w:rPr>
          <w:sz w:val="20"/>
          <w:szCs w:val="20"/>
          <w:color w:val="auto"/>
        </w:rPr>
      </w:pPr>
    </w:p>
    <w:p>
      <w:pPr>
        <w:ind w:left="1700" w:right="2579"/>
        <w:spacing w:after="0" w:line="252" w:lineRule="auto"/>
        <w:rPr>
          <w:sz w:val="20"/>
          <w:szCs w:val="20"/>
          <w:color w:val="auto"/>
        </w:rPr>
      </w:pPr>
      <w:r>
        <w:rPr>
          <w:rFonts w:ascii="Courier New" w:cs="Courier New" w:eastAsia="Courier New" w:hAnsi="Courier New"/>
          <w:sz w:val="16"/>
          <w:szCs w:val="16"/>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Management anticipates that environmental capital expenditures and other environmental expenses for fiscal 2000 will not differ significantly from those incurred in fiscal 1999. If we are required to significantly increase our actual environmental capital expenditures and other environmental expenses, it could adversely affect our financial results.</w:t>
      </w:r>
    </w:p>
    <w:p>
      <w:pPr>
        <w:spacing w:after="0" w:line="89" w:lineRule="exact"/>
        <w:rPr>
          <w:sz w:val="20"/>
          <w:szCs w:val="20"/>
          <w:color w:val="auto"/>
        </w:rPr>
      </w:pPr>
    </w:p>
    <w:p>
      <w:pPr>
        <w:ind w:left="1700" w:right="2579" w:hanging="852"/>
        <w:spacing w:after="0" w:line="277" w:lineRule="auto"/>
        <w:tabs>
          <w:tab w:leader="none" w:pos="17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INABILITY, OR THE INABILITY OF OUR SUPPLIERS OR CUSTOMERS, TO RECOGNIZE AND ADDRESS ISSUES RELATED TO THE YEAR 2000 WHICH HAVE YET TO BE ENCOUNTERED, COULD ADVERSELY AFFECT OUR OPERATIONS.</w:t>
      </w:r>
    </w:p>
    <w:p>
      <w:pPr>
        <w:spacing w:after="0" w:line="72" w:lineRule="exact"/>
        <w:rPr>
          <w:rFonts w:ascii="Courier New" w:cs="Courier New" w:eastAsia="Courier New" w:hAnsi="Courier New"/>
          <w:sz w:val="16"/>
          <w:szCs w:val="16"/>
          <w:color w:val="auto"/>
        </w:rPr>
      </w:pPr>
    </w:p>
    <w:p>
      <w:pPr>
        <w:ind w:left="1700" w:right="2579"/>
        <w:spacing w:after="0" w:line="25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Through January 2000, we have not experienced any significant issues related to the ability of our information technology and business systems to recognize the year 2000. In addition, we have not experienced any significant supply difficulties related to our venders' year 2000 readiness. While we believe that we have taken adequate precautions against year 2000 systems issues, there can be no assurance that we will not encounter business interruption or other issues related to the year 2000 in the future.</w:t>
      </w: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38</w:t>
      </w:r>
    </w:p>
    <w:p>
      <w:pPr>
        <w:sectPr>
          <w:pgSz w:w="11900" w:h="16838" w:orient="portrait"/>
          <w:cols w:equalWidth="0" w:num="1">
            <w:col w:w="10139"/>
          </w:cols>
          <w:pgMar w:left="320" w:top="27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39</w:t>
      </w:r>
    </w:p>
    <w:p>
      <w:pPr>
        <w:spacing w:after="0" w:line="183" w:lineRule="exact"/>
        <w:rPr>
          <w:sz w:val="20"/>
          <w:szCs w:val="20"/>
          <w:color w:val="auto"/>
        </w:rPr>
      </w:pPr>
    </w:p>
    <w:p>
      <w:pPr>
        <w:ind w:left="1700" w:right="2859"/>
        <w:spacing w:after="0" w:line="277" w:lineRule="auto"/>
        <w:rPr>
          <w:sz w:val="20"/>
          <w:szCs w:val="20"/>
          <w:color w:val="auto"/>
        </w:rPr>
      </w:pPr>
      <w:r>
        <w:rPr>
          <w:rFonts w:ascii="Courier New" w:cs="Courier New" w:eastAsia="Courier New" w:hAnsi="Courier New"/>
          <w:sz w:val="16"/>
          <w:szCs w:val="16"/>
          <w:color w:val="auto"/>
        </w:rPr>
        <w:t>could adversely affect our operations. In addition, the failure of our retailer customers adequately to address the year 2000 problem could adversely affect our financial results.</w:t>
      </w:r>
    </w:p>
    <w:p>
      <w:pPr>
        <w:spacing w:after="0" w:line="73" w:lineRule="exact"/>
        <w:rPr>
          <w:sz w:val="20"/>
          <w:szCs w:val="20"/>
          <w:color w:val="auto"/>
        </w:rPr>
      </w:pPr>
    </w:p>
    <w:p>
      <w:pPr>
        <w:ind w:left="1700" w:right="2579" w:hanging="852"/>
        <w:spacing w:after="0" w:line="262" w:lineRule="auto"/>
        <w:tabs>
          <w:tab w:leader="none" w:pos="17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IMPLEMENTATION OF THE EURO CURRENCY IN SOME EUROPEAN COUNTRIES BETWEEN 1999 AND 2002 COULD ADVERSELY AFFECT US. In January 1999, the "Euro" was introduced in some Economic and Monetary Union countries and by 2002, all EMU countries are expected to be operating with the Euro as their single currency. Uncertainty exists as to the effects the Euro currency will have on the marketplace. Additionally, the European Commission has not yet defined and finalized all of the rules and regulations with regard to the Euro currency. We are still assessing the impact the EMU formation and Euro implementation will have on our internal systems and the sale of our products. We expect to take appropriate actions based on the results of our assessment. However, we have not yet determined the cost related to addressing this issue and there can be no assurance that this issue and its related costs will not have a materially adverse effect on us or our operating results and financial condition.</w:t>
      </w:r>
    </w:p>
    <w:p>
      <w:pPr>
        <w:spacing w:after="0" w:line="92" w:lineRule="exact"/>
        <w:rPr>
          <w:rFonts w:ascii="Courier New" w:cs="Courier New" w:eastAsia="Courier New" w:hAnsi="Courier New"/>
          <w:sz w:val="16"/>
          <w:szCs w:val="16"/>
          <w:color w:val="auto"/>
        </w:rPr>
      </w:pPr>
    </w:p>
    <w:p>
      <w:pPr>
        <w:ind w:left="1700" w:right="2679" w:hanging="852"/>
        <w:spacing w:after="0" w:line="296" w:lineRule="auto"/>
        <w:tabs>
          <w:tab w:leader="none" w:pos="17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57" w:lineRule="exact"/>
        <w:rPr>
          <w:rFonts w:ascii="Courier New" w:cs="Courier New" w:eastAsia="Courier New" w:hAnsi="Courier New"/>
          <w:sz w:val="16"/>
          <w:szCs w:val="16"/>
          <w:color w:val="auto"/>
        </w:rPr>
      </w:pPr>
    </w:p>
    <w:p>
      <w:pPr>
        <w:ind w:left="1700" w:right="313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w:t>
      </w:r>
    </w:p>
    <w:p>
      <w:pPr>
        <w:spacing w:after="0" w:line="57" w:lineRule="exact"/>
        <w:rPr>
          <w:rFonts w:ascii="Courier New" w:cs="Courier New" w:eastAsia="Courier New" w:hAnsi="Courier New"/>
          <w:sz w:val="16"/>
          <w:szCs w:val="16"/>
          <w:color w:val="auto"/>
        </w:rPr>
      </w:pPr>
    </w:p>
    <w:p>
      <w:pPr>
        <w:ind w:left="1700" w:right="2859"/>
        <w:spacing w:after="0" w:line="27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subject to risks associated with operations in foreign countries, including:</w:t>
      </w:r>
    </w:p>
    <w:p>
      <w:pPr>
        <w:spacing w:after="0" w:line="72" w:lineRule="exact"/>
        <w:rPr>
          <w:rFonts w:ascii="Courier New" w:cs="Courier New" w:eastAsia="Courier New" w:hAnsi="Courier New"/>
          <w:sz w:val="16"/>
          <w:szCs w:val="16"/>
          <w:color w:val="auto"/>
        </w:rPr>
      </w:pPr>
    </w:p>
    <w:p>
      <w:pPr>
        <w:ind w:left="2560" w:hanging="860"/>
        <w:spacing w:after="0"/>
        <w:tabs>
          <w:tab w:leader="none" w:pos="25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82" w:lineRule="exact"/>
        <w:rPr>
          <w:rFonts w:ascii="Courier New" w:cs="Courier New" w:eastAsia="Courier New" w:hAnsi="Courier New"/>
          <w:sz w:val="16"/>
          <w:szCs w:val="16"/>
          <w:color w:val="auto"/>
        </w:rPr>
      </w:pPr>
    </w:p>
    <w:p>
      <w:pPr>
        <w:ind w:left="2560" w:right="2759" w:hanging="860"/>
        <w:spacing w:after="0" w:line="352" w:lineRule="auto"/>
        <w:tabs>
          <w:tab w:leader="none" w:pos="25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4" w:lineRule="exact"/>
        <w:rPr>
          <w:rFonts w:ascii="Courier New" w:cs="Courier New" w:eastAsia="Courier New" w:hAnsi="Courier New"/>
          <w:sz w:val="16"/>
          <w:szCs w:val="16"/>
          <w:color w:val="auto"/>
        </w:rPr>
      </w:pPr>
    </w:p>
    <w:p>
      <w:pPr>
        <w:ind w:left="2560" w:right="3239" w:hanging="860"/>
        <w:spacing w:after="0" w:line="352" w:lineRule="auto"/>
        <w:tabs>
          <w:tab w:leader="none" w:pos="25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4" w:lineRule="exact"/>
        <w:rPr>
          <w:rFonts w:ascii="Courier New" w:cs="Courier New" w:eastAsia="Courier New" w:hAnsi="Courier New"/>
          <w:sz w:val="16"/>
          <w:szCs w:val="16"/>
          <w:color w:val="auto"/>
        </w:rPr>
      </w:pPr>
    </w:p>
    <w:p>
      <w:pPr>
        <w:ind w:left="2560" w:right="3719" w:hanging="860"/>
        <w:spacing w:after="0" w:line="352" w:lineRule="auto"/>
        <w:tabs>
          <w:tab w:leader="none" w:pos="25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4" w:lineRule="exact"/>
        <w:rPr>
          <w:rFonts w:ascii="Courier New" w:cs="Courier New" w:eastAsia="Courier New" w:hAnsi="Courier New"/>
          <w:sz w:val="16"/>
          <w:szCs w:val="16"/>
          <w:color w:val="auto"/>
        </w:rPr>
      </w:pPr>
    </w:p>
    <w:p>
      <w:pPr>
        <w:ind w:left="2560" w:right="2759" w:hanging="860"/>
        <w:spacing w:after="0" w:line="352" w:lineRule="auto"/>
        <w:tabs>
          <w:tab w:leader="none" w:pos="256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4" w:lineRule="exact"/>
        <w:rPr>
          <w:rFonts w:ascii="Courier New" w:cs="Courier New" w:eastAsia="Courier New" w:hAnsi="Courier New"/>
          <w:sz w:val="16"/>
          <w:szCs w:val="16"/>
          <w:color w:val="auto"/>
        </w:rPr>
      </w:pPr>
    </w:p>
    <w:p>
      <w:pPr>
        <w:ind w:left="2560" w:right="2759"/>
        <w:spacing w:after="0" w:line="29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238" w:lineRule="exact"/>
        <w:rPr>
          <w:rFonts w:ascii="Courier New" w:cs="Courier New" w:eastAsia="Courier New" w:hAnsi="Courier New"/>
          <w:sz w:val="16"/>
          <w:szCs w:val="16"/>
          <w:color w:val="auto"/>
        </w:rPr>
      </w:pPr>
    </w:p>
    <w:p>
      <w:pPr>
        <w:ind w:left="1700" w:right="2859" w:hanging="852"/>
        <w:spacing w:after="0" w:line="352" w:lineRule="auto"/>
        <w:tabs>
          <w:tab w:leader="none" w:pos="17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COULD EXPERIENCE DIFFICULTIES WITH OUR IMPLEMENTATION OF SAP THAT COULD ADVERSELY AFFECT OUR OPERATIONS.</w:t>
      </w:r>
    </w:p>
    <w:p>
      <w:pPr>
        <w:spacing w:after="0" w:line="14" w:lineRule="exact"/>
        <w:rPr>
          <w:rFonts w:ascii="Courier New" w:cs="Courier New" w:eastAsia="Courier New" w:hAnsi="Courier New"/>
          <w:sz w:val="16"/>
          <w:szCs w:val="16"/>
          <w:color w:val="auto"/>
        </w:rPr>
      </w:pPr>
    </w:p>
    <w:p>
      <w:pPr>
        <w:ind w:left="1700" w:right="2579"/>
        <w:spacing w:after="0" w:line="28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Our implementation of SAP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ectPr>
          <w:pgSz w:w="11900" w:h="16838" w:orient="portrait"/>
          <w:cols w:equalWidth="0" w:num="1">
            <w:col w:w="10139"/>
          </w:cols>
          <w:pgMar w:left="32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39</w:t>
      </w:r>
    </w:p>
    <w:p>
      <w:pPr>
        <w:sectPr>
          <w:pgSz w:w="11900" w:h="16838" w:orient="portrait"/>
          <w:cols w:equalWidth="0" w:num="1">
            <w:col w:w="10139"/>
          </w:cols>
          <w:pgMar w:left="320" w:top="271"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40</w:t>
      </w:r>
    </w:p>
    <w:p>
      <w:pPr>
        <w:spacing w:after="0" w:line="200" w:lineRule="exact"/>
        <w:rPr>
          <w:sz w:val="20"/>
          <w:szCs w:val="20"/>
          <w:color w:val="auto"/>
        </w:rPr>
      </w:pPr>
    </w:p>
    <w:p>
      <w:pPr>
        <w:spacing w:after="0" w:line="346"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PART II - OTHER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3" w:lineRule="exact"/>
        <w:rPr>
          <w:sz w:val="20"/>
          <w:szCs w:val="20"/>
          <w:color w:val="auto"/>
        </w:rPr>
      </w:pPr>
    </w:p>
    <w:p>
      <w:pPr>
        <w:ind w:left="840" w:right="2579"/>
        <w:spacing w:after="0" w:line="301" w:lineRule="auto"/>
        <w:rPr>
          <w:sz w:val="20"/>
          <w:szCs w:val="20"/>
          <w:color w:val="auto"/>
        </w:rPr>
      </w:pPr>
      <w:r>
        <w:rPr>
          <w:rFonts w:ascii="Courier New" w:cs="Courier New" w:eastAsia="Courier New" w:hAnsi="Courier New"/>
          <w:sz w:val="15"/>
          <w:szCs w:val="15"/>
          <w:color w:val="auto"/>
        </w:rPr>
        <w:t>As noted in Note 10 to the Company's unaudited Condensed, Consolidated Financial Statements as of and for the three months ended January 1, 2000, the Company is involved in several pending environmental matters. Pending other material legal proceedings are as follows:</w:t>
      </w:r>
    </w:p>
    <w:p>
      <w:pPr>
        <w:spacing w:after="0" w:line="5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RHONE-POULENC, S.A., RHONE-POULENC AGRO S.A. AND HOECHST, A.G.</w:t>
      </w:r>
    </w:p>
    <w:p>
      <w:pPr>
        <w:spacing w:after="0" w:line="183" w:lineRule="exact"/>
        <w:rPr>
          <w:sz w:val="20"/>
          <w:szCs w:val="20"/>
          <w:color w:val="auto"/>
        </w:rPr>
      </w:pPr>
    </w:p>
    <w:p>
      <w:pPr>
        <w:ind w:left="840" w:right="2579"/>
        <w:spacing w:after="0" w:line="252" w:lineRule="auto"/>
        <w:rPr>
          <w:sz w:val="20"/>
          <w:szCs w:val="20"/>
          <w:color w:val="auto"/>
        </w:rPr>
      </w:pPr>
      <w:r>
        <w:rPr>
          <w:rFonts w:ascii="Courier New" w:cs="Courier New" w:eastAsia="Courier New" w:hAnsi="Courier New"/>
          <w:sz w:val="16"/>
          <w:szCs w:val="16"/>
          <w:color w:val="auto"/>
        </w:rPr>
        <w:t>On October 15, 1999, Scotts began arbitration proceedings before the International Chamber of Commerce against Rhone-Poulenc S.A. and Rhone-Poulenc Agro S.A. (collectively, "Rhone-Poulenc") under arbitration provisions contained in contracts relating to the purchase by Scotts of Rhone-Poulenc's European lawn and garden business, Rhone-Poulenc Jardin, in 1998. Scotts alleges that the combination of Rhone-Poulenc and Hoescht Schering AgrEvo GmbH into a new entity, Aventis S.A., will result in the violation of non-compete and other provisions in the contracts mentioned above. In the arbitration proceedings, Scotts is seeking injunctive relief as well as an award of damages.</w:t>
      </w:r>
    </w:p>
    <w:p>
      <w:pPr>
        <w:spacing w:after="0" w:line="89" w:lineRule="exact"/>
        <w:rPr>
          <w:sz w:val="20"/>
          <w:szCs w:val="20"/>
          <w:color w:val="auto"/>
        </w:rPr>
      </w:pPr>
    </w:p>
    <w:p>
      <w:pPr>
        <w:ind w:left="840" w:right="2859"/>
        <w:spacing w:after="0" w:line="277" w:lineRule="auto"/>
        <w:rPr>
          <w:sz w:val="20"/>
          <w:szCs w:val="20"/>
          <w:color w:val="auto"/>
        </w:rPr>
      </w:pPr>
      <w:r>
        <w:rPr>
          <w:rFonts w:ascii="Courier New" w:cs="Courier New" w:eastAsia="Courier New" w:hAnsi="Courier New"/>
          <w:sz w:val="16"/>
          <w:szCs w:val="16"/>
          <w:color w:val="auto"/>
        </w:rPr>
        <w:t>On January 7, 2000 the tribunal issued a segregated Record Agreement and Order requiring Arentis S.A,. Rhone-Poulenc and any affiliate or entity controlled by Arentis S.A. or Rhone-Poulenc to maintain a segregated record of select sales of certain products.</w:t>
      </w:r>
    </w:p>
    <w:p>
      <w:pPr>
        <w:spacing w:after="0" w:line="73" w:lineRule="exact"/>
        <w:rPr>
          <w:sz w:val="20"/>
          <w:szCs w:val="20"/>
          <w:color w:val="auto"/>
        </w:rPr>
      </w:pPr>
    </w:p>
    <w:p>
      <w:pPr>
        <w:ind w:left="840" w:right="2579"/>
        <w:spacing w:after="0" w:line="253" w:lineRule="auto"/>
        <w:rPr>
          <w:sz w:val="20"/>
          <w:szCs w:val="20"/>
          <w:color w:val="auto"/>
        </w:rPr>
      </w:pPr>
      <w:r>
        <w:rPr>
          <w:rFonts w:ascii="Courier New" w:cs="Courier New" w:eastAsia="Courier New" w:hAnsi="Courier New"/>
          <w:sz w:val="16"/>
          <w:szCs w:val="16"/>
          <w:color w:val="auto"/>
        </w:rPr>
        <w:t>Also on October 15, 1999, Scotts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Scotts' contractual rights. On October 19, 1999, the defendants removed the Union County action to the United States District Court for the Southern District of Ohio. On December 8, 1999, Scotts requested that this action be stayed pending the outcome of the arbitration proceedings.</w:t>
      </w:r>
    </w:p>
    <w:p>
      <w:pPr>
        <w:spacing w:after="0" w:line="90" w:lineRule="exact"/>
        <w:rPr>
          <w:sz w:val="20"/>
          <w:szCs w:val="20"/>
          <w:color w:val="auto"/>
        </w:rPr>
      </w:pPr>
    </w:p>
    <w:p>
      <w:pPr>
        <w:ind w:left="840" w:right="2679"/>
        <w:spacing w:after="0" w:line="301" w:lineRule="auto"/>
        <w:rPr>
          <w:sz w:val="20"/>
          <w:szCs w:val="20"/>
          <w:color w:val="auto"/>
        </w:rPr>
      </w:pPr>
      <w:r>
        <w:rPr>
          <w:rFonts w:ascii="Courier New" w:cs="Courier New" w:eastAsia="Courier New" w:hAnsi="Courier New"/>
          <w:sz w:val="15"/>
          <w:szCs w:val="15"/>
          <w:color w:val="auto"/>
        </w:rPr>
        <w:t>Scotts is involved in other lawsuits and claims which arise in the normal course of its business. In the opinion of management, these claims individually and in the aggregate are not expected to result in a material adverse effect on Scotts' financial position or operations.</w:t>
      </w:r>
    </w:p>
    <w:p>
      <w:pPr>
        <w:spacing w:after="0" w:line="5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0"/>
          <w:szCs w:val="20"/>
          <w:color w:val="auto"/>
        </w:rPr>
      </w:pPr>
    </w:p>
    <w:p>
      <w:pPr>
        <w:ind w:left="840" w:right="2579"/>
        <w:spacing w:after="0" w:line="259" w:lineRule="auto"/>
        <w:rPr>
          <w:sz w:val="20"/>
          <w:szCs w:val="20"/>
          <w:color w:val="auto"/>
        </w:rPr>
      </w:pPr>
      <w:r>
        <w:rPr>
          <w:rFonts w:ascii="Courier New" w:cs="Courier New" w:eastAsia="Courier New" w:hAnsi="Courier New"/>
          <w:sz w:val="16"/>
          <w:szCs w:val="16"/>
          <w:color w:val="auto"/>
        </w:rPr>
        <w:t>On February 7, 2000, the Company announced that it had signed a letter of intent to sell its North American Professional Turf business. The Company expects the transaction to close in the third quarter of fiscal 2000 and does not expect the transaction to have a material impact on its fiscal 2000 results of operations. The Company will retain the professional horticulture and grass seed segments of its Professional Business Segment.</w:t>
      </w:r>
    </w:p>
    <w:p>
      <w:pPr>
        <w:spacing w:after="0" w:line="8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840" w:right="2859" w:firstLine="8"/>
        <w:spacing w:after="0" w:line="352" w:lineRule="auto"/>
        <w:tabs>
          <w:tab w:leader="none" w:pos="12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 Index at page 42 for a list of the exhibits included herewith.</w:t>
      </w:r>
    </w:p>
    <w:p>
      <w:pPr>
        <w:spacing w:after="0" w:line="14" w:lineRule="exact"/>
        <w:rPr>
          <w:rFonts w:ascii="Courier New" w:cs="Courier New" w:eastAsia="Courier New" w:hAnsi="Courier New"/>
          <w:sz w:val="16"/>
          <w:szCs w:val="16"/>
          <w:color w:val="auto"/>
        </w:rPr>
      </w:pPr>
    </w:p>
    <w:p>
      <w:pPr>
        <w:ind w:left="840" w:right="2679" w:firstLine="8"/>
        <w:spacing w:after="0" w:line="301" w:lineRule="auto"/>
        <w:tabs>
          <w:tab w:leader="none" w:pos="121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a Current Report on Form 8-K dated October 5, 1999, reporting under "Item 5. Other Events", the conversion by the holders thereof of all the Class A Convertible Preferred Shares into approximately 10.1 million common shares effective October 1, 1999.</w:t>
      </w:r>
    </w:p>
    <w:p>
      <w:pPr>
        <w:sectPr>
          <w:pgSz w:w="11900" w:h="16838" w:orient="portrait"/>
          <w:cols w:equalWidth="0" w:num="1">
            <w:col w:w="10139"/>
          </w:cols>
          <w:pgMar w:left="32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40</w:t>
      </w:r>
    </w:p>
    <w:p>
      <w:pPr>
        <w:sectPr>
          <w:pgSz w:w="11900" w:h="16838" w:orient="portrait"/>
          <w:cols w:equalWidth="0" w:num="1">
            <w:col w:w="10139"/>
          </w:cols>
          <w:pgMar w:left="320" w:top="271"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41</w:t>
      </w:r>
    </w:p>
    <w:p>
      <w:pPr>
        <w:spacing w:after="0" w:line="2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55" w:lineRule="exact"/>
        <w:rPr>
          <w:sz w:val="20"/>
          <w:szCs w:val="20"/>
          <w:color w:val="auto"/>
        </w:rPr>
      </w:pPr>
    </w:p>
    <w:p>
      <w:pPr>
        <w:jc w:val="both"/>
        <w:ind w:right="3339"/>
        <w:spacing w:after="0" w:line="296"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1"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THE SCOTTS COMPANY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15, 2000</w:t>
      </w:r>
    </w:p>
    <w:p>
      <w:pPr>
        <w:spacing w:after="0" w:line="29"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/s/ Christopher L. Nagel</w:t>
      </w:r>
    </w:p>
    <w:p>
      <w:pPr>
        <w:spacing w:after="0" w:line="1"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Principal Accounting Officer,</w:t>
      </w:r>
    </w:p>
    <w:p>
      <w:pPr>
        <w:spacing w:after="0" w:line="12"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Vice President and Corporate</w:t>
      </w:r>
    </w:p>
    <w:p>
      <w:pPr>
        <w:spacing w:after="0" w:line="1"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Controller</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41</w:t>
      </w:r>
    </w:p>
    <w:p>
      <w:pPr>
        <w:sectPr>
          <w:pgSz w:w="11900" w:h="16838" w:orient="portrait"/>
          <w:cols w:equalWidth="0" w:num="1">
            <w:col w:w="10139"/>
          </w:cols>
          <w:pgMar w:left="320" w:top="271" w:right="1440" w:bottom="1440" w:gutter="0" w:footer="0" w:header="0"/>
        </w:sectPr>
      </w:pPr>
    </w:p>
    <w:bookmarkStart w:id="41" w:name="page42"/>
    <w:bookmarkEnd w:id="41"/>
    <w:p>
      <w:pPr>
        <w:ind w:left="283"/>
        <w:spacing w:after="0"/>
        <w:rPr>
          <w:sz w:val="20"/>
          <w:szCs w:val="20"/>
          <w:color w:val="auto"/>
        </w:rPr>
      </w:pPr>
      <w:r>
        <w:rPr>
          <w:rFonts w:ascii="Courier New" w:cs="Courier New" w:eastAsia="Courier New" w:hAnsi="Courier New"/>
          <w:sz w:val="16"/>
          <w:szCs w:val="16"/>
          <w:color w:val="auto"/>
        </w:rPr>
        <w:t>42</w:t>
      </w:r>
    </w:p>
    <w:p>
      <w:pPr>
        <w:spacing w:after="0" w:line="29" w:lineRule="exact"/>
        <w:rPr>
          <w:sz w:val="20"/>
          <w:szCs w:val="20"/>
          <w:color w:val="auto"/>
        </w:rPr>
      </w:pPr>
    </w:p>
    <w:tbl>
      <w:tblPr>
        <w:tblLayout w:type="fixed"/>
        <w:tblInd w:w="3" w:type="dxa"/>
        <w:tblCellMar>
          <w:top w:w="0" w:type="dxa"/>
          <w:left w:w="0" w:type="dxa"/>
          <w:bottom w:w="0" w:type="dxa"/>
          <w:right w:w="0" w:type="dxa"/>
        </w:tblCellMar>
      </w:tblPr>
      <w:tr>
        <w:trPr>
          <w:trHeight w:val="265"/>
        </w:trPr>
        <w:tc>
          <w:tcPr>
            <w:tcW w:w="1520" w:type="dxa"/>
            <w:vAlign w:val="bottom"/>
          </w:tcPr>
          <w:p>
            <w:pPr>
              <w:spacing w:after="0"/>
              <w:rPr>
                <w:sz w:val="23"/>
                <w:szCs w:val="23"/>
                <w:color w:val="auto"/>
              </w:rPr>
            </w:pPr>
          </w:p>
        </w:tc>
        <w:tc>
          <w:tcPr>
            <w:tcW w:w="4440" w:type="dxa"/>
            <w:vAlign w:val="bottom"/>
          </w:tcPr>
          <w:p>
            <w:pPr>
              <w:ind w:left="1400"/>
              <w:spacing w:after="0"/>
              <w:rPr>
                <w:sz w:val="20"/>
                <w:szCs w:val="20"/>
                <w:color w:val="auto"/>
              </w:rPr>
            </w:pPr>
            <w:r>
              <w:rPr>
                <w:rFonts w:ascii="Courier New" w:cs="Courier New" w:eastAsia="Courier New" w:hAnsi="Courier New"/>
                <w:sz w:val="16"/>
                <w:szCs w:val="16"/>
                <w:color w:val="auto"/>
              </w:rPr>
              <w:t>THE SCOTTS COMPANY</w:t>
            </w:r>
          </w:p>
        </w:tc>
        <w:tc>
          <w:tcPr>
            <w:tcW w:w="0" w:type="dxa"/>
            <w:vAlign w:val="bottom"/>
          </w:tcPr>
          <w:p>
            <w:pPr>
              <w:spacing w:after="0"/>
              <w:rPr>
                <w:sz w:val="1"/>
                <w:szCs w:val="1"/>
                <w:color w:val="auto"/>
              </w:rPr>
            </w:pPr>
          </w:p>
        </w:tc>
      </w:tr>
      <w:tr>
        <w:trPr>
          <w:trHeight w:val="252"/>
        </w:trPr>
        <w:tc>
          <w:tcPr>
            <w:tcW w:w="1520" w:type="dxa"/>
            <w:vAlign w:val="bottom"/>
          </w:tcPr>
          <w:p>
            <w:pPr>
              <w:spacing w:after="0"/>
              <w:rPr>
                <w:sz w:val="21"/>
                <w:szCs w:val="21"/>
                <w:color w:val="auto"/>
              </w:rPr>
            </w:pPr>
          </w:p>
        </w:tc>
        <w:tc>
          <w:tcPr>
            <w:tcW w:w="4440" w:type="dxa"/>
            <w:vAlign w:val="bottom"/>
          </w:tcPr>
          <w:p>
            <w:pPr>
              <w:ind w:left="660"/>
              <w:spacing w:after="0"/>
              <w:rPr>
                <w:sz w:val="20"/>
                <w:szCs w:val="20"/>
                <w:color w:val="auto"/>
              </w:rPr>
            </w:pPr>
            <w:r>
              <w:rPr>
                <w:rFonts w:ascii="Courier New" w:cs="Courier New" w:eastAsia="Courier New" w:hAnsi="Courier New"/>
                <w:sz w:val="16"/>
                <w:szCs w:val="16"/>
                <w:color w:val="auto"/>
              </w:rPr>
              <w:t>QUARTERLY REPORT ON FORM 10-Q FOR</w:t>
            </w: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4440" w:type="dxa"/>
            <w:vAlign w:val="bottom"/>
          </w:tcPr>
          <w:p>
            <w:pPr>
              <w:ind w:left="560"/>
              <w:spacing w:after="0"/>
              <w:rPr>
                <w:sz w:val="20"/>
                <w:szCs w:val="20"/>
                <w:color w:val="auto"/>
              </w:rPr>
            </w:pPr>
            <w:r>
              <w:rPr>
                <w:rFonts w:ascii="Courier New" w:cs="Courier New" w:eastAsia="Courier New" w:hAnsi="Courier New"/>
                <w:sz w:val="16"/>
                <w:szCs w:val="16"/>
                <w:color w:val="auto"/>
              </w:rPr>
              <w:t>FISCAL QUARTER ENDED JANUARY 1, 2000</w:t>
            </w:r>
          </w:p>
        </w:tc>
        <w:tc>
          <w:tcPr>
            <w:tcW w:w="0" w:type="dxa"/>
            <w:vAlign w:val="bottom"/>
          </w:tcPr>
          <w:p>
            <w:pPr>
              <w:spacing w:after="0"/>
              <w:rPr>
                <w:sz w:val="1"/>
                <w:szCs w:val="1"/>
                <w:color w:val="auto"/>
              </w:rPr>
            </w:pPr>
          </w:p>
        </w:tc>
      </w:tr>
      <w:tr>
        <w:trPr>
          <w:trHeight w:val="364"/>
        </w:trPr>
        <w:tc>
          <w:tcPr>
            <w:tcW w:w="1520" w:type="dxa"/>
            <w:vAlign w:val="bottom"/>
          </w:tcPr>
          <w:p>
            <w:pPr>
              <w:spacing w:after="0"/>
              <w:rPr>
                <w:sz w:val="24"/>
                <w:szCs w:val="24"/>
                <w:color w:val="auto"/>
              </w:rPr>
            </w:pPr>
          </w:p>
        </w:tc>
        <w:tc>
          <w:tcPr>
            <w:tcW w:w="4440" w:type="dxa"/>
            <w:vAlign w:val="bottom"/>
          </w:tcPr>
          <w:p>
            <w:pPr>
              <w:ind w:left="1600"/>
              <w:spacing w:after="0"/>
              <w:rPr>
                <w:sz w:val="20"/>
                <w:szCs w:val="20"/>
                <w:color w:val="auto"/>
              </w:rPr>
            </w:pPr>
            <w:r>
              <w:rPr>
                <w:rFonts w:ascii="Courier New" w:cs="Courier New" w:eastAsia="Courier New" w:hAnsi="Courier New"/>
                <w:sz w:val="16"/>
                <w:szCs w:val="16"/>
                <w:color w:val="auto"/>
              </w:rPr>
              <w:t>EXHIBIT INDEX</w:t>
            </w:r>
          </w:p>
        </w:tc>
        <w:tc>
          <w:tcPr>
            <w:tcW w:w="0" w:type="dxa"/>
            <w:vAlign w:val="bottom"/>
          </w:tcPr>
          <w:p>
            <w:pPr>
              <w:spacing w:after="0"/>
              <w:rPr>
                <w:sz w:val="1"/>
                <w:szCs w:val="1"/>
                <w:color w:val="auto"/>
              </w:rPr>
            </w:pPr>
          </w:p>
        </w:tc>
      </w:tr>
      <w:tr>
        <w:trPr>
          <w:trHeight w:val="280"/>
        </w:trPr>
        <w:tc>
          <w:tcPr>
            <w:tcW w:w="15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4440" w:type="dxa"/>
            <w:vAlign w:val="bottom"/>
            <w:vMerge w:val="restart"/>
          </w:tcPr>
          <w:p>
            <w:pPr>
              <w:ind w:left="150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4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0"/>
                <w:szCs w:val="20"/>
                <w:color w:val="auto"/>
              </w:rPr>
            </w:pPr>
            <w:r>
              <w:rPr>
                <w:rFonts w:ascii="Courier New" w:cs="Courier New" w:eastAsia="Courier New" w:hAnsi="Courier New"/>
                <w:sz w:val="16"/>
                <w:szCs w:val="16"/>
                <w:color w:val="auto"/>
              </w:rPr>
              <w:t>- - ------</w:t>
            </w:r>
          </w:p>
        </w:tc>
        <w:tc>
          <w:tcPr>
            <w:tcW w:w="4440" w:type="dxa"/>
            <w:vAlign w:val="bottom"/>
          </w:tcPr>
          <w:p>
            <w:pPr>
              <w:ind w:left="18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1520" w:type="dxa"/>
            <w:vAlign w:val="bottom"/>
          </w:tcPr>
          <w:p>
            <w:pPr>
              <w:spacing w:after="0"/>
              <w:rPr>
                <w:sz w:val="20"/>
                <w:szCs w:val="20"/>
                <w:color w:val="auto"/>
              </w:rPr>
            </w:pPr>
            <w:r>
              <w:rPr>
                <w:rFonts w:ascii="Courier New" w:cs="Courier New" w:eastAsia="Courier New" w:hAnsi="Courier New"/>
                <w:sz w:val="16"/>
                <w:szCs w:val="16"/>
                <w:color w:val="auto"/>
              </w:rPr>
              <w:t>10(d)</w:t>
            </w:r>
          </w:p>
        </w:tc>
        <w:tc>
          <w:tcPr>
            <w:tcW w:w="4440" w:type="dxa"/>
            <w:vAlign w:val="bottom"/>
          </w:tcPr>
          <w:p>
            <w:pPr>
              <w:ind w:left="940"/>
              <w:spacing w:after="0"/>
              <w:rPr>
                <w:sz w:val="20"/>
                <w:szCs w:val="20"/>
                <w:color w:val="auto"/>
              </w:rPr>
            </w:pPr>
            <w:r>
              <w:rPr>
                <w:rFonts w:ascii="Courier New" w:cs="Courier New" w:eastAsia="Courier New" w:hAnsi="Courier New"/>
                <w:sz w:val="16"/>
                <w:szCs w:val="16"/>
                <w:color w:val="auto"/>
              </w:rPr>
              <w:t>The Scotts Company 1996 Stock Option</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4440" w:type="dxa"/>
            <w:vAlign w:val="bottom"/>
          </w:tcPr>
          <w:p>
            <w:pPr>
              <w:ind w:left="940"/>
              <w:spacing w:after="0"/>
              <w:rPr>
                <w:sz w:val="20"/>
                <w:szCs w:val="20"/>
                <w:color w:val="auto"/>
              </w:rPr>
            </w:pPr>
            <w:r>
              <w:rPr>
                <w:rFonts w:ascii="Courier New" w:cs="Courier New" w:eastAsia="Courier New" w:hAnsi="Courier New"/>
                <w:sz w:val="16"/>
                <w:szCs w:val="16"/>
                <w:color w:val="auto"/>
                <w:w w:val="97"/>
              </w:rPr>
              <w:t>Plan (as amended through February 14,</w:t>
            </w: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4440" w:type="dxa"/>
            <w:vAlign w:val="bottom"/>
          </w:tcPr>
          <w:p>
            <w:pPr>
              <w:ind w:left="940"/>
              <w:spacing w:after="0"/>
              <w:rPr>
                <w:sz w:val="20"/>
                <w:szCs w:val="20"/>
                <w:color w:val="auto"/>
              </w:rPr>
            </w:pPr>
            <w:r>
              <w:rPr>
                <w:rFonts w:ascii="Courier New" w:cs="Courier New" w:eastAsia="Courier New" w:hAnsi="Courier New"/>
                <w:sz w:val="16"/>
                <w:szCs w:val="16"/>
                <w:color w:val="auto"/>
              </w:rPr>
              <w:t>2000)</w:t>
            </w:r>
          </w:p>
        </w:tc>
        <w:tc>
          <w:tcPr>
            <w:tcW w:w="0" w:type="dxa"/>
            <w:vAlign w:val="bottom"/>
          </w:tcPr>
          <w:p>
            <w:pPr>
              <w:spacing w:after="0"/>
              <w:rPr>
                <w:sz w:val="1"/>
                <w:szCs w:val="1"/>
                <w:color w:val="auto"/>
              </w:rPr>
            </w:pP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4440" w:type="dxa"/>
            <w:vAlign w:val="bottom"/>
          </w:tcPr>
          <w:p>
            <w:pPr>
              <w:ind w:left="940"/>
              <w:spacing w:after="0"/>
              <w:rPr>
                <w:sz w:val="20"/>
                <w:szCs w:val="20"/>
                <w:color w:val="auto"/>
              </w:rPr>
            </w:pPr>
            <w:r>
              <w:rPr>
                <w:rFonts w:ascii="Courier New" w:cs="Courier New" w:eastAsia="Courier New" w:hAnsi="Courier New"/>
                <w:sz w:val="16"/>
                <w:szCs w:val="16"/>
                <w:color w:val="auto"/>
              </w:rPr>
              <w:t>Financial Data Schedule</w:t>
            </w:r>
          </w:p>
        </w:tc>
        <w:tc>
          <w:tcPr>
            <w:tcW w:w="0" w:type="dxa"/>
            <w:vAlign w:val="bottom"/>
          </w:tcPr>
          <w:p>
            <w:pPr>
              <w:spacing w:after="0"/>
              <w:rPr>
                <w:sz w:val="1"/>
                <w:szCs w:val="1"/>
                <w:color w:val="auto"/>
              </w:rPr>
            </w:pPr>
          </w:p>
        </w:tc>
      </w:tr>
      <w:tr>
        <w:trPr>
          <w:trHeight w:val="280"/>
        </w:trPr>
        <w:tc>
          <w:tcPr>
            <w:tcW w:w="152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4440" w:type="dxa"/>
            <w:vAlign w:val="bottom"/>
          </w:tcPr>
          <w:p>
            <w:pPr>
              <w:ind w:left="940"/>
              <w:spacing w:after="0"/>
              <w:rPr>
                <w:sz w:val="20"/>
                <w:szCs w:val="20"/>
                <w:color w:val="auto"/>
              </w:rPr>
            </w:pPr>
            <w:r>
              <w:rPr>
                <w:rFonts w:ascii="Courier New" w:cs="Courier New" w:eastAsia="Courier New" w:hAnsi="Courier New"/>
                <w:sz w:val="16"/>
                <w:szCs w:val="16"/>
                <w:color w:val="auto"/>
              </w:rPr>
              <w:t>Press release regarding the sale of</w:t>
            </w:r>
          </w:p>
        </w:tc>
        <w:tc>
          <w:tcPr>
            <w:tcW w:w="0" w:type="dxa"/>
            <w:vAlign w:val="bottom"/>
          </w:tcPr>
          <w:p>
            <w:pPr>
              <w:spacing w:after="0"/>
              <w:rPr>
                <w:sz w:val="1"/>
                <w:szCs w:val="1"/>
                <w:color w:val="auto"/>
              </w:rPr>
            </w:pPr>
          </w:p>
        </w:tc>
      </w:tr>
      <w:tr>
        <w:trPr>
          <w:trHeight w:val="182"/>
        </w:trPr>
        <w:tc>
          <w:tcPr>
            <w:tcW w:w="1520" w:type="dxa"/>
            <w:vAlign w:val="bottom"/>
          </w:tcPr>
          <w:p>
            <w:pPr>
              <w:spacing w:after="0"/>
              <w:rPr>
                <w:sz w:val="15"/>
                <w:szCs w:val="15"/>
                <w:color w:val="auto"/>
              </w:rPr>
            </w:pPr>
          </w:p>
        </w:tc>
        <w:tc>
          <w:tcPr>
            <w:tcW w:w="4440" w:type="dxa"/>
            <w:vAlign w:val="bottom"/>
          </w:tcPr>
          <w:p>
            <w:pPr>
              <w:ind w:left="940"/>
              <w:spacing w:after="0"/>
              <w:rPr>
                <w:sz w:val="20"/>
                <w:szCs w:val="20"/>
                <w:color w:val="auto"/>
              </w:rPr>
            </w:pPr>
            <w:r>
              <w:rPr>
                <w:rFonts w:ascii="Courier New" w:cs="Courier New" w:eastAsia="Courier New" w:hAnsi="Courier New"/>
                <w:sz w:val="16"/>
                <w:szCs w:val="16"/>
                <w:color w:val="auto"/>
              </w:rPr>
              <w:t>the North American Professional Turf</w:t>
            </w:r>
          </w:p>
        </w:tc>
        <w:tc>
          <w:tcPr>
            <w:tcW w:w="0" w:type="dxa"/>
            <w:vAlign w:val="bottom"/>
          </w:tcPr>
          <w:p>
            <w:pPr>
              <w:spacing w:after="0"/>
              <w:rPr>
                <w:sz w:val="1"/>
                <w:szCs w:val="1"/>
                <w:color w:val="auto"/>
              </w:rPr>
            </w:pPr>
          </w:p>
        </w:tc>
      </w:tr>
      <w:tr>
        <w:trPr>
          <w:trHeight w:val="265"/>
        </w:trPr>
        <w:tc>
          <w:tcPr>
            <w:tcW w:w="1520" w:type="dxa"/>
            <w:vAlign w:val="bottom"/>
          </w:tcPr>
          <w:p>
            <w:pPr>
              <w:spacing w:after="0"/>
              <w:rPr>
                <w:sz w:val="23"/>
                <w:szCs w:val="23"/>
                <w:color w:val="auto"/>
              </w:rPr>
            </w:pPr>
          </w:p>
        </w:tc>
        <w:tc>
          <w:tcPr>
            <w:tcW w:w="4440" w:type="dxa"/>
            <w:vAlign w:val="bottom"/>
          </w:tcPr>
          <w:p>
            <w:pPr>
              <w:ind w:left="940"/>
              <w:spacing w:after="0"/>
              <w:rPr>
                <w:sz w:val="20"/>
                <w:szCs w:val="20"/>
                <w:color w:val="auto"/>
              </w:rPr>
            </w:pPr>
            <w:r>
              <w:rPr>
                <w:rFonts w:ascii="Courier New" w:cs="Courier New" w:eastAsia="Courier New" w:hAnsi="Courier New"/>
                <w:sz w:val="16"/>
                <w:szCs w:val="16"/>
                <w:color w:val="auto"/>
              </w:rPr>
              <w:t>business.</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right="4440" w:hanging="3"/>
        <w:spacing w:after="0" w:line="1419" w:lineRule="auto"/>
        <w:tabs>
          <w:tab w:leader="none" w:pos="19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 Page 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PAGE</w:t>
      </w:r>
    </w:p>
    <w:p>
      <w:pPr>
        <w:spacing w:after="0" w:line="2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NUMBER</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963" w:space="560"/>
            <w:col w:w="3619"/>
          </w:cols>
          <w:pgMar w:left="317" w:top="27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0"/>
          <w:szCs w:val="20"/>
          <w:color w:val="auto"/>
        </w:rPr>
      </w:pPr>
    </w:p>
    <w:p>
      <w:pPr>
        <w:jc w:val="right"/>
        <w:ind w:right="2579"/>
        <w:spacing w:after="0"/>
        <w:rPr>
          <w:sz w:val="20"/>
          <w:szCs w:val="20"/>
          <w:color w:val="auto"/>
        </w:rPr>
      </w:pPr>
      <w:r>
        <w:rPr>
          <w:rFonts w:ascii="Courier New" w:cs="Courier New" w:eastAsia="Courier New" w:hAnsi="Courier New"/>
          <w:sz w:val="16"/>
          <w:szCs w:val="16"/>
          <w:color w:val="auto"/>
        </w:rPr>
        <w:t>Exhibit 10(d)</w:t>
      </w:r>
    </w:p>
    <w:p>
      <w:pPr>
        <w:spacing w:after="0" w:line="336"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THE SCOTTS COMPANY</w:t>
      </w:r>
    </w:p>
    <w:p>
      <w:pPr>
        <w:spacing w:after="0" w:line="29"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1996 STOCK OPTION PLAN</w:t>
      </w:r>
    </w:p>
    <w:p>
      <w:pPr>
        <w:spacing w:after="0" w:line="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(AS AMENDED THROUGH FEBRUARY 14, 2000)</w:t>
      </w:r>
    </w:p>
    <w:p>
      <w:pPr>
        <w:sectPr>
          <w:pgSz w:w="11900" w:h="16838" w:orient="portrait"/>
          <w:cols w:equalWidth="0" w:num="1">
            <w:col w:w="9859"/>
          </w:cols>
          <w:pgMar w:left="600" w:top="114" w:right="1440" w:bottom="1440" w:gutter="0" w:footer="0" w:header="0"/>
        </w:sectPr>
      </w:pPr>
    </w:p>
    <w:bookmarkStart w:id="43" w:name="page44"/>
    <w:bookmarkEnd w:id="43"/>
    <w:p>
      <w:pPr>
        <w:ind w:left="283"/>
        <w:spacing w:after="0"/>
        <w:rPr>
          <w:sz w:val="20"/>
          <w:szCs w:val="20"/>
          <w:color w:val="auto"/>
        </w:rPr>
      </w:pPr>
      <w:r>
        <w:rPr>
          <w:rFonts w:ascii="Courier New" w:cs="Courier New" w:eastAsia="Courier New" w:hAnsi="Courier New"/>
          <w:sz w:val="16"/>
          <w:szCs w:val="16"/>
          <w:color w:val="auto"/>
        </w:rPr>
        <w:t>2</w:t>
      </w:r>
    </w:p>
    <w:p>
      <w:pPr>
        <w:spacing w:after="0" w:line="29" w:lineRule="exact"/>
        <w:rPr>
          <w:sz w:val="20"/>
          <w:szCs w:val="20"/>
          <w:color w:val="auto"/>
        </w:rPr>
      </w:pPr>
    </w:p>
    <w:p>
      <w:pPr>
        <w:jc w:val="center"/>
        <w:ind w:right="2576"/>
        <w:spacing w:after="0"/>
        <w:rPr>
          <w:sz w:val="20"/>
          <w:szCs w:val="20"/>
          <w:color w:val="auto"/>
        </w:rPr>
      </w:pPr>
      <w:r>
        <w:rPr>
          <w:rFonts w:ascii="Courier New" w:cs="Courier New" w:eastAsia="Courier New" w:hAnsi="Courier New"/>
          <w:sz w:val="16"/>
          <w:szCs w:val="16"/>
          <w:color w:val="auto"/>
        </w:rPr>
        <w:t>THE SCOTTS COMPANY</w:t>
      </w:r>
    </w:p>
    <w:p>
      <w:pPr>
        <w:spacing w:after="0" w:line="1" w:lineRule="exact"/>
        <w:rPr>
          <w:sz w:val="20"/>
          <w:szCs w:val="20"/>
          <w:color w:val="auto"/>
        </w:rPr>
      </w:pPr>
    </w:p>
    <w:p>
      <w:pPr>
        <w:jc w:val="center"/>
        <w:ind w:right="2576"/>
        <w:spacing w:after="0"/>
        <w:rPr>
          <w:sz w:val="20"/>
          <w:szCs w:val="20"/>
          <w:color w:val="auto"/>
        </w:rPr>
      </w:pPr>
      <w:r>
        <w:rPr>
          <w:rFonts w:ascii="Courier New" w:cs="Courier New" w:eastAsia="Courier New" w:hAnsi="Courier New"/>
          <w:sz w:val="16"/>
          <w:szCs w:val="16"/>
          <w:color w:val="auto"/>
        </w:rPr>
        <w:t>1996 STOCK OPTION PLAN</w:t>
      </w:r>
    </w:p>
    <w:p>
      <w:pPr>
        <w:spacing w:after="0" w:line="1" w:lineRule="exact"/>
        <w:rPr>
          <w:sz w:val="20"/>
          <w:szCs w:val="20"/>
          <w:color w:val="auto"/>
        </w:rPr>
      </w:pPr>
    </w:p>
    <w:p>
      <w:pPr>
        <w:jc w:val="center"/>
        <w:ind w:right="2476"/>
        <w:spacing w:after="0"/>
        <w:rPr>
          <w:sz w:val="20"/>
          <w:szCs w:val="20"/>
          <w:color w:val="auto"/>
        </w:rPr>
      </w:pPr>
      <w:r>
        <w:rPr>
          <w:rFonts w:ascii="Courier New" w:cs="Courier New" w:eastAsia="Courier New" w:hAnsi="Courier New"/>
          <w:sz w:val="16"/>
          <w:szCs w:val="16"/>
          <w:color w:val="auto"/>
        </w:rPr>
        <w:t>(REFLECTS AMENDMENTS THROUGH FEBRUARY 14, 2000)</w:t>
      </w:r>
    </w:p>
    <w:p>
      <w:pPr>
        <w:spacing w:after="0" w:line="336"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SECTION 1.</w:t>
      </w:r>
    </w:p>
    <w:p>
      <w:pPr>
        <w:spacing w:after="0" w:line="183" w:lineRule="exact"/>
        <w:rPr>
          <w:sz w:val="20"/>
          <w:szCs w:val="20"/>
          <w:color w:val="auto"/>
        </w:rPr>
      </w:pPr>
    </w:p>
    <w:p>
      <w:pPr>
        <w:jc w:val="center"/>
        <w:ind w:right="2676"/>
        <w:spacing w:after="0"/>
        <w:rPr>
          <w:sz w:val="20"/>
          <w:szCs w:val="20"/>
          <w:color w:val="auto"/>
        </w:rPr>
      </w:pPr>
      <w:r>
        <w:rPr>
          <w:rFonts w:ascii="Courier New" w:cs="Courier New" w:eastAsia="Courier New" w:hAnsi="Courier New"/>
          <w:sz w:val="16"/>
          <w:szCs w:val="16"/>
          <w:color w:val="auto"/>
        </w:rPr>
        <w:t>PURPOSE</w:t>
      </w:r>
    </w:p>
    <w:p>
      <w:pPr>
        <w:spacing w:after="0" w:line="183" w:lineRule="exact"/>
        <w:rPr>
          <w:sz w:val="20"/>
          <w:szCs w:val="20"/>
          <w:color w:val="auto"/>
        </w:rPr>
      </w:pPr>
    </w:p>
    <w:p>
      <w:pPr>
        <w:ind w:left="3" w:right="2859" w:firstLine="851"/>
        <w:spacing w:after="0" w:line="276" w:lineRule="auto"/>
        <w:rPr>
          <w:sz w:val="20"/>
          <w:szCs w:val="20"/>
          <w:color w:val="auto"/>
        </w:rPr>
      </w:pPr>
      <w:r>
        <w:rPr>
          <w:rFonts w:ascii="Courier New" w:cs="Courier New" w:eastAsia="Courier New" w:hAnsi="Courier New"/>
          <w:sz w:val="15"/>
          <w:szCs w:val="15"/>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left="3" w:right="2579" w:hanging="3"/>
        <w:spacing w:after="0" w:line="259" w:lineRule="auto"/>
        <w:tabs>
          <w:tab w:leader="none" w:pos="38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85"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SECTION 2.</w:t>
      </w:r>
    </w:p>
    <w:p>
      <w:pPr>
        <w:spacing w:after="0" w:line="183" w:lineRule="exact"/>
        <w:rPr>
          <w:sz w:val="20"/>
          <w:szCs w:val="20"/>
          <w:color w:val="auto"/>
        </w:rPr>
      </w:pPr>
    </w:p>
    <w:p>
      <w:pPr>
        <w:ind w:left="3223"/>
        <w:spacing w:after="0"/>
        <w:rPr>
          <w:sz w:val="20"/>
          <w:szCs w:val="20"/>
          <w:color w:val="auto"/>
        </w:rPr>
      </w:pPr>
      <w:r>
        <w:rPr>
          <w:rFonts w:ascii="Courier New" w:cs="Courier New" w:eastAsia="Courier New" w:hAnsi="Courier New"/>
          <w:sz w:val="16"/>
          <w:szCs w:val="16"/>
          <w:color w:val="auto"/>
        </w:rPr>
        <w:t>DEFINITIONS</w:t>
      </w:r>
    </w:p>
    <w:p>
      <w:pPr>
        <w:spacing w:after="0" w:line="183" w:lineRule="exact"/>
        <w:rPr>
          <w:sz w:val="20"/>
          <w:szCs w:val="20"/>
          <w:color w:val="auto"/>
        </w:rPr>
      </w:pPr>
    </w:p>
    <w:p>
      <w:pPr>
        <w:ind w:left="3" w:right="2759" w:firstLine="851"/>
        <w:spacing w:after="0" w:line="352" w:lineRule="auto"/>
        <w:rPr>
          <w:sz w:val="20"/>
          <w:szCs w:val="20"/>
          <w:color w:val="auto"/>
        </w:rPr>
      </w:pPr>
      <w:r>
        <w:rPr>
          <w:rFonts w:ascii="Courier New" w:cs="Courier New" w:eastAsia="Courier New" w:hAnsi="Courier New"/>
          <w:sz w:val="16"/>
          <w:szCs w:val="16"/>
          <w:color w:val="auto"/>
        </w:rPr>
        <w:t>2.1 Definitions. Whenever used herein, the following terms shall have the respective meanings set forth below:</w:t>
      </w:r>
    </w:p>
    <w:p>
      <w:pPr>
        <w:spacing w:after="0" w:line="14" w:lineRule="exact"/>
        <w:rPr>
          <w:sz w:val="20"/>
          <w:szCs w:val="20"/>
          <w:color w:val="auto"/>
        </w:rPr>
      </w:pPr>
    </w:p>
    <w:p>
      <w:pPr>
        <w:ind w:left="1703" w:hanging="852"/>
        <w:spacing w:after="0"/>
        <w:tabs>
          <w:tab w:leader="none" w:pos="17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means the Securities Exchange Act of 1934, as amended.</w:t>
      </w:r>
    </w:p>
    <w:p>
      <w:pPr>
        <w:spacing w:after="0" w:line="182" w:lineRule="exact"/>
        <w:rPr>
          <w:rFonts w:ascii="Courier New" w:cs="Courier New" w:eastAsia="Courier New" w:hAnsi="Courier New"/>
          <w:sz w:val="16"/>
          <w:szCs w:val="16"/>
          <w:color w:val="auto"/>
        </w:rPr>
      </w:pPr>
    </w:p>
    <w:p>
      <w:pPr>
        <w:ind w:left="1703" w:hanging="852"/>
        <w:spacing w:after="0"/>
        <w:tabs>
          <w:tab w:leader="none" w:pos="17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any Option.</w:t>
      </w:r>
    </w:p>
    <w:p>
      <w:pPr>
        <w:spacing w:after="0" w:line="182" w:lineRule="exact"/>
        <w:rPr>
          <w:rFonts w:ascii="Courier New" w:cs="Courier New" w:eastAsia="Courier New" w:hAnsi="Courier New"/>
          <w:sz w:val="16"/>
          <w:szCs w:val="16"/>
          <w:color w:val="auto"/>
        </w:rPr>
      </w:pPr>
    </w:p>
    <w:p>
      <w:pPr>
        <w:ind w:left="1703" w:hanging="852"/>
        <w:spacing w:after="0"/>
        <w:tabs>
          <w:tab w:leader="none" w:pos="17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82" w:lineRule="exact"/>
        <w:rPr>
          <w:rFonts w:ascii="Courier New" w:cs="Courier New" w:eastAsia="Courier New" w:hAnsi="Courier New"/>
          <w:sz w:val="16"/>
          <w:szCs w:val="16"/>
          <w:color w:val="auto"/>
        </w:rPr>
      </w:pPr>
    </w:p>
    <w:p>
      <w:pPr>
        <w:ind w:left="1703" w:right="2579" w:hanging="852"/>
        <w:spacing w:after="0" w:line="269" w:lineRule="auto"/>
        <w:tabs>
          <w:tab w:leader="none" w:pos="170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79" w:lineRule="exact"/>
        <w:rPr>
          <w:rFonts w:ascii="Courier New" w:cs="Courier New" w:eastAsia="Courier New" w:hAnsi="Courier New"/>
          <w:sz w:val="15"/>
          <w:szCs w:val="15"/>
          <w:color w:val="auto"/>
        </w:rPr>
      </w:pPr>
    </w:p>
    <w:p>
      <w:pPr>
        <w:ind w:left="1703" w:right="3339" w:hanging="852"/>
        <w:spacing w:after="0" w:line="352" w:lineRule="auto"/>
        <w:tabs>
          <w:tab w:leader="none" w:pos="17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means the occurrence of any of the following events:</w:t>
      </w:r>
    </w:p>
    <w:p>
      <w:pPr>
        <w:spacing w:after="0" w:line="14" w:lineRule="exact"/>
        <w:rPr>
          <w:rFonts w:ascii="Courier New" w:cs="Courier New" w:eastAsia="Courier New" w:hAnsi="Courier New"/>
          <w:sz w:val="16"/>
          <w:szCs w:val="16"/>
          <w:color w:val="auto"/>
        </w:rPr>
      </w:pPr>
    </w:p>
    <w:p>
      <w:pPr>
        <w:jc w:val="both"/>
        <w:ind w:left="843" w:right="3519" w:firstLine="860"/>
        <w:spacing w:after="0" w:line="296" w:lineRule="auto"/>
        <w:tabs>
          <w:tab w:leader="none" w:pos="207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of the Board at the beginning of any consecutive twenty-four calendar month period (the "Incumbent Directors") cease for any reason</w:t>
      </w:r>
    </w:p>
    <w:p>
      <w:pPr>
        <w:sectPr>
          <w:pgSz w:w="11900" w:h="16838" w:orient="portrait"/>
          <w:cols w:equalWidth="0" w:num="1">
            <w:col w:w="10142"/>
          </w:cols>
          <w:pgMar w:left="317" w:top="27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3</w:t>
      </w:r>
    </w:p>
    <w:p>
      <w:pPr>
        <w:spacing w:after="0" w:line="29" w:lineRule="exact"/>
        <w:rPr>
          <w:sz w:val="20"/>
          <w:szCs w:val="20"/>
          <w:color w:val="auto"/>
        </w:rPr>
      </w:pPr>
    </w:p>
    <w:p>
      <w:pPr>
        <w:ind w:left="560" w:right="2579"/>
        <w:spacing w:after="0" w:line="253" w:lineRule="auto"/>
        <w:rPr>
          <w:sz w:val="20"/>
          <w:szCs w:val="20"/>
          <w:color w:val="auto"/>
        </w:rPr>
      </w:pPr>
      <w:r>
        <w:rPr>
          <w:rFonts w:ascii="Courier New" w:cs="Courier New" w:eastAsia="Courier New" w:hAnsi="Courier New"/>
          <w:sz w:val="16"/>
          <w:szCs w:val="16"/>
          <w:color w:val="auto"/>
        </w:rPr>
        <w:t>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90" w:lineRule="exact"/>
        <w:rPr>
          <w:sz w:val="20"/>
          <w:szCs w:val="20"/>
          <w:color w:val="auto"/>
        </w:rPr>
      </w:pPr>
    </w:p>
    <w:p>
      <w:pPr>
        <w:ind w:left="560" w:right="2579" w:firstLine="860"/>
        <w:spacing w:after="0" w:line="279" w:lineRule="auto"/>
        <w:tabs>
          <w:tab w:leader="none" w:pos="1884"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including a "group" (as such terms are used in Sections 13(d) and 14(d)(2) of the Act, but excluding the Company, any of its Subsidiaries, or any employee benefit plan of the Company or of any of its Subsidiaries,) is or becomes the "beneficial owner" (as defined in Rule 13(d)(3) under the Act), directly or indirectly, of securities of the Company representing more than 49% of the combined voting power of the Company's then outstanding securities; or</w:t>
      </w:r>
    </w:p>
    <w:p>
      <w:pPr>
        <w:spacing w:after="0" w:line="72" w:lineRule="exact"/>
        <w:rPr>
          <w:rFonts w:ascii="Courier New" w:cs="Courier New" w:eastAsia="Courier New" w:hAnsi="Courier New"/>
          <w:sz w:val="15"/>
          <w:szCs w:val="15"/>
          <w:color w:val="auto"/>
        </w:rPr>
      </w:pPr>
    </w:p>
    <w:p>
      <w:pPr>
        <w:ind w:left="560" w:right="2679" w:firstLine="860"/>
        <w:spacing w:after="0" w:line="254" w:lineRule="auto"/>
        <w:tabs>
          <w:tab w:leader="none" w:pos="1979"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92" w:lineRule="exact"/>
        <w:rPr>
          <w:rFonts w:ascii="Courier New" w:cs="Courier New" w:eastAsia="Courier New" w:hAnsi="Courier New"/>
          <w:sz w:val="16"/>
          <w:szCs w:val="16"/>
          <w:color w:val="auto"/>
        </w:rPr>
      </w:pPr>
    </w:p>
    <w:p>
      <w:pPr>
        <w:ind w:left="560" w:right="2579" w:firstLine="860"/>
        <w:spacing w:after="0" w:line="290" w:lineRule="auto"/>
        <w:tabs>
          <w:tab w:leader="none" w:pos="1884"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Stock pursuant to any tender or exchange offer made by any "person," including a "group" (as such terms are used in Sections 13(d) and 14(d)(2) of the Act), other than the Company, any of its Subsidiaries, or an employee benefit plan of the Company or of any of its Subsidiaries, for more than 49% of the Stock of the Company.</w:t>
      </w:r>
    </w:p>
    <w:p>
      <w:pPr>
        <w:spacing w:after="0" w:line="64" w:lineRule="exact"/>
        <w:rPr>
          <w:rFonts w:ascii="Courier New" w:cs="Courier New" w:eastAsia="Courier New" w:hAnsi="Courier New"/>
          <w:sz w:val="15"/>
          <w:szCs w:val="15"/>
          <w:color w:val="auto"/>
        </w:rPr>
      </w:pPr>
    </w:p>
    <w:p>
      <w:pPr>
        <w:ind w:left="-280" w:right="2579" w:firstLine="848"/>
        <w:spacing w:after="0" w:line="259" w:lineRule="auto"/>
        <w:tabs>
          <w:tab w:leader="none" w:pos="95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86" w:lineRule="exact"/>
        <w:rPr>
          <w:rFonts w:ascii="Courier New" w:cs="Courier New" w:eastAsia="Courier New" w:hAnsi="Courier New"/>
          <w:sz w:val="16"/>
          <w:szCs w:val="16"/>
          <w:color w:val="auto"/>
        </w:rPr>
      </w:pPr>
    </w:p>
    <w:p>
      <w:pPr>
        <w:ind w:left="940" w:hanging="372"/>
        <w:spacing w:after="0"/>
        <w:tabs>
          <w:tab w:leader="none" w:pos="9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82" w:lineRule="exact"/>
        <w:rPr>
          <w:rFonts w:ascii="Courier New" w:cs="Courier New" w:eastAsia="Courier New" w:hAnsi="Courier New"/>
          <w:sz w:val="16"/>
          <w:szCs w:val="16"/>
          <w:color w:val="auto"/>
        </w:rPr>
      </w:pPr>
    </w:p>
    <w:p>
      <w:pPr>
        <w:ind w:left="-280" w:right="2579" w:firstLine="848"/>
        <w:spacing w:after="0" w:line="253" w:lineRule="auto"/>
        <w:tabs>
          <w:tab w:leader="none" w:pos="95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ectPr>
          <w:pgSz w:w="11900" w:h="16838" w:orient="portrait"/>
          <w:cols w:equalWidth="0" w:num="1">
            <w:col w:w="9859"/>
          </w:cols>
          <w:pgMar w:left="600" w:top="27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4</w:t>
      </w:r>
    </w:p>
    <w:p>
      <w:pPr>
        <w:spacing w:after="0" w:line="29" w:lineRule="exact"/>
        <w:rPr>
          <w:sz w:val="20"/>
          <w:szCs w:val="20"/>
          <w:color w:val="auto"/>
        </w:rPr>
      </w:pPr>
    </w:p>
    <w:p>
      <w:pPr>
        <w:ind w:left="-280" w:right="2859" w:firstLine="848"/>
        <w:spacing w:after="0" w:line="315" w:lineRule="auto"/>
        <w:tabs>
          <w:tab w:leader="none" w:pos="9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Scotts Company, an Ohio corporation, and any successor thereto.</w:t>
      </w:r>
    </w:p>
    <w:p>
      <w:pPr>
        <w:spacing w:after="0" w:line="41" w:lineRule="exact"/>
        <w:rPr>
          <w:rFonts w:ascii="Courier New" w:cs="Courier New" w:eastAsia="Courier New" w:hAnsi="Courier New"/>
          <w:sz w:val="16"/>
          <w:szCs w:val="16"/>
          <w:color w:val="auto"/>
        </w:rPr>
      </w:pPr>
    </w:p>
    <w:p>
      <w:pPr>
        <w:ind w:left="-280" w:right="2679" w:firstLine="848"/>
        <w:spacing w:after="0" w:line="296" w:lineRule="auto"/>
        <w:tabs>
          <w:tab w:leader="none" w:pos="9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Option" means a "nonstatutory stock option" ("NSO") granted to each Eligible Director pursuant to Section 6.6 without any action by the Board or the Committee.</w:t>
      </w:r>
    </w:p>
    <w:p>
      <w:pPr>
        <w:spacing w:after="0" w:line="57" w:lineRule="exact"/>
        <w:rPr>
          <w:rFonts w:ascii="Courier New" w:cs="Courier New" w:eastAsia="Courier New" w:hAnsi="Courier New"/>
          <w:sz w:val="16"/>
          <w:szCs w:val="16"/>
          <w:color w:val="auto"/>
        </w:rPr>
      </w:pPr>
    </w:p>
    <w:p>
      <w:pPr>
        <w:ind w:left="-280" w:right="2679" w:firstLine="848"/>
        <w:spacing w:after="0" w:line="268" w:lineRule="auto"/>
        <w:tabs>
          <w:tab w:leader="none" w:pos="9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79" w:lineRule="exact"/>
        <w:rPr>
          <w:rFonts w:ascii="Courier New" w:cs="Courier New" w:eastAsia="Courier New" w:hAnsi="Courier New"/>
          <w:sz w:val="16"/>
          <w:szCs w:val="16"/>
          <w:color w:val="auto"/>
        </w:rPr>
      </w:pPr>
    </w:p>
    <w:p>
      <w:pPr>
        <w:ind w:left="-280" w:right="2679" w:firstLine="848"/>
        <w:spacing w:after="0" w:line="352" w:lineRule="auto"/>
        <w:tabs>
          <w:tab w:leader="none" w:pos="9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Director" means, on any date, a person who is serving as a member of the Board and who is not an Employee.</w:t>
      </w:r>
    </w:p>
    <w:p>
      <w:pPr>
        <w:spacing w:after="0" w:line="14" w:lineRule="exact"/>
        <w:rPr>
          <w:rFonts w:ascii="Courier New" w:cs="Courier New" w:eastAsia="Courier New" w:hAnsi="Courier New"/>
          <w:sz w:val="16"/>
          <w:szCs w:val="16"/>
          <w:color w:val="auto"/>
        </w:rPr>
      </w:pPr>
    </w:p>
    <w:p>
      <w:pPr>
        <w:ind w:left="-280" w:right="2679" w:firstLine="848"/>
        <w:spacing w:after="0" w:line="352" w:lineRule="auto"/>
        <w:tabs>
          <w:tab w:leader="none" w:pos="9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officer or other key executive and management employee of the Company or of any of its Subsidiaries.</w:t>
      </w:r>
    </w:p>
    <w:p>
      <w:pPr>
        <w:spacing w:after="0" w:line="14" w:lineRule="exact"/>
        <w:rPr>
          <w:rFonts w:ascii="Courier New" w:cs="Courier New" w:eastAsia="Courier New" w:hAnsi="Courier New"/>
          <w:sz w:val="16"/>
          <w:szCs w:val="16"/>
          <w:color w:val="auto"/>
        </w:rPr>
      </w:pPr>
    </w:p>
    <w:p>
      <w:pPr>
        <w:ind w:left="-280" w:right="2579" w:firstLine="848"/>
        <w:spacing w:after="0" w:line="279" w:lineRule="auto"/>
        <w:tabs>
          <w:tab w:leader="none" w:pos="9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72" w:lineRule="exact"/>
        <w:rPr>
          <w:rFonts w:ascii="Courier New" w:cs="Courier New" w:eastAsia="Courier New" w:hAnsi="Courier New"/>
          <w:sz w:val="15"/>
          <w:szCs w:val="15"/>
          <w:color w:val="auto"/>
        </w:rPr>
      </w:pPr>
    </w:p>
    <w:p>
      <w:pPr>
        <w:ind w:left="-280" w:right="2679" w:firstLine="848"/>
        <w:spacing w:after="0" w:line="268" w:lineRule="auto"/>
        <w:tabs>
          <w:tab w:leader="none" w:pos="9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the right to purchase Stock at a stated price for a specified period of time. For purposes of the Plan, an Option may be either (i) an "Incentive Stock Option" (ISO) within the meaning of Section 422 of the Code or (ii) a NSO which does not qualify for treatment as an "Incentive Stock Option."</w:t>
      </w:r>
    </w:p>
    <w:p>
      <w:pPr>
        <w:spacing w:after="0" w:line="79" w:lineRule="exact"/>
        <w:rPr>
          <w:rFonts w:ascii="Courier New" w:cs="Courier New" w:eastAsia="Courier New" w:hAnsi="Courier New"/>
          <w:sz w:val="16"/>
          <w:szCs w:val="16"/>
          <w:color w:val="auto"/>
        </w:rPr>
      </w:pPr>
    </w:p>
    <w:p>
      <w:pPr>
        <w:ind w:left="-280" w:right="2959" w:firstLine="848"/>
        <w:spacing w:after="0" w:line="352" w:lineRule="auto"/>
        <w:tabs>
          <w:tab w:leader="none" w:pos="9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Employee designated by the Committee to participate in the Plan.</w:t>
      </w:r>
    </w:p>
    <w:p>
      <w:pPr>
        <w:spacing w:after="0" w:line="14" w:lineRule="exact"/>
        <w:rPr>
          <w:rFonts w:ascii="Courier New" w:cs="Courier New" w:eastAsia="Courier New" w:hAnsi="Courier New"/>
          <w:sz w:val="16"/>
          <w:szCs w:val="16"/>
          <w:color w:val="auto"/>
        </w:rPr>
      </w:pPr>
    </w:p>
    <w:p>
      <w:pPr>
        <w:ind w:left="-280" w:right="3139" w:firstLine="848"/>
        <w:spacing w:after="0" w:line="352" w:lineRule="auto"/>
        <w:tabs>
          <w:tab w:leader="none" w:pos="95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Scotts Company 1996 Stock Option Plan, as in effect from time to time.</w:t>
      </w:r>
    </w:p>
    <w:p>
      <w:pPr>
        <w:spacing w:after="0" w:line="14" w:lineRule="exact"/>
        <w:rPr>
          <w:rFonts w:ascii="Courier New" w:cs="Courier New" w:eastAsia="Courier New" w:hAnsi="Courier New"/>
          <w:sz w:val="16"/>
          <w:szCs w:val="16"/>
          <w:color w:val="auto"/>
        </w:rPr>
      </w:pPr>
    </w:p>
    <w:p>
      <w:pPr>
        <w:jc w:val="both"/>
        <w:ind w:left="-280" w:right="2679" w:firstLine="848"/>
        <w:spacing w:after="0" w:line="301" w:lineRule="auto"/>
        <w:tabs>
          <w:tab w:leader="none" w:pos="9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57" w:lineRule="exact"/>
        <w:rPr>
          <w:rFonts w:ascii="Courier New" w:cs="Courier New" w:eastAsia="Courier New" w:hAnsi="Courier New"/>
          <w:sz w:val="15"/>
          <w:szCs w:val="15"/>
          <w:color w:val="auto"/>
        </w:rPr>
      </w:pPr>
    </w:p>
    <w:p>
      <w:pPr>
        <w:ind w:left="940" w:hanging="372"/>
        <w:spacing w:after="0"/>
        <w:tabs>
          <w:tab w:leader="none" w:pos="9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Shares, without par value, of the Company.</w:t>
      </w:r>
    </w:p>
    <w:p>
      <w:pPr>
        <w:sectPr>
          <w:pgSz w:w="11900" w:h="16838" w:orient="portrait"/>
          <w:cols w:equalWidth="0" w:num="1">
            <w:col w:w="9859"/>
          </w:cols>
          <w:pgMar w:left="600" w:top="27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5</w:t>
      </w:r>
    </w:p>
    <w:p>
      <w:pPr>
        <w:spacing w:after="0" w:line="29" w:lineRule="exact"/>
        <w:rPr>
          <w:sz w:val="20"/>
          <w:szCs w:val="20"/>
          <w:color w:val="auto"/>
        </w:rPr>
      </w:pPr>
    </w:p>
    <w:p>
      <w:pPr>
        <w:ind w:right="2679" w:firstLine="848"/>
        <w:spacing w:after="0" w:line="265" w:lineRule="auto"/>
        <w:tabs>
          <w:tab w:leader="none" w:pos="123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81" w:lineRule="exact"/>
        <w:rPr>
          <w:sz w:val="20"/>
          <w:szCs w:val="20"/>
          <w:color w:val="auto"/>
        </w:rPr>
      </w:pPr>
    </w:p>
    <w:p>
      <w:pPr>
        <w:ind w:right="2679" w:firstLine="851"/>
        <w:spacing w:after="0" w:line="277" w:lineRule="auto"/>
        <w:rPr>
          <w:sz w:val="20"/>
          <w:szCs w:val="20"/>
          <w:color w:val="auto"/>
        </w:rPr>
      </w:pPr>
      <w:r>
        <w:rPr>
          <w:rFonts w:ascii="Courier New" w:cs="Courier New" w:eastAsia="Courier New" w:hAnsi="Courier New"/>
          <w:sz w:val="16"/>
          <w:szCs w:val="16"/>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7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3.</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ELIGIBILITY AND PARTICIPATION</w:t>
      </w:r>
    </w:p>
    <w:p>
      <w:pPr>
        <w:spacing w:after="0" w:line="183" w:lineRule="exact"/>
        <w:rPr>
          <w:sz w:val="20"/>
          <w:szCs w:val="20"/>
          <w:color w:val="auto"/>
        </w:rPr>
      </w:pPr>
    </w:p>
    <w:p>
      <w:pPr>
        <w:ind w:right="2579" w:firstLine="851"/>
        <w:spacing w:after="0" w:line="296" w:lineRule="auto"/>
        <w:rPr>
          <w:sz w:val="20"/>
          <w:szCs w:val="20"/>
          <w:color w:val="auto"/>
        </w:rPr>
      </w:pPr>
      <w:r>
        <w:rPr>
          <w:rFonts w:ascii="Courier New" w:cs="Courier New" w:eastAsia="Courier New" w:hAnsi="Courier New"/>
          <w:sz w:val="16"/>
          <w:szCs w:val="16"/>
          <w:color w:val="auto"/>
        </w:rPr>
        <w:t>Except as otherwise provided in Section 6.6, the only persons eligible to participate in the Plan shall be those Employees selected by the Committee as Participants.</w:t>
      </w:r>
    </w:p>
    <w:p>
      <w:pPr>
        <w:spacing w:after="0" w:line="5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4.</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POWERS OF THE COMMITTEE</w:t>
      </w:r>
    </w:p>
    <w:p>
      <w:pPr>
        <w:spacing w:after="0" w:line="183" w:lineRule="exact"/>
        <w:rPr>
          <w:sz w:val="20"/>
          <w:szCs w:val="20"/>
          <w:color w:val="auto"/>
        </w:rPr>
      </w:pPr>
    </w:p>
    <w:p>
      <w:pPr>
        <w:ind w:right="2679" w:firstLine="851"/>
        <w:spacing w:after="0" w:line="259" w:lineRule="auto"/>
        <w:rPr>
          <w:sz w:val="20"/>
          <w:szCs w:val="20"/>
          <w:color w:val="auto"/>
        </w:rPr>
      </w:pPr>
      <w:r>
        <w:rPr>
          <w:rFonts w:ascii="Courier New" w:cs="Courier New" w:eastAsia="Courier New" w:hAnsi="Courier New"/>
          <w:sz w:val="16"/>
          <w:szCs w:val="16"/>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86" w:lineRule="exact"/>
        <w:rPr>
          <w:sz w:val="20"/>
          <w:szCs w:val="20"/>
          <w:color w:val="auto"/>
        </w:rPr>
      </w:pPr>
    </w:p>
    <w:p>
      <w:pPr>
        <w:ind w:right="2579" w:firstLine="851"/>
        <w:spacing w:after="0" w:line="271" w:lineRule="auto"/>
        <w:rPr>
          <w:sz w:val="20"/>
          <w:szCs w:val="20"/>
          <w:color w:val="auto"/>
        </w:rPr>
      </w:pPr>
      <w:r>
        <w:rPr>
          <w:rFonts w:ascii="Courier New" w:cs="Courier New" w:eastAsia="Courier New" w:hAnsi="Courier New"/>
          <w:sz w:val="15"/>
          <w:szCs w:val="15"/>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82"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5.</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STOCK SUBJECT TO PLAN</w:t>
      </w:r>
    </w:p>
    <w:p>
      <w:pPr>
        <w:spacing w:after="0" w:line="183" w:lineRule="exact"/>
        <w:rPr>
          <w:sz w:val="20"/>
          <w:szCs w:val="20"/>
          <w:color w:val="auto"/>
        </w:rPr>
      </w:pPr>
    </w:p>
    <w:p>
      <w:pPr>
        <w:ind w:right="2579" w:firstLine="851"/>
        <w:spacing w:after="0" w:line="263" w:lineRule="auto"/>
        <w:rPr>
          <w:sz w:val="20"/>
          <w:szCs w:val="20"/>
          <w:color w:val="auto"/>
        </w:rPr>
      </w:pPr>
      <w:r>
        <w:rPr>
          <w:rFonts w:ascii="Courier New" w:cs="Courier New" w:eastAsia="Courier New" w:hAnsi="Courier New"/>
          <w:sz w:val="16"/>
          <w:szCs w:val="16"/>
          <w:color w:val="auto"/>
        </w:rPr>
        <w:t>5.1 Number. Subject to the provisions of Section 5.3, the number of shares of Stock subject to Awards under the Plan may not exceed 5,500,000 shares of Stock. Subject to the provisions of Section 5.3, no Employee shall receive Awards for more than 150,000 shares of Stock over any one-year period. For this purpose, to the extent that any Award is cancelled (as described in Section 1.162-27(e)(2)(vi)(B) of the final regulations</w:t>
      </w:r>
    </w:p>
    <w:p>
      <w:pPr>
        <w:sectPr>
          <w:pgSz w:w="11900" w:h="16838" w:orient="portrait"/>
          <w:cols w:equalWidth="0" w:num="1">
            <w:col w:w="10139"/>
          </w:cols>
          <w:pgMar w:left="320" w:top="27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6</w:t>
      </w:r>
    </w:p>
    <w:p>
      <w:pPr>
        <w:spacing w:after="0" w:line="29" w:lineRule="exact"/>
        <w:rPr>
          <w:sz w:val="20"/>
          <w:szCs w:val="20"/>
          <w:color w:val="auto"/>
        </w:rPr>
      </w:pPr>
    </w:p>
    <w:p>
      <w:pPr>
        <w:ind w:right="2679"/>
        <w:spacing w:after="0" w:line="280" w:lineRule="auto"/>
        <w:rPr>
          <w:sz w:val="20"/>
          <w:szCs w:val="20"/>
          <w:color w:val="auto"/>
        </w:rPr>
      </w:pPr>
      <w:r>
        <w:rPr>
          <w:rFonts w:ascii="Courier New" w:cs="Courier New" w:eastAsia="Courier New" w:hAnsi="Courier New"/>
          <w:sz w:val="15"/>
          <w:szCs w:val="15"/>
          <w:color w:val="auto"/>
        </w:rPr>
        <w:t>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72" w:lineRule="exact"/>
        <w:rPr>
          <w:sz w:val="20"/>
          <w:szCs w:val="20"/>
          <w:color w:val="auto"/>
        </w:rPr>
      </w:pPr>
    </w:p>
    <w:p>
      <w:pPr>
        <w:ind w:right="2759" w:firstLine="851"/>
        <w:spacing w:after="0" w:line="277" w:lineRule="auto"/>
        <w:rPr>
          <w:sz w:val="20"/>
          <w:szCs w:val="20"/>
          <w:color w:val="auto"/>
        </w:rPr>
      </w:pPr>
      <w:r>
        <w:rPr>
          <w:rFonts w:ascii="Courier New" w:cs="Courier New" w:eastAsia="Courier New" w:hAnsi="Courier New"/>
          <w:sz w:val="16"/>
          <w:szCs w:val="16"/>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73" w:lineRule="exact"/>
        <w:rPr>
          <w:sz w:val="20"/>
          <w:szCs w:val="20"/>
          <w:color w:val="auto"/>
        </w:rPr>
      </w:pPr>
    </w:p>
    <w:p>
      <w:pPr>
        <w:ind w:right="2579" w:firstLine="851"/>
        <w:spacing w:after="0" w:line="267" w:lineRule="auto"/>
        <w:rPr>
          <w:sz w:val="20"/>
          <w:szCs w:val="20"/>
          <w:color w:val="auto"/>
        </w:rPr>
      </w:pPr>
      <w:r>
        <w:rPr>
          <w:rFonts w:ascii="Courier New" w:cs="Courier New" w:eastAsia="Courier New" w:hAnsi="Courier New"/>
          <w:sz w:val="15"/>
          <w:szCs w:val="15"/>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6.6.</w:t>
      </w:r>
    </w:p>
    <w:p>
      <w:pPr>
        <w:spacing w:after="0" w:line="82"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6.</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OPTIONS</w:t>
      </w:r>
    </w:p>
    <w:p>
      <w:pPr>
        <w:spacing w:after="0" w:line="183" w:lineRule="exact"/>
        <w:rPr>
          <w:sz w:val="20"/>
          <w:szCs w:val="20"/>
          <w:color w:val="auto"/>
        </w:rPr>
      </w:pPr>
    </w:p>
    <w:p>
      <w:pPr>
        <w:ind w:right="2579" w:firstLine="851"/>
        <w:spacing w:after="0" w:line="249" w:lineRule="auto"/>
        <w:rPr>
          <w:sz w:val="20"/>
          <w:szCs w:val="20"/>
          <w:color w:val="auto"/>
        </w:rPr>
      </w:pPr>
      <w:r>
        <w:rPr>
          <w:rFonts w:ascii="Courier New" w:cs="Courier New" w:eastAsia="Courier New" w:hAnsi="Courier New"/>
          <w:sz w:val="16"/>
          <w:szCs w:val="16"/>
          <w:color w:val="auto"/>
        </w:rPr>
        <w:t>6.1 Grant of Options. Options may be granted to Participants at such time or times as shall be determined by the Committee. Options granted under the Plan may be of two types: (i) Incentive Stock Options and (ii) NSOs. The Committee shall have complete discretion in 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96" w:lineRule="exact"/>
        <w:rPr>
          <w:sz w:val="20"/>
          <w:szCs w:val="20"/>
          <w:color w:val="auto"/>
        </w:rPr>
      </w:pPr>
    </w:p>
    <w:p>
      <w:pPr>
        <w:ind w:right="2679" w:firstLine="851"/>
        <w:spacing w:after="0" w:line="277" w:lineRule="auto"/>
        <w:rPr>
          <w:sz w:val="20"/>
          <w:szCs w:val="20"/>
          <w:color w:val="auto"/>
        </w:rPr>
      </w:pPr>
      <w:r>
        <w:rPr>
          <w:rFonts w:ascii="Courier New" w:cs="Courier New" w:eastAsia="Courier New" w:hAnsi="Courier New"/>
          <w:sz w:val="16"/>
          <w:szCs w:val="16"/>
          <w:color w:val="auto"/>
        </w:rPr>
        <w:t>6.2 Option Price. NSOs and Incentive Stock Options granted pursuant to the Plan shall have an exercise price which is not less than the Fair Market Value of the Stock on the date the Option is granted. To the extent that an Incentive Stock Option is granted to a</w:t>
      </w:r>
    </w:p>
    <w:p>
      <w:pPr>
        <w:sectPr>
          <w:pgSz w:w="11900" w:h="16838" w:orient="portrait"/>
          <w:cols w:equalWidth="0" w:num="1">
            <w:col w:w="10139"/>
          </w:cols>
          <w:pgMar w:left="320" w:top="27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7</w:t>
      </w:r>
    </w:p>
    <w:p>
      <w:pPr>
        <w:spacing w:after="0" w:line="29"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6"/>
          <w:szCs w:val="16"/>
          <w:color w:val="auto"/>
        </w:rPr>
        <w:t>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85" w:lineRule="exact"/>
        <w:rPr>
          <w:sz w:val="20"/>
          <w:szCs w:val="20"/>
          <w:color w:val="auto"/>
        </w:rPr>
      </w:pPr>
    </w:p>
    <w:p>
      <w:pPr>
        <w:ind w:right="2579" w:firstLine="851"/>
        <w:spacing w:after="0" w:line="266" w:lineRule="auto"/>
        <w:rPr>
          <w:sz w:val="20"/>
          <w:szCs w:val="20"/>
          <w:color w:val="auto"/>
        </w:rPr>
      </w:pPr>
      <w:r>
        <w:rPr>
          <w:rFonts w:ascii="Courier New" w:cs="Courier New" w:eastAsia="Courier New" w:hAnsi="Courier New"/>
          <w:sz w:val="15"/>
          <w:szCs w:val="15"/>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on the third anniversary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86" w:lineRule="exact"/>
        <w:rPr>
          <w:sz w:val="20"/>
          <w:szCs w:val="20"/>
          <w:color w:val="auto"/>
        </w:rPr>
      </w:pPr>
    </w:p>
    <w:p>
      <w:pPr>
        <w:ind w:right="2579" w:firstLine="851"/>
        <w:spacing w:after="0" w:line="252" w:lineRule="auto"/>
        <w:rPr>
          <w:sz w:val="20"/>
          <w:szCs w:val="20"/>
          <w:color w:val="auto"/>
        </w:rPr>
      </w:pPr>
      <w:r>
        <w:rPr>
          <w:rFonts w:ascii="Courier New" w:cs="Courier New" w:eastAsia="Courier New" w:hAnsi="Courier New"/>
          <w:sz w:val="16"/>
          <w:szCs w:val="16"/>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 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89" w:lineRule="exact"/>
        <w:rPr>
          <w:sz w:val="20"/>
          <w:szCs w:val="20"/>
          <w:color w:val="auto"/>
        </w:rPr>
      </w:pPr>
    </w:p>
    <w:p>
      <w:pPr>
        <w:ind w:right="2679" w:firstLine="851"/>
        <w:spacing w:after="0" w:line="250" w:lineRule="auto"/>
        <w:rPr>
          <w:sz w:val="20"/>
          <w:szCs w:val="20"/>
          <w:color w:val="auto"/>
        </w:rPr>
      </w:pPr>
      <w:r>
        <w:rPr>
          <w:rFonts w:ascii="Courier New" w:cs="Courier New" w:eastAsia="Courier New" w:hAnsi="Courier New"/>
          <w:sz w:val="16"/>
          <w:szCs w:val="16"/>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99" w:lineRule="exact"/>
        <w:rPr>
          <w:sz w:val="20"/>
          <w:szCs w:val="20"/>
          <w:color w:val="auto"/>
        </w:rPr>
      </w:pPr>
    </w:p>
    <w:p>
      <w:pPr>
        <w:ind w:right="2579" w:firstLine="851"/>
        <w:spacing w:after="0" w:line="268" w:lineRule="auto"/>
        <w:rPr>
          <w:sz w:val="20"/>
          <w:szCs w:val="20"/>
          <w:color w:val="auto"/>
        </w:rPr>
      </w:pPr>
      <w:r>
        <w:rPr>
          <w:rFonts w:ascii="Courier New" w:cs="Courier New" w:eastAsia="Courier New" w:hAnsi="Courier New"/>
          <w:sz w:val="16"/>
          <w:szCs w:val="16"/>
          <w:color w:val="auto"/>
        </w:rPr>
        <w:t>6.6 Director Options. Notwithstanding anything else contained herein to the contrary, on the first business day following the date of each annual meeting of shareholders during the term of the Plan, each Eligible Director shall receive a Director Option to purchase 5,000 shares of Stock at an exercise price per share equal to the Fair Market Value</w:t>
      </w:r>
    </w:p>
    <w:p>
      <w:pPr>
        <w:sectPr>
          <w:pgSz w:w="11900" w:h="16838" w:orient="portrait"/>
          <w:cols w:equalWidth="0" w:num="1">
            <w:col w:w="10139"/>
          </w:cols>
          <w:pgMar w:left="320" w:top="27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8</w:t>
      </w:r>
    </w:p>
    <w:p>
      <w:pPr>
        <w:spacing w:after="0" w:line="29" w:lineRule="exact"/>
        <w:rPr>
          <w:sz w:val="20"/>
          <w:szCs w:val="20"/>
          <w:color w:val="auto"/>
        </w:rPr>
      </w:pPr>
    </w:p>
    <w:p>
      <w:pPr>
        <w:ind w:right="2579"/>
        <w:spacing w:after="0" w:line="261" w:lineRule="auto"/>
        <w:rPr>
          <w:sz w:val="20"/>
          <w:szCs w:val="20"/>
          <w:color w:val="auto"/>
        </w:rPr>
      </w:pPr>
      <w:r>
        <w:rPr>
          <w:rFonts w:ascii="Courier New" w:cs="Courier New" w:eastAsia="Courier New" w:hAnsi="Courier New"/>
          <w:sz w:val="15"/>
          <w:szCs w:val="15"/>
          <w:color w:val="auto"/>
        </w:rPr>
        <w:t>of the Stock on the date of grant. An Eligible Director who is a member of one or more Board committees, shall receive an additional grant of 500 shares of Stock for each committee on which he or she serves. An Eligible Director who chairs one or more Board committees shall receive an additional grant of 1,500 shares of Stock for each committee which he or she chairs.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(a) if the Eligible Director ceases to be a member of the Board after having been convicted of, or pled guilty or nolo contendere to, a felony, his Director Options shall be cancelled on the date he ceases to be a director, or (b) if the Eligible Director ceases to be a member of the Board due to a Director Retirement, any Director Options granted to such Director which are then outstanding (whether or not exercisable prior to the date of such Director Retirement), may be exercised at any time prior to the expiration of the term of the Director Options or within five(5) years following the Director Retirement, whichever period is shorter. For the purposes of this Section 6.6, "Director Retirement" means the retirement of an Eligible Director from service on the Board after having served at least 10 years as a member of the Board and attained the age of 55, unless the Board specifies a shorter period of required service. An Eligible Director may exercise a Director Option in the manner described in Section 6.3.</w:t>
      </w:r>
    </w:p>
    <w:p>
      <w:pPr>
        <w:spacing w:after="0" w:line="27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7.</w:t>
      </w:r>
    </w:p>
    <w:p>
      <w:pPr>
        <w:spacing w:after="0" w:line="183"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TERMINATION OF EMPLOYMENT</w:t>
      </w:r>
    </w:p>
    <w:p>
      <w:pPr>
        <w:spacing w:after="0" w:line="183" w:lineRule="exact"/>
        <w:rPr>
          <w:sz w:val="20"/>
          <w:szCs w:val="20"/>
          <w:color w:val="auto"/>
        </w:rPr>
      </w:pPr>
    </w:p>
    <w:p>
      <w:pPr>
        <w:ind w:right="2579" w:firstLine="851"/>
        <w:spacing w:after="0" w:line="250" w:lineRule="auto"/>
        <w:rPr>
          <w:sz w:val="20"/>
          <w:szCs w:val="20"/>
          <w:color w:val="auto"/>
        </w:rPr>
      </w:pPr>
      <w:r>
        <w:rPr>
          <w:rFonts w:ascii="Courier New" w:cs="Courier New" w:eastAsia="Courier New" w:hAnsi="Courier New"/>
          <w:sz w:val="16"/>
          <w:szCs w:val="16"/>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92" w:lineRule="exact"/>
        <w:rPr>
          <w:sz w:val="20"/>
          <w:szCs w:val="20"/>
          <w:color w:val="auto"/>
        </w:rPr>
      </w:pPr>
    </w:p>
    <w:p>
      <w:pPr>
        <w:ind w:right="2579" w:firstLine="851"/>
        <w:spacing w:after="0" w:line="252" w:lineRule="auto"/>
        <w:rPr>
          <w:sz w:val="20"/>
          <w:szCs w:val="20"/>
          <w:color w:val="auto"/>
        </w:rPr>
      </w:pPr>
      <w:r>
        <w:rPr>
          <w:rFonts w:ascii="Courier New" w:cs="Courier New" w:eastAsia="Courier New" w:hAnsi="Courier New"/>
          <w:sz w:val="16"/>
          <w:szCs w:val="16"/>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w:t>
      </w:r>
    </w:p>
    <w:p>
      <w:pPr>
        <w:sectPr>
          <w:pgSz w:w="11900" w:h="16838" w:orient="portrait"/>
          <w:cols w:equalWidth="0" w:num="1">
            <w:col w:w="10139"/>
          </w:cols>
          <w:pgMar w:left="320" w:top="27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9</w:t>
      </w:r>
    </w:p>
    <w:p>
      <w:pPr>
        <w:spacing w:after="0" w:line="29" w:lineRule="exact"/>
        <w:rPr>
          <w:sz w:val="20"/>
          <w:szCs w:val="20"/>
          <w:color w:val="auto"/>
        </w:rPr>
      </w:pPr>
    </w:p>
    <w:p>
      <w:pPr>
        <w:ind w:right="2579"/>
        <w:spacing w:after="0" w:line="259" w:lineRule="auto"/>
        <w:rPr>
          <w:sz w:val="20"/>
          <w:szCs w:val="20"/>
          <w:color w:val="auto"/>
        </w:rPr>
      </w:pPr>
      <w:r>
        <w:rPr>
          <w:rFonts w:ascii="Courier New" w:cs="Courier New" w:eastAsia="Courier New" w:hAnsi="Courier New"/>
          <w:sz w:val="16"/>
          <w:szCs w:val="16"/>
          <w:color w:val="auto"/>
        </w:rPr>
        <w:t>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85" w:lineRule="exact"/>
        <w:rPr>
          <w:sz w:val="20"/>
          <w:szCs w:val="20"/>
          <w:color w:val="auto"/>
        </w:rPr>
      </w:pPr>
    </w:p>
    <w:p>
      <w:pPr>
        <w:ind w:right="2579" w:firstLine="851"/>
        <w:spacing w:after="0" w:line="268" w:lineRule="auto"/>
        <w:rPr>
          <w:sz w:val="20"/>
          <w:szCs w:val="20"/>
          <w:color w:val="auto"/>
        </w:rPr>
      </w:pPr>
      <w:r>
        <w:rPr>
          <w:rFonts w:ascii="Courier New" w:cs="Courier New" w:eastAsia="Courier New" w:hAnsi="Courier New"/>
          <w:sz w:val="16"/>
          <w:szCs w:val="16"/>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79" w:lineRule="exact"/>
        <w:rPr>
          <w:sz w:val="20"/>
          <w:szCs w:val="20"/>
          <w:color w:val="auto"/>
        </w:rPr>
      </w:pPr>
    </w:p>
    <w:p>
      <w:pPr>
        <w:ind w:right="2579" w:firstLine="851"/>
        <w:spacing w:after="0" w:line="254" w:lineRule="auto"/>
        <w:rPr>
          <w:sz w:val="20"/>
          <w:szCs w:val="20"/>
          <w:color w:val="auto"/>
        </w:rPr>
      </w:pPr>
      <w:r>
        <w:rPr>
          <w:rFonts w:ascii="Courier New" w:cs="Courier New" w:eastAsia="Courier New" w:hAnsi="Courier New"/>
          <w:sz w:val="16"/>
          <w:szCs w:val="16"/>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(i) the expiration of the term of such Options or (ii) the ninetieth day following the Participant's termination of employment, whichever period is shorter.</w:t>
      </w:r>
    </w:p>
    <w:p>
      <w:pPr>
        <w:spacing w:after="0" w:line="93" w:lineRule="exact"/>
        <w:rPr>
          <w:sz w:val="20"/>
          <w:szCs w:val="20"/>
          <w:color w:val="auto"/>
        </w:rPr>
      </w:pPr>
    </w:p>
    <w:p>
      <w:pPr>
        <w:ind w:right="2579" w:firstLine="851"/>
        <w:spacing w:after="0" w:line="248" w:lineRule="auto"/>
        <w:rPr>
          <w:sz w:val="20"/>
          <w:szCs w:val="20"/>
          <w:color w:val="auto"/>
        </w:rPr>
      </w:pPr>
      <w:r>
        <w:rPr>
          <w:rFonts w:ascii="Courier New" w:cs="Courier New" w:eastAsia="Courier New" w:hAnsi="Courier New"/>
          <w:sz w:val="16"/>
          <w:szCs w:val="16"/>
          <w:color w:val="auto"/>
        </w:rPr>
        <w:t>7.5 Limitations on Exercisability Following Termination of Employment. No Options shall be exercisable after termination of employment unless the 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Committee may require the Participant to forfeit all rights to any Options which have not been exercised prior to the date of the breach of the condition.</w:t>
      </w:r>
    </w:p>
    <w:p>
      <w:pPr>
        <w:spacing w:after="0" w:line="9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SECTION 8.</w:t>
      </w:r>
    </w:p>
    <w:p>
      <w:pPr>
        <w:spacing w:after="0" w:line="183"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CHANGE IN CONTROL</w:t>
      </w:r>
    </w:p>
    <w:p>
      <w:pPr>
        <w:spacing w:after="0" w:line="183" w:lineRule="exact"/>
        <w:rPr>
          <w:sz w:val="20"/>
          <w:szCs w:val="20"/>
          <w:color w:val="auto"/>
        </w:rPr>
      </w:pPr>
    </w:p>
    <w:p>
      <w:pPr>
        <w:ind w:right="2579" w:firstLine="851"/>
        <w:spacing w:after="0" w:line="254" w:lineRule="auto"/>
        <w:rPr>
          <w:sz w:val="20"/>
          <w:szCs w:val="20"/>
          <w:color w:val="auto"/>
        </w:rPr>
      </w:pPr>
      <w:r>
        <w:rPr>
          <w:rFonts w:ascii="Courier New" w:cs="Courier New" w:eastAsia="Courier New" w:hAnsi="Courier New"/>
          <w:sz w:val="16"/>
          <w:szCs w:val="16"/>
          <w:color w:val="auto"/>
        </w:rPr>
        <w:t>8.l Accelerated Vesting and Payment. Subject to the provisions of Section 8.2 below, in the event of a Change in Control, each Participant shall be permitted, in his discretion, to surrender any Option (excluding any Director Option) or portion thereof in exchange for a payment in cash of an amount equal to the excess of the Change in Control Price over the exercise price of the Option. Such right to surrender an Option in exchange for a payment in cash shall remain in effect only during the fifteen-day period commencing with the day following the date of a Change in Control. Thereafter, the Option shall only be</w:t>
      </w:r>
    </w:p>
    <w:p>
      <w:pPr>
        <w:sectPr>
          <w:pgSz w:w="11900" w:h="16838" w:orient="portrait"/>
          <w:cols w:equalWidth="0" w:num="1">
            <w:col w:w="10139"/>
          </w:cols>
          <w:pgMar w:left="320" w:top="27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10</w:t>
      </w:r>
    </w:p>
    <w:p>
      <w:pPr>
        <w:spacing w:after="0" w:line="29" w:lineRule="exact"/>
        <w:rPr>
          <w:sz w:val="20"/>
          <w:szCs w:val="20"/>
          <w:color w:val="auto"/>
        </w:rPr>
      </w:pPr>
    </w:p>
    <w:p>
      <w:pPr>
        <w:ind w:right="3039"/>
        <w:spacing w:after="0" w:line="315" w:lineRule="auto"/>
        <w:rPr>
          <w:sz w:val="20"/>
          <w:szCs w:val="20"/>
          <w:color w:val="auto"/>
        </w:rPr>
      </w:pPr>
      <w:r>
        <w:rPr>
          <w:rFonts w:ascii="Courier New" w:cs="Courier New" w:eastAsia="Courier New" w:hAnsi="Courier New"/>
          <w:sz w:val="16"/>
          <w:szCs w:val="16"/>
          <w:color w:val="auto"/>
        </w:rPr>
        <w:t>exercisable in accordance with the terms and conditions of the Stock Option Agreement and the provisions of the Plan.</w:t>
      </w:r>
    </w:p>
    <w:p>
      <w:pPr>
        <w:spacing w:after="0" w:line="42" w:lineRule="exact"/>
        <w:rPr>
          <w:sz w:val="20"/>
          <w:szCs w:val="20"/>
          <w:color w:val="auto"/>
        </w:rPr>
      </w:pPr>
    </w:p>
    <w:p>
      <w:pPr>
        <w:ind w:right="2579" w:firstLine="851"/>
        <w:spacing w:after="0" w:line="276" w:lineRule="auto"/>
        <w:rPr>
          <w:sz w:val="20"/>
          <w:szCs w:val="20"/>
          <w:color w:val="auto"/>
        </w:rPr>
      </w:pPr>
      <w:r>
        <w:rPr>
          <w:rFonts w:ascii="Courier New" w:cs="Courier New" w:eastAsia="Courier New" w:hAnsi="Courier New"/>
          <w:sz w:val="15"/>
          <w:szCs w:val="15"/>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74" w:lineRule="exact"/>
        <w:rPr>
          <w:sz w:val="20"/>
          <w:szCs w:val="20"/>
          <w:color w:val="auto"/>
        </w:rPr>
      </w:pPr>
    </w:p>
    <w:p>
      <w:pPr>
        <w:jc w:val="both"/>
        <w:ind w:right="3039" w:firstLine="848"/>
        <w:spacing w:after="0" w:line="385" w:lineRule="auto"/>
        <w:tabs>
          <w:tab w:leader="none" w:pos="123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based on stock which is traded on an established securities market, or which will be so traded within 60 days of the Change in Control;</w:t>
      </w:r>
    </w:p>
    <w:p>
      <w:pPr>
        <w:ind w:right="2579" w:firstLine="848"/>
        <w:spacing w:after="0" w:line="268" w:lineRule="auto"/>
        <w:tabs>
          <w:tab w:leader="none" w:pos="132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79" w:lineRule="exact"/>
        <w:rPr>
          <w:rFonts w:ascii="Courier New" w:cs="Courier New" w:eastAsia="Courier New" w:hAnsi="Courier New"/>
          <w:sz w:val="16"/>
          <w:szCs w:val="16"/>
          <w:color w:val="auto"/>
        </w:rPr>
      </w:pPr>
    </w:p>
    <w:p>
      <w:pPr>
        <w:ind w:right="3239" w:firstLine="848"/>
        <w:spacing w:after="0" w:line="352" w:lineRule="auto"/>
        <w:tabs>
          <w:tab w:leader="none" w:pos="141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substantially equivalent economic value to such Award (determined at the time of the Change in Control); and</w:t>
      </w:r>
    </w:p>
    <w:p>
      <w:pPr>
        <w:spacing w:after="0" w:line="14" w:lineRule="exact"/>
        <w:rPr>
          <w:rFonts w:ascii="Courier New" w:cs="Courier New" w:eastAsia="Courier New" w:hAnsi="Courier New"/>
          <w:sz w:val="16"/>
          <w:szCs w:val="16"/>
          <w:color w:val="auto"/>
        </w:rPr>
      </w:pPr>
    </w:p>
    <w:p>
      <w:pPr>
        <w:ind w:right="2579" w:firstLine="848"/>
        <w:spacing w:after="0" w:line="268" w:lineRule="auto"/>
        <w:tabs>
          <w:tab w:leader="none" w:pos="132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79" w:lineRule="exact"/>
        <w:rPr>
          <w:sz w:val="20"/>
          <w:szCs w:val="20"/>
          <w:color w:val="auto"/>
        </w:rPr>
      </w:pPr>
    </w:p>
    <w:p>
      <w:pPr>
        <w:ind w:right="2679" w:firstLine="851"/>
        <w:spacing w:after="0" w:line="290" w:lineRule="auto"/>
        <w:rPr>
          <w:sz w:val="20"/>
          <w:szCs w:val="20"/>
          <w:color w:val="auto"/>
        </w:rPr>
      </w:pPr>
      <w:r>
        <w:rPr>
          <w:rFonts w:ascii="Courier New" w:cs="Courier New" w:eastAsia="Courier New" w:hAnsi="Courier New"/>
          <w:sz w:val="15"/>
          <w:szCs w:val="15"/>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65" w:lineRule="exact"/>
        <w:rPr>
          <w:sz w:val="20"/>
          <w:szCs w:val="20"/>
          <w:color w:val="auto"/>
        </w:rPr>
      </w:pPr>
    </w:p>
    <w:p>
      <w:pPr>
        <w:ind w:right="2679" w:firstLine="851"/>
        <w:spacing w:after="0" w:line="283" w:lineRule="auto"/>
        <w:rPr>
          <w:sz w:val="20"/>
          <w:szCs w:val="20"/>
          <w:color w:val="auto"/>
        </w:rPr>
      </w:pPr>
      <w:r>
        <w:rPr>
          <w:rFonts w:ascii="Courier New" w:cs="Courier New" w:eastAsia="Courier New" w:hAnsi="Courier New"/>
          <w:sz w:val="15"/>
          <w:szCs w:val="15"/>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71" w:lineRule="exact"/>
        <w:rPr>
          <w:sz w:val="20"/>
          <w:szCs w:val="20"/>
          <w:color w:val="auto"/>
        </w:rPr>
      </w:pPr>
    </w:p>
    <w:p>
      <w:pPr>
        <w:ind w:right="2679" w:firstLine="851"/>
        <w:spacing w:after="0" w:line="268" w:lineRule="auto"/>
        <w:rPr>
          <w:sz w:val="20"/>
          <w:szCs w:val="20"/>
          <w:color w:val="auto"/>
        </w:rPr>
      </w:pPr>
      <w:r>
        <w:rPr>
          <w:rFonts w:ascii="Courier New" w:cs="Courier New" w:eastAsia="Courier New" w:hAnsi="Courier New"/>
          <w:sz w:val="16"/>
          <w:szCs w:val="16"/>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w:t>
      </w:r>
    </w:p>
    <w:p>
      <w:pPr>
        <w:sectPr>
          <w:pgSz w:w="11900" w:h="16838" w:orient="portrait"/>
          <w:cols w:equalWidth="0" w:num="1">
            <w:col w:w="10139"/>
          </w:cols>
          <w:pgMar w:left="320" w:top="27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11</w:t>
      </w:r>
    </w:p>
    <w:p>
      <w:pPr>
        <w:spacing w:after="0" w:line="29" w:lineRule="exact"/>
        <w:rPr>
          <w:sz w:val="20"/>
          <w:szCs w:val="20"/>
          <w:color w:val="auto"/>
        </w:rPr>
      </w:pPr>
    </w:p>
    <w:p>
      <w:pPr>
        <w:ind w:right="2579"/>
        <w:spacing w:after="0" w:line="277" w:lineRule="auto"/>
        <w:rPr>
          <w:sz w:val="20"/>
          <w:szCs w:val="20"/>
          <w:color w:val="auto"/>
        </w:rPr>
      </w:pPr>
      <w:r>
        <w:rPr>
          <w:rFonts w:ascii="Courier New" w:cs="Courier New" w:eastAsia="Courier New" w:hAnsi="Courier New"/>
          <w:sz w:val="16"/>
          <w:szCs w:val="16"/>
          <w:color w:val="auto"/>
        </w:rPr>
        <w:t>occur unless and until, in the opinion of the Company's counsel, such cash out could occur without such reporting person being potentially subject to liability under Section 16(b) of the Act by reason of such cash out.</w:t>
      </w:r>
    </w:p>
    <w:p>
      <w:pPr>
        <w:spacing w:after="0" w:line="7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SECTION 9.</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AMENDMENT, MODIFICATION, AND TERMINATION OF PLAN</w:t>
      </w:r>
    </w:p>
    <w:p>
      <w:pPr>
        <w:spacing w:after="0" w:line="183" w:lineRule="exact"/>
        <w:rPr>
          <w:sz w:val="20"/>
          <w:szCs w:val="20"/>
          <w:color w:val="auto"/>
        </w:rPr>
      </w:pPr>
    </w:p>
    <w:p>
      <w:pPr>
        <w:ind w:right="2579" w:firstLine="851"/>
        <w:spacing w:after="0" w:line="265" w:lineRule="auto"/>
        <w:rPr>
          <w:sz w:val="20"/>
          <w:szCs w:val="20"/>
          <w:color w:val="auto"/>
        </w:rPr>
      </w:pPr>
      <w:r>
        <w:rPr>
          <w:rFonts w:ascii="Courier New" w:cs="Courier New" w:eastAsia="Courier New" w:hAnsi="Courier New"/>
          <w:sz w:val="15"/>
          <w:szCs w:val="15"/>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27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SECTION 10.</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MISCELLANEOUS PROVISIONS</w:t>
      </w:r>
    </w:p>
    <w:p>
      <w:pPr>
        <w:spacing w:after="0" w:line="183" w:lineRule="exact"/>
        <w:rPr>
          <w:sz w:val="20"/>
          <w:szCs w:val="20"/>
          <w:color w:val="auto"/>
        </w:rPr>
      </w:pPr>
    </w:p>
    <w:p>
      <w:pPr>
        <w:ind w:right="2579" w:firstLine="851"/>
        <w:spacing w:after="0" w:line="265" w:lineRule="auto"/>
        <w:rPr>
          <w:sz w:val="20"/>
          <w:szCs w:val="20"/>
          <w:color w:val="auto"/>
        </w:rPr>
      </w:pPr>
      <w:r>
        <w:rPr>
          <w:rFonts w:ascii="Courier New" w:cs="Courier New" w:eastAsia="Courier New" w:hAnsi="Courier New"/>
          <w:sz w:val="15"/>
          <w:szCs w:val="15"/>
          <w:color w:val="auto"/>
        </w:rPr>
        <w:t>10.1 Assignability. With the permission of the Committee, a Participant or a specified group of Participants who has or have been granted a NSO under the Plan, may transfer such Option to a revocable inter vivos trust as to which the Participant is the settlor or may transfer such an Option to a "Permissible Transferee." A Permissible Transferee shall be defined as any member of the immediate family of the Participant, any trust, whether revocable or irrevocable, solely for the benefit of members of the Participant's immediate family, or any partnership or limited liability company whose only partners or members are members of the Participant's immediate family. Any such transferee of a NSO shall remain subject to all of the terms and conditions applicable to such NSO and subject to the rules and regulations prescribed by the Committee. A NSO may not be retransferred by a Permissible Transferee except by will or the laws of descent and distribution and then only to another Permissible Transferee. Other than as described above, an Award granted under the Plan may not be transferred except by will or the laws of descent and distribution and, during the lifetime of the Participant to whom granted, may be exercised only by him, his guardian or legal representative.</w:t>
      </w:r>
    </w:p>
    <w:p>
      <w:pPr>
        <w:sectPr>
          <w:pgSz w:w="11900" w:h="16838" w:orient="portrait"/>
          <w:cols w:equalWidth="0" w:num="1">
            <w:col w:w="10139"/>
          </w:cols>
          <w:pgMar w:left="320" w:top="27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12</w:t>
      </w:r>
    </w:p>
    <w:p>
      <w:pPr>
        <w:spacing w:after="0" w:line="29" w:lineRule="exact"/>
        <w:rPr>
          <w:sz w:val="20"/>
          <w:szCs w:val="20"/>
          <w:color w:val="auto"/>
        </w:rPr>
      </w:pPr>
    </w:p>
    <w:p>
      <w:pPr>
        <w:ind w:right="2579" w:firstLine="851"/>
        <w:spacing w:after="0" w:line="247" w:lineRule="auto"/>
        <w:rPr>
          <w:sz w:val="20"/>
          <w:szCs w:val="20"/>
          <w:color w:val="auto"/>
        </w:rPr>
      </w:pPr>
      <w:r>
        <w:rPr>
          <w:rFonts w:ascii="Courier New" w:cs="Courier New" w:eastAsia="Courier New" w:hAnsi="Courier New"/>
          <w:sz w:val="16"/>
          <w:szCs w:val="16"/>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98" w:lineRule="exact"/>
        <w:rPr>
          <w:sz w:val="20"/>
          <w:szCs w:val="20"/>
          <w:color w:val="auto"/>
        </w:rPr>
      </w:pPr>
    </w:p>
    <w:p>
      <w:pPr>
        <w:ind w:right="2579" w:firstLine="851"/>
        <w:spacing w:after="0" w:line="256" w:lineRule="auto"/>
        <w:rPr>
          <w:sz w:val="20"/>
          <w:szCs w:val="20"/>
          <w:color w:val="auto"/>
        </w:rPr>
      </w:pPr>
      <w:r>
        <w:rPr>
          <w:rFonts w:ascii="Courier New" w:cs="Courier New" w:eastAsia="Courier New" w:hAnsi="Courier New"/>
          <w:sz w:val="16"/>
          <w:szCs w:val="16"/>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90" w:lineRule="exact"/>
        <w:rPr>
          <w:sz w:val="20"/>
          <w:szCs w:val="20"/>
          <w:color w:val="auto"/>
        </w:rPr>
      </w:pPr>
    </w:p>
    <w:p>
      <w:pPr>
        <w:ind w:right="2579" w:firstLine="851"/>
        <w:spacing w:after="0" w:line="252" w:lineRule="auto"/>
        <w:rPr>
          <w:sz w:val="20"/>
          <w:szCs w:val="20"/>
          <w:color w:val="auto"/>
        </w:rPr>
      </w:pPr>
      <w:r>
        <w:rPr>
          <w:rFonts w:ascii="Courier New" w:cs="Courier New" w:eastAsia="Courier New" w:hAnsi="Courier New"/>
          <w:sz w:val="16"/>
          <w:szCs w:val="16"/>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89" w:lineRule="exact"/>
        <w:rPr>
          <w:sz w:val="20"/>
          <w:szCs w:val="20"/>
          <w:color w:val="auto"/>
        </w:rPr>
      </w:pPr>
    </w:p>
    <w:p>
      <w:pPr>
        <w:ind w:right="2579" w:firstLine="851"/>
        <w:spacing w:after="0" w:line="248" w:lineRule="auto"/>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ectPr>
          <w:pgSz w:w="11900" w:h="16838" w:orient="portrait"/>
          <w:cols w:equalWidth="0" w:num="1">
            <w:col w:w="10139"/>
          </w:cols>
          <w:pgMar w:left="320" w:top="27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13</w:t>
      </w:r>
    </w:p>
    <w:p>
      <w:pPr>
        <w:spacing w:after="0" w:line="29" w:lineRule="exact"/>
        <w:rPr>
          <w:sz w:val="20"/>
          <w:szCs w:val="20"/>
          <w:color w:val="auto"/>
        </w:rPr>
      </w:pPr>
    </w:p>
    <w:p>
      <w:pPr>
        <w:ind w:right="2759" w:firstLine="851"/>
        <w:spacing w:after="0" w:line="265" w:lineRule="auto"/>
        <w:rPr>
          <w:sz w:val="20"/>
          <w:szCs w:val="20"/>
          <w:color w:val="auto"/>
        </w:rPr>
      </w:pPr>
      <w:r>
        <w:rPr>
          <w:rFonts w:ascii="Courier New" w:cs="Courier New" w:eastAsia="Courier New" w:hAnsi="Courier New"/>
          <w:sz w:val="16"/>
          <w:szCs w:val="16"/>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81" w:lineRule="exact"/>
        <w:rPr>
          <w:sz w:val="20"/>
          <w:szCs w:val="20"/>
          <w:color w:val="auto"/>
        </w:rPr>
      </w:pPr>
    </w:p>
    <w:p>
      <w:pPr>
        <w:ind w:right="2579" w:firstLine="851"/>
        <w:spacing w:after="0" w:line="271" w:lineRule="auto"/>
        <w:rPr>
          <w:sz w:val="20"/>
          <w:szCs w:val="20"/>
          <w:color w:val="auto"/>
        </w:rPr>
      </w:pPr>
      <w:r>
        <w:rPr>
          <w:rFonts w:ascii="Courier New" w:cs="Courier New" w:eastAsia="Courier New" w:hAnsi="Courier New"/>
          <w:sz w:val="15"/>
          <w:szCs w:val="15"/>
          <w:color w:val="auto"/>
        </w:rPr>
        <w:t>10.7 International Employees. It is the Company's desire to provide the same motivation to materially increase shareholder value and to enable the 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Awards to employees who are subject to the tax laws of nations other than the United States, which Awards may have terms and conditions that differ from other Awards granted under the Plan for the purposes of complying with foreign tax laws.</w:t>
      </w:r>
    </w:p>
    <w:p>
      <w:pPr>
        <w:spacing w:after="0" w:line="82" w:lineRule="exact"/>
        <w:rPr>
          <w:sz w:val="20"/>
          <w:szCs w:val="20"/>
          <w:color w:val="auto"/>
        </w:rPr>
      </w:pPr>
    </w:p>
    <w:p>
      <w:pPr>
        <w:ind w:right="2579" w:firstLine="851"/>
        <w:spacing w:after="0" w:line="250" w:lineRule="auto"/>
        <w:rPr>
          <w:sz w:val="20"/>
          <w:szCs w:val="20"/>
          <w:color w:val="auto"/>
        </w:rPr>
      </w:pPr>
      <w:r>
        <w:rPr>
          <w:rFonts w:ascii="Courier New" w:cs="Courier New" w:eastAsia="Courier New" w:hAnsi="Courier New"/>
          <w:sz w:val="16"/>
          <w:szCs w:val="16"/>
          <w:color w:val="auto"/>
        </w:rPr>
        <w:t>10.8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92" w:lineRule="exact"/>
        <w:rPr>
          <w:sz w:val="20"/>
          <w:szCs w:val="20"/>
          <w:color w:val="auto"/>
        </w:rPr>
      </w:pPr>
    </w:p>
    <w:p>
      <w:pPr>
        <w:ind w:right="2579" w:firstLine="851"/>
        <w:spacing w:after="0" w:line="283" w:lineRule="auto"/>
        <w:rPr>
          <w:sz w:val="20"/>
          <w:szCs w:val="20"/>
          <w:color w:val="auto"/>
        </w:rPr>
      </w:pPr>
      <w:r>
        <w:rPr>
          <w:rFonts w:ascii="Courier New" w:cs="Courier New" w:eastAsia="Courier New" w:hAnsi="Courier New"/>
          <w:sz w:val="15"/>
          <w:szCs w:val="15"/>
          <w:color w:val="auto"/>
        </w:rPr>
        <w:t>10.9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71" w:lineRule="exact"/>
        <w:rPr>
          <w:sz w:val="20"/>
          <w:szCs w:val="20"/>
          <w:color w:val="auto"/>
        </w:rPr>
      </w:pPr>
    </w:p>
    <w:p>
      <w:pPr>
        <w:ind w:right="2759" w:firstLine="851"/>
        <w:spacing w:after="0" w:line="385" w:lineRule="auto"/>
        <w:rPr>
          <w:sz w:val="20"/>
          <w:szCs w:val="20"/>
          <w:color w:val="auto"/>
        </w:rPr>
      </w:pPr>
      <w:r>
        <w:rPr>
          <w:rFonts w:ascii="Courier New" w:cs="Courier New" w:eastAsia="Courier New" w:hAnsi="Courier New"/>
          <w:sz w:val="15"/>
          <w:szCs w:val="15"/>
          <w:color w:val="auto"/>
        </w:rPr>
        <w:t>10.10 Governing Law. The Plan, and all agreements hereunder, shall be construed in accordance with and governed by the laws of the State of Ohio.</w:t>
      </w:r>
    </w:p>
    <w:p>
      <w:pPr>
        <w:spacing w:after="0" w:line="1" w:lineRule="exact"/>
        <w:rPr>
          <w:sz w:val="20"/>
          <w:szCs w:val="20"/>
          <w:color w:val="auto"/>
        </w:rPr>
      </w:pPr>
    </w:p>
    <w:p>
      <w:pPr>
        <w:ind w:right="2859" w:firstLine="851"/>
        <w:spacing w:after="0" w:line="391" w:lineRule="auto"/>
        <w:rPr>
          <w:sz w:val="20"/>
          <w:szCs w:val="20"/>
          <w:color w:val="auto"/>
        </w:rPr>
      </w:pPr>
      <w:r>
        <w:rPr>
          <w:rFonts w:ascii="Courier New" w:cs="Courier New" w:eastAsia="Courier New" w:hAnsi="Courier New"/>
          <w:sz w:val="15"/>
          <w:szCs w:val="15"/>
          <w:color w:val="auto"/>
        </w:rPr>
        <w:t>10.11 No Impact On Benefits. Plan Awards are not compensation for purposes of calculating an Employee's rights under any employee benefit plan.</w:t>
      </w:r>
    </w:p>
    <w:p>
      <w:pPr>
        <w:sectPr>
          <w:pgSz w:w="11900" w:h="16838" w:orient="portrait"/>
          <w:cols w:equalWidth="0" w:num="1">
            <w:col w:w="10139"/>
          </w:cols>
          <w:pgMar w:left="320" w:top="271" w:right="1440" w:bottom="1440" w:gutter="0" w:footer="0" w:header="0"/>
        </w:sectPr>
      </w:pPr>
    </w:p>
    <w:bookmarkStart w:id="55" w:name="page56"/>
    <w:bookmarkEnd w:id="55"/>
    <w:p>
      <w:pPr>
        <w:ind w:left="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right="2839"/>
        <w:spacing w:after="0" w:line="27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AND CONSOLIDATED STATEMENT OF OPERATIONS OF THE SCOTTS COMPANY AND IS QUALIFIED IN ITS ENTIRETY BY REFERENCE TO THE FORM 10-Q FOR THE QUARTER ENDED JANUARY 1, 2000.</w:t>
      </w:r>
    </w:p>
    <w:p>
      <w:pPr>
        <w:spacing w:after="0" w:line="7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U.S. DOLLARS</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OTHER</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SEP-30-2000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OCT-01-1999</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JAN-01-2000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15,800,000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242,800,000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(17,500,000)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442,100,000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772,100,000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459,500,000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(203,500,000)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1,876,800,000</w:t>
      </w:r>
    </w:p>
    <w:p>
      <w:pPr>
        <w:spacing w:after="0" w:line="1"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423,700,000</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300,000</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382,800,000</w:t>
      </w:r>
    </w:p>
    <w:p>
      <w:pPr>
        <w:spacing w:after="0" w:line="1"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1,876,800,000</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191,500,000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190,500,000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117,600,000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97,700,000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(1,300,000)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23,700,000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(49,800,000)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20,200,000</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(29,600,000)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(29,600,000)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(1.28)</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(1.28)</w:t>
      </w:r>
    </w:p>
    <w:p>
      <w:pPr>
        <w:sectPr>
          <w:pgSz w:w="11900" w:h="16838" w:orient="portrait"/>
          <w:cols w:equalWidth="0" w:num="1">
            <w:col w:w="10119"/>
          </w:cols>
          <w:pgMar w:left="340" w:top="477" w:right="1440" w:bottom="1440" w:gutter="0" w:footer="0" w:header="0"/>
        </w:sectPr>
      </w:pPr>
    </w:p>
    <w:bookmarkStart w:id="56" w:name="page57"/>
    <w:bookmarkEnd w:id="56"/>
    <w:p>
      <w:pPr>
        <w:ind w:left="283"/>
        <w:spacing w:after="0"/>
        <w:rPr>
          <w:sz w:val="20"/>
          <w:szCs w:val="20"/>
          <w:color w:val="auto"/>
        </w:rPr>
      </w:pPr>
      <w:r>
        <w:rPr>
          <w:rFonts w:ascii="Courier New" w:cs="Courier New" w:eastAsia="Courier New" w:hAnsi="Courier New"/>
          <w:sz w:val="16"/>
          <w:szCs w:val="16"/>
          <w:color w:val="auto"/>
        </w:rPr>
        <w:t>1</w:t>
      </w:r>
    </w:p>
    <w:p>
      <w:pPr>
        <w:spacing w:after="0" w:line="29" w:lineRule="exact"/>
        <w:rPr>
          <w:sz w:val="20"/>
          <w:szCs w:val="20"/>
          <w:color w:val="auto"/>
        </w:rPr>
      </w:pPr>
    </w:p>
    <w:p>
      <w:pPr>
        <w:ind w:left="6623"/>
        <w:spacing w:after="0"/>
        <w:rPr>
          <w:sz w:val="20"/>
          <w:szCs w:val="20"/>
          <w:color w:val="auto"/>
        </w:rPr>
      </w:pPr>
      <w:r>
        <w:rPr>
          <w:rFonts w:ascii="Courier New" w:cs="Courier New" w:eastAsia="Courier New" w:hAnsi="Courier New"/>
          <w:sz w:val="15"/>
          <w:szCs w:val="15"/>
          <w:color w:val="auto"/>
        </w:rPr>
        <w:t>Exhibit 99</w:t>
      </w:r>
    </w:p>
    <w:p>
      <w:pPr>
        <w:sectPr>
          <w:pgSz w:w="11900" w:h="16838" w:orient="portrait"/>
          <w:cols w:equalWidth="0" w:num="1">
            <w:col w:w="10142"/>
          </w:cols>
          <w:pgMar w:left="317" w:top="113" w:right="1440" w:bottom="1440" w:gutter="0" w:footer="0" w:header="0"/>
        </w:sectPr>
      </w:pPr>
    </w:p>
    <w:p>
      <w:pPr>
        <w:spacing w:after="0" w:line="166"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The Scotts Company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 of 2</w:t>
      </w:r>
    </w:p>
    <w:p>
      <w:pPr>
        <w:spacing w:after="0" w:line="194" w:lineRule="exact"/>
        <w:rPr>
          <w:sz w:val="20"/>
          <w:szCs w:val="20"/>
          <w:color w:val="auto"/>
        </w:rPr>
      </w:pPr>
    </w:p>
    <w:p>
      <w:pPr>
        <w:sectPr>
          <w:pgSz w:w="11900" w:h="16838" w:orient="portrait"/>
          <w:cols w:equalWidth="0" w:num="2">
            <w:col w:w="5803" w:space="720"/>
            <w:col w:w="3619"/>
          </w:cols>
          <w:pgMar w:left="317" w:top="113" w:right="1440" w:bottom="1440" w:gutter="0" w:footer="0" w:header="0"/>
          <w:type w:val="continuous"/>
        </w:sectPr>
      </w:pPr>
    </w:p>
    <w:p>
      <w:pPr>
        <w:ind w:left="3"/>
        <w:spacing w:after="0"/>
        <w:tabs>
          <w:tab w:leader="none" w:pos="6603" w:val="left"/>
        </w:tabs>
        <w:rPr>
          <w:sz w:val="20"/>
          <w:szCs w:val="20"/>
          <w:color w:val="auto"/>
        </w:rPr>
      </w:pPr>
      <w:r>
        <w:rPr>
          <w:rFonts w:ascii="Courier New" w:cs="Courier New" w:eastAsia="Courier New" w:hAnsi="Courier New"/>
          <w:sz w:val="16"/>
          <w:szCs w:val="16"/>
          <w:color w:val="auto"/>
        </w:rPr>
        <w:t>THE SCOTTS COMPANY</w:t>
      </w:r>
      <w:r>
        <w:rPr>
          <w:sz w:val="20"/>
          <w:szCs w:val="20"/>
          <w:color w:val="auto"/>
        </w:rPr>
        <w:tab/>
      </w:r>
      <w:r>
        <w:rPr>
          <w:rFonts w:ascii="Courier New" w:cs="Courier New" w:eastAsia="Courier New" w:hAnsi="Courier New"/>
          <w:sz w:val="15"/>
          <w:szCs w:val="15"/>
          <w:color w:val="auto"/>
        </w:rPr>
        <w:t>NEWS</w:t>
      </w:r>
    </w:p>
    <w:p>
      <w:pPr>
        <w:sectPr>
          <w:pgSz w:w="11900" w:h="16838" w:orient="portrait"/>
          <w:cols w:equalWidth="0" w:num="1">
            <w:col w:w="10142"/>
          </w:cols>
          <w:pgMar w:left="317" w:top="113" w:right="1440" w:bottom="1440" w:gutter="0" w:footer="0" w:header="0"/>
          <w:type w:val="continuous"/>
        </w:sectPr>
      </w:pPr>
    </w:p>
    <w:p>
      <w:pPr>
        <w:spacing w:after="0" w:line="41" w:lineRule="exact"/>
        <w:rPr>
          <w:sz w:val="20"/>
          <w:szCs w:val="20"/>
          <w:color w:val="auto"/>
        </w:rPr>
      </w:pPr>
    </w:p>
    <w:p>
      <w:pPr>
        <w:ind w:left="183" w:hanging="183"/>
        <w:spacing w:after="0"/>
        <w:tabs>
          <w:tab w:leader="none" w:pos="18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8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SCOTTS TO SELL PROFESSIONAL TURF BUSINESS</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RETAINS VALUE-ADDED SEED AND HORTICULTURE BUSINESSES</w:t>
      </w:r>
    </w:p>
    <w:p>
      <w:pPr>
        <w:spacing w:after="0" w:line="183" w:lineRule="exact"/>
        <w:rPr>
          <w:sz w:val="20"/>
          <w:szCs w:val="20"/>
          <w:color w:val="auto"/>
        </w:rPr>
      </w:pPr>
    </w:p>
    <w:p>
      <w:pPr>
        <w:ind w:left="3" w:right="2959"/>
        <w:spacing w:after="0" w:line="277" w:lineRule="auto"/>
        <w:rPr>
          <w:sz w:val="20"/>
          <w:szCs w:val="20"/>
          <w:color w:val="auto"/>
        </w:rPr>
      </w:pPr>
      <w:r>
        <w:rPr>
          <w:rFonts w:ascii="Courier New" w:cs="Courier New" w:eastAsia="Courier New" w:hAnsi="Courier New"/>
          <w:sz w:val="16"/>
          <w:szCs w:val="16"/>
          <w:color w:val="auto"/>
        </w:rPr>
        <w:t>COLUMBUS, OHIO - February 7, 2000 -- The Scotts Company (NYSE: SMG) today announced that it has signed a letter of intent to sell, for an undisclosed amount, its North American Professional Turf business to The Andersons, Inc. (NASDAQ: ANDE) and Nu-Gro Corporation (TSE: NU).</w:t>
      </w:r>
    </w:p>
    <w:p>
      <w:pPr>
        <w:spacing w:after="0" w:line="73" w:lineRule="exact"/>
        <w:rPr>
          <w:sz w:val="20"/>
          <w:szCs w:val="20"/>
          <w:color w:val="auto"/>
        </w:rPr>
      </w:pPr>
    </w:p>
    <w:p>
      <w:pPr>
        <w:ind w:left="3" w:right="2859"/>
        <w:spacing w:after="0" w:line="352" w:lineRule="auto"/>
        <w:rPr>
          <w:sz w:val="20"/>
          <w:szCs w:val="20"/>
          <w:color w:val="auto"/>
        </w:rPr>
      </w:pPr>
      <w:r>
        <w:rPr>
          <w:rFonts w:ascii="Courier New" w:cs="Courier New" w:eastAsia="Courier New" w:hAnsi="Courier New"/>
          <w:sz w:val="16"/>
          <w:szCs w:val="16"/>
          <w:color w:val="auto"/>
        </w:rPr>
        <w:t>Scotts expects the transaction to close no later than May 2000 and to have no material impact on its financial results for the year.</w:t>
      </w:r>
    </w:p>
    <w:p>
      <w:pPr>
        <w:spacing w:after="0" w:line="14" w:lineRule="exact"/>
        <w:rPr>
          <w:sz w:val="20"/>
          <w:szCs w:val="20"/>
          <w:color w:val="auto"/>
        </w:rPr>
      </w:pPr>
    </w:p>
    <w:p>
      <w:pPr>
        <w:ind w:left="3" w:right="2579"/>
        <w:spacing w:after="0" w:line="263" w:lineRule="auto"/>
        <w:rPr>
          <w:sz w:val="20"/>
          <w:szCs w:val="20"/>
          <w:color w:val="auto"/>
        </w:rPr>
      </w:pPr>
      <w:r>
        <w:rPr>
          <w:rFonts w:ascii="Courier New" w:cs="Courier New" w:eastAsia="Courier New" w:hAnsi="Courier New"/>
          <w:sz w:val="16"/>
          <w:szCs w:val="16"/>
          <w:color w:val="auto"/>
        </w:rPr>
        <w:t>James Hagedorn, President, Scotts North America said, "Scotts' Professional Turf business is well established as a supplier of quality products and trusted brands among professional turf managers. Our decision to sell this business is a strategic decision to focus our resources on markets where our consumer brands and consumer marketing expertise have the greatest potential to create value for Scotts' shareholders."</w:t>
      </w:r>
    </w:p>
    <w:p>
      <w:pPr>
        <w:spacing w:after="0" w:line="82" w:lineRule="exact"/>
        <w:rPr>
          <w:sz w:val="20"/>
          <w:szCs w:val="20"/>
          <w:color w:val="auto"/>
        </w:rPr>
      </w:pPr>
    </w:p>
    <w:p>
      <w:pPr>
        <w:ind w:left="3" w:right="2579"/>
        <w:spacing w:after="0" w:line="263" w:lineRule="auto"/>
        <w:rPr>
          <w:sz w:val="20"/>
          <w:szCs w:val="20"/>
          <w:color w:val="auto"/>
        </w:rPr>
      </w:pPr>
      <w:r>
        <w:rPr>
          <w:rFonts w:ascii="Courier New" w:cs="Courier New" w:eastAsia="Courier New" w:hAnsi="Courier New"/>
          <w:sz w:val="16"/>
          <w:szCs w:val="16"/>
          <w:color w:val="auto"/>
        </w:rPr>
        <w:t>Scotts will retain the professional horticulture and grass seed segments of its Professional Business Group, which is important to Scotts' biotechnology efforts of value-added seeds and plants, which leverage the power of Scotts' consumer brands. For example, Scotts' horticulture business is conducting test markets using Miracle-Gro(R) branded plants to penetrate the $5 billion market for grass, flowers and woody ornamentals sold by professional growers.</w:t>
      </w:r>
    </w:p>
    <w:p>
      <w:pPr>
        <w:spacing w:after="0" w:line="82" w:lineRule="exact"/>
        <w:rPr>
          <w:sz w:val="20"/>
          <w:szCs w:val="20"/>
          <w:color w:val="auto"/>
        </w:rPr>
      </w:pPr>
    </w:p>
    <w:p>
      <w:pPr>
        <w:ind w:left="3" w:right="2679"/>
        <w:spacing w:after="0" w:line="263" w:lineRule="auto"/>
        <w:rPr>
          <w:sz w:val="20"/>
          <w:szCs w:val="20"/>
          <w:color w:val="auto"/>
        </w:rPr>
      </w:pPr>
      <w:r>
        <w:rPr>
          <w:rFonts w:ascii="Courier New" w:cs="Courier New" w:eastAsia="Courier New" w:hAnsi="Courier New"/>
          <w:sz w:val="16"/>
          <w:szCs w:val="16"/>
          <w:color w:val="auto"/>
        </w:rPr>
        <w:t>Under the Professional Turf sales agreement, The Andersons would acquire the rights in the U.S. to the Pro-Turf(R), Contec(TM), AccuPro(TM) and other professional turf brands and their associated distribution network and product inventories. Nu-Gro would acquire the same brands and their associated distribution network and inventories in Canada. The Scotts(R) brand name is not part of this transaction.</w:t>
      </w:r>
    </w:p>
    <w:p>
      <w:pPr>
        <w:spacing w:after="0" w:line="82" w:lineRule="exact"/>
        <w:rPr>
          <w:sz w:val="20"/>
          <w:szCs w:val="20"/>
          <w:color w:val="auto"/>
        </w:rPr>
      </w:pPr>
    </w:p>
    <w:p>
      <w:pPr>
        <w:ind w:left="3" w:right="2859"/>
        <w:spacing w:after="0" w:line="301" w:lineRule="auto"/>
        <w:rPr>
          <w:sz w:val="20"/>
          <w:szCs w:val="20"/>
          <w:color w:val="auto"/>
        </w:rPr>
      </w:pPr>
      <w:r>
        <w:rPr>
          <w:rFonts w:ascii="Courier New" w:cs="Courier New" w:eastAsia="Courier New" w:hAnsi="Courier New"/>
          <w:sz w:val="15"/>
          <w:szCs w:val="15"/>
          <w:color w:val="auto"/>
        </w:rPr>
        <w:t>The transaction includes a supply agreement under which Scotts will use its proprietary manufacturing processes to produce value-added professional turf products for The Andersons and Nu-Gro. The employees of the Professional Turf business are expected to remain with the operations under the new owners.</w:t>
      </w:r>
    </w:p>
    <w:p>
      <w:pPr>
        <w:spacing w:after="0" w:line="57" w:lineRule="exact"/>
        <w:rPr>
          <w:sz w:val="20"/>
          <w:szCs w:val="20"/>
          <w:color w:val="auto"/>
        </w:rPr>
      </w:pPr>
    </w:p>
    <w:p>
      <w:pPr>
        <w:ind w:left="3" w:right="2859"/>
        <w:spacing w:after="0" w:line="277" w:lineRule="auto"/>
        <w:rPr>
          <w:sz w:val="20"/>
          <w:szCs w:val="20"/>
          <w:color w:val="auto"/>
        </w:rPr>
      </w:pPr>
      <w:r>
        <w:rPr>
          <w:rFonts w:ascii="Courier New" w:cs="Courier New" w:eastAsia="Courier New" w:hAnsi="Courier New"/>
          <w:sz w:val="16"/>
          <w:szCs w:val="16"/>
          <w:color w:val="auto"/>
        </w:rPr>
        <w:t>The Andersons, based in Maumee, Ohio, is a leading regional supplier in the grain industry and a leader in particle size technology in the production of professional turf products, including its Tee Time(R), Andersons Professional Turf Products(TM) and other granular products.</w:t>
      </w:r>
    </w:p>
    <w:p>
      <w:pPr>
        <w:spacing w:after="0" w:line="73" w:lineRule="exact"/>
        <w:rPr>
          <w:sz w:val="20"/>
          <w:szCs w:val="20"/>
          <w:color w:val="auto"/>
        </w:rPr>
      </w:pPr>
    </w:p>
    <w:p>
      <w:pPr>
        <w:ind w:left="3" w:right="2679"/>
        <w:spacing w:after="0" w:line="263" w:lineRule="auto"/>
        <w:rPr>
          <w:sz w:val="20"/>
          <w:szCs w:val="20"/>
          <w:color w:val="auto"/>
        </w:rPr>
      </w:pPr>
      <w:r>
        <w:rPr>
          <w:rFonts w:ascii="Courier New" w:cs="Courier New" w:eastAsia="Courier New" w:hAnsi="Courier New"/>
          <w:sz w:val="16"/>
          <w:szCs w:val="16"/>
          <w:color w:val="auto"/>
        </w:rPr>
        <w:t>Nu-Gro, based in Brantford, Ontario, is a leading Canadian manufacturer and marketer of consumer lawn and garden and professional turf products, including the CIL(R) and Wilson(R) brands Through its subsidiaries in Canada and the United States, the company produces and distributes controlled-release nitrogen products to the fertilizer industry worldwide. Its products include Nitroform, Nutralene, Sulphur Coated Urea and IB Nitrogen.</w:t>
      </w:r>
    </w:p>
    <w:p>
      <w:pPr>
        <w:spacing w:after="0" w:line="82" w:lineRule="exact"/>
        <w:rPr>
          <w:sz w:val="20"/>
          <w:szCs w:val="20"/>
          <w:color w:val="auto"/>
        </w:rPr>
      </w:pPr>
    </w:p>
    <w:p>
      <w:pPr>
        <w:ind w:left="3" w:right="2579"/>
        <w:spacing w:after="0" w:line="296" w:lineRule="auto"/>
        <w:rPr>
          <w:sz w:val="20"/>
          <w:szCs w:val="20"/>
          <w:color w:val="auto"/>
        </w:rPr>
      </w:pPr>
      <w:r>
        <w:rPr>
          <w:rFonts w:ascii="Courier New" w:cs="Courier New" w:eastAsia="Courier New" w:hAnsi="Courier New"/>
          <w:sz w:val="16"/>
          <w:szCs w:val="16"/>
          <w:color w:val="auto"/>
        </w:rPr>
        <w:t>For more information on The Scotts Company including access to the Company's SEC filings, please visit the Company's investor relations web site at www.smgnyse.com.</w:t>
      </w:r>
    </w:p>
    <w:p>
      <w:pPr>
        <w:spacing w:after="0" w:line="57" w:lineRule="exact"/>
        <w:rPr>
          <w:sz w:val="20"/>
          <w:szCs w:val="20"/>
          <w:color w:val="auto"/>
        </w:rPr>
      </w:pPr>
    </w:p>
    <w:p>
      <w:pPr>
        <w:ind w:left="3" w:right="2579"/>
        <w:spacing w:after="0" w:line="277" w:lineRule="auto"/>
        <w:rPr>
          <w:sz w:val="20"/>
          <w:szCs w:val="20"/>
          <w:color w:val="auto"/>
        </w:rPr>
      </w:pPr>
      <w:r>
        <w:rPr>
          <w:rFonts w:ascii="Courier New" w:cs="Courier New" w:eastAsia="Courier New" w:hAnsi="Courier New"/>
          <w:sz w:val="16"/>
          <w:szCs w:val="16"/>
          <w:color w:val="auto"/>
        </w:rPr>
        <w:t>The Scotts Company is the world's leading supplier of consumer products for lawn and garden care, with a full range of products for professional turf care and horticulture as well. The Company owns what are by far the industry's most recognized brands. In the U.S., consumer awareness of the Company's Scotts(R),</w:t>
      </w:r>
    </w:p>
    <w:p>
      <w:pPr>
        <w:sectPr>
          <w:pgSz w:w="11900" w:h="16838" w:orient="portrait"/>
          <w:cols w:equalWidth="0" w:num="1">
            <w:col w:w="10142"/>
          </w:cols>
          <w:pgMar w:left="317" w:top="113" w:right="1440"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82"/>
        </w:trPr>
        <w:tc>
          <w:tcPr>
            <w:tcW w:w="4120" w:type="dxa"/>
            <w:vAlign w:val="bottom"/>
          </w:tcPr>
          <w:p>
            <w:pPr>
              <w:jc w:val="right"/>
              <w:ind w:right="3661"/>
              <w:spacing w:after="0"/>
              <w:rPr>
                <w:sz w:val="20"/>
                <w:szCs w:val="20"/>
                <w:color w:val="auto"/>
              </w:rPr>
            </w:pPr>
            <w:r>
              <w:rPr>
                <w:rFonts w:ascii="Courier New" w:cs="Courier New" w:eastAsia="Courier New" w:hAnsi="Courier New"/>
                <w:sz w:val="16"/>
                <w:szCs w:val="16"/>
                <w:color w:val="auto"/>
              </w:rPr>
              <w:t>2</w:t>
            </w:r>
          </w:p>
        </w:tc>
        <w:tc>
          <w:tcPr>
            <w:tcW w:w="3440" w:type="dxa"/>
            <w:vAlign w:val="bottom"/>
            <w:vMerge w:val="restart"/>
          </w:tcPr>
          <w:p>
            <w:pPr>
              <w:ind w:left="2400"/>
              <w:spacing w:after="0"/>
              <w:rPr>
                <w:sz w:val="20"/>
                <w:szCs w:val="20"/>
                <w:color w:val="auto"/>
              </w:rPr>
            </w:pPr>
            <w:r>
              <w:rPr>
                <w:rFonts w:ascii="Courier New" w:cs="Courier New" w:eastAsia="Courier New" w:hAnsi="Courier New"/>
                <w:sz w:val="16"/>
                <w:szCs w:val="16"/>
                <w:color w:val="auto"/>
                <w:w w:val="96"/>
              </w:rPr>
              <w:t>Page 2 of 2</w:t>
            </w:r>
          </w:p>
        </w:tc>
        <w:tc>
          <w:tcPr>
            <w:tcW w:w="0" w:type="dxa"/>
            <w:vAlign w:val="bottom"/>
          </w:tcPr>
          <w:p>
            <w:pPr>
              <w:spacing w:after="0"/>
              <w:rPr>
                <w:sz w:val="1"/>
                <w:szCs w:val="1"/>
                <w:color w:val="auto"/>
              </w:rPr>
            </w:pPr>
          </w:p>
        </w:tc>
      </w:tr>
      <w:tr>
        <w:trPr>
          <w:trHeight w:val="265"/>
        </w:trPr>
        <w:tc>
          <w:tcPr>
            <w:tcW w:w="4120" w:type="dxa"/>
            <w:vAlign w:val="bottom"/>
          </w:tcPr>
          <w:p>
            <w:pPr>
              <w:jc w:val="right"/>
              <w:ind w:right="2341"/>
              <w:spacing w:after="0"/>
              <w:rPr>
                <w:sz w:val="20"/>
                <w:szCs w:val="20"/>
                <w:color w:val="auto"/>
              </w:rPr>
            </w:pPr>
            <w:r>
              <w:rPr>
                <w:rFonts w:ascii="Courier New" w:cs="Courier New" w:eastAsia="Courier New" w:hAnsi="Courier New"/>
                <w:sz w:val="16"/>
                <w:szCs w:val="16"/>
                <w:color w:val="auto"/>
                <w:w w:val="97"/>
              </w:rPr>
              <w:t>The Scotts Company</w:t>
            </w:r>
          </w:p>
        </w:tc>
        <w:tc>
          <w:tcPr>
            <w:tcW w:w="34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2679"/>
        <w:spacing w:after="0" w:line="254" w:lineRule="auto"/>
        <w:rPr>
          <w:sz w:val="20"/>
          <w:szCs w:val="20"/>
          <w:color w:val="auto"/>
        </w:rPr>
      </w:pPr>
      <w:r>
        <w:rPr>
          <w:rFonts w:ascii="Courier New" w:cs="Courier New" w:eastAsia="Courier New" w:hAnsi="Courier New"/>
          <w:sz w:val="16"/>
          <w:szCs w:val="16"/>
          <w:color w:val="auto"/>
        </w:rPr>
        <w:t>Miracle-Gro(R) and Ortho(R) brands outscores the nearest competitors in their categories by several times, as does awareness of the consumer Roundup(R) brand which is marketed in North America and most of Europe exclusively by Scotts and owned by Monsanto. In the U.K., Scotts' brands include Weedol(R) and Pathclear(R), the top-selling consumer herbicides; Evergreen(R), the leading lawn fertilizer line; the Levington(R) line of lawn and garden products; and Miracle-Gro(R), the leading plant fertilizer. The Company's leading brands in continental Europe include KB(R) and Fertiligene(R) in France and NexaLotte(R) and Celaflor(R) in Germany.</w:t>
      </w:r>
    </w:p>
    <w:p>
      <w:pPr>
        <w:spacing w:after="0" w:line="93" w:lineRule="exact"/>
        <w:rPr>
          <w:sz w:val="20"/>
          <w:szCs w:val="20"/>
          <w:color w:val="auto"/>
        </w:rPr>
      </w:pPr>
    </w:p>
    <w:p>
      <w:pPr>
        <w:ind w:right="2579"/>
        <w:spacing w:after="0" w:line="256" w:lineRule="auto"/>
        <w:rPr>
          <w:sz w:val="20"/>
          <w:szCs w:val="20"/>
          <w:color w:val="auto"/>
        </w:rPr>
      </w:pPr>
      <w:r>
        <w:rPr>
          <w:rFonts w:ascii="Courier New" w:cs="Courier New" w:eastAsia="Courier New" w:hAnsi="Courier New"/>
          <w:sz w:val="16"/>
          <w:szCs w:val="16"/>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 looking information in this release, due to a variety of factors, including, but not limited to:</w:t>
      </w:r>
    </w:p>
    <w:p>
      <w:pPr>
        <w:spacing w:after="0" w:line="90" w:lineRule="exact"/>
        <w:rPr>
          <w:sz w:val="20"/>
          <w:szCs w:val="20"/>
          <w:color w:val="auto"/>
        </w:rPr>
      </w:pPr>
    </w:p>
    <w:p>
      <w:pPr>
        <w:ind w:right="2579"/>
        <w:spacing w:after="0" w:line="352" w:lineRule="auto"/>
        <w:rPr>
          <w:sz w:val="20"/>
          <w:szCs w:val="20"/>
          <w:color w:val="auto"/>
        </w:rPr>
      </w:pPr>
      <w:r>
        <w:rPr>
          <w:rFonts w:ascii="Courier New" w:cs="Courier New" w:eastAsia="Courier New" w:hAnsi="Courier New"/>
          <w:sz w:val="16"/>
          <w:szCs w:val="16"/>
          <w:color w:val="auto"/>
        </w:rPr>
        <w:t>o Continued marketplace acceptance of the Company's "pull" advertising marketing strategies;</w:t>
      </w:r>
    </w:p>
    <w:p>
      <w:pPr>
        <w:spacing w:after="0" w:line="14" w:lineRule="exact"/>
        <w:rPr>
          <w:sz w:val="20"/>
          <w:szCs w:val="20"/>
          <w:color w:val="auto"/>
        </w:rPr>
      </w:pPr>
    </w:p>
    <w:p>
      <w:pPr>
        <w:ind w:right="3339"/>
        <w:spacing w:after="0" w:line="352" w:lineRule="auto"/>
        <w:rPr>
          <w:sz w:val="20"/>
          <w:szCs w:val="20"/>
          <w:color w:val="auto"/>
        </w:rPr>
      </w:pPr>
      <w:r>
        <w:rPr>
          <w:rFonts w:ascii="Courier New" w:cs="Courier New" w:eastAsia="Courier New" w:hAnsi="Courier New"/>
          <w:sz w:val="16"/>
          <w:szCs w:val="16"/>
          <w:color w:val="auto"/>
        </w:rPr>
        <w:t>o The ability to maintain profit margins and to produce products and add production capacity on a timely basis;</w:t>
      </w:r>
    </w:p>
    <w:p>
      <w:pPr>
        <w:spacing w:after="0" w:line="14" w:lineRule="exact"/>
        <w:rPr>
          <w:sz w:val="20"/>
          <w:szCs w:val="20"/>
          <w:color w:val="auto"/>
        </w:rPr>
      </w:pPr>
    </w:p>
    <w:p>
      <w:pPr>
        <w:ind w:right="3139"/>
        <w:spacing w:after="0" w:line="352" w:lineRule="auto"/>
        <w:rPr>
          <w:sz w:val="20"/>
          <w:szCs w:val="20"/>
          <w:color w:val="auto"/>
        </w:rPr>
      </w:pPr>
      <w:r>
        <w:rPr>
          <w:rFonts w:ascii="Courier New" w:cs="Courier New" w:eastAsia="Courier New" w:hAnsi="Courier New"/>
          <w:sz w:val="16"/>
          <w:szCs w:val="16"/>
          <w:color w:val="auto"/>
        </w:rPr>
        <w:t>o Competition in the North American and European consumer and professional segments;</w:t>
      </w:r>
    </w:p>
    <w:p>
      <w:pPr>
        <w:spacing w:after="0" w:line="14" w:lineRule="exact"/>
        <w:rPr>
          <w:sz w:val="20"/>
          <w:szCs w:val="20"/>
          <w:color w:val="auto"/>
        </w:rPr>
      </w:pPr>
    </w:p>
    <w:p>
      <w:pPr>
        <w:ind w:right="2959"/>
        <w:spacing w:after="0" w:line="352" w:lineRule="auto"/>
        <w:rPr>
          <w:sz w:val="20"/>
          <w:szCs w:val="20"/>
          <w:color w:val="auto"/>
        </w:rPr>
      </w:pPr>
      <w:r>
        <w:rPr>
          <w:rFonts w:ascii="Courier New" w:cs="Courier New" w:eastAsia="Courier New" w:hAnsi="Courier New"/>
          <w:sz w:val="16"/>
          <w:szCs w:val="16"/>
          <w:color w:val="auto"/>
        </w:rPr>
        <w:t>o Competition between and the recent consolidation within the retail outlets selling the Company's products;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Public perceptions regarding the safety of the Company's products;</w:t>
      </w:r>
    </w:p>
    <w:p>
      <w:pPr>
        <w:spacing w:after="0" w:line="183" w:lineRule="exact"/>
        <w:rPr>
          <w:sz w:val="20"/>
          <w:szCs w:val="20"/>
          <w:color w:val="auto"/>
        </w:rPr>
      </w:pPr>
    </w:p>
    <w:p>
      <w:pPr>
        <w:ind w:right="2679"/>
        <w:spacing w:after="0" w:line="352" w:lineRule="auto"/>
        <w:rPr>
          <w:sz w:val="20"/>
          <w:szCs w:val="20"/>
          <w:color w:val="auto"/>
        </w:rPr>
      </w:pPr>
      <w:r>
        <w:rPr>
          <w:rFonts w:ascii="Courier New" w:cs="Courier New" w:eastAsia="Courier New" w:hAnsi="Courier New"/>
          <w:sz w:val="16"/>
          <w:szCs w:val="16"/>
          <w:color w:val="auto"/>
        </w:rPr>
        <w:t>o Changes in economic conditions, interest rates and currency exchange rates in the countries in which the Company operates;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The possibility of new competitors entering into the Company's business;</w:t>
      </w:r>
    </w:p>
    <w:p>
      <w:pPr>
        <w:spacing w:after="0" w:line="183" w:lineRule="exact"/>
        <w:rPr>
          <w:sz w:val="20"/>
          <w:szCs w:val="20"/>
          <w:color w:val="auto"/>
        </w:rPr>
      </w:pPr>
    </w:p>
    <w:p>
      <w:pPr>
        <w:ind w:right="2679"/>
        <w:spacing w:after="0" w:line="296" w:lineRule="auto"/>
        <w:rPr>
          <w:sz w:val="20"/>
          <w:szCs w:val="20"/>
          <w:color w:val="auto"/>
        </w:rPr>
      </w:pPr>
      <w:r>
        <w:rPr>
          <w:rFonts w:ascii="Courier New" w:cs="Courier New" w:eastAsia="Courier New" w:hAnsi="Courier New"/>
          <w:sz w:val="16"/>
          <w:szCs w:val="16"/>
          <w:color w:val="auto"/>
        </w:rPr>
        <w:t>o The ability to improve processes and business practices to keep pace with the economic, competitive and technological environment, including successful completion of the Company's Enterprise Resource Planning project;</w:t>
      </w:r>
    </w:p>
    <w:p>
      <w:pPr>
        <w:spacing w:after="0" w:line="57" w:lineRule="exact"/>
        <w:rPr>
          <w:sz w:val="20"/>
          <w:szCs w:val="20"/>
          <w:color w:val="auto"/>
        </w:rPr>
      </w:pPr>
    </w:p>
    <w:p>
      <w:pPr>
        <w:ind w:right="2579"/>
        <w:spacing w:after="0" w:line="352" w:lineRule="auto"/>
        <w:rPr>
          <w:sz w:val="20"/>
          <w:szCs w:val="20"/>
          <w:color w:val="auto"/>
        </w:rPr>
      </w:pPr>
      <w:r>
        <w:rPr>
          <w:rFonts w:ascii="Courier New" w:cs="Courier New" w:eastAsia="Courier New" w:hAnsi="Courier New"/>
          <w:sz w:val="16"/>
          <w:szCs w:val="16"/>
          <w:color w:val="auto"/>
        </w:rPr>
        <w:t>o The Company's ability, and that of its third party suppliers and customers, to address information technology issues related to the year 2000; and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The ability to integrate several recent acquisitions.</w:t>
      </w:r>
    </w:p>
    <w:p>
      <w:pPr>
        <w:spacing w:after="0" w:line="183" w:lineRule="exact"/>
        <w:rPr>
          <w:sz w:val="20"/>
          <w:szCs w:val="20"/>
          <w:color w:val="auto"/>
        </w:rPr>
      </w:pPr>
    </w:p>
    <w:p>
      <w:pPr>
        <w:ind w:right="2859"/>
        <w:spacing w:after="0" w:line="277" w:lineRule="auto"/>
        <w:rPr>
          <w:sz w:val="20"/>
          <w:szCs w:val="20"/>
          <w:color w:val="auto"/>
        </w:rPr>
      </w:pPr>
      <w:r>
        <w:rPr>
          <w:rFonts w:ascii="Courier New" w:cs="Courier New" w:eastAsia="Courier New" w:hAnsi="Courier New"/>
          <w:sz w:val="16"/>
          <w:szCs w:val="16"/>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sectPr>
      <w:pgSz w:w="11900" w:h="16838" w:orient="portrait"/>
      <w:cols w:equalWidth="0" w:num="1">
        <w:col w:w="10139"/>
      </w:cols>
      <w:pgMar w:left="32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1."/>
      <w:numFmt w:val="decimal"/>
      <w:start w:val="5"/>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3"/>
    </w:lvl>
  </w:abstractNum>
  <w:abstractNum w:abstractNumId="16">
    <w:nsid w:val="189A769B"/>
    <w:multiLevelType w:val="hybridMultilevel"/>
    <w:lvl w:ilvl="0">
      <w:lvlJc w:val="left"/>
      <w:lvlText w:val="%1."/>
      <w:numFmt w:val="decimal"/>
      <w:start w:val="14"/>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lvl w:ilvl="1">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lvl w:ilvl="1">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lvl w:ilvl="1">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1"/>
    </w:lvl>
    <w:lvl w:ilvl="1">
      <w:lvlJc w:val="left"/>
      <w:lvlText w:val="(%2)"/>
      <w:numFmt w:val="lowerLetter"/>
      <w:start w:val="9"/>
    </w:lvl>
  </w:abstractNum>
  <w:abstractNum w:abstractNumId="30">
    <w:nsid w:val="3006C83E"/>
    <w:multiLevelType w:val="hybridMultilevel"/>
    <w:lvl w:ilvl="0">
      <w:lvlJc w:val="left"/>
      <w:lvlText w:val="%1"/>
      <w:numFmt w:val="lowerLetter"/>
      <w:start w:val="1"/>
    </w:lvl>
    <w:lvl w:ilvl="1">
      <w:lvlJc w:val="left"/>
      <w:lvlText w:val="(%2)"/>
      <w:numFmt w:val="lowerRoman"/>
      <w:start w:val="2"/>
    </w:lvl>
  </w:abstractNum>
  <w:abstractNum w:abstractNumId="31">
    <w:nsid w:val="614FD4A1"/>
    <w:multiLevelType w:val="hybridMultilevel"/>
    <w:lvl w:ilvl="0">
      <w:lvlJc w:val="left"/>
      <w:lvlText w:val="(%1)"/>
      <w:numFmt w:val="lowerLetter"/>
      <w:start w:val="6"/>
    </w:lvl>
    <w:lvl w:ilvl="1">
      <w:lvlJc w:val="left"/>
      <w:lvlText w:val="%2"/>
      <w:numFmt w:val="lowerRoman"/>
      <w:start w:val="1"/>
    </w:lvl>
  </w:abstractNum>
  <w:abstractNum w:abstractNumId="32">
    <w:nsid w:val="419AC241"/>
    <w:multiLevelType w:val="hybridMultilevel"/>
    <w:lvl w:ilvl="0">
      <w:lvlJc w:val="left"/>
      <w:lvlText w:val="(%1)"/>
      <w:numFmt w:val="lowerLetter"/>
      <w:start w:val="9"/>
    </w:lvl>
  </w:abstractNum>
  <w:abstractNum w:abstractNumId="33">
    <w:nsid w:val="5577F8E1"/>
    <w:multiLevelType w:val="hybridMultilevel"/>
    <w:lvl w:ilvl="0">
      <w:lvlJc w:val="left"/>
      <w:lvlText w:val="(%1)"/>
      <w:numFmt w:val="lowerLetter"/>
      <w:start w:val="20"/>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2020-10-05T18:50:12Z</dcterms:created>
  <dcterms:modified xsi:type="dcterms:W3CDTF">2020-10-05T18:50:12Z</dcterms:modified>
</cp:coreProperties>
</file>