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728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72821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Scheiwer Mark J</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0" w:type="dxa"/>
            <w:vAlign w:val="bottom"/>
            <w:gridSpan w:val="2"/>
            <w:vMerge w:val="continue"/>
          </w:tcPr>
          <w:p>
            <w:pPr>
              <w:spacing w:after="0"/>
              <w:rPr>
                <w:sz w:val="12"/>
                <w:szCs w:val="12"/>
                <w:color w:val="auto"/>
              </w:rPr>
            </w:pPr>
          </w:p>
        </w:tc>
        <w:tc>
          <w:tcPr>
            <w:tcW w:w="3500" w:type="dxa"/>
            <w:vAlign w:val="bottom"/>
            <w:gridSpan w:val="2"/>
            <w:vMerge w:val="continue"/>
          </w:tcPr>
          <w:p>
            <w:pPr>
              <w:spacing w:after="0"/>
              <w:rPr>
                <w:sz w:val="12"/>
                <w:szCs w:val="1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0"/>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480" w:type="dxa"/>
            <w:vAlign w:val="bottom"/>
            <w:gridSpan w:val="3"/>
            <w:vMerge w:val="continue"/>
          </w:tcPr>
          <w:p>
            <w:pPr>
              <w:spacing w:after="0"/>
              <w:rPr>
                <w:sz w:val="13"/>
                <w:szCs w:val="13"/>
                <w:color w:val="auto"/>
              </w:rPr>
            </w:pPr>
          </w:p>
        </w:tc>
        <w:tc>
          <w:tcPr>
            <w:tcW w:w="1200" w:type="dxa"/>
            <w:vAlign w:val="bottom"/>
          </w:tcPr>
          <w:p>
            <w:pPr>
              <w:spacing w:after="0"/>
              <w:rPr>
                <w:sz w:val="13"/>
                <w:szCs w:val="13"/>
                <w:color w:val="auto"/>
              </w:rPr>
            </w:pPr>
          </w:p>
        </w:tc>
        <w:tc>
          <w:tcPr>
            <w:tcW w:w="1760" w:type="dxa"/>
            <w:vAlign w:val="bottom"/>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0000FF"/>
              </w:rPr>
              <w:t>EVP, CFO &amp; CAO</w:t>
            </w:r>
          </w:p>
        </w:tc>
        <w:tc>
          <w:tcPr>
            <w:tcW w:w="0" w:type="dxa"/>
            <w:vAlign w:val="bottom"/>
          </w:tcPr>
          <w:p>
            <w:pPr>
              <w:spacing w:after="0"/>
              <w:rPr>
                <w:sz w:val="1"/>
                <w:szCs w:val="1"/>
                <w:color w:val="auto"/>
              </w:rPr>
            </w:pPr>
          </w:p>
        </w:tc>
      </w:tr>
      <w:tr>
        <w:trPr>
          <w:trHeight w:val="74"/>
        </w:trPr>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3180" w:type="dxa"/>
            <w:vAlign w:val="bottom"/>
            <w:tcBorders>
              <w:bottom w:val="single" w:sz="8" w:color="808080"/>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83"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Derivative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w w:val="96"/>
              </w:rPr>
              <w:t>4 and 5)</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6"/>
              </w:rPr>
              <w:t>Expiration</w:t>
            </w:r>
          </w:p>
        </w:tc>
        <w:tc>
          <w:tcPr>
            <w:tcW w:w="66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0000FF"/>
              </w:rPr>
              <w:t>50</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500" w:type="dxa"/>
            <w:vAlign w:val="bottom"/>
            <w:vMerge w:val="restart"/>
          </w:tcPr>
          <w:p>
            <w:pPr>
              <w:jc w:val="right"/>
              <w:ind w:right="145"/>
              <w:spacing w:after="0"/>
              <w:rPr>
                <w:sz w:val="20"/>
                <w:szCs w:val="20"/>
                <w:color w:val="auto"/>
              </w:rPr>
            </w:pPr>
            <w:r>
              <w:rPr>
                <w:rFonts w:ascii="Times New Roman" w:cs="Times New Roman" w:eastAsia="Times New Roman" w:hAnsi="Times New Roman"/>
                <w:sz w:val="12"/>
                <w:szCs w:val="12"/>
                <w:color w:val="0000FF"/>
              </w:rPr>
              <w:t>50</w:t>
            </w:r>
          </w:p>
        </w:tc>
        <w:tc>
          <w:tcPr>
            <w:tcW w:w="280" w:type="dxa"/>
            <w:vAlign w:val="bottom"/>
          </w:tcPr>
          <w:p>
            <w:pPr>
              <w:spacing w:after="0"/>
              <w:rPr>
                <w:sz w:val="6"/>
                <w:szCs w:val="6"/>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jc w:val="right"/>
              <w:ind w:right="285"/>
              <w:spacing w:after="0"/>
              <w:rPr>
                <w:sz w:val="20"/>
                <w:szCs w:val="20"/>
                <w:color w:val="auto"/>
              </w:rPr>
            </w:pPr>
            <w:r>
              <w:rPr>
                <w:rFonts w:ascii="Times New Roman" w:cs="Times New Roman" w:eastAsia="Times New Roman" w:hAnsi="Times New Roman"/>
                <w:sz w:val="12"/>
                <w:szCs w:val="12"/>
                <w:color w:val="0000FF"/>
              </w:rPr>
              <w:t>363</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16"/>
                <w:szCs w:val="1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16"/>
                <w:szCs w:val="16"/>
                <w:color w:val="auto"/>
              </w:rPr>
            </w:pPr>
          </w:p>
        </w:tc>
        <w:tc>
          <w:tcPr>
            <w:tcW w:w="500" w:type="dxa"/>
            <w:vAlign w:val="bottom"/>
            <w:vMerge w:val="restart"/>
          </w:tcPr>
          <w:p>
            <w:pPr>
              <w:jc w:val="right"/>
              <w:ind w:right="65"/>
              <w:spacing w:after="0"/>
              <w:rPr>
                <w:sz w:val="20"/>
                <w:szCs w:val="20"/>
                <w:color w:val="auto"/>
              </w:rPr>
            </w:pPr>
            <w:r>
              <w:rPr>
                <w:rFonts w:ascii="Times New Roman" w:cs="Times New Roman" w:eastAsia="Times New Roman" w:hAnsi="Times New Roman"/>
                <w:sz w:val="12"/>
                <w:szCs w:val="12"/>
                <w:color w:val="0000FF"/>
              </w:rPr>
              <w:t>14.07</w:t>
            </w:r>
          </w:p>
        </w:tc>
        <w:tc>
          <w:tcPr>
            <w:tcW w:w="280" w:type="dxa"/>
            <w:vAlign w:val="bottom"/>
          </w:tcPr>
          <w:p>
            <w:pPr>
              <w:spacing w:after="0"/>
              <w:rPr>
                <w:sz w:val="16"/>
                <w:szCs w:val="16"/>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0000FF"/>
              </w:rPr>
              <w:t>14.07</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860" w:type="dxa"/>
            <w:vAlign w:val="bottom"/>
            <w:vMerge w:val="restart"/>
          </w:tcPr>
          <w:p>
            <w:pPr>
              <w:jc w:val="right"/>
              <w:ind w:right="165"/>
              <w:spacing w:after="0"/>
              <w:rPr>
                <w:sz w:val="20"/>
                <w:szCs w:val="20"/>
                <w:color w:val="auto"/>
              </w:rPr>
            </w:pPr>
            <w:r>
              <w:rPr>
                <w:rFonts w:ascii="Times New Roman" w:cs="Times New Roman" w:eastAsia="Times New Roman" w:hAnsi="Times New Roman"/>
                <w:sz w:val="12"/>
                <w:szCs w:val="12"/>
                <w:color w:val="0000FF"/>
              </w:rPr>
              <w:t>1,187.36</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Shares</w:t>
            </w: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7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4" w:lineRule="exact"/>
        <w:rPr>
          <w:rFonts w:ascii="Times New Roman" w:cs="Times New Roman" w:eastAsia="Times New Roman" w:hAnsi="Times New Roman"/>
          <w:sz w:val="12"/>
          <w:szCs w:val="12"/>
          <w:color w:val="008000"/>
        </w:rPr>
      </w:pPr>
    </w:p>
    <w:p>
      <w:pPr>
        <w:ind w:left="160" w:hanging="11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phantom stock represents the right to receive one common share of Issuer or the cash value thereof.</w:t>
      </w:r>
    </w:p>
    <w:p>
      <w:pPr>
        <w:spacing w:after="0" w:line="54" w:lineRule="exact"/>
        <w:rPr>
          <w:rFonts w:ascii="Times New Roman" w:cs="Times New Roman" w:eastAsia="Times New Roman" w:hAnsi="Times New Roman"/>
          <w:sz w:val="12"/>
          <w:szCs w:val="12"/>
          <w:color w:val="008000"/>
        </w:rPr>
      </w:pPr>
    </w:p>
    <w:p>
      <w:pPr>
        <w:ind w:left="40" w:right="24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phantom stock are payable in cash following termination of the reporting person's employment with Issuer. The reporting person may transfer his/her phantom stock into an alternative investment at any time.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760" w:type="dxa"/>
            <w:vAlign w:val="bottom"/>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in-fact for Mark J. Scheiwer</w:t>
            </w:r>
          </w:p>
        </w:tc>
        <w:tc>
          <w:tcPr>
            <w:tcW w:w="18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60" w:type="dxa"/>
            <w:vAlign w:val="bottom"/>
            <w:tcBorders>
              <w:bottom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016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2025-12-08T14:55:53Z</dcterms:created>
  <dcterms:modified xsi:type="dcterms:W3CDTF">2025-12-08T14:55:53Z</dcterms:modified>
</cp:coreProperties>
</file>