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jc w:val="center"/>
        <w:ind w:right="4239"/>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jc w:val="center"/>
        <w:ind w:right="43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4319"/>
        <w:spacing w:after="0"/>
        <w:tabs>
          <w:tab w:leader="none" w:pos="180" w:val="left"/>
        </w:tabs>
        <w:rPr>
          <w:sz w:val="20"/>
          <w:szCs w:val="20"/>
          <w:color w:val="auto"/>
        </w:rPr>
      </w:pPr>
      <w:r>
        <w:rPr>
          <w:rFonts w:ascii="Courier New" w:cs="Courier New" w:eastAsia="Courier New" w:hAnsi="Courier New"/>
          <w:sz w:val="15"/>
          <w:szCs w:val="15"/>
          <w:color w:val="auto"/>
        </w:rPr>
        <w:t>WASHINGTON, D. C.</w:t>
        <w:tab/>
        <w:t>20549</w:t>
      </w:r>
    </w:p>
    <w:p>
      <w:pPr>
        <w:spacing w:after="0" w:line="185" w:lineRule="exact"/>
        <w:rPr>
          <w:sz w:val="24"/>
          <w:szCs w:val="24"/>
          <w:color w:val="auto"/>
        </w:rPr>
      </w:pPr>
    </w:p>
    <w:p>
      <w:pPr>
        <w:ind w:left="1380" w:hanging="1293"/>
        <w:spacing w:after="0"/>
        <w:tabs>
          <w:tab w:leader="none" w:pos="13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w:t>
      </w:r>
    </w:p>
    <w:p>
      <w:pPr>
        <w:spacing w:after="0" w:line="7" w:lineRule="exact"/>
        <w:rPr>
          <w:rFonts w:ascii="Courier New" w:cs="Courier New" w:eastAsia="Courier New" w:hAnsi="Courier New"/>
          <w:sz w:val="15"/>
          <w:szCs w:val="15"/>
          <w:color w:val="auto"/>
        </w:rPr>
      </w:pPr>
    </w:p>
    <w:p>
      <w:pPr>
        <w:ind w:left="1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85" w:lineRule="exact"/>
        <w:rPr>
          <w:sz w:val="24"/>
          <w:szCs w:val="24"/>
          <w:color w:val="auto"/>
        </w:rPr>
      </w:pPr>
    </w:p>
    <w:p>
      <w:pPr>
        <w:jc w:val="center"/>
        <w:ind w:right="4339"/>
        <w:spacing w:after="0"/>
        <w:rPr>
          <w:sz w:val="20"/>
          <w:szCs w:val="20"/>
          <w:color w:val="auto"/>
        </w:rPr>
      </w:pPr>
      <w:r>
        <w:rPr>
          <w:rFonts w:ascii="Courier New" w:cs="Courier New" w:eastAsia="Courier New" w:hAnsi="Courier New"/>
          <w:sz w:val="15"/>
          <w:szCs w:val="15"/>
          <w:color w:val="auto"/>
        </w:rPr>
        <w:t>For the quarterly period ended April 2, 1994</w:t>
      </w:r>
    </w:p>
    <w:p>
      <w:pPr>
        <w:spacing w:after="0" w:line="185"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19"/>
          </w:cols>
          <w:pgMar w:left="240" w:top="1440" w:right="1440" w:bottom="0" w:gutter="0" w:footer="0" w:header="0"/>
        </w:sectPr>
      </w:pPr>
    </w:p>
    <w:p>
      <w:pPr>
        <w:spacing w:after="0" w:line="18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3959"/>
        <w:spacing w:after="0"/>
        <w:rPr>
          <w:sz w:val="20"/>
          <w:szCs w:val="20"/>
          <w:color w:val="auto"/>
        </w:rPr>
      </w:pPr>
      <w:r>
        <w:rPr>
          <w:rFonts w:ascii="Courier New" w:cs="Courier New" w:eastAsia="Courier New" w:hAnsi="Courier New"/>
          <w:sz w:val="15"/>
          <w:szCs w:val="15"/>
          <w:color w:val="auto"/>
        </w:rPr>
        <w:t>TRANSITION REPORT PURSUANT TO SECTION 13 OR</w:t>
      </w:r>
    </w:p>
    <w:p>
      <w:pPr>
        <w:spacing w:after="0" w:line="8" w:lineRule="exact"/>
        <w:rPr>
          <w:sz w:val="24"/>
          <w:szCs w:val="24"/>
          <w:color w:val="auto"/>
        </w:rPr>
      </w:pPr>
    </w:p>
    <w:p>
      <w:pPr>
        <w:jc w:val="center"/>
        <w:ind w:right="5419"/>
        <w:spacing w:after="0"/>
        <w:rPr>
          <w:sz w:val="20"/>
          <w:szCs w:val="20"/>
          <w:color w:val="auto"/>
        </w:rPr>
      </w:pPr>
      <w:r>
        <w:rPr>
          <w:rFonts w:ascii="Courier New" w:cs="Courier New" w:eastAsia="Courier New" w:hAnsi="Courier New"/>
          <w:sz w:val="15"/>
          <w:szCs w:val="15"/>
          <w:color w:val="auto"/>
        </w:rPr>
        <w:t>15(d)</w:t>
      </w:r>
    </w:p>
    <w:p>
      <w:pPr>
        <w:spacing w:after="0" w:line="8" w:lineRule="exact"/>
        <w:rPr>
          <w:sz w:val="24"/>
          <w:szCs w:val="24"/>
          <w:color w:val="auto"/>
        </w:rPr>
      </w:pPr>
    </w:p>
    <w:p>
      <w:pPr>
        <w:jc w:val="center"/>
        <w:ind w:right="551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85" w:lineRule="exact"/>
        <w:rPr>
          <w:sz w:val="24"/>
          <w:szCs w:val="24"/>
          <w:color w:val="auto"/>
        </w:rPr>
      </w:pPr>
    </w:p>
    <w:p>
      <w:pPr>
        <w:sectPr>
          <w:pgSz w:w="11900" w:h="16838" w:orient="portrait"/>
          <w:cols w:equalWidth="0" w:num="3">
            <w:col w:w="280" w:space="260"/>
            <w:col w:w="100" w:space="560"/>
            <w:col w:w="9019"/>
          </w:cols>
          <w:pgMar w:left="240" w:top="1440" w:right="1440" w:bottom="0" w:gutter="0" w:footer="0" w:header="0"/>
          <w:type w:val="continuous"/>
        </w:sectPr>
      </w:pPr>
    </w:p>
    <w:p>
      <w:pPr>
        <w:ind w:left="280"/>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85"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Commission file number 0-19768</w:t>
      </w:r>
    </w:p>
    <w:p>
      <w:pPr>
        <w:spacing w:after="0" w:line="185"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THE SCOTTS COMPANY</w:t>
      </w:r>
    </w:p>
    <w:p>
      <w:pPr>
        <w:spacing w:after="0" w:line="8"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1440" w:right="1440" w:bottom="0" w:gutter="0" w:footer="0" w:header="0"/>
          <w:type w:val="continuous"/>
        </w:sectPr>
      </w:pPr>
    </w:p>
    <w:p>
      <w:pPr>
        <w:spacing w:after="0" w:line="185"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jc w:val="center"/>
        <w:ind w:right="4219"/>
        <w:spacing w:after="0"/>
        <w:rPr>
          <w:sz w:val="20"/>
          <w:szCs w:val="20"/>
          <w:color w:val="auto"/>
        </w:rPr>
      </w:pPr>
      <w:r>
        <w:rPr>
          <w:rFonts w:ascii="Courier New" w:cs="Courier New" w:eastAsia="Courier New" w:hAnsi="Courier New"/>
          <w:sz w:val="15"/>
          <w:szCs w:val="15"/>
          <w:color w:val="auto"/>
        </w:rPr>
        <w:t>31-199481</w:t>
      </w:r>
    </w:p>
    <w:p>
      <w:pPr>
        <w:spacing w:after="0" w:line="8" w:lineRule="exact"/>
        <w:rPr>
          <w:sz w:val="24"/>
          <w:szCs w:val="24"/>
          <w:color w:val="auto"/>
        </w:rPr>
      </w:pPr>
    </w:p>
    <w:p>
      <w:pPr>
        <w:jc w:val="center"/>
        <w:ind w:right="4319"/>
        <w:spacing w:after="0"/>
        <w:tabs>
          <w:tab w:leader="none" w:pos="82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8" w:lineRule="exact"/>
        <w:rPr>
          <w:sz w:val="24"/>
          <w:szCs w:val="24"/>
          <w:color w:val="auto"/>
        </w:rPr>
      </w:pPr>
    </w:p>
    <w:p>
      <w:pPr>
        <w:jc w:val="center"/>
        <w:ind w:right="4219"/>
        <w:spacing w:after="0"/>
        <w:rPr>
          <w:sz w:val="20"/>
          <w:szCs w:val="20"/>
          <w:color w:val="auto"/>
        </w:rPr>
      </w:pPr>
      <w:r>
        <w:rPr>
          <w:rFonts w:ascii="Courier New" w:cs="Courier New" w:eastAsia="Courier New" w:hAnsi="Courier New"/>
          <w:sz w:val="15"/>
          <w:szCs w:val="15"/>
          <w:color w:val="auto"/>
        </w:rPr>
        <w:t>Identification No.)</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5"/>
          <w:szCs w:val="15"/>
          <w:color w:val="auto"/>
        </w:rPr>
        <w:t>incorporation or organization)</w:t>
      </w:r>
    </w:p>
    <w:p>
      <w:pPr>
        <w:spacing w:after="0" w:line="185"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14111 Scottslawn Road</w:t>
      </w:r>
    </w:p>
    <w:p>
      <w:pPr>
        <w:spacing w:after="0" w:line="8" w:lineRule="exact"/>
        <w:rPr>
          <w:sz w:val="24"/>
          <w:szCs w:val="24"/>
          <w:color w:val="auto"/>
        </w:rPr>
      </w:pPr>
    </w:p>
    <w:p>
      <w:pPr>
        <w:ind w:left="2480"/>
        <w:spacing w:after="0"/>
        <w:tabs>
          <w:tab w:leader="none" w:pos="4120" w:val="left"/>
        </w:tabs>
        <w:rPr>
          <w:sz w:val="20"/>
          <w:szCs w:val="20"/>
          <w:color w:val="auto"/>
        </w:rPr>
      </w:pPr>
      <w:r>
        <w:rPr>
          <w:rFonts w:ascii="Courier New" w:cs="Courier New" w:eastAsia="Courier New" w:hAnsi="Courier New"/>
          <w:sz w:val="15"/>
          <w:szCs w:val="15"/>
          <w:color w:val="auto"/>
        </w:rPr>
        <w:t>Marysville, Ohio</w:t>
        <w:tab/>
        <w:t>43041</w:t>
      </w:r>
    </w:p>
    <w:p>
      <w:pPr>
        <w:spacing w:after="0" w:line="8"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8"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(Zip Code)</w:t>
      </w:r>
    </w:p>
    <w:p>
      <w:pPr>
        <w:spacing w:after="0" w:line="185" w:lineRule="exact"/>
        <w:rPr>
          <w:sz w:val="24"/>
          <w:szCs w:val="24"/>
          <w:color w:val="auto"/>
        </w:rPr>
      </w:pPr>
    </w:p>
    <w:p>
      <w:pPr>
        <w:ind w:left="3680"/>
        <w:spacing w:after="0"/>
        <w:rPr>
          <w:sz w:val="20"/>
          <w:szCs w:val="20"/>
          <w:color w:val="auto"/>
        </w:rPr>
      </w:pPr>
      <w:r>
        <w:rPr>
          <w:rFonts w:ascii="Courier New" w:cs="Courier New" w:eastAsia="Courier New" w:hAnsi="Courier New"/>
          <w:sz w:val="15"/>
          <w:szCs w:val="15"/>
          <w:color w:val="auto"/>
        </w:rPr>
        <w:t>(513) 644-0011</w:t>
      </w:r>
    </w:p>
    <w:p>
      <w:pPr>
        <w:spacing w:after="0" w:line="18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 change)</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(Former name, former address and former fiscal year, if changed</w:t>
      </w:r>
    </w:p>
    <w:p>
      <w:pPr>
        <w:spacing w:after="0" w:line="8"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since last report.)</w:t>
      </w:r>
    </w:p>
    <w:p>
      <w:pPr>
        <w:spacing w:after="0" w:line="185" w:lineRule="exact"/>
        <w:rPr>
          <w:sz w:val="24"/>
          <w:szCs w:val="24"/>
          <w:color w:val="auto"/>
        </w:rPr>
      </w:pPr>
    </w:p>
    <w:p>
      <w:pPr>
        <w:ind w:right="4419"/>
        <w:spacing w:after="0" w:line="251"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3220"/>
        <w:spacing w:after="0"/>
        <w:tabs>
          <w:tab w:leader="none" w:pos="3760" w:val="left"/>
          <w:tab w:leader="none" w:pos="412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185" w:lineRule="exact"/>
        <w:rPr>
          <w:sz w:val="24"/>
          <w:szCs w:val="24"/>
          <w:color w:val="auto"/>
        </w:rPr>
      </w:pPr>
    </w:p>
    <w:p>
      <w:pPr>
        <w:ind w:right="4219"/>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1440" w:right="1440" w:bottom="0" w:gutter="0" w:footer="0" w:header="0"/>
          <w:type w:val="continuous"/>
        </w:sectPr>
      </w:pPr>
    </w:p>
    <w:p>
      <w:pPr>
        <w:spacing w:after="0" w:line="174"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Class A</w:t>
      </w:r>
    </w:p>
    <w:p>
      <w:pPr>
        <w:spacing w:after="0" w:line="18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Common Stock, voting, $.01</w:t>
      </w:r>
    </w:p>
    <w:p>
      <w:pPr>
        <w:spacing w:after="0" w:line="8"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5239"/>
        <w:spacing w:after="0"/>
        <w:rPr>
          <w:sz w:val="20"/>
          <w:szCs w:val="20"/>
          <w:color w:val="auto"/>
        </w:rPr>
      </w:pPr>
      <w:r>
        <w:rPr>
          <w:rFonts w:ascii="Courier New" w:cs="Courier New" w:eastAsia="Courier New" w:hAnsi="Courier New"/>
          <w:sz w:val="15"/>
          <w:szCs w:val="15"/>
          <w:color w:val="auto"/>
        </w:rPr>
        <w:t>Outstanding at May 6,</w:t>
      </w:r>
    </w:p>
    <w:p>
      <w:pPr>
        <w:spacing w:after="0" w:line="8" w:lineRule="exact"/>
        <w:rPr>
          <w:sz w:val="24"/>
          <w:szCs w:val="24"/>
          <w:color w:val="auto"/>
        </w:rPr>
      </w:pPr>
    </w:p>
    <w:p>
      <w:pPr>
        <w:jc w:val="center"/>
        <w:ind w:right="5339"/>
        <w:spacing w:after="0"/>
        <w:rPr>
          <w:sz w:val="20"/>
          <w:szCs w:val="20"/>
          <w:color w:val="auto"/>
        </w:rPr>
      </w:pPr>
      <w:r>
        <w:rPr>
          <w:rFonts w:ascii="Courier New" w:cs="Courier New" w:eastAsia="Courier New" w:hAnsi="Courier New"/>
          <w:sz w:val="15"/>
          <w:szCs w:val="15"/>
          <w:color w:val="auto"/>
        </w:rPr>
        <w:t>1994</w:t>
      </w:r>
    </w:p>
    <w:p>
      <w:pPr>
        <w:spacing w:after="0" w:line="8" w:lineRule="exact"/>
        <w:rPr>
          <w:sz w:val="24"/>
          <w:szCs w:val="24"/>
          <w:color w:val="auto"/>
        </w:rPr>
      </w:pPr>
    </w:p>
    <w:p>
      <w:pPr>
        <w:jc w:val="center"/>
        <w:ind w:right="5339"/>
        <w:spacing w:after="0"/>
        <w:rPr>
          <w:sz w:val="20"/>
          <w:szCs w:val="20"/>
          <w:color w:val="auto"/>
        </w:rPr>
      </w:pPr>
      <w:r>
        <w:rPr>
          <w:rFonts w:ascii="Courier New" w:cs="Courier New" w:eastAsia="Courier New" w:hAnsi="Courier New"/>
          <w:sz w:val="15"/>
          <w:szCs w:val="15"/>
          <w:color w:val="auto"/>
        </w:rPr>
        <w:t>18,667,064</w:t>
      </w:r>
    </w:p>
    <w:p>
      <w:pPr>
        <w:spacing w:after="0" w:line="377" w:lineRule="exact"/>
        <w:rPr>
          <w:sz w:val="24"/>
          <w:szCs w:val="24"/>
          <w:color w:val="auto"/>
        </w:rPr>
      </w:pPr>
    </w:p>
    <w:p>
      <w:pPr>
        <w:sectPr>
          <w:pgSz w:w="11900" w:h="16838" w:orient="portrait"/>
          <w:cols w:equalWidth="0" w:num="2">
            <w:col w:w="2480" w:space="560"/>
            <w:col w:w="7179"/>
          </w:cols>
          <w:pgMar w:left="240" w:top="1440" w:right="1440" w:bottom="0" w:gutter="0" w:footer="0" w:header="0"/>
          <w:type w:val="continuous"/>
        </w:sectPr>
      </w:pPr>
    </w:p>
    <w:p>
      <w:pPr>
        <w:spacing w:after="0" w:line="162" w:lineRule="exact"/>
        <w:rPr>
          <w:sz w:val="24"/>
          <w:szCs w:val="24"/>
          <w:color w:val="auto"/>
        </w:rPr>
      </w:pPr>
    </w:p>
    <w:p>
      <w:pPr>
        <w:jc w:val="center"/>
        <w:ind w:right="4319"/>
        <w:spacing w:after="0"/>
        <w:rPr>
          <w:sz w:val="20"/>
          <w:szCs w:val="20"/>
          <w:color w:val="auto"/>
        </w:rPr>
      </w:pPr>
      <w:r>
        <w:rPr>
          <w:rFonts w:ascii="Courier New" w:cs="Courier New" w:eastAsia="Courier New" w:hAnsi="Courier New"/>
          <w:sz w:val="15"/>
          <w:szCs w:val="15"/>
          <w:color w:val="auto"/>
        </w:rPr>
        <w:t>Page 1 of 19 pages</w:t>
      </w:r>
    </w:p>
    <w:p>
      <w:pPr>
        <w:spacing w:after="0" w:line="185"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Exhibit Index at page 18</w:t>
      </w:r>
    </w:p>
    <w:p>
      <w:pPr>
        <w:sectPr>
          <w:pgSz w:w="11900" w:h="16838" w:orient="portrait"/>
          <w:cols w:equalWidth="0" w:num="1">
            <w:col w:w="10219"/>
          </w:cols>
          <w:pgMar w:left="240" w:top="144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23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85"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INDEX</w:t>
      </w:r>
    </w:p>
    <w:p>
      <w:pPr>
        <w:sectPr>
          <w:pgSz w:w="11900" w:h="16838" w:orient="portrait"/>
          <w:cols w:equalWidth="0" w:num="1">
            <w:col w:w="10219"/>
          </w:cols>
          <w:pgMar w:left="240" w:top="144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185" w:lineRule="exact"/>
        <w:rPr>
          <w:sz w:val="24"/>
          <w:szCs w:val="24"/>
          <w:color w:val="auto"/>
        </w:rPr>
      </w:pPr>
    </w:p>
    <w:p>
      <w:pPr>
        <w:sectPr>
          <w:pgSz w:w="11900" w:h="16838" w:orient="portrait"/>
          <w:cols w:equalWidth="0" w:num="4">
            <w:col w:w="360" w:space="180"/>
            <w:col w:w="200" w:space="180"/>
            <w:col w:w="4360" w:space="720"/>
            <w:col w:w="4219"/>
          </w:cols>
          <w:pgMar w:left="240" w:top="1440" w:right="1440" w:bottom="0" w:gutter="0" w:footer="0" w:header="0"/>
          <w:type w:val="continuous"/>
        </w:sectPr>
      </w:pPr>
    </w:p>
    <w:p>
      <w:pPr>
        <w:ind w:left="80"/>
        <w:spacing w:after="0"/>
        <w:tabs>
          <w:tab w:leader="none" w:pos="90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Consolidated Balance Sheets -</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April 3, 1993, April 2, 1994 and September 30, 1993</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3-4</w:t>
      </w:r>
    </w:p>
    <w:p>
      <w:pPr>
        <w:spacing w:after="0" w:line="185" w:lineRule="exact"/>
        <w:rPr>
          <w:sz w:val="24"/>
          <w:szCs w:val="24"/>
          <w:color w:val="auto"/>
        </w:rPr>
      </w:pPr>
    </w:p>
    <w:p>
      <w:pPr>
        <w:sectPr>
          <w:pgSz w:w="11900" w:h="16838" w:orient="portrait"/>
          <w:cols w:equalWidth="0" w:num="2">
            <w:col w:w="5740" w:space="720"/>
            <w:col w:w="3759"/>
          </w:cols>
          <w:pgMar w:left="240" w:top="1440" w:right="1440"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Consolidated Statements of Income - Three month and six month</w:t>
      </w:r>
    </w:p>
    <w:p>
      <w:pPr>
        <w:sectPr>
          <w:pgSz w:w="11900" w:h="16838" w:orient="portrait"/>
          <w:cols w:equalWidth="0" w:num="1">
            <w:col w:w="10219"/>
          </w:cols>
          <w:pgMar w:left="240" w:top="144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57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periods ended April 3, 1993 and April 2, 1994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 Statements of Cash</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Flows - Six month</w:t>
            </w:r>
          </w:p>
        </w:tc>
        <w:tc>
          <w:tcPr>
            <w:tcW w:w="980" w:type="dxa"/>
            <w:vAlign w:val="bottom"/>
          </w:tcPr>
          <w:p>
            <w:pPr>
              <w:spacing w:after="0"/>
              <w:rPr>
                <w:sz w:val="24"/>
                <w:szCs w:val="24"/>
                <w:color w:val="auto"/>
              </w:rPr>
            </w:pPr>
          </w:p>
        </w:tc>
      </w:tr>
      <w:tr>
        <w:trPr>
          <w:trHeight w:val="177"/>
        </w:trPr>
        <w:tc>
          <w:tcPr>
            <w:tcW w:w="57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periods ended April 3, 1993 and April 2, 1994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Statements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355"/>
        </w:trPr>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Item 2.</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Management's Discussion</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and Analysis of</w:t>
            </w:r>
          </w:p>
        </w:tc>
        <w:tc>
          <w:tcPr>
            <w:tcW w:w="980" w:type="dxa"/>
            <w:vAlign w:val="bottom"/>
          </w:tcPr>
          <w:p>
            <w:pPr>
              <w:spacing w:after="0"/>
              <w:rPr>
                <w:sz w:val="24"/>
                <w:szCs w:val="24"/>
                <w:color w:val="auto"/>
              </w:rPr>
            </w:pPr>
          </w:p>
        </w:tc>
      </w:tr>
      <w:tr>
        <w:trPr>
          <w:trHeight w:val="177"/>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Financial Condition and Results</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of Operations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11-14</w:t>
            </w:r>
          </w:p>
        </w:tc>
      </w:tr>
      <w:tr>
        <w:trPr>
          <w:trHeight w:val="532"/>
        </w:trPr>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Part II.</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2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5"/>
        </w:trPr>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Item 1.</w:t>
            </w: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Legal Proceedings</w:t>
            </w:r>
          </w:p>
        </w:tc>
        <w:tc>
          <w:tcPr>
            <w:tcW w:w="2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r>
      <w:tr>
        <w:trPr>
          <w:trHeight w:val="355"/>
        </w:trPr>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Item 4.</w:t>
            </w:r>
          </w:p>
        </w:tc>
        <w:tc>
          <w:tcPr>
            <w:tcW w:w="4840" w:type="dxa"/>
            <w:vAlign w:val="bottom"/>
            <w:gridSpan w:val="2"/>
          </w:tcPr>
          <w:p>
            <w:pPr>
              <w:spacing w:after="0"/>
              <w:rPr>
                <w:sz w:val="20"/>
                <w:szCs w:val="20"/>
                <w:color w:val="auto"/>
              </w:rPr>
            </w:pPr>
            <w:r>
              <w:rPr>
                <w:rFonts w:ascii="Courier New" w:cs="Courier New" w:eastAsia="Courier New" w:hAnsi="Courier New"/>
                <w:sz w:val="15"/>
                <w:szCs w:val="15"/>
                <w:color w:val="auto"/>
              </w:rPr>
              <w:t>Submission of Matters to a vote of the Security</w:t>
            </w:r>
          </w:p>
        </w:tc>
        <w:tc>
          <w:tcPr>
            <w:tcW w:w="980" w:type="dxa"/>
            <w:vAlign w:val="bottom"/>
          </w:tcPr>
          <w:p>
            <w:pPr>
              <w:spacing w:after="0"/>
              <w:rPr>
                <w:sz w:val="24"/>
                <w:szCs w:val="24"/>
                <w:color w:val="auto"/>
              </w:rPr>
            </w:pPr>
          </w:p>
        </w:tc>
      </w:tr>
      <w:tr>
        <w:trPr>
          <w:trHeight w:val="177"/>
        </w:trPr>
        <w:tc>
          <w:tcPr>
            <w:tcW w:w="920" w:type="dxa"/>
            <w:vAlign w:val="bottom"/>
          </w:tcPr>
          <w:p>
            <w:pPr>
              <w:spacing w:after="0"/>
              <w:rPr>
                <w:sz w:val="15"/>
                <w:szCs w:val="15"/>
                <w:color w:val="auto"/>
              </w:rPr>
            </w:pPr>
          </w:p>
        </w:tc>
        <w:tc>
          <w:tcPr>
            <w:tcW w:w="21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Holders</w:t>
            </w:r>
          </w:p>
        </w:tc>
        <w:tc>
          <w:tcPr>
            <w:tcW w:w="2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15-16</w:t>
            </w:r>
          </w:p>
        </w:tc>
      </w:tr>
      <w:tr>
        <w:trPr>
          <w:trHeight w:val="355"/>
        </w:trPr>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Item 6.</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Exhibits and Reports on</w:t>
            </w:r>
          </w:p>
        </w:tc>
        <w:tc>
          <w:tcPr>
            <w:tcW w:w="2680" w:type="dxa"/>
            <w:vAlign w:val="bottom"/>
          </w:tcPr>
          <w:p>
            <w:pPr>
              <w:ind w:left="60"/>
              <w:spacing w:after="0"/>
              <w:rPr>
                <w:sz w:val="20"/>
                <w:szCs w:val="20"/>
                <w:color w:val="auto"/>
              </w:rPr>
            </w:pPr>
            <w:r>
              <w:rPr>
                <w:rFonts w:ascii="Courier New" w:cs="Courier New" w:eastAsia="Courier New" w:hAnsi="Courier New"/>
                <w:sz w:val="15"/>
                <w:szCs w:val="15"/>
                <w:color w:val="auto"/>
              </w:rPr>
              <w:t>Form 8-K</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532"/>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Signatures</w:t>
            </w:r>
          </w:p>
        </w:tc>
        <w:tc>
          <w:tcPr>
            <w:tcW w:w="2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532"/>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Exhibit Index</w:t>
            </w:r>
          </w:p>
        </w:tc>
        <w:tc>
          <w:tcPr>
            <w:tcW w:w="2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5799"/>
        <w:spacing w:after="0"/>
        <w:tabs>
          <w:tab w:leader="none" w:pos="4520" w:val="left"/>
          <w:tab w:leader="none" w:pos="4240" w:val="left"/>
        </w:tabs>
        <w:rPr>
          <w:sz w:val="20"/>
          <w:szCs w:val="20"/>
          <w:color w:val="auto"/>
        </w:rPr>
      </w:pPr>
      <w:r>
        <w:rPr>
          <w:rFonts w:ascii="Courier New" w:cs="Courier New" w:eastAsia="Courier New" w:hAnsi="Courier New"/>
          <w:sz w:val="15"/>
          <w:szCs w:val="15"/>
          <w:color w:val="auto"/>
        </w:rPr>
        <w:t>PART I</w:t>
        <w:tab/>
        <w:t>-</w:t>
        <w:tab/>
        <w:t>FINANCIAL INFORMATION</w:t>
      </w:r>
    </w:p>
    <w:p>
      <w:pPr>
        <w:spacing w:after="0" w:line="8" w:lineRule="exact"/>
        <w:rPr>
          <w:sz w:val="20"/>
          <w:szCs w:val="20"/>
          <w:color w:val="auto"/>
        </w:rPr>
      </w:pPr>
    </w:p>
    <w:p>
      <w:pPr>
        <w:jc w:val="right"/>
        <w:ind w:right="5799"/>
        <w:spacing w:after="0"/>
        <w:tabs>
          <w:tab w:leader="none" w:pos="414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8"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(Unaudited)</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55"/>
        </w:trPr>
        <w:tc>
          <w:tcPr>
            <w:tcW w:w="3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April  September</w:t>
            </w:r>
          </w:p>
        </w:tc>
      </w:tr>
      <w:tr>
        <w:trPr>
          <w:trHeight w:val="177"/>
        </w:trPr>
        <w:tc>
          <w:tcPr>
            <w:tcW w:w="322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April 3</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spacing w:after="0"/>
              <w:rPr>
                <w:sz w:val="15"/>
                <w:szCs w:val="15"/>
                <w:color w:val="auto"/>
              </w:rPr>
            </w:pPr>
          </w:p>
        </w:tc>
        <w:tc>
          <w:tcPr>
            <w:tcW w:w="1020" w:type="dxa"/>
            <w:vAlign w:val="bottom"/>
          </w:tcPr>
          <w:p>
            <w:pPr>
              <w:jc w:val="right"/>
              <w:ind w:right="743"/>
              <w:spacing w:after="0"/>
              <w:rPr>
                <w:sz w:val="20"/>
                <w:szCs w:val="20"/>
                <w:color w:val="auto"/>
              </w:rPr>
            </w:pPr>
            <w:r>
              <w:rPr>
                <w:rFonts w:ascii="Courier New" w:cs="Courier New" w:eastAsia="Courier New" w:hAnsi="Courier New"/>
                <w:sz w:val="15"/>
                <w:szCs w:val="15"/>
                <w:color w:val="auto"/>
                <w:w w:val="99"/>
              </w:rPr>
              <w:t>30</w:t>
            </w:r>
          </w:p>
        </w:tc>
      </w:tr>
      <w:tr>
        <w:trPr>
          <w:trHeight w:val="355"/>
        </w:trPr>
        <w:tc>
          <w:tcPr>
            <w:tcW w:w="322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66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1993</w:t>
            </w:r>
          </w:p>
        </w:tc>
      </w:tr>
      <w:tr>
        <w:trPr>
          <w:trHeight w:val="53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2,999</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7"/>
              </w:rPr>
              <w:t>4,553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$ 2,323</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less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allowances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141,053</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200,763</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60,848</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of $2,638, $2,784 and $2,511,</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Raw materials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34,773</w:t>
            </w:r>
          </w:p>
        </w:tc>
        <w:tc>
          <w:tcPr>
            <w:tcW w:w="46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53,302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31,905</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Finished products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60,695</w:t>
            </w:r>
          </w:p>
        </w:tc>
        <w:tc>
          <w:tcPr>
            <w:tcW w:w="46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75,530</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44,749</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Total inventories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95,468</w:t>
            </w:r>
          </w:p>
        </w:tc>
        <w:tc>
          <w:tcPr>
            <w:tcW w:w="11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128,832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76,654</w:t>
            </w: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3,595</w:t>
            </w:r>
          </w:p>
        </w:tc>
        <w:tc>
          <w:tcPr>
            <w:tcW w:w="46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3,917</w:t>
            </w: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243,115</w:t>
            </w:r>
          </w:p>
        </w:tc>
        <w:tc>
          <w:tcPr>
            <w:tcW w:w="11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341,343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143,742</w:t>
            </w:r>
          </w:p>
        </w:tc>
      </w:tr>
      <w:tr>
        <w:trPr>
          <w:trHeight w:val="53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Land and land improvements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19,320</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22,608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19,817</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Buildings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35,956</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40,796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36,300</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Machinery and equipment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80,052</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109,675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87,250</w:t>
            </w: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Furniture and fixtures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6,165</w:t>
            </w: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5,952</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Construction in progress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2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5,279</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8,937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4,687</w:t>
            </w:r>
          </w:p>
        </w:tc>
      </w:tr>
      <w:tr>
        <w:trPr>
          <w:trHeight w:val="177"/>
        </w:trPr>
        <w:tc>
          <w:tcPr>
            <w:tcW w:w="32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146,772</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188,208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154,006</w:t>
            </w: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 depreciation</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2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51,021</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61,614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55,215</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Net property, plant and equipment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95,751</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126,594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98,791</w:t>
            </w:r>
          </w:p>
        </w:tc>
      </w:tr>
    </w:tbl>
    <w:p>
      <w:pPr>
        <w:sectPr>
          <w:pgSz w:w="11900" w:h="16838" w:orient="portrait"/>
          <w:cols w:equalWidth="0" w:num="1">
            <w:col w:w="10219"/>
          </w:cols>
          <w:pgMar w:left="240" w:top="142"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Intangible assets, net of</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21,790</w:t>
            </w:r>
          </w:p>
        </w:tc>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25,108</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19,972</w:t>
            </w:r>
          </w:p>
        </w:tc>
      </w:tr>
      <w:tr>
        <w:trPr>
          <w:trHeight w:val="177"/>
        </w:trPr>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of $19,664, $23,196, and $21,053,</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Deferred costs and other assets, net</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of accumulated</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$7,234, $8,562, and</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$7,770, respectively</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19,564</w:t>
            </w:r>
          </w:p>
        </w:tc>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22,256</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17,745</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Excess of costs over underlying</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value of net assets</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acquired (goodwill), net of</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7"/>
        </w:trPr>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of $4,670, $6,296, and $5,123,</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41,305</w:t>
            </w:r>
          </w:p>
        </w:tc>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106,842</w:t>
            </w:r>
          </w:p>
        </w:tc>
        <w:tc>
          <w:tcPr>
            <w:tcW w:w="8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41,340</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7"/>
        </w:trPr>
        <w:tc>
          <w:tcPr>
            <w:tcW w:w="3360" w:type="dxa"/>
            <w:vAlign w:val="bottom"/>
          </w:tcPr>
          <w:p>
            <w:pPr>
              <w:spacing w:after="0"/>
              <w:rPr>
                <w:sz w:val="15"/>
                <w:szCs w:val="15"/>
                <w:color w:val="auto"/>
              </w:rPr>
            </w:pP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$421,525</w:t>
            </w:r>
          </w:p>
        </w:tc>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$622,143</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$321,590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8"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3</w:t>
      </w:r>
    </w:p>
    <w:p>
      <w:pPr>
        <w:spacing w:after="0" w:line="362"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8"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(Unaudited)</w:t>
      </w:r>
    </w:p>
    <w:p>
      <w:pPr>
        <w:spacing w:after="0" w:line="8"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5"/>
          <w:szCs w:val="15"/>
          <w:color w:val="auto"/>
        </w:rPr>
        <w:t>(in thousands except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55"/>
        </w:trPr>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April 3</w:t>
            </w:r>
          </w:p>
        </w:tc>
        <w:tc>
          <w:tcPr>
            <w:tcW w:w="740" w:type="dxa"/>
            <w:vAlign w:val="bottom"/>
          </w:tcPr>
          <w:p>
            <w:pPr>
              <w:jc w:val="center"/>
              <w:ind w:left="23"/>
              <w:spacing w:after="0"/>
              <w:rPr>
                <w:sz w:val="20"/>
                <w:szCs w:val="20"/>
                <w:color w:val="auto"/>
              </w:rPr>
            </w:pPr>
            <w:r>
              <w:rPr>
                <w:rFonts w:ascii="Courier New" w:cs="Courier New" w:eastAsia="Courier New" w:hAnsi="Courier New"/>
                <w:sz w:val="15"/>
                <w:szCs w:val="15"/>
                <w:color w:val="auto"/>
              </w:rPr>
              <w:t>April 2</w:t>
            </w:r>
          </w:p>
        </w:tc>
        <w:tc>
          <w:tcPr>
            <w:tcW w:w="1660" w:type="dxa"/>
            <w:vAlign w:val="bottom"/>
            <w:gridSpan w:val="3"/>
          </w:tcPr>
          <w:p>
            <w:pPr>
              <w:jc w:val="right"/>
              <w:ind w:right="303"/>
              <w:spacing w:after="0"/>
              <w:rPr>
                <w:sz w:val="20"/>
                <w:szCs w:val="20"/>
                <w:color w:val="auto"/>
              </w:rPr>
            </w:pPr>
            <w:r>
              <w:rPr>
                <w:rFonts w:ascii="Courier New" w:cs="Courier New" w:eastAsia="Courier New" w:hAnsi="Courier New"/>
                <w:sz w:val="15"/>
                <w:szCs w:val="15"/>
                <w:color w:val="auto"/>
              </w:rPr>
              <w:t>September 30</w:t>
            </w:r>
          </w:p>
        </w:tc>
      </w:tr>
      <w:tr>
        <w:trPr>
          <w:trHeight w:val="355"/>
        </w:trPr>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24"/>
                <w:szCs w:val="24"/>
                <w:color w:val="auto"/>
              </w:rPr>
            </w:pPr>
          </w:p>
        </w:tc>
        <w:tc>
          <w:tcPr>
            <w:tcW w:w="138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w w:val="94"/>
              </w:rPr>
              <w:t>1993</w:t>
            </w:r>
          </w:p>
        </w:tc>
      </w:tr>
      <w:tr>
        <w:trPr>
          <w:trHeight w:val="53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and bank line of</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credit</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$ 75,499</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$ 98,000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705</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Current portion of term debt</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5,251</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20,417</w:t>
            </w:r>
          </w:p>
        </w:tc>
        <w:tc>
          <w:tcPr>
            <w:tcW w:w="28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5,444</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50,786</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64,036</w:t>
            </w:r>
          </w:p>
        </w:tc>
        <w:tc>
          <w:tcPr>
            <w:tcW w:w="28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28,279</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Accrued liabilities</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17,223</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26,311</w:t>
            </w:r>
          </w:p>
        </w:tc>
        <w:tc>
          <w:tcPr>
            <w:tcW w:w="28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9,135</w:t>
            </w:r>
          </w:p>
        </w:tc>
      </w:tr>
      <w:tr>
        <w:trPr>
          <w:trHeight w:val="177"/>
        </w:trPr>
        <w:tc>
          <w:tcPr>
            <w:tcW w:w="3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Accrued payroll and fringe benefits</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9,297</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12,372</w:t>
            </w:r>
          </w:p>
        </w:tc>
        <w:tc>
          <w:tcPr>
            <w:tcW w:w="28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12,035</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Accrued taxes</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8,930</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7,990</w:t>
            </w:r>
          </w:p>
        </w:tc>
        <w:tc>
          <w:tcPr>
            <w:tcW w:w="28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9,253</w:t>
            </w:r>
          </w:p>
        </w:tc>
      </w:tr>
      <w:tr>
        <w:trPr>
          <w:trHeight w:val="35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166,986</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229,126</w:t>
            </w:r>
          </w:p>
        </w:tc>
        <w:tc>
          <w:tcPr>
            <w:tcW w:w="280" w:type="dxa"/>
            <w:vAlign w:val="bottom"/>
          </w:tcPr>
          <w:p>
            <w:pPr>
              <w:spacing w:after="0"/>
              <w:rPr>
                <w:sz w:val="24"/>
                <w:szCs w:val="24"/>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64,851</w:t>
            </w:r>
          </w:p>
        </w:tc>
      </w:tr>
      <w:tr>
        <w:trPr>
          <w:trHeight w:val="355"/>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96,955</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211,171</w:t>
            </w:r>
          </w:p>
        </w:tc>
        <w:tc>
          <w:tcPr>
            <w:tcW w:w="280" w:type="dxa"/>
            <w:vAlign w:val="bottom"/>
          </w:tcPr>
          <w:p>
            <w:pPr>
              <w:spacing w:after="0"/>
              <w:rPr>
                <w:sz w:val="24"/>
                <w:szCs w:val="24"/>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87,080</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Postretirement benefits other than</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25,586</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26,710</w:t>
            </w:r>
          </w:p>
        </w:tc>
        <w:tc>
          <w:tcPr>
            <w:tcW w:w="2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26,646</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pensions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289,527</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467,007</w:t>
            </w:r>
          </w:p>
        </w:tc>
        <w:tc>
          <w:tcPr>
            <w:tcW w:w="2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8"/>
              </w:rPr>
              <w:t>178,577</w:t>
            </w:r>
          </w:p>
        </w:tc>
      </w:tr>
      <w:tr>
        <w:trPr>
          <w:trHeight w:val="53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$.01 par value,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authorized</w:t>
            </w:r>
          </w:p>
        </w:tc>
        <w:tc>
          <w:tcPr>
            <w:tcW w:w="140" w:type="dxa"/>
            <w:vAlign w:val="bottom"/>
          </w:tcPr>
          <w:p>
            <w:pPr>
              <w:spacing w:after="0"/>
              <w:rPr>
                <w:sz w:val="15"/>
                <w:szCs w:val="15"/>
                <w:color w:val="auto"/>
              </w:rPr>
            </w:pPr>
          </w:p>
        </w:tc>
        <w:tc>
          <w:tcPr>
            <w:tcW w:w="8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25"/>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10,000 shares; none issued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Class A Common Stock, voting, par</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$.01 per share; authorized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35,000,000 shares;</w:t>
            </w:r>
          </w:p>
        </w:tc>
        <w:tc>
          <w:tcPr>
            <w:tcW w:w="14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211</w:t>
            </w:r>
          </w:p>
        </w:tc>
        <w:tc>
          <w:tcPr>
            <w:tcW w:w="1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211</w:t>
            </w:r>
          </w:p>
        </w:tc>
        <w:tc>
          <w:tcPr>
            <w:tcW w:w="2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211</w:t>
            </w:r>
          </w:p>
        </w:tc>
      </w:tr>
      <w:tr>
        <w:trPr>
          <w:trHeight w:val="177"/>
        </w:trPr>
        <w:tc>
          <w:tcPr>
            <w:tcW w:w="3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issued 21,073,430, 21,081,959, and</w:t>
            </w: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21,073,430 shares, respectively</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Class B Common Stock, non-voting,</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par value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$.01 per share; authorized</w:t>
            </w:r>
          </w:p>
        </w:tc>
        <w:tc>
          <w:tcPr>
            <w:tcW w:w="140" w:type="dxa"/>
            <w:vAlign w:val="bottom"/>
          </w:tcPr>
          <w:p>
            <w:pPr>
              <w:spacing w:after="0"/>
              <w:rPr>
                <w:sz w:val="15"/>
                <w:szCs w:val="15"/>
                <w:color w:val="auto"/>
              </w:rPr>
            </w:pPr>
          </w:p>
        </w:tc>
        <w:tc>
          <w:tcPr>
            <w:tcW w:w="8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25"/>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35,000,000 shares;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none issued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Capital in excess of par value</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192,871</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193,618</w:t>
            </w:r>
          </w:p>
        </w:tc>
        <w:tc>
          <w:tcPr>
            <w:tcW w:w="2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193,263</w:t>
            </w: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Retained earnings (deficit)</w:t>
            </w:r>
          </w:p>
        </w:tc>
        <w:tc>
          <w:tcPr>
            <w:tcW w:w="14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(19,682)</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2,448</w:t>
            </w:r>
          </w:p>
        </w:tc>
        <w:tc>
          <w:tcPr>
            <w:tcW w:w="28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(9,008)</w:t>
            </w:r>
          </w:p>
        </w:tc>
      </w:tr>
      <w:tr>
        <w:trPr>
          <w:trHeight w:val="355"/>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Cumulative foreign currency</w:t>
            </w:r>
          </w:p>
        </w:tc>
        <w:tc>
          <w:tcPr>
            <w:tcW w:w="140" w:type="dxa"/>
            <w:vAlign w:val="bottom"/>
          </w:tcPr>
          <w:p>
            <w:pPr>
              <w:spacing w:after="0"/>
              <w:rPr>
                <w:sz w:val="24"/>
                <w:szCs w:val="24"/>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w:t>
            </w:r>
          </w:p>
        </w:tc>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300</w:t>
            </w:r>
          </w:p>
        </w:tc>
        <w:tc>
          <w:tcPr>
            <w:tcW w:w="280" w:type="dxa"/>
            <w:vAlign w:val="bottom"/>
          </w:tcPr>
          <w:p>
            <w:pPr>
              <w:spacing w:after="0"/>
              <w:rPr>
                <w:sz w:val="24"/>
                <w:szCs w:val="24"/>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Treasury stock 2,414,895 shares at</w:t>
            </w:r>
          </w:p>
        </w:tc>
        <w:tc>
          <w:tcPr>
            <w:tcW w:w="140" w:type="dxa"/>
            <w:vAlign w:val="bottom"/>
          </w:tcPr>
          <w:p>
            <w:pPr>
              <w:spacing w:after="0"/>
              <w:rPr>
                <w:sz w:val="15"/>
                <w:szCs w:val="15"/>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(41,355)</w:t>
            </w:r>
          </w:p>
        </w:tc>
        <w:tc>
          <w:tcPr>
            <w:tcW w:w="130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(41,441)</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(41,441)</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Total Shareholders' Equity</w:t>
            </w:r>
          </w:p>
        </w:tc>
        <w:tc>
          <w:tcPr>
            <w:tcW w:w="140" w:type="dxa"/>
            <w:vAlign w:val="bottom"/>
          </w:tcPr>
          <w:p>
            <w:pPr>
              <w:spacing w:after="0"/>
              <w:rPr>
                <w:sz w:val="24"/>
                <w:szCs w:val="24"/>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131,998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155,136</w:t>
            </w:r>
          </w:p>
        </w:tc>
        <w:tc>
          <w:tcPr>
            <w:tcW w:w="28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143,013</w:t>
            </w:r>
          </w:p>
        </w:tc>
      </w:tr>
      <w:tr>
        <w:trPr>
          <w:trHeight w:val="53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and</w:t>
            </w:r>
          </w:p>
        </w:tc>
        <w:tc>
          <w:tcPr>
            <w:tcW w:w="10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$ 421,525</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$ 622,143</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$321,590</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ectPr>
          <w:pgSz w:w="11900" w:h="16838" w:orient="portrait"/>
          <w:cols w:equalWidth="0" w:num="1">
            <w:col w:w="10219"/>
          </w:cols>
          <w:pgMar w:left="240" w:top="142" w:right="1440" w:bottom="0" w:gutter="0" w:footer="0" w:header="0"/>
        </w:sectPr>
      </w:pPr>
    </w:p>
    <w:bookmarkStart w:id="3" w:name="page4"/>
    <w:bookmarkEnd w:id="3"/>
    <w:p>
      <w:pPr>
        <w:jc w:val="center"/>
        <w:ind w:right="4314"/>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8" w:lineRule="exact"/>
        <w:rPr>
          <w:sz w:val="20"/>
          <w:szCs w:val="20"/>
          <w:color w:val="auto"/>
        </w:rPr>
      </w:pPr>
    </w:p>
    <w:p>
      <w:pPr>
        <w:jc w:val="center"/>
        <w:ind w:right="4314"/>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Page 4</w:t>
      </w:r>
    </w:p>
    <w:p>
      <w:pPr>
        <w:spacing w:after="0" w:line="362" w:lineRule="exact"/>
        <w:rPr>
          <w:sz w:val="20"/>
          <w:szCs w:val="20"/>
          <w:color w:val="auto"/>
        </w:rPr>
      </w:pPr>
    </w:p>
    <w:p>
      <w:pPr>
        <w:jc w:val="center"/>
        <w:ind w:right="4214"/>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8" w:lineRule="exact"/>
        <w:rPr>
          <w:sz w:val="20"/>
          <w:szCs w:val="20"/>
          <w:color w:val="auto"/>
        </w:rPr>
      </w:pPr>
    </w:p>
    <w:p>
      <w:pPr>
        <w:jc w:val="center"/>
        <w:ind w:right="4214"/>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8" w:lineRule="exact"/>
        <w:rPr>
          <w:sz w:val="20"/>
          <w:szCs w:val="20"/>
          <w:color w:val="auto"/>
        </w:rPr>
      </w:pPr>
    </w:p>
    <w:p>
      <w:pPr>
        <w:jc w:val="center"/>
        <w:ind w:right="4214"/>
        <w:spacing w:after="0"/>
        <w:rPr>
          <w:sz w:val="20"/>
          <w:szCs w:val="20"/>
          <w:color w:val="auto"/>
        </w:rPr>
      </w:pPr>
      <w:r>
        <w:rPr>
          <w:rFonts w:ascii="Courier New" w:cs="Courier New" w:eastAsia="Courier New" w:hAnsi="Courier New"/>
          <w:sz w:val="15"/>
          <w:szCs w:val="15"/>
          <w:color w:val="auto"/>
        </w:rPr>
        <w:t>(Unaudited)</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(in thousands except share data)</w:t>
      </w:r>
    </w:p>
    <w:p>
      <w:pPr>
        <w:spacing w:after="0" w:line="36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7"/>
        </w:trPr>
        <w:tc>
          <w:tcPr>
            <w:tcW w:w="2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spacing w:after="0"/>
              <w:rPr>
                <w:sz w:val="15"/>
                <w:szCs w:val="15"/>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5"/>
                <w:szCs w:val="15"/>
                <w:color w:val="auto"/>
              </w:rPr>
              <w:t>April 3</w:t>
            </w:r>
          </w:p>
        </w:tc>
        <w:tc>
          <w:tcPr>
            <w:tcW w:w="12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April 2</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April 3</w:t>
            </w:r>
          </w:p>
        </w:tc>
        <w:tc>
          <w:tcPr>
            <w:tcW w:w="130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April 2</w:t>
            </w:r>
          </w:p>
        </w:tc>
      </w:tr>
      <w:tr>
        <w:trPr>
          <w:trHeight w:val="177"/>
        </w:trPr>
        <w:tc>
          <w:tcPr>
            <w:tcW w:w="29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1993</w:t>
            </w:r>
          </w:p>
        </w:tc>
        <w:tc>
          <w:tcPr>
            <w:tcW w:w="1300" w:type="dxa"/>
            <w:vAlign w:val="bottom"/>
            <w:gridSpan w:val="2"/>
          </w:tcPr>
          <w:p>
            <w:pPr>
              <w:jc w:val="right"/>
              <w:ind w:right="743"/>
              <w:spacing w:after="0"/>
              <w:rPr>
                <w:sz w:val="20"/>
                <w:szCs w:val="20"/>
                <w:color w:val="auto"/>
              </w:rPr>
            </w:pPr>
            <w:r>
              <w:rPr>
                <w:rFonts w:ascii="Courier New" w:cs="Courier New" w:eastAsia="Courier New" w:hAnsi="Courier New"/>
                <w:sz w:val="15"/>
                <w:szCs w:val="15"/>
                <w:color w:val="auto"/>
              </w:rPr>
              <w:t>1994</w:t>
            </w:r>
          </w:p>
        </w:tc>
      </w:tr>
      <w:tr>
        <w:trPr>
          <w:trHeight w:val="532"/>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$161,102</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$207,424</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$228,859</w:t>
            </w:r>
          </w:p>
        </w:tc>
        <w:tc>
          <w:tcPr>
            <w:tcW w:w="13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w w:val="99"/>
              </w:rPr>
              <w:t>$275,750</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82,481</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109,100</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119,535</w:t>
            </w:r>
          </w:p>
        </w:tc>
        <w:tc>
          <w:tcPr>
            <w:tcW w:w="13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146,464</w:t>
            </w:r>
          </w:p>
        </w:tc>
      </w:tr>
      <w:tr>
        <w:trPr>
          <w:trHeight w:val="532"/>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78,621</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98,324</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109,324</w:t>
            </w:r>
          </w:p>
        </w:tc>
        <w:tc>
          <w:tcPr>
            <w:tcW w:w="13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129,286</w:t>
            </w:r>
          </w:p>
        </w:tc>
      </w:tr>
      <w:tr>
        <w:trPr>
          <w:trHeight w:val="532"/>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Marketing</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25,407</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32,990</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37,346</w:t>
            </w:r>
          </w:p>
        </w:tc>
        <w:tc>
          <w:tcPr>
            <w:tcW w:w="2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45,911</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Distribution</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21,262</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24,888</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31,080</w:t>
            </w:r>
          </w:p>
        </w:tc>
        <w:tc>
          <w:tcPr>
            <w:tcW w:w="2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35,864</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8,206</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9,331</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14,493</w:t>
            </w:r>
          </w:p>
        </w:tc>
        <w:tc>
          <w:tcPr>
            <w:tcW w:w="2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14,341</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development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2,052</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2,934</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3,604</w:t>
            </w:r>
          </w:p>
        </w:tc>
        <w:tc>
          <w:tcPr>
            <w:tcW w:w="20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7"/>
              </w:rPr>
              <w:t>4,938</w:t>
            </w:r>
          </w:p>
        </w:tc>
      </w:tr>
      <w:tr>
        <w:trPr>
          <w:trHeight w:val="355"/>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Total operating expenses</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56,927</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70,143</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86,523</w:t>
            </w:r>
          </w:p>
        </w:tc>
        <w:tc>
          <w:tcPr>
            <w:tcW w:w="200" w:type="dxa"/>
            <w:vAlign w:val="bottom"/>
          </w:tcPr>
          <w:p>
            <w:pPr>
              <w:spacing w:after="0"/>
              <w:rPr>
                <w:sz w:val="24"/>
                <w:szCs w:val="24"/>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8"/>
              </w:rPr>
              <w:t>101,054</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21,694</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28,181</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22,801</w:t>
            </w:r>
          </w:p>
        </w:tc>
        <w:tc>
          <w:tcPr>
            <w:tcW w:w="200" w:type="dxa"/>
            <w:vAlign w:val="bottom"/>
          </w:tcPr>
          <w:p>
            <w:pPr>
              <w:spacing w:after="0"/>
              <w:rPr>
                <w:sz w:val="24"/>
                <w:szCs w:val="24"/>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28,232</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2,722</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4,917</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4,443</w:t>
            </w:r>
          </w:p>
        </w:tc>
        <w:tc>
          <w:tcPr>
            <w:tcW w:w="200" w:type="dxa"/>
            <w:vAlign w:val="bottom"/>
          </w:tcPr>
          <w:p>
            <w:pPr>
              <w:spacing w:after="0"/>
              <w:rPr>
                <w:sz w:val="24"/>
                <w:szCs w:val="24"/>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7,557</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expenses, net</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308</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776</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470</w:t>
            </w:r>
          </w:p>
        </w:tc>
        <w:tc>
          <w:tcPr>
            <w:tcW w:w="20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804</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income tax</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provision and</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18,664</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22,488</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17,888</w:t>
            </w:r>
          </w:p>
        </w:tc>
        <w:tc>
          <w:tcPr>
            <w:tcW w:w="20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19,871</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accounting changes</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7,817</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9,475</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7,512</w:t>
            </w:r>
          </w:p>
        </w:tc>
        <w:tc>
          <w:tcPr>
            <w:tcW w:w="200" w:type="dxa"/>
            <w:vAlign w:val="bottom"/>
          </w:tcPr>
          <w:p>
            <w:pPr>
              <w:spacing w:after="0"/>
              <w:rPr>
                <w:sz w:val="24"/>
                <w:szCs w:val="24"/>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8,415</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10,847</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13,013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10,376</w:t>
            </w:r>
          </w:p>
        </w:tc>
        <w:tc>
          <w:tcPr>
            <w:tcW w:w="20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11,456</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accounting changes (1)</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accounting</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for postretirement benefits,</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(13,157)</w:t>
            </w: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of tax and</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income taxes (2)</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$ 10,847</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$ 13,013</w:t>
            </w: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 (2,781)</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$11,456</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 (loss) per common</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share (1) (2):</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Income before cumulative</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accounting changes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 .54</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.69</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.50</w:t>
            </w:r>
          </w:p>
        </w:tc>
        <w:tc>
          <w:tcPr>
            <w:tcW w:w="20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.61</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 changes</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 accounting for</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postretirement benefits, net</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of tax and</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(.63)</w:t>
            </w:r>
          </w:p>
        </w:tc>
        <w:tc>
          <w:tcPr>
            <w:tcW w:w="20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 .54</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.69</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(.13)</w:t>
            </w:r>
          </w:p>
        </w:tc>
        <w:tc>
          <w:tcPr>
            <w:tcW w:w="20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.61</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20,138,585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18,890,221</w:t>
            </w: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20,637,432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18,855,200</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360" w:lineRule="exact"/>
        <w:rPr>
          <w:sz w:val="20"/>
          <w:szCs w:val="20"/>
          <w:color w:val="auto"/>
        </w:rPr>
      </w:pPr>
    </w:p>
    <w:p>
      <w:pPr>
        <w:ind w:left="285" w:right="3679" w:hanging="285"/>
        <w:spacing w:after="0" w:line="251" w:lineRule="auto"/>
        <w:tabs>
          <w:tab w:leader="none" w:pos="3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cumulative effect of accounting changes for the three and six month periods ended April 3, 1993 has been restated to reflect an ongoing net of tax charge of $325 or $.02 per share and $787 or $.04 per share, respectively, resulting from the adoption of SFAS No. 106 effective October 1, 1992.</w:t>
      </w:r>
    </w:p>
    <w:p>
      <w:pPr>
        <w:sectPr>
          <w:pgSz w:w="11900" w:h="16838" w:orient="portrait"/>
          <w:cols w:equalWidth="0" w:num="1">
            <w:col w:w="10225"/>
          </w:cols>
          <w:pgMar w:left="235" w:top="319" w:right="1440" w:bottom="0" w:gutter="0" w:footer="0" w:header="0"/>
        </w:sectPr>
      </w:pPr>
    </w:p>
    <w:bookmarkStart w:id="4" w:name="page5"/>
    <w:bookmarkEnd w:id="4"/>
    <w:p>
      <w:pPr>
        <w:ind w:left="285" w:right="3759" w:hanging="285"/>
        <w:spacing w:after="0" w:line="252" w:lineRule="auto"/>
        <w:tabs>
          <w:tab w:leader="none" w:pos="3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for the six month period ended April 3, 1993 has been restated to reflect the cumulative effect of changes in accounting for postretirement benefits (a net of tax change of $14,932 or $.71 per share) and income taxes (a benefit of $1,775 or $.08 per share).</w:t>
      </w:r>
    </w:p>
    <w:p>
      <w:pPr>
        <w:spacing w:after="0" w:line="351" w:lineRule="exact"/>
        <w:rPr>
          <w:sz w:val="20"/>
          <w:szCs w:val="20"/>
          <w:color w:val="auto"/>
        </w:rPr>
      </w:pPr>
    </w:p>
    <w:p>
      <w:pPr>
        <w:jc w:val="center"/>
        <w:ind w:right="4314"/>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8" w:lineRule="exact"/>
        <w:rPr>
          <w:sz w:val="20"/>
          <w:szCs w:val="20"/>
          <w:color w:val="auto"/>
        </w:rPr>
      </w:pPr>
    </w:p>
    <w:p>
      <w:pPr>
        <w:jc w:val="center"/>
        <w:ind w:right="4314"/>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Page 5</w:t>
      </w:r>
    </w:p>
    <w:p>
      <w:pPr>
        <w:spacing w:after="0" w:line="362" w:lineRule="exact"/>
        <w:rPr>
          <w:sz w:val="20"/>
          <w:szCs w:val="20"/>
          <w:color w:val="auto"/>
        </w:rPr>
      </w:pPr>
    </w:p>
    <w:p>
      <w:pPr>
        <w:jc w:val="center"/>
        <w:ind w:right="4214"/>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8" w:lineRule="exact"/>
        <w:rPr>
          <w:sz w:val="20"/>
          <w:szCs w:val="20"/>
          <w:color w:val="auto"/>
        </w:rPr>
      </w:pPr>
    </w:p>
    <w:p>
      <w:pPr>
        <w:jc w:val="center"/>
        <w:ind w:right="4214"/>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8" w:lineRule="exact"/>
        <w:rPr>
          <w:sz w:val="20"/>
          <w:szCs w:val="20"/>
          <w:color w:val="auto"/>
        </w:rPr>
      </w:pPr>
    </w:p>
    <w:p>
      <w:pPr>
        <w:jc w:val="center"/>
        <w:ind w:right="4214"/>
        <w:spacing w:after="0"/>
        <w:rPr>
          <w:sz w:val="20"/>
          <w:szCs w:val="20"/>
          <w:color w:val="auto"/>
        </w:rPr>
      </w:pPr>
      <w:r>
        <w:rPr>
          <w:rFonts w:ascii="Courier New" w:cs="Courier New" w:eastAsia="Courier New" w:hAnsi="Courier New"/>
          <w:sz w:val="15"/>
          <w:szCs w:val="15"/>
          <w:color w:val="auto"/>
        </w:rPr>
        <w:t>(Unaudited)</w:t>
      </w:r>
    </w:p>
    <w:p>
      <w:pPr>
        <w:spacing w:after="0" w:line="8"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(in thousands)</w:t>
      </w:r>
    </w:p>
    <w:p>
      <w:pPr>
        <w:spacing w:after="0" w:line="36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820" w:type="dxa"/>
            <w:vAlign w:val="bottom"/>
          </w:tcPr>
          <w:p>
            <w:pPr>
              <w:ind w:left="2020"/>
              <w:spacing w:after="0"/>
              <w:rPr>
                <w:sz w:val="20"/>
                <w:szCs w:val="20"/>
                <w:color w:val="auto"/>
              </w:rPr>
            </w:pPr>
            <w:r>
              <w:rPr>
                <w:rFonts w:ascii="Courier New" w:cs="Courier New" w:eastAsia="Courier New" w:hAnsi="Courier New"/>
                <w:sz w:val="15"/>
                <w:szCs w:val="15"/>
                <w:color w:val="auto"/>
              </w:rPr>
              <w:t>Six Months Ended</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7"/>
        </w:trPr>
        <w:tc>
          <w:tcPr>
            <w:tcW w:w="3820" w:type="dxa"/>
            <w:vAlign w:val="bottom"/>
          </w:tcPr>
          <w:p>
            <w:pPr>
              <w:spacing w:after="0"/>
              <w:rPr>
                <w:sz w:val="15"/>
                <w:szCs w:val="15"/>
                <w:color w:val="auto"/>
              </w:rPr>
            </w:pP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April 3</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April 2</w:t>
            </w:r>
          </w:p>
        </w:tc>
      </w:tr>
      <w:tr>
        <w:trPr>
          <w:trHeight w:val="355"/>
        </w:trPr>
        <w:tc>
          <w:tcPr>
            <w:tcW w:w="38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1993</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(2,781)</w:t>
            </w:r>
          </w:p>
        </w:tc>
        <w:tc>
          <w:tcPr>
            <w:tcW w:w="176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$ 11,456</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Adjustment to reconcile net income</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(loss) to net cash</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used in operating activities:</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8,758</w:t>
            </w:r>
          </w:p>
        </w:tc>
        <w:tc>
          <w:tcPr>
            <w:tcW w:w="176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10,777</w:t>
            </w: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Cumulative effect of change in</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accounting</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for postretirement benefits</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24,280</w:t>
            </w:r>
          </w:p>
        </w:tc>
        <w:tc>
          <w:tcPr>
            <w:tcW w:w="1760" w:type="dxa"/>
            <w:vAlign w:val="bottom"/>
          </w:tcPr>
          <w:p>
            <w:pPr>
              <w:jc w:val="center"/>
              <w:ind w:right="483"/>
              <w:spacing w:after="0"/>
              <w:rPr>
                <w:sz w:val="20"/>
                <w:szCs w:val="20"/>
                <w:color w:val="auto"/>
              </w:rPr>
            </w:pPr>
            <w:r>
              <w:rPr>
                <w:rFonts w:ascii="Courier New" w:cs="Courier New" w:eastAsia="Courier New" w:hAnsi="Courier New"/>
                <w:sz w:val="15"/>
                <w:szCs w:val="15"/>
                <w:color w:val="auto"/>
                <w:w w:val="88"/>
              </w:rPr>
              <w:t>-</w:t>
            </w: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Postretirement benefits</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1,296</w:t>
            </w:r>
          </w:p>
        </w:tc>
        <w:tc>
          <w:tcPr>
            <w:tcW w:w="176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64</w:t>
            </w: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(11,422)</w:t>
            </w:r>
          </w:p>
        </w:tc>
        <w:tc>
          <w:tcPr>
            <w:tcW w:w="1760" w:type="dxa"/>
            <w:vAlign w:val="bottom"/>
          </w:tcPr>
          <w:p>
            <w:pPr>
              <w:jc w:val="center"/>
              <w:ind w:right="483"/>
              <w:spacing w:after="0"/>
              <w:rPr>
                <w:sz w:val="20"/>
                <w:szCs w:val="20"/>
                <w:color w:val="auto"/>
              </w:rPr>
            </w:pPr>
            <w:r>
              <w:rPr>
                <w:rFonts w:ascii="Courier New" w:cs="Courier New" w:eastAsia="Courier New" w:hAnsi="Courier New"/>
                <w:sz w:val="15"/>
                <w:szCs w:val="15"/>
                <w:color w:val="auto"/>
                <w:w w:val="88"/>
              </w:rPr>
              <w:t>-</w:t>
            </w: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Net increase in certain</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components of working capital</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(88,601)</w:t>
            </w:r>
          </w:p>
        </w:tc>
        <w:tc>
          <w:tcPr>
            <w:tcW w:w="1760" w:type="dxa"/>
            <w:vAlign w:val="bottom"/>
          </w:tcPr>
          <w:p>
            <w:pPr>
              <w:jc w:val="center"/>
              <w:ind w:right="483"/>
              <w:spacing w:after="0"/>
              <w:rPr>
                <w:sz w:val="20"/>
                <w:szCs w:val="20"/>
                <w:color w:val="auto"/>
              </w:rPr>
            </w:pPr>
            <w:r>
              <w:rPr>
                <w:rFonts w:ascii="Courier New" w:cs="Courier New" w:eastAsia="Courier New" w:hAnsi="Courier New"/>
                <w:sz w:val="15"/>
                <w:szCs w:val="15"/>
                <w:color w:val="auto"/>
              </w:rPr>
              <w:t>(120,160)</w:t>
            </w:r>
          </w:p>
        </w:tc>
      </w:tr>
      <w:tr>
        <w:trPr>
          <w:trHeight w:val="355"/>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Net decrease in other assets</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and liabilities</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ind w:left="820"/>
              <w:spacing w:after="0"/>
              <w:rPr>
                <w:sz w:val="20"/>
                <w:szCs w:val="20"/>
                <w:color w:val="auto"/>
              </w:rPr>
            </w:pPr>
            <w:r>
              <w:rPr>
                <w:rFonts w:ascii="Courier New" w:cs="Courier New" w:eastAsia="Courier New" w:hAnsi="Courier New"/>
                <w:sz w:val="15"/>
                <w:szCs w:val="15"/>
                <w:color w:val="auto"/>
              </w:rPr>
              <w:t>and other adjustments</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636</w:t>
            </w:r>
          </w:p>
        </w:tc>
        <w:tc>
          <w:tcPr>
            <w:tcW w:w="17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667</w:t>
            </w:r>
          </w:p>
        </w:tc>
      </w:tr>
      <w:tr>
        <w:trPr>
          <w:trHeight w:val="355"/>
        </w:trPr>
        <w:tc>
          <w:tcPr>
            <w:tcW w:w="38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Net cash used in operating</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(67,834)</w:t>
            </w:r>
          </w:p>
        </w:tc>
        <w:tc>
          <w:tcPr>
            <w:tcW w:w="17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(97,196)</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Investment in plant and equipment,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(6,063)</w:t>
            </w:r>
          </w:p>
        </w:tc>
        <w:tc>
          <w:tcPr>
            <w:tcW w:w="176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(12,436)</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Acquisition of Sierra, net of cash</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acquired</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(118,986)</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Acquisition of Republic, net of</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acquired</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(16,366)</w:t>
            </w:r>
          </w:p>
        </w:tc>
        <w:tc>
          <w:tcPr>
            <w:tcW w:w="17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355"/>
        </w:trPr>
        <w:tc>
          <w:tcPr>
            <w:tcW w:w="38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Net cash used in investing</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(22,429)</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(131,422)</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Borrowings under term debt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70,000</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125,000</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Payments on term and other debt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(333)</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(428)</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Revolving lines of credit and bank</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64,688</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106,295</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line of credit, net</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Issuance of Class A Common Stock</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160</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Deferred financing costs incurred</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(618)</w:t>
            </w:r>
          </w:p>
        </w:tc>
        <w:tc>
          <w:tcPr>
            <w:tcW w:w="1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Purchase of Class A Common Stock</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(41,355)</w:t>
            </w:r>
          </w:p>
        </w:tc>
        <w:tc>
          <w:tcPr>
            <w:tcW w:w="1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532"/>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Net cash provided by</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92,382</w:t>
            </w:r>
          </w:p>
        </w:tc>
        <w:tc>
          <w:tcPr>
            <w:tcW w:w="17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231,027</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(179)</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2,119</w:t>
            </w:r>
          </w:p>
        </w:tc>
        <w:tc>
          <w:tcPr>
            <w:tcW w:w="17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2,230</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880</w:t>
            </w:r>
          </w:p>
        </w:tc>
        <w:tc>
          <w:tcPr>
            <w:tcW w:w="17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2,323</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$ 2,999</w:t>
            </w:r>
          </w:p>
        </w:tc>
        <w:tc>
          <w:tcPr>
            <w:tcW w:w="17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$ 4,553</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Interest paid, net of amount</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capitalized</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$2,467</w:t>
            </w:r>
          </w:p>
        </w:tc>
        <w:tc>
          <w:tcPr>
            <w:tcW w:w="17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$ 3,005</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Income taxes paid</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6,256</w:t>
            </w:r>
          </w:p>
        </w:tc>
        <w:tc>
          <w:tcPr>
            <w:tcW w:w="17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9,164</w:t>
            </w:r>
          </w:p>
        </w:tc>
      </w:tr>
      <w:tr>
        <w:trPr>
          <w:trHeight w:val="177"/>
        </w:trPr>
        <w:tc>
          <w:tcPr>
            <w:tcW w:w="3820" w:type="dxa"/>
            <w:vAlign w:val="bottom"/>
          </w:tcPr>
          <w:p>
            <w:pPr>
              <w:ind w:left="80"/>
              <w:spacing w:after="0"/>
              <w:rPr>
                <w:sz w:val="20"/>
                <w:szCs w:val="20"/>
                <w:color w:val="auto"/>
              </w:rPr>
            </w:pPr>
            <w:r>
              <w:rPr>
                <w:rFonts w:ascii="Courier New" w:cs="Courier New" w:eastAsia="Courier New" w:hAnsi="Courier New"/>
                <w:sz w:val="15"/>
                <w:szCs w:val="15"/>
                <w:color w:val="auto"/>
              </w:rPr>
              <w:t>Detail of entities acquired:</w:t>
            </w: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Fair value of assets acquired</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23,799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144,501</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Liabilities assumed</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(7,433)</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(25,515)</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Net cash paid for acquisition</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16,366</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118,986</w:t>
            </w:r>
          </w:p>
        </w:tc>
      </w:tr>
    </w:tbl>
    <w:p>
      <w:pPr>
        <w:spacing w:after="0" w:line="5" w:lineRule="exact"/>
        <w:rPr>
          <w:sz w:val="20"/>
          <w:szCs w:val="20"/>
          <w:color w:val="auto"/>
        </w:rPr>
      </w:pPr>
    </w:p>
    <w:p>
      <w:pPr>
        <w:jc w:val="center"/>
        <w:ind w:right="4314"/>
        <w:spacing w:after="0"/>
        <w:rPr>
          <w:sz w:val="20"/>
          <w:szCs w:val="20"/>
          <w:color w:val="auto"/>
        </w:rPr>
      </w:pPr>
      <w:r>
        <w:rPr>
          <w:rFonts w:ascii="Courier New" w:cs="Courier New" w:eastAsia="Courier New" w:hAnsi="Courier New"/>
          <w:sz w:val="15"/>
          <w:szCs w:val="15"/>
          <w:color w:val="auto"/>
        </w:rPr>
        <w:t>The accompanying notes to consolidated financial</w:t>
      </w:r>
    </w:p>
    <w:p>
      <w:pPr>
        <w:spacing w:after="0" w:line="8" w:lineRule="exact"/>
        <w:rPr>
          <w:sz w:val="20"/>
          <w:szCs w:val="20"/>
          <w:color w:val="auto"/>
        </w:rPr>
      </w:pPr>
    </w:p>
    <w:p>
      <w:pPr>
        <w:jc w:val="center"/>
        <w:ind w:right="4314"/>
        <w:spacing w:after="0"/>
        <w:rPr>
          <w:sz w:val="20"/>
          <w:szCs w:val="20"/>
          <w:color w:val="auto"/>
        </w:rPr>
      </w:pPr>
      <w:r>
        <w:rPr>
          <w:rFonts w:ascii="Courier New" w:cs="Courier New" w:eastAsia="Courier New" w:hAnsi="Courier New"/>
          <w:sz w:val="15"/>
          <w:szCs w:val="15"/>
          <w:color w:val="auto"/>
        </w:rPr>
        <w:t>statements are an integral part of these statements.</w:t>
      </w:r>
    </w:p>
    <w:p>
      <w:pPr>
        <w:spacing w:after="0" w:line="8" w:lineRule="exact"/>
        <w:rPr>
          <w:sz w:val="20"/>
          <w:szCs w:val="20"/>
          <w:color w:val="auto"/>
        </w:rPr>
      </w:pPr>
    </w:p>
    <w:p>
      <w:pPr>
        <w:jc w:val="center"/>
        <w:ind w:right="4314"/>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25"/>
          </w:cols>
          <w:pgMar w:left="235" w:top="142" w:right="1440" w:bottom="0" w:gutter="0" w:footer="0" w:header="0"/>
        </w:sectPr>
      </w:pPr>
    </w:p>
    <w:bookmarkStart w:id="5" w:name="page6"/>
    <w:bookmarkEnd w:id="5"/>
    <w:p>
      <w:pPr>
        <w:spacing w:after="0" w:line="7"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ind w:left="285" w:hanging="285"/>
        <w:spacing w:after="0"/>
        <w:tabs>
          <w:tab w:leader="none" w:pos="2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84" w:lineRule="exact"/>
        <w:rPr>
          <w:rFonts w:ascii="Courier New" w:cs="Courier New" w:eastAsia="Courier New" w:hAnsi="Courier New"/>
          <w:sz w:val="15"/>
          <w:szCs w:val="15"/>
          <w:color w:val="auto"/>
        </w:rPr>
      </w:pPr>
    </w:p>
    <w:p>
      <w:pPr>
        <w:ind w:left="285" w:right="43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("Scotts") through its wholly-owned subsidiaries, The O. M. Scott &amp; Sons Company ("OMS"), Hyponex Corporation ("Hyponex Corporation ("Hyponex"), Republic Tool and Manufacturing Corp. ("Republic") and Scott-Sierra Horticultural Products Company (collectively, the Company"), is engaged in the manufacture and sale of lawn care and garden products. The Company's business is highly seasonal with approximately 70% of sales occurring in the second and third fiscal quarters. Substantially all of the assets currently held by Scotts consist of the capital stock of OMS and advances to OMS. The consolidated financial statements include the financial statements of Scotts and OMS. All material intercompany transactions have been eliminated.</w:t>
      </w:r>
    </w:p>
    <w:p>
      <w:pPr>
        <w:spacing w:after="0" w:line="360" w:lineRule="exact"/>
        <w:rPr>
          <w:rFonts w:ascii="Courier New" w:cs="Courier New" w:eastAsia="Courier New" w:hAnsi="Courier New"/>
          <w:sz w:val="15"/>
          <w:szCs w:val="15"/>
          <w:color w:val="auto"/>
        </w:rPr>
      </w:pPr>
    </w:p>
    <w:p>
      <w:pPr>
        <w:ind w:left="285" w:right="43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sheets as at April 3, 1993 and April 2, 1994, the related consolidated statements of income for the three and six month periods ended April 3, 1993 and April 2, 1994 and the related consolidated statements of cash flows for the six month periods ended Arpil 3, 1993 and April 2, 1994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1993 Annual Report on Form 10-K.</w:t>
      </w:r>
    </w:p>
    <w:p>
      <w:pPr>
        <w:spacing w:after="0" w:line="361" w:lineRule="exact"/>
        <w:rPr>
          <w:rFonts w:ascii="Courier New" w:cs="Courier New" w:eastAsia="Courier New" w:hAnsi="Courier New"/>
          <w:sz w:val="15"/>
          <w:szCs w:val="15"/>
          <w:color w:val="auto"/>
        </w:rPr>
      </w:pPr>
    </w:p>
    <w:p>
      <w:pPr>
        <w:ind w:left="285" w:right="43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cumulative effect of accounting changes for the three and six month periods ended April 3, 1993 has been restated to reflect an ongoing charge of $325,000 or $.02 per share and $787,000 or $.04 per share, respectively, resulting from the adoption of Statement of Financial Accounting Standards ("SFAS") No. 106, "Employers Accounting for Postretirement Benefits Other Than Pensions." Similarly, the net loss for the six months ended April 3, 1993 has been restated to reflect the cumulative effect of the adoption of SFAS No. 106 (a net of tax charge of $14,932,000 or $.71 per share) and SFAS No. 109, "Accounting for Income Taxes" (a benefit of $1,775,000 or $.08 per share). The consolidated balance sheet as of April 3, 1993 and the related statement of cash flows for the six months then ended have also been restated to reflect the accounting changes.</w:t>
      </w:r>
    </w:p>
    <w:p>
      <w:pPr>
        <w:spacing w:after="0" w:line="184" w:lineRule="exact"/>
        <w:rPr>
          <w:rFonts w:ascii="Courier New" w:cs="Courier New" w:eastAsia="Courier New" w:hAnsi="Courier New"/>
          <w:sz w:val="15"/>
          <w:szCs w:val="15"/>
          <w:color w:val="auto"/>
        </w:rPr>
      </w:pPr>
    </w:p>
    <w:p>
      <w:pPr>
        <w:ind w:left="285" w:hanging="285"/>
        <w:spacing w:after="0"/>
        <w:tabs>
          <w:tab w:leader="none" w:pos="2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84" w:lineRule="exact"/>
        <w:rPr>
          <w:rFonts w:ascii="Courier New" w:cs="Courier New" w:eastAsia="Courier New" w:hAnsi="Courier New"/>
          <w:sz w:val="15"/>
          <w:szCs w:val="15"/>
          <w:color w:val="auto"/>
        </w:rPr>
      </w:pPr>
    </w:p>
    <w:p>
      <w:pPr>
        <w:ind w:left="285" w:right="43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16, 1993, the Company completed the acquisition of Grace-Sierra Horticultural Products Company (all further references to Grace-Sierra, now known as Scott-Sierra Horticultural Products Company, will be made as "Sierra") for an aggregate purchase price of approximately $123,100,000, including estimated transaction costs of $3,100,000.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Credit Agreement, whereby term debt commitments available thereunder were increased to $195,000,000.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5" w:right="4319"/>
        <w:spacing w:after="0" w:line="251" w:lineRule="auto"/>
        <w:rPr>
          <w:sz w:val="20"/>
          <w:szCs w:val="20"/>
          <w:color w:val="auto"/>
        </w:rPr>
      </w:pPr>
      <w:r>
        <w:rPr>
          <w:rFonts w:ascii="Courier New" w:cs="Courier New" w:eastAsia="Courier New" w:hAnsi="Courier New"/>
          <w:sz w:val="15"/>
          <w:szCs w:val="15"/>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w:t>
      </w:r>
    </w:p>
    <w:p>
      <w:pPr>
        <w:sectPr>
          <w:pgSz w:w="11900" w:h="16845" w:orient="portrait"/>
          <w:cols w:equalWidth="0" w:num="1">
            <w:col w:w="10225"/>
          </w:cols>
          <w:pgMar w:left="235" w:top="851" w:right="1440" w:bottom="0" w:gutter="0" w:footer="0" w:header="0"/>
        </w:sectPr>
      </w:pPr>
    </w:p>
    <w:bookmarkStart w:id="6" w:name="page7"/>
    <w:bookmarkEnd w:id="6"/>
    <w:p>
      <w:pPr>
        <w:ind w:left="285" w:right="4419"/>
        <w:spacing w:after="0" w:line="251" w:lineRule="auto"/>
        <w:rPr>
          <w:sz w:val="20"/>
          <w:szCs w:val="20"/>
          <w:color w:val="auto"/>
        </w:rPr>
      </w:pPr>
      <w:r>
        <w:rPr>
          <w:rFonts w:ascii="Courier New" w:cs="Courier New" w:eastAsia="Courier New" w:hAnsi="Courier New"/>
          <w:sz w:val="15"/>
          <w:szCs w:val="15"/>
          <w:color w:val="auto"/>
        </w:rPr>
        <w:t>assets acquired ("goodwill") of approximately $66,541,000 is being amortized on a straight line basis over 40 years. Sierra's results of operations have been included in the Consolidated Statements of Income from the acquisition date.</w:t>
      </w:r>
    </w:p>
    <w:p>
      <w:pPr>
        <w:spacing w:after="0" w:line="176" w:lineRule="exact"/>
        <w:rPr>
          <w:sz w:val="20"/>
          <w:szCs w:val="20"/>
          <w:color w:val="auto"/>
        </w:rPr>
      </w:pPr>
    </w:p>
    <w:p>
      <w:pPr>
        <w:ind w:left="285" w:right="4499"/>
        <w:spacing w:after="0" w:line="251" w:lineRule="auto"/>
        <w:rPr>
          <w:sz w:val="20"/>
          <w:szCs w:val="20"/>
          <w:color w:val="auto"/>
        </w:rPr>
      </w:pPr>
      <w:r>
        <w:rPr>
          <w:rFonts w:ascii="Courier New" w:cs="Courier New" w:eastAsia="Courier New" w:hAnsi="Courier New"/>
          <w:sz w:val="15"/>
          <w:szCs w:val="15"/>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on acquisition debt.</w:t>
      </w:r>
    </w:p>
    <w:p>
      <w:pPr>
        <w:spacing w:after="0" w:line="200" w:lineRule="exact"/>
        <w:rPr>
          <w:sz w:val="20"/>
          <w:szCs w:val="20"/>
          <w:color w:val="auto"/>
        </w:rPr>
      </w:pPr>
    </w:p>
    <w:p>
      <w:pPr>
        <w:spacing w:after="0" w:line="331" w:lineRule="exact"/>
        <w:rPr>
          <w:sz w:val="20"/>
          <w:szCs w:val="20"/>
          <w:color w:val="auto"/>
        </w:rPr>
      </w:pPr>
    </w:p>
    <w:tbl>
      <w:tblPr>
        <w:tblLayout w:type="fixed"/>
        <w:tblInd w:w="285" w:type="dxa"/>
        <w:tblCellMar>
          <w:top w:w="0" w:type="dxa"/>
          <w:left w:w="0" w:type="dxa"/>
          <w:bottom w:w="0" w:type="dxa"/>
          <w:right w:w="0" w:type="dxa"/>
        </w:tblCellMar>
      </w:tblPr>
      <w:tr>
        <w:trPr>
          <w:trHeight w:val="172"/>
        </w:trPr>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2340" w:type="dxa"/>
            <w:vAlign w:val="bottom"/>
          </w:tcPr>
          <w:p>
            <w:pPr>
              <w:spacing w:after="0"/>
              <w:rPr>
                <w:sz w:val="15"/>
                <w:szCs w:val="15"/>
                <w:color w:val="auto"/>
              </w:rPr>
            </w:pPr>
          </w:p>
        </w:tc>
        <w:tc>
          <w:tcPr>
            <w:tcW w:w="3280" w:type="dxa"/>
            <w:vAlign w:val="bottom"/>
            <w:gridSpan w:val="4"/>
          </w:tcPr>
          <w:p>
            <w:pPr>
              <w:ind w:left="420"/>
              <w:spacing w:after="0"/>
              <w:rPr>
                <w:sz w:val="20"/>
                <w:szCs w:val="20"/>
                <w:color w:val="auto"/>
              </w:rPr>
            </w:pPr>
            <w:r>
              <w:rPr>
                <w:rFonts w:ascii="Courier New" w:cs="Courier New" w:eastAsia="Courier New" w:hAnsi="Courier New"/>
                <w:sz w:val="15"/>
                <w:szCs w:val="15"/>
                <w:color w:val="auto"/>
              </w:rPr>
              <w:t>(in thousands, except per</w:t>
            </w:r>
          </w:p>
        </w:tc>
      </w:tr>
      <w:tr>
        <w:trPr>
          <w:trHeight w:val="177"/>
        </w:trPr>
        <w:tc>
          <w:tcPr>
            <w:tcW w:w="2340" w:type="dxa"/>
            <w:vAlign w:val="bottom"/>
          </w:tcPr>
          <w:p>
            <w:pPr>
              <w:spacing w:after="0"/>
              <w:rPr>
                <w:sz w:val="15"/>
                <w:szCs w:val="15"/>
                <w:color w:val="auto"/>
              </w:rPr>
            </w:pPr>
          </w:p>
        </w:tc>
        <w:tc>
          <w:tcPr>
            <w:tcW w:w="23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share amounts)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340" w:type="dxa"/>
            <w:vAlign w:val="bottom"/>
          </w:tcPr>
          <w:p>
            <w:pPr>
              <w:spacing w:after="0"/>
              <w:rPr>
                <w:sz w:val="15"/>
                <w:szCs w:val="15"/>
                <w:color w:val="auto"/>
              </w:rPr>
            </w:pPr>
          </w:p>
        </w:tc>
        <w:tc>
          <w:tcPr>
            <w:tcW w:w="23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April 3</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April 2</w:t>
            </w:r>
          </w:p>
        </w:tc>
      </w:tr>
      <w:tr>
        <w:trPr>
          <w:trHeight w:val="177"/>
        </w:trPr>
        <w:tc>
          <w:tcPr>
            <w:tcW w:w="2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r>
      <w:tr>
        <w:trPr>
          <w:trHeight w:val="532"/>
        </w:trPr>
        <w:tc>
          <w:tcPr>
            <w:tcW w:w="2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291,041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296,576</w:t>
            </w:r>
          </w:p>
        </w:tc>
      </w:tr>
      <w:tr>
        <w:trPr>
          <w:trHeight w:val="532"/>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of accounting changes</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10,639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11,349</w:t>
            </w:r>
          </w:p>
        </w:tc>
      </w:tr>
      <w:tr>
        <w:trPr>
          <w:trHeight w:val="355"/>
        </w:trPr>
        <w:tc>
          <w:tcPr>
            <w:tcW w:w="23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(2,518)</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11,349</w:t>
            </w:r>
          </w:p>
        </w:tc>
      </w:tr>
    </w:tbl>
    <w:p>
      <w:pPr>
        <w:spacing w:after="0" w:line="183" w:lineRule="exact"/>
        <w:rPr>
          <w:sz w:val="20"/>
          <w:szCs w:val="20"/>
          <w:color w:val="auto"/>
        </w:rPr>
      </w:pPr>
    </w:p>
    <w:tbl>
      <w:tblPr>
        <w:tblLayout w:type="fixed"/>
        <w:tblInd w:w="285" w:type="dxa"/>
        <w:tblCellMar>
          <w:top w:w="0" w:type="dxa"/>
          <w:left w:w="0" w:type="dxa"/>
          <w:bottom w:w="0" w:type="dxa"/>
          <w:right w:w="0" w:type="dxa"/>
        </w:tblCellMar>
      </w:tblPr>
      <w:tr>
        <w:trPr>
          <w:trHeight w:val="172"/>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Income per common share before</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7"/>
        </w:trPr>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effect of accounting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changes</w:t>
            </w: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income (loss) per</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960" w:type="dxa"/>
            <w:vAlign w:val="bottom"/>
          </w:tcPr>
          <w:p>
            <w:pPr>
              <w:spacing w:after="0"/>
              <w:rPr>
                <w:sz w:val="15"/>
                <w:szCs w:val="15"/>
                <w:color w:val="auto"/>
              </w:rPr>
            </w:pPr>
          </w:p>
        </w:tc>
        <w:tc>
          <w:tcPr>
            <w:tcW w:w="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w:t>
            </w:r>
          </w:p>
        </w:tc>
      </w:tr>
    </w:tbl>
    <w:p>
      <w:pPr>
        <w:spacing w:after="0" w:line="360" w:lineRule="exact"/>
        <w:rPr>
          <w:sz w:val="20"/>
          <w:szCs w:val="20"/>
          <w:color w:val="auto"/>
        </w:rPr>
      </w:pPr>
    </w:p>
    <w:p>
      <w:pPr>
        <w:ind w:left="285" w:right="4599"/>
        <w:spacing w:after="0" w:line="251"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176" w:lineRule="exact"/>
        <w:rPr>
          <w:sz w:val="20"/>
          <w:szCs w:val="20"/>
          <w:color w:val="auto"/>
        </w:rPr>
      </w:pPr>
    </w:p>
    <w:p>
      <w:pPr>
        <w:ind w:left="285" w:hanging="285"/>
        <w:spacing w:after="0"/>
        <w:tabs>
          <w:tab w:leader="none" w:pos="2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84" w:lineRule="exact"/>
        <w:rPr>
          <w:rFonts w:ascii="Courier New" w:cs="Courier New" w:eastAsia="Courier New" w:hAnsi="Courier New"/>
          <w:sz w:val="15"/>
          <w:szCs w:val="15"/>
          <w:color w:val="auto"/>
        </w:rPr>
      </w:pPr>
    </w:p>
    <w:p>
      <w:pPr>
        <w:ind w:left="285" w:right="43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16, 1993, the Company entered into an amendment to its Credit Agreement to finance the Sierra acquisition. The amendment increased the term debt commitments available under the Credit Agreement to $195,000,000. The Credit Agreement continues to provide a revolving credit commitment of $150,000,000 through the scheduled maturity date of March 31, 1996. The Company's long-term debt consists of the following:</w:t>
      </w:r>
    </w:p>
    <w:p>
      <w:pPr>
        <w:spacing w:after="0" w:line="200" w:lineRule="exact"/>
        <w:rPr>
          <w:sz w:val="20"/>
          <w:szCs w:val="20"/>
          <w:color w:val="auto"/>
        </w:rPr>
      </w:pPr>
    </w:p>
    <w:p>
      <w:pPr>
        <w:spacing w:after="0" w:line="330" w:lineRule="exact"/>
        <w:rPr>
          <w:sz w:val="20"/>
          <w:szCs w:val="20"/>
          <w:color w:val="auto"/>
        </w:rPr>
      </w:pPr>
    </w:p>
    <w:tbl>
      <w:tblPr>
        <w:tblLayout w:type="fixed"/>
        <w:tblInd w:w="285"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14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April 2 1994</w:t>
            </w:r>
          </w:p>
        </w:tc>
      </w:tr>
      <w:tr>
        <w:trPr>
          <w:trHeight w:val="532"/>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Revolving credit loan and bank line of</w:t>
            </w:r>
          </w:p>
        </w:tc>
        <w:tc>
          <w:tcPr>
            <w:tcW w:w="1480" w:type="dxa"/>
            <w:vAlign w:val="bottom"/>
          </w:tcPr>
          <w:p>
            <w:pPr>
              <w:spacing w:after="0"/>
              <w:rPr>
                <w:sz w:val="24"/>
                <w:szCs w:val="24"/>
                <w:color w:val="auto"/>
              </w:rPr>
            </w:pP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credit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$ 128,000,000</w:t>
            </w:r>
          </w:p>
        </w:tc>
      </w:tr>
      <w:tr>
        <w:trPr>
          <w:trHeight w:val="355"/>
        </w:trPr>
        <w:tc>
          <w:tcPr>
            <w:tcW w:w="3780" w:type="dxa"/>
            <w:vAlign w:val="bottom"/>
          </w:tcPr>
          <w:p>
            <w:pPr>
              <w:spacing w:after="0"/>
              <w:rPr>
                <w:sz w:val="20"/>
                <w:szCs w:val="20"/>
                <w:color w:val="auto"/>
              </w:rPr>
            </w:pPr>
            <w:r>
              <w:rPr>
                <w:rFonts w:ascii="Courier New" w:cs="Courier New" w:eastAsia="Courier New" w:hAnsi="Courier New"/>
                <w:sz w:val="15"/>
                <w:szCs w:val="15"/>
                <w:color w:val="auto"/>
              </w:rPr>
              <w:t>Term loan</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195,000,000</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Capital lease obligations and other</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6,588,000</w:t>
            </w:r>
          </w:p>
        </w:tc>
      </w:tr>
      <w:tr>
        <w:trPr>
          <w:trHeight w:val="177"/>
        </w:trPr>
        <w:tc>
          <w:tcPr>
            <w:tcW w:w="37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329,588,000</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Less current portions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118,417,000</w:t>
            </w:r>
          </w:p>
        </w:tc>
      </w:tr>
      <w:tr>
        <w:trPr>
          <w:trHeight w:val="177"/>
        </w:trPr>
        <w:tc>
          <w:tcPr>
            <w:tcW w:w="37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$211,171,000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Page 8</w:t>
      </w:r>
    </w:p>
    <w:p>
      <w:pPr>
        <w:spacing w:after="0" w:line="200" w:lineRule="exact"/>
        <w:rPr>
          <w:sz w:val="20"/>
          <w:szCs w:val="20"/>
          <w:color w:val="auto"/>
        </w:rPr>
      </w:pPr>
    </w:p>
    <w:p>
      <w:pPr>
        <w:spacing w:after="0" w:line="340"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Scheduled maturities of term debt are as follows:</w:t>
      </w:r>
    </w:p>
    <w:p>
      <w:pPr>
        <w:spacing w:after="0" w:line="185" w:lineRule="exact"/>
        <w:rPr>
          <w:sz w:val="20"/>
          <w:szCs w:val="20"/>
          <w:color w:val="auto"/>
        </w:rPr>
      </w:pPr>
    </w:p>
    <w:tbl>
      <w:tblPr>
        <w:tblLayout w:type="fixed"/>
        <w:tblInd w:w="1285" w:type="dxa"/>
        <w:tblCellMar>
          <w:top w:w="0" w:type="dxa"/>
          <w:left w:w="0" w:type="dxa"/>
          <w:bottom w:w="0" w:type="dxa"/>
          <w:right w:w="0" w:type="dxa"/>
        </w:tblCellMar>
      </w:tblPr>
      <w:tr>
        <w:trPr>
          <w:trHeight w:val="172"/>
        </w:trPr>
        <w:tc>
          <w:tcPr>
            <w:tcW w:w="1300" w:type="dxa"/>
            <w:vAlign w:val="bottom"/>
            <w:gridSpan w:val="2"/>
          </w:tcPr>
          <w:p>
            <w:pPr>
              <w:spacing w:after="0"/>
              <w:rPr>
                <w:sz w:val="20"/>
                <w:szCs w:val="20"/>
                <w:color w:val="auto"/>
              </w:rPr>
            </w:pPr>
            <w:r>
              <w:rPr>
                <w:rFonts w:ascii="Courier New" w:cs="Courier New" w:eastAsia="Courier New" w:hAnsi="Courier New"/>
                <w:sz w:val="15"/>
                <w:szCs w:val="15"/>
                <w:color w:val="auto"/>
              </w:rPr>
              <w:t>Fiscal Year</w:t>
            </w:r>
          </w:p>
        </w:tc>
        <w:tc>
          <w:tcPr>
            <w:tcW w:w="1280" w:type="dxa"/>
            <w:vAlign w:val="bottom"/>
          </w:tcPr>
          <w:p>
            <w:pPr>
              <w:spacing w:after="0"/>
              <w:rPr>
                <w:sz w:val="14"/>
                <w:szCs w:val="14"/>
                <w:color w:val="auto"/>
              </w:rPr>
            </w:pPr>
          </w:p>
        </w:tc>
      </w:tr>
      <w:tr>
        <w:trPr>
          <w:trHeight w:val="177"/>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$ 5,000,000</w:t>
            </w:r>
          </w:p>
        </w:tc>
      </w:tr>
      <w:tr>
        <w:trPr>
          <w:trHeight w:val="177"/>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25,000,000</w:t>
            </w:r>
          </w:p>
        </w:tc>
      </w:tr>
      <w:tr>
        <w:trPr>
          <w:trHeight w:val="177"/>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27,500,000</w:t>
            </w:r>
          </w:p>
        </w:tc>
      </w:tr>
      <w:tr>
        <w:trPr>
          <w:trHeight w:val="177"/>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32,500,000</w:t>
            </w:r>
          </w:p>
        </w:tc>
      </w:tr>
      <w:tr>
        <w:trPr>
          <w:trHeight w:val="177"/>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177"/>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75,000,000</w:t>
            </w:r>
          </w:p>
        </w:tc>
      </w:tr>
    </w:tbl>
    <w:p>
      <w:pPr>
        <w:spacing w:after="0" w:line="5"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thereafter</w:t>
      </w:r>
    </w:p>
    <w:p>
      <w:pPr>
        <w:spacing w:after="0" w:line="185" w:lineRule="exact"/>
        <w:rPr>
          <w:sz w:val="20"/>
          <w:szCs w:val="20"/>
          <w:color w:val="auto"/>
        </w:rPr>
      </w:pPr>
    </w:p>
    <w:p>
      <w:pPr>
        <w:ind w:left="285" w:right="4599"/>
        <w:spacing w:after="0" w:line="253" w:lineRule="auto"/>
        <w:rPr>
          <w:sz w:val="20"/>
          <w:szCs w:val="20"/>
          <w:color w:val="auto"/>
        </w:rPr>
      </w:pPr>
      <w:r>
        <w:rPr>
          <w:rFonts w:ascii="Courier New" w:cs="Courier New" w:eastAsia="Courier New" w:hAnsi="Courier New"/>
          <w:sz w:val="15"/>
          <w:szCs w:val="15"/>
          <w:color w:val="auto"/>
        </w:rPr>
        <w:t>All other aspects of the Company's Credit Agreement remain substantially the same.</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4. Income Taxes</w:t>
      </w:r>
    </w:p>
    <w:p>
      <w:pPr>
        <w:sectPr>
          <w:pgSz w:w="11900" w:h="16838" w:orient="portrait"/>
          <w:cols w:equalWidth="0" w:num="1">
            <w:col w:w="10225"/>
          </w:cols>
          <w:pgMar w:left="235" w:top="142" w:right="1440" w:bottom="0" w:gutter="0" w:footer="0" w:header="0"/>
        </w:sectPr>
      </w:pPr>
    </w:p>
    <w:bookmarkStart w:id="7" w:name="page8"/>
    <w:bookmarkEnd w:id="7"/>
    <w:p>
      <w:pPr>
        <w:spacing w:after="0" w:line="7" w:lineRule="exact"/>
        <w:rPr>
          <w:sz w:val="20"/>
          <w:szCs w:val="20"/>
          <w:color w:val="auto"/>
        </w:rPr>
      </w:pPr>
    </w:p>
    <w:p>
      <w:pPr>
        <w:ind w:left="285" w:right="4319"/>
        <w:spacing w:after="0" w:line="251" w:lineRule="auto"/>
        <w:rPr>
          <w:sz w:val="20"/>
          <w:szCs w:val="20"/>
          <w:color w:val="auto"/>
        </w:rPr>
      </w:pPr>
      <w:r>
        <w:rPr>
          <w:rFonts w:ascii="Courier New" w:cs="Courier New" w:eastAsia="Courier New" w:hAnsi="Courier New"/>
          <w:sz w:val="15"/>
          <w:szCs w:val="15"/>
          <w:color w:val="auto"/>
        </w:rPr>
        <w:t>The effective income tax rates used for the three and six month periods ended April 2, 1994 differ from the statutory federal rate principally due to state and local income tax expense, amortization of goodwill and amortization of prepaid pension costs.</w:t>
      </w:r>
    </w:p>
    <w:p>
      <w:pPr>
        <w:spacing w:after="0" w:line="176" w:lineRule="exact"/>
        <w:rPr>
          <w:sz w:val="20"/>
          <w:szCs w:val="20"/>
          <w:color w:val="auto"/>
        </w:rPr>
      </w:pPr>
    </w:p>
    <w:p>
      <w:pPr>
        <w:ind w:left="285" w:hanging="285"/>
        <w:spacing w:after="0"/>
        <w:tabs>
          <w:tab w:leader="none" w:pos="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4" w:lineRule="exact"/>
        <w:rPr>
          <w:rFonts w:ascii="Courier New" w:cs="Courier New" w:eastAsia="Courier New" w:hAnsi="Courier New"/>
          <w:sz w:val="15"/>
          <w:szCs w:val="15"/>
          <w:color w:val="auto"/>
        </w:rPr>
      </w:pPr>
    </w:p>
    <w:p>
      <w:pPr>
        <w:ind w:left="285" w:right="43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involved in various lawsuits and claims that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5" w:lineRule="exact"/>
        <w:rPr>
          <w:rFonts w:ascii="Courier New" w:cs="Courier New" w:eastAsia="Courier New" w:hAnsi="Courier New"/>
          <w:sz w:val="15"/>
          <w:szCs w:val="15"/>
          <w:color w:val="auto"/>
        </w:rPr>
      </w:pPr>
    </w:p>
    <w:p>
      <w:pPr>
        <w:ind w:left="285" w:right="43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75" w:lineRule="exact"/>
        <w:rPr>
          <w:rFonts w:ascii="Courier New" w:cs="Courier New" w:eastAsia="Courier New" w:hAnsi="Courier New"/>
          <w:sz w:val="15"/>
          <w:szCs w:val="15"/>
          <w:color w:val="auto"/>
        </w:rPr>
      </w:pPr>
    </w:p>
    <w:p>
      <w:pPr>
        <w:ind w:left="285" w:right="43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186" w:lineRule="exact"/>
        <w:rPr>
          <w:rFonts w:ascii="Courier New" w:cs="Courier New" w:eastAsia="Courier New" w:hAnsi="Courier New"/>
          <w:sz w:val="15"/>
          <w:szCs w:val="15"/>
          <w:color w:val="auto"/>
        </w:rPr>
      </w:pPr>
    </w:p>
    <w:p>
      <w:pPr>
        <w:ind w:left="285" w:right="43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Sierra is a potentially responsible party in connection with the Lorentz Barrel and Drum Superfund Site in California, as a result of its predecessor having shipped barrels to Lorentz for reconditioning or sale between 1967 and 1972. Although many other companies are participating in the remediation of this site, issues relating to the allocation of the costs have not yet been resolved. In addition, 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these</w:t>
      </w:r>
    </w:p>
    <w:p>
      <w:pPr>
        <w:spacing w:after="0" w:line="360"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5" w:right="4319"/>
        <w:spacing w:after="0" w:line="250" w:lineRule="auto"/>
        <w:rPr>
          <w:sz w:val="20"/>
          <w:szCs w:val="20"/>
          <w:color w:val="auto"/>
        </w:rPr>
      </w:pPr>
      <w:r>
        <w:rPr>
          <w:rFonts w:ascii="Courier New" w:cs="Courier New" w:eastAsia="Courier New" w:hAnsi="Courier New"/>
          <w:sz w:val="15"/>
          <w:szCs w:val="15"/>
          <w:color w:val="auto"/>
        </w:rPr>
        <w:t>proceedings will in the aggregate have a material adverse effect on its financial condition or results of operations. In addition to being named as PRP's in the above noted situations, the Company is subject to potential fines in connection with certain EPA labeling violations under the Federal Insecticide, Fungicide and Rodenticide Act (FIFRA). The fines for such violations are based upon formulas as stated in FIFRA. As determined by these formulas the Company's maximum exposure for the violations is approximately $810,000. The formulas allow for certain reductions of the fines based upon achievable levels of compliance. Based upon management's anticipated levels of compliance, they estimate the Company's ultimate liability to be $200,000, which has been accrued in the financial statements.</w:t>
      </w:r>
    </w:p>
    <w:p>
      <w:pPr>
        <w:spacing w:after="0" w:line="361" w:lineRule="exact"/>
        <w:rPr>
          <w:sz w:val="20"/>
          <w:szCs w:val="20"/>
          <w:color w:val="auto"/>
        </w:rPr>
      </w:pPr>
    </w:p>
    <w:p>
      <w:pPr>
        <w:ind w:left="285" w:hanging="285"/>
        <w:spacing w:after="0"/>
        <w:tabs>
          <w:tab w:leader="none" w:pos="2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Issues</w:t>
      </w:r>
    </w:p>
    <w:p>
      <w:pPr>
        <w:spacing w:after="0" w:line="184" w:lineRule="exact"/>
        <w:rPr>
          <w:rFonts w:ascii="Courier New" w:cs="Courier New" w:eastAsia="Courier New" w:hAnsi="Courier New"/>
          <w:sz w:val="15"/>
          <w:szCs w:val="15"/>
          <w:color w:val="auto"/>
        </w:rPr>
      </w:pPr>
    </w:p>
    <w:p>
      <w:pPr>
        <w:ind w:left="285" w:right="44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w:t>
      </w:r>
    </w:p>
    <w:p>
      <w:pPr>
        <w:sectPr>
          <w:pgSz w:w="11900" w:h="16845" w:orient="portrait"/>
          <w:cols w:equalWidth="0" w:num="1">
            <w:col w:w="10225"/>
          </w:cols>
          <w:pgMar w:left="235" w:top="319" w:right="1440" w:bottom="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SFAS No. 112 no later than the first quarter of fiscal 1995.</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Management is currently evaluating the provisions of</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SFAS No. 112 and, at this time, the effect of adopting</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SFAS No. 112 has not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10</w:t>
      </w:r>
    </w:p>
    <w:p>
      <w:pPr>
        <w:spacing w:after="0" w:line="362" w:lineRule="exact"/>
        <w:rPr>
          <w:sz w:val="20"/>
          <w:szCs w:val="20"/>
          <w:color w:val="auto"/>
        </w:rPr>
      </w:pPr>
    </w:p>
    <w:p>
      <w:pPr>
        <w:ind w:left="460"/>
        <w:spacing w:after="0"/>
        <w:tabs>
          <w:tab w:leader="none" w:pos="13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4319"/>
        <w:spacing w:after="0" w:line="253" w:lineRule="auto"/>
        <w:rPr>
          <w:sz w:val="20"/>
          <w:szCs w:val="20"/>
          <w:color w:val="auto"/>
        </w:rPr>
      </w:pPr>
      <w:r>
        <w:rPr>
          <w:rFonts w:ascii="Courier New" w:cs="Courier New" w:eastAsia="Courier New" w:hAnsi="Courier New"/>
          <w:sz w:val="15"/>
          <w:szCs w:val="15"/>
          <w:color w:val="auto"/>
        </w:rPr>
        <w:t>Three Months Ended April 2, 1994 versus Three Months Ended April 3, 1993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of $207,424,000 increased by $46,322,000 or</w:t>
      </w:r>
    </w:p>
    <w:p>
      <w:pPr>
        <w:spacing w:after="0" w:line="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approximately 28.8%.</w:t>
        <w:tab/>
        <w:t>Net sales for the three months ended April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1994 included $39,145,000 of sales from Grace-Sierra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Horticultural Products Company, now known as Scotts-Sierra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Horticultural Products Company, ("Sierra") which was acquired by</w:t>
      </w:r>
    </w:p>
    <w:p>
      <w:pPr>
        <w:spacing w:after="0" w:line="8"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the Company on December 16, 1993.</w:t>
        <w:tab/>
        <w:t>Sales for the period, before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inclusion of Sierra sales, increased 4.5% to $168,279,000</w:t>
      </w:r>
    </w:p>
    <w:p>
      <w:pPr>
        <w:spacing w:after="0" w:line="8"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principally due to increased volume.</w:t>
        <w:tab/>
        <w:t>March 1994 sales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particularly strong, increasing over 1993 sales by approximately</w:t>
      </w:r>
    </w:p>
    <w:p>
      <w:pPr>
        <w:spacing w:after="0" w:line="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5"/>
          <w:szCs w:val="15"/>
          <w:color w:val="auto"/>
        </w:rPr>
        <w:t>21.6% excluding Sierra sales.</w:t>
        <w:tab/>
        <w:t>This was due to improved spring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weather conditions in much of the country, also accounting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 sales which increased 4.9% to</w:t>
      </w:r>
    </w:p>
    <w:p>
      <w:pPr>
        <w:spacing w:after="0" w:line="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5"/>
          <w:szCs w:val="15"/>
          <w:color w:val="auto"/>
        </w:rPr>
        <w:t>$151,508,000 for the quarter.</w:t>
        <w:tab/>
        <w:t>Professional Business Group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decreased 2.0% to $15,950,000 reflecting what Scotts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believes to be a continuing trend by golf course customers to</w:t>
      </w:r>
    </w:p>
    <w:p>
      <w:pPr>
        <w:spacing w:after="0" w:line="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5"/>
          <w:szCs w:val="15"/>
          <w:color w:val="auto"/>
        </w:rPr>
        <w:t>order closer to spring usage.</w:t>
        <w:tab/>
        <w:t>The Professional Business Group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the Company's business is gradually firming and Scotts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believes that there is momentum, going into the peak</w:t>
      </w:r>
    </w:p>
    <w:p>
      <w:pPr>
        <w:spacing w:after="0" w:line="8" w:lineRule="exact"/>
        <w:rPr>
          <w:sz w:val="20"/>
          <w:szCs w:val="20"/>
          <w:color w:val="auto"/>
        </w:rPr>
      </w:pPr>
    </w:p>
    <w:p>
      <w:pPr>
        <w:spacing w:after="0"/>
        <w:tabs>
          <w:tab w:leader="none" w:pos="4780" w:val="left"/>
        </w:tabs>
        <w:rPr>
          <w:sz w:val="20"/>
          <w:szCs w:val="20"/>
          <w:color w:val="auto"/>
        </w:rPr>
      </w:pPr>
      <w:r>
        <w:rPr>
          <w:rFonts w:ascii="Courier New" w:cs="Courier New" w:eastAsia="Courier New" w:hAnsi="Courier New"/>
          <w:sz w:val="15"/>
          <w:szCs w:val="15"/>
          <w:color w:val="auto"/>
        </w:rPr>
        <w:t>Professional selling season of August to November.</w:t>
        <w:tab/>
        <w:t>Composting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of $821,000 increased by $480,000.</w:t>
      </w:r>
    </w:p>
    <w:p>
      <w:pPr>
        <w:spacing w:after="0" w:line="185" w:lineRule="exact"/>
        <w:rPr>
          <w:sz w:val="20"/>
          <w:szCs w:val="20"/>
          <w:color w:val="auto"/>
        </w:rPr>
      </w:pPr>
    </w:p>
    <w:p>
      <w:pPr>
        <w:ind w:right="4219"/>
        <w:spacing w:after="0" w:line="251" w:lineRule="auto"/>
        <w:rPr>
          <w:sz w:val="20"/>
          <w:szCs w:val="20"/>
          <w:color w:val="auto"/>
        </w:rPr>
      </w:pPr>
      <w:r>
        <w:rPr>
          <w:rFonts w:ascii="Courier New" w:cs="Courier New" w:eastAsia="Courier New" w:hAnsi="Courier New"/>
          <w:sz w:val="15"/>
          <w:szCs w:val="15"/>
          <w:color w:val="auto"/>
        </w:rPr>
        <w:t>Cost of sales represented 52.6% of net sales compared with 51.2% last year. The increase was primarily due to a delay in the start-up of a new line of spreaders which caused a delay in product availability which had the effect of increasing costs for the spreaders sold. The increase was also caused, in part, by lower than expected margins due to the product mix of organic products sold during the period.</w:t>
      </w:r>
    </w:p>
    <w:p>
      <w:pPr>
        <w:spacing w:after="0" w:line="176" w:lineRule="exact"/>
        <w:rPr>
          <w:sz w:val="20"/>
          <w:szCs w:val="20"/>
          <w:color w:val="auto"/>
        </w:rPr>
      </w:pPr>
    </w:p>
    <w:p>
      <w:pPr>
        <w:ind w:right="4219"/>
        <w:spacing w:after="0" w:line="250" w:lineRule="auto"/>
        <w:rPr>
          <w:sz w:val="20"/>
          <w:szCs w:val="20"/>
          <w:color w:val="auto"/>
        </w:rPr>
      </w:pPr>
      <w:r>
        <w:rPr>
          <w:rFonts w:ascii="Courier New" w:cs="Courier New" w:eastAsia="Courier New" w:hAnsi="Courier New"/>
          <w:sz w:val="15"/>
          <w:szCs w:val="15"/>
          <w:color w:val="auto"/>
        </w:rPr>
        <w:t>Operating expenses of $70,143,000 increased by $13,216,000 or approximately 23.2%. The increase was partly caused by the inclusion of Sierra operating expenses this year and partly by increased freight costs due to higher sales. Higher marketing expenses also accounted for part of the increase, reflecting the Company's increased spending for national advertising and promotion programs, such as sponsorship of the Tradition Golf Tournament and the agreement with Major League Baseball which allows the Company to display its trademark on signs, scoreboards and grounds crew uniforms at many ballparks. The increase was partly offset by reduced general and administrative expenses, exclusive of Sierra expenses, for the quarter.</w:t>
      </w:r>
    </w:p>
    <w:p>
      <w:pPr>
        <w:sectPr>
          <w:pgSz w:w="11900" w:h="16838" w:orient="portrait"/>
          <w:cols w:equalWidth="0" w:num="1">
            <w:col w:w="10219"/>
          </w:cols>
          <w:pgMar w:left="240" w:top="142" w:right="1440" w:bottom="0" w:gutter="0" w:footer="0" w:header="0"/>
        </w:sectPr>
      </w:pPr>
    </w:p>
    <w:bookmarkStart w:id="9" w:name="page10"/>
    <w:bookmarkEnd w:id="9"/>
    <w:p>
      <w:pPr>
        <w:ind w:right="4219"/>
        <w:spacing w:after="0" w:line="252" w:lineRule="auto"/>
        <w:rPr>
          <w:sz w:val="20"/>
          <w:szCs w:val="20"/>
          <w:color w:val="auto"/>
        </w:rPr>
      </w:pPr>
      <w:r>
        <w:rPr>
          <w:rFonts w:ascii="Courier New" w:cs="Courier New" w:eastAsia="Courier New" w:hAnsi="Courier New"/>
          <w:sz w:val="15"/>
          <w:szCs w:val="15"/>
          <w:color w:val="auto"/>
        </w:rPr>
        <w:t>Interest expense of $4,917,000 increased by $2,195,000 or approximately 80.6%, principally due to an increase in borrowing levels resulting from the acquisition of Sierra in December 1993.</w:t>
      </w:r>
    </w:p>
    <w:p>
      <w:pPr>
        <w:spacing w:after="0" w:line="175" w:lineRule="exact"/>
        <w:rPr>
          <w:sz w:val="20"/>
          <w:szCs w:val="20"/>
          <w:color w:val="auto"/>
        </w:rPr>
      </w:pPr>
    </w:p>
    <w:p>
      <w:pPr>
        <w:ind w:right="4319"/>
        <w:spacing w:after="0" w:line="251" w:lineRule="auto"/>
        <w:rPr>
          <w:sz w:val="20"/>
          <w:szCs w:val="20"/>
          <w:color w:val="auto"/>
        </w:rPr>
      </w:pPr>
      <w:r>
        <w:rPr>
          <w:rFonts w:ascii="Courier New" w:cs="Courier New" w:eastAsia="Courier New" w:hAnsi="Courier New"/>
          <w:sz w:val="15"/>
          <w:szCs w:val="15"/>
          <w:color w:val="auto"/>
        </w:rPr>
        <w:t>Net income of $13,013,000 increased by $2,166,000 or approximately 20.0%. The increase was primarily attributable to increased operating income which was partly offset by higher interest expense this year.</w:t>
      </w:r>
    </w:p>
    <w:p>
      <w:pPr>
        <w:spacing w:after="0" w:line="176" w:lineRule="exact"/>
        <w:rPr>
          <w:sz w:val="20"/>
          <w:szCs w:val="20"/>
          <w:color w:val="auto"/>
        </w:rPr>
      </w:pPr>
    </w:p>
    <w:p>
      <w:pPr>
        <w:ind w:right="4419"/>
        <w:spacing w:after="0" w:line="253" w:lineRule="auto"/>
        <w:rPr>
          <w:sz w:val="20"/>
          <w:szCs w:val="20"/>
          <w:color w:val="auto"/>
        </w:rPr>
      </w:pPr>
      <w:r>
        <w:rPr>
          <w:rFonts w:ascii="Courier New" w:cs="Courier New" w:eastAsia="Courier New" w:hAnsi="Courier New"/>
          <w:sz w:val="15"/>
          <w:szCs w:val="15"/>
          <w:color w:val="auto"/>
        </w:rPr>
        <w:t>Six Months Ended April 2, 1994 versus Six Months Ended April 3, 1993.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of $275,750,000 increased by $46,891,000 or</w:t>
      </w:r>
    </w:p>
    <w:p>
      <w:pPr>
        <w:spacing w:after="0" w:line="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approximately 20.5%.</w:t>
        <w:tab/>
        <w:t>Net sales for the six months ended April 2,</w:t>
      </w:r>
    </w:p>
    <w:p>
      <w:pPr>
        <w:spacing w:after="0" w:line="8"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5"/>
          <w:szCs w:val="15"/>
          <w:color w:val="auto"/>
        </w:rPr>
        <w:t>1994 included $44,025,000 of sales from Sierra.</w:t>
        <w:tab/>
        <w:t>Sales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before inclusion of Sierra sales, increased 1.3% to</w:t>
      </w:r>
    </w:p>
    <w:p>
      <w:pPr>
        <w:spacing w:after="0" w:line="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$231,725,000.</w:t>
        <w:tab/>
        <w:t>The increase reflected increased sales volume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improved weather arrived in the Company's key geographic areas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late in the second fiscal quarter, which allowed the Company to</w:t>
      </w:r>
    </w:p>
    <w:p>
      <w:pPr>
        <w:spacing w:after="0" w:line="8"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5"/>
          <w:szCs w:val="15"/>
          <w:color w:val="auto"/>
        </w:rPr>
        <w:t>overcome a sales decline in the first fiscal quarter.</w:t>
        <w:tab/>
        <w:t>Consumer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 sales increased 2.6% to $195,673,000.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 sales of $34,021,000 reflected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 decrease from the comparable period last year but also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marked improvement over the first fiscal quarter which suffered a</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decline of 14.0%.</w:t>
        <w:tab/>
        <w:t>Composting revenues of $2,031,000 increased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$1,178,000.</w:t>
      </w: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11</w:t>
      </w:r>
    </w:p>
    <w:p>
      <w:pPr>
        <w:spacing w:after="0" w:line="200" w:lineRule="exact"/>
        <w:rPr>
          <w:sz w:val="20"/>
          <w:szCs w:val="20"/>
          <w:color w:val="auto"/>
        </w:rPr>
      </w:pPr>
    </w:p>
    <w:p>
      <w:pPr>
        <w:spacing w:after="0" w:line="340" w:lineRule="exact"/>
        <w:rPr>
          <w:sz w:val="20"/>
          <w:szCs w:val="20"/>
          <w:color w:val="auto"/>
        </w:rPr>
      </w:pPr>
    </w:p>
    <w:p>
      <w:pPr>
        <w:ind w:right="4219"/>
        <w:spacing w:after="0" w:line="251" w:lineRule="auto"/>
        <w:rPr>
          <w:sz w:val="20"/>
          <w:szCs w:val="20"/>
          <w:color w:val="auto"/>
        </w:rPr>
      </w:pPr>
      <w:r>
        <w:rPr>
          <w:rFonts w:ascii="Courier New" w:cs="Courier New" w:eastAsia="Courier New" w:hAnsi="Courier New"/>
          <w:sz w:val="15"/>
          <w:szCs w:val="15"/>
          <w:color w:val="auto"/>
        </w:rPr>
        <w:t>Cost of sales represented 53.1% of net sales compared with 52.2% last year, primarily due to a delay in the start-up of a new line of spreaders as well as lower than expected margins due to product mix of organic products sold.</w:t>
      </w:r>
    </w:p>
    <w:p>
      <w:pPr>
        <w:spacing w:after="0" w:line="176" w:lineRule="exact"/>
        <w:rPr>
          <w:sz w:val="20"/>
          <w:szCs w:val="20"/>
          <w:color w:val="auto"/>
        </w:rPr>
      </w:pPr>
    </w:p>
    <w:p>
      <w:pPr>
        <w:ind w:right="4219"/>
        <w:spacing w:after="0" w:line="251" w:lineRule="auto"/>
        <w:rPr>
          <w:sz w:val="20"/>
          <w:szCs w:val="20"/>
          <w:color w:val="auto"/>
        </w:rPr>
      </w:pPr>
      <w:r>
        <w:rPr>
          <w:rFonts w:ascii="Courier New" w:cs="Courier New" w:eastAsia="Courier New" w:hAnsi="Courier New"/>
          <w:sz w:val="15"/>
          <w:szCs w:val="15"/>
          <w:color w:val="auto"/>
        </w:rPr>
        <w:t>Operating expenses of $101,054,000 increased by $14,531.000 or approximately 16.8%. The increase was partly caused by the inclusion of Sierra operating expenses this year and partly by increased freight costs due to higher sales for the period as well as more less-than-truckload shipments in the first fiscal quarter due to a delay in the availability of a new line of spreaders. The increase was also caused by increased spending for national advertising and promotion programs and was partly offset by decreased general and administrative expenses, exclusive of Sierra expenses, which were managed at a lower level this year.</w:t>
      </w:r>
    </w:p>
    <w:p>
      <w:pPr>
        <w:spacing w:after="0" w:line="352" w:lineRule="exact"/>
        <w:rPr>
          <w:sz w:val="20"/>
          <w:szCs w:val="20"/>
          <w:color w:val="auto"/>
        </w:rPr>
      </w:pPr>
    </w:p>
    <w:p>
      <w:pPr>
        <w:ind w:right="4319"/>
        <w:spacing w:after="0" w:line="251" w:lineRule="auto"/>
        <w:rPr>
          <w:sz w:val="20"/>
          <w:szCs w:val="20"/>
          <w:color w:val="auto"/>
        </w:rPr>
      </w:pPr>
      <w:r>
        <w:rPr>
          <w:rFonts w:ascii="Courier New" w:cs="Courier New" w:eastAsia="Courier New" w:hAnsi="Courier New"/>
          <w:sz w:val="15"/>
          <w:szCs w:val="15"/>
          <w:color w:val="auto"/>
        </w:rPr>
        <w:t>Interest expense of $7,557,000 increased by $3,114,000 or approximately 70.1%. The increase was primarily attributable to an increase in borrowing levels resulting from purchase of a block of Scotts' Class A Common Stock in February 1993 and the acquisition of Sierra in December 1993.</w:t>
      </w:r>
    </w:p>
    <w:p>
      <w:pPr>
        <w:spacing w:after="0" w:line="176" w:lineRule="exact"/>
        <w:rPr>
          <w:sz w:val="20"/>
          <w:szCs w:val="20"/>
          <w:color w:val="auto"/>
        </w:rPr>
      </w:pPr>
    </w:p>
    <w:p>
      <w:pPr>
        <w:ind w:right="4499"/>
        <w:spacing w:after="0" w:line="251" w:lineRule="auto"/>
        <w:rPr>
          <w:sz w:val="20"/>
          <w:szCs w:val="20"/>
          <w:color w:val="auto"/>
        </w:rPr>
      </w:pPr>
      <w:r>
        <w:rPr>
          <w:rFonts w:ascii="Courier New" w:cs="Courier New" w:eastAsia="Courier New" w:hAnsi="Courier New"/>
          <w:sz w:val="15"/>
          <w:szCs w:val="15"/>
          <w:color w:val="auto"/>
        </w:rPr>
        <w:t>Income before the cumulative effect of accounting changes increased by $1,080,000 to $11,456,000. The increase was primarily attributable to increased operating income which was partly offset by higher interest expense and income taxes.</w:t>
      </w:r>
    </w:p>
    <w:p>
      <w:pPr>
        <w:spacing w:after="0" w:line="176" w:lineRule="exact"/>
        <w:rPr>
          <w:sz w:val="20"/>
          <w:szCs w:val="20"/>
          <w:color w:val="auto"/>
        </w:rPr>
      </w:pPr>
    </w:p>
    <w:p>
      <w:pPr>
        <w:ind w:right="4219"/>
        <w:spacing w:after="0" w:line="251" w:lineRule="auto"/>
        <w:rPr>
          <w:sz w:val="20"/>
          <w:szCs w:val="20"/>
          <w:color w:val="auto"/>
        </w:rPr>
      </w:pPr>
      <w:r>
        <w:rPr>
          <w:rFonts w:ascii="Courier New" w:cs="Courier New" w:eastAsia="Courier New" w:hAnsi="Courier New"/>
          <w:sz w:val="15"/>
          <w:szCs w:val="15"/>
          <w:color w:val="auto"/>
        </w:rPr>
        <w:t>Net income of $11,456,000 increased by $14,237,000 from a loss of $2,781,000 last year. The increase was primarily attributable to a prior period non-recurring charge of $13,157,000 for the cumulative effect of changes in accounting for postretirement benefits, net of tax and income taxes as well as increased operating income partly offset by higher interest expense and taxes.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as at April 2, 1994.</w:t>
      </w:r>
    </w:p>
    <w:p>
      <w:pPr>
        <w:spacing w:after="0" w:line="185" w:lineRule="exact"/>
        <w:rPr>
          <w:sz w:val="20"/>
          <w:szCs w:val="20"/>
          <w:color w:val="auto"/>
        </w:rPr>
      </w:pPr>
    </w:p>
    <w:p>
      <w:pPr>
        <w:ind w:right="4319"/>
        <w:spacing w:after="0" w:line="251" w:lineRule="auto"/>
        <w:rPr>
          <w:sz w:val="20"/>
          <w:szCs w:val="20"/>
          <w:color w:val="auto"/>
        </w:rPr>
      </w:pPr>
      <w:r>
        <w:rPr>
          <w:rFonts w:ascii="Courier New" w:cs="Courier New" w:eastAsia="Courier New" w:hAnsi="Courier New"/>
          <w:sz w:val="15"/>
          <w:szCs w:val="15"/>
          <w:color w:val="auto"/>
        </w:rPr>
        <w:t>Capital expenditures for the fiscal year ending September 30, 1994 are expected to be approximately $31,500,000 including capital expenditures of Sierra. The key capital project is a $13,000,000 investment in a new production facility to increase capacity to meet demand for the Company's Poly-Sr controlled-release fertilizers. Capital expenditures will be financed with cash provided by operations and utilization of existing credit facilities.</w:t>
      </w:r>
    </w:p>
    <w:p>
      <w:pPr>
        <w:spacing w:after="0" w:line="175" w:lineRule="exact"/>
        <w:rPr>
          <w:sz w:val="20"/>
          <w:szCs w:val="20"/>
          <w:color w:val="auto"/>
        </w:rPr>
      </w:pPr>
    </w:p>
    <w:p>
      <w:pPr>
        <w:ind w:right="4219"/>
        <w:spacing w:after="0" w:line="250" w:lineRule="auto"/>
        <w:rPr>
          <w:sz w:val="20"/>
          <w:szCs w:val="20"/>
          <w:color w:val="auto"/>
        </w:rPr>
      </w:pPr>
      <w:r>
        <w:rPr>
          <w:rFonts w:ascii="Courier New" w:cs="Courier New" w:eastAsia="Courier New" w:hAnsi="Courier New"/>
          <w:sz w:val="15"/>
          <w:szCs w:val="15"/>
          <w:color w:val="auto"/>
        </w:rPr>
        <w:t>Current assets of $341,343,000 increased by $197,601,000 compared with current assets at September 30, 1993 and by $98,228,000 compared with current assets at April 3, 1993. The increase compared with September 30, 1993 is partly attributable to the seasonal nature of the Company's business, with inventory and accounts receivable levels being generally higher at the end of March relative to the end of September. The increase was also caused, in part, by inclusion of Sierra's current assets which amounted to $56,377,000. The increase compared with April 3, 1993 was partly caused by inclusion of Sierra's current assets and also by a higher level of accounts receivable due to greatly</w:t>
      </w:r>
    </w:p>
    <w:p>
      <w:pPr>
        <w:sectPr>
          <w:pgSz w:w="11900" w:h="16839" w:orient="portrait"/>
          <w:cols w:equalWidth="0" w:num="1">
            <w:col w:w="10219"/>
          </w:cols>
          <w:pgMar w:left="240" w:top="319" w:right="1440" w:bottom="0" w:gutter="0" w:footer="0" w:header="0"/>
        </w:sectPr>
      </w:pPr>
    </w:p>
    <w:bookmarkStart w:id="10" w:name="page11"/>
    <w:bookmarkEnd w:id="10"/>
    <w:p>
      <w:pPr>
        <w:spacing w:after="0" w:line="7" w:lineRule="exact"/>
        <w:rPr>
          <w:sz w:val="20"/>
          <w:szCs w:val="20"/>
          <w:color w:val="auto"/>
        </w:rPr>
      </w:pPr>
    </w:p>
    <w:p>
      <w:pPr>
        <w:ind w:right="4319"/>
        <w:spacing w:after="0" w:line="251" w:lineRule="auto"/>
        <w:rPr>
          <w:sz w:val="20"/>
          <w:szCs w:val="20"/>
          <w:color w:val="auto"/>
        </w:rPr>
      </w:pPr>
      <w:r>
        <w:rPr>
          <w:rFonts w:ascii="Courier New" w:cs="Courier New" w:eastAsia="Courier New" w:hAnsi="Courier New"/>
          <w:sz w:val="15"/>
          <w:szCs w:val="15"/>
          <w:color w:val="auto"/>
        </w:rPr>
        <w:t>increased sales volume in March this year (for which receivables had not yet been collected) and higher inventory levels which were primarily due to an planned increase in inventories of organic products prepacked in anticipation of the Spring selling season.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assets of $622,143,000 increased by $300,553,000 compared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September 30, 1993 and by $200,618,000 compared with April</w:t>
      </w:r>
    </w:p>
    <w:p>
      <w:pPr>
        <w:spacing w:after="0" w:line="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3, 1993.</w:t>
        <w:tab/>
        <w:t>The increase compared with September 30 was partly 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seasonality of the the Company's business and partly 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inclusion of Sierra's total assets which amounted to</w:t>
      </w:r>
    </w:p>
    <w:p>
      <w:pPr>
        <w:spacing w:after="0" w:line="8"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$156,050,000, including goodwill of $66,541,000.</w:t>
        <w:tab/>
        <w:t>The increase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April 3, 1993 is primarily due to inclusion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Sierra's total assets and also due, in part, to the increases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and inventory levels which are mentioned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12</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liabilities of $467,007,000 increased by $288,430,000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total liabilities at September 30, 1993 and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$177,480,000 compared with total liabilities at April 3, 1993.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increase compared with September 30, 1993 is partly caused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seasonality of the the Company's business, which is reflected</w:t>
      </w:r>
    </w:p>
    <w:p>
      <w:pPr>
        <w:spacing w:after="0" w:line="8"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5"/>
          <w:szCs w:val="15"/>
          <w:color w:val="auto"/>
        </w:rPr>
        <w:t>in higher levels of accounts payable and accrued liabilities.</w:t>
        <w:tab/>
        <w:t>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also caused by $125,000,000 of term debt incurred in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to facilitate the acquisition of Sierra and by inclusion of</w:t>
      </w:r>
    </w:p>
    <w:p>
      <w:pPr>
        <w:spacing w:after="0" w:line="8"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5"/>
          <w:szCs w:val="15"/>
          <w:color w:val="auto"/>
        </w:rPr>
        <w:t>Sierra's total liabilities which amounted to $26,710,000.</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compared with April 3, 1993 was primarily caused by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for the Sierra acquisition and by inclusion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Sierra's total liabilities.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 of $155,136,000 increased by $12,123,000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shareholders' equity on September 30, 1993,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due to $11,456,000 of net income for the six months</w:t>
      </w:r>
    </w:p>
    <w:p>
      <w:pPr>
        <w:spacing w:after="0" w:line="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ended April 2, 1994.</w:t>
        <w:tab/>
        <w:t>Shareholders' equity increased by</w:t>
      </w:r>
    </w:p>
    <w:p>
      <w:pPr>
        <w:spacing w:after="0" w:line="8"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$23,138,000 compared with April 3, 1993.</w:t>
        <w:tab/>
        <w:t>This increase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due to net income of $22,127,000 for the twelve months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April 2, 1994.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primary sources of liquidity for the Company's operations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generated by operations and borrowings under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Amended and Restated Credit Agreement ("Credit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Agreement was amended in December 1993 to provide</w:t>
      </w:r>
    </w:p>
    <w:p>
      <w:pPr>
        <w:spacing w:after="0" w:line="8" w:lineRule="exact"/>
        <w:rPr>
          <w:sz w:val="20"/>
          <w:szCs w:val="20"/>
          <w:color w:val="auto"/>
        </w:rPr>
      </w:pPr>
    </w:p>
    <w:p>
      <w:pPr>
        <w:spacing w:after="0"/>
        <w:tabs>
          <w:tab w:leader="none" w:pos="4860" w:val="left"/>
        </w:tabs>
        <w:rPr>
          <w:sz w:val="20"/>
          <w:szCs w:val="20"/>
          <w:color w:val="auto"/>
        </w:rPr>
      </w:pPr>
      <w:r>
        <w:rPr>
          <w:rFonts w:ascii="Courier New" w:cs="Courier New" w:eastAsia="Courier New" w:hAnsi="Courier New"/>
          <w:sz w:val="15"/>
          <w:szCs w:val="15"/>
          <w:color w:val="auto"/>
        </w:rPr>
        <w:t>financing for and permit the acquisition of Sierra.</w:t>
        <w:tab/>
        <w:t>As amended,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Agreement provides a revolving credit commitment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million through March 31, 1996 and $195.0 million of 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with scheduled maturities commencing on April 30, 1994 and</w:t>
      </w:r>
    </w:p>
    <w:p>
      <w:pPr>
        <w:spacing w:after="0" w:line="8"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extending through September 30, 2000.</w:t>
        <w:tab/>
        <w:t>The Credit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contains financial covenants which, among other things, limit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require maintenance of Adjusted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Consolidated Net Worth and Interest Coverage (each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therein) and require the Company to reduce revolving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borrowings to no more than $30.0 million for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consecutive days each year.</w:t>
      </w:r>
    </w:p>
    <w:p>
      <w:pPr>
        <w:spacing w:after="0" w:line="185" w:lineRule="exact"/>
        <w:rPr>
          <w:sz w:val="20"/>
          <w:szCs w:val="20"/>
          <w:color w:val="auto"/>
        </w:rPr>
      </w:pPr>
    </w:p>
    <w:p>
      <w:pPr>
        <w:ind w:right="4419"/>
        <w:spacing w:after="0" w:line="251" w:lineRule="auto"/>
        <w:rPr>
          <w:sz w:val="20"/>
          <w:szCs w:val="20"/>
          <w:color w:val="auto"/>
        </w:rPr>
      </w:pPr>
      <w:r>
        <w:rPr>
          <w:rFonts w:ascii="Courier New" w:cs="Courier New" w:eastAsia="Courier New" w:hAnsi="Courier New"/>
          <w:sz w:val="15"/>
          <w:szCs w:val="15"/>
          <w:color w:val="auto"/>
        </w:rPr>
        <w:t>The Company's business is highly seasonal which is reflected in working capital requirements. Working capital requirements are greatest from November through May, the peak production period, and are at their highest in March. Working capital needs are relatively low in the summer months.</w:t>
      </w:r>
    </w:p>
    <w:p>
      <w:pPr>
        <w:spacing w:after="0" w:line="176" w:lineRule="exact"/>
        <w:rPr>
          <w:sz w:val="20"/>
          <w:szCs w:val="20"/>
          <w:color w:val="auto"/>
        </w:rPr>
      </w:pPr>
    </w:p>
    <w:p>
      <w:pPr>
        <w:ind w:right="4419"/>
        <w:spacing w:after="0" w:line="252" w:lineRule="auto"/>
        <w:rPr>
          <w:sz w:val="20"/>
          <w:szCs w:val="20"/>
          <w:color w:val="auto"/>
        </w:rPr>
      </w:pPr>
      <w:r>
        <w:rPr>
          <w:rFonts w:ascii="Courier New" w:cs="Courier New" w:eastAsia="Courier New" w:hAnsi="Courier New"/>
          <w:sz w:val="15"/>
          <w:szCs w:val="15"/>
          <w:color w:val="auto"/>
        </w:rPr>
        <w:t>In the opinion of Scotts management, cash flows from operations and capital resources will be sufficient to meet future debt service and working capital needs.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Issues</w:t>
      </w:r>
    </w:p>
    <w:p>
      <w:pPr>
        <w:spacing w:after="0" w:line="185" w:lineRule="exact"/>
        <w:rPr>
          <w:sz w:val="20"/>
          <w:szCs w:val="20"/>
          <w:color w:val="auto"/>
        </w:rPr>
      </w:pPr>
    </w:p>
    <w:p>
      <w:pPr>
        <w:ind w:right="4219"/>
        <w:spacing w:after="0" w:line="251" w:lineRule="auto"/>
        <w:rPr>
          <w:sz w:val="20"/>
          <w:szCs w:val="20"/>
          <w:color w:val="auto"/>
        </w:rPr>
      </w:pPr>
      <w:r>
        <w:rPr>
          <w:rFonts w:ascii="Courier New" w:cs="Courier New" w:eastAsia="Courier New" w:hAnsi="Courier New"/>
          <w:sz w:val="15"/>
          <w:szCs w:val="15"/>
          <w:color w:val="auto"/>
        </w:rPr>
        <w:t>In November 1992, the Financial Accounting Standards Board issued Statement of Financial Accounting Standards No. 112, "Employers' Accounting for Postemployment Benefits" ("SFAS 112"), which changes the prevalent method of accounting for benefits provided after employment but before retirement. The Company must adopt SFAS 112 no later than the first quarter of fiscal 1995. Management is currently evaluating the provisions of SFAS 112 and, at this time, the effect of adopting SFAS 112 has not been determined.</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85" w:lineRule="exact"/>
        <w:rPr>
          <w:sz w:val="20"/>
          <w:szCs w:val="20"/>
          <w:color w:val="auto"/>
        </w:rPr>
      </w:pPr>
    </w:p>
    <w:p>
      <w:pPr>
        <w:ind w:right="4219"/>
        <w:spacing w:after="0" w:line="251" w:lineRule="auto"/>
        <w:rPr>
          <w:sz w:val="20"/>
          <w:szCs w:val="20"/>
          <w:color w:val="auto"/>
        </w:rPr>
      </w:pPr>
      <w:r>
        <w:rPr>
          <w:rFonts w:ascii="Courier New" w:cs="Courier New" w:eastAsia="Courier New" w:hAnsi="Courier New"/>
          <w:sz w:val="15"/>
          <w:szCs w:val="15"/>
          <w:color w:val="auto"/>
        </w:rPr>
        <w:t>The Company is involved in various lawsuits and claims that arise in the normal course of business. In the opinion of management, these claims individually and in the aggregate are not expected to result in a material adverse effect on the Company's financial position of results of operations, however, there can be no assurance that future quarterly or annual operating results will</w:t>
      </w:r>
    </w:p>
    <w:p>
      <w:pPr>
        <w:sectPr>
          <w:pgSz w:w="11900" w:h="16845" w:orient="portrait"/>
          <w:cols w:equalWidth="0" w:num="1">
            <w:col w:w="10219"/>
          </w:cols>
          <w:pgMar w:left="240" w:top="1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not be materially affected by final resolution of these matters.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details the more significant of these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13</w:t>
      </w:r>
    </w:p>
    <w:p>
      <w:pPr>
        <w:spacing w:after="0" w:line="200" w:lineRule="exact"/>
        <w:rPr>
          <w:sz w:val="20"/>
          <w:szCs w:val="20"/>
          <w:color w:val="auto"/>
        </w:rPr>
      </w:pPr>
    </w:p>
    <w:p>
      <w:pPr>
        <w:spacing w:after="0" w:line="340" w:lineRule="exact"/>
        <w:rPr>
          <w:sz w:val="20"/>
          <w:szCs w:val="20"/>
          <w:color w:val="auto"/>
        </w:rPr>
      </w:pPr>
    </w:p>
    <w:p>
      <w:pPr>
        <w:ind w:right="4219"/>
        <w:spacing w:after="0" w:line="251" w:lineRule="auto"/>
        <w:rPr>
          <w:sz w:val="20"/>
          <w:szCs w:val="20"/>
          <w:color w:val="auto"/>
        </w:rPr>
      </w:pPr>
      <w:r>
        <w:rPr>
          <w:rFonts w:ascii="Courier New" w:cs="Courier New" w:eastAsia="Courier New" w:hAnsi="Courier New"/>
          <w:sz w:val="15"/>
          <w:szCs w:val="15"/>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75" w:lineRule="exact"/>
        <w:rPr>
          <w:sz w:val="20"/>
          <w:szCs w:val="20"/>
          <w:color w:val="auto"/>
        </w:rPr>
      </w:pPr>
    </w:p>
    <w:p>
      <w:pPr>
        <w:ind w:right="4219"/>
        <w:spacing w:after="0" w:line="250" w:lineRule="auto"/>
        <w:rPr>
          <w:sz w:val="20"/>
          <w:szCs w:val="20"/>
          <w:color w:val="auto"/>
        </w:rPr>
      </w:pPr>
      <w:r>
        <w:rPr>
          <w:rFonts w:ascii="Courier New" w:cs="Courier New" w:eastAsia="Courier New" w:hAnsi="Courier New"/>
          <w:sz w:val="15"/>
          <w:szCs w:val="15"/>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186" w:lineRule="exact"/>
        <w:rPr>
          <w:sz w:val="20"/>
          <w:szCs w:val="20"/>
          <w:color w:val="auto"/>
        </w:rPr>
      </w:pPr>
    </w:p>
    <w:p>
      <w:pPr>
        <w:ind w:right="4219"/>
        <w:spacing w:after="0" w:line="250" w:lineRule="auto"/>
        <w:rPr>
          <w:sz w:val="20"/>
          <w:szCs w:val="20"/>
          <w:color w:val="auto"/>
        </w:rPr>
      </w:pPr>
      <w:r>
        <w:rPr>
          <w:rFonts w:ascii="Courier New" w:cs="Courier New" w:eastAsia="Courier New" w:hAnsi="Courier New"/>
          <w:sz w:val="15"/>
          <w:szCs w:val="15"/>
          <w:color w:val="auto"/>
        </w:rPr>
        <w:t>Sierra is a PRP in connection with the Lorentz Barrel and Drum Superfund Site in California, as a result of its predecessor having shipped barrels to Lorentz for reconditioning or sale between 1967 and 1972. Although many other companies are participating in the remediation of this site, issues relating to the allocation of the costs have not yet been resolved. In addition, 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these proceedings will in the aggregate have a material adverse effect on its financial condition or results of operations. In addition to being named as PRP's in the above noted situations, the Company is subject to potential fines in connection with certain EPA labeling violations under the Federal Insecticide, Fungicide and Rodenticide Act (FIFRA). The fines for such violations are based upon formulas as stated in FIFRA. As determined by these formulas the Company's maximum exposure for the violations is approximately $810,000. The formulas allow for certain reductions of the fines based upon achievable levels of compliance. Based upon management's anticipated levels of compliance, they estimate the Company's ultimate liability to be $200,000, which has been accrued in the financial statements.</w:t>
      </w:r>
    </w:p>
    <w:p>
      <w:pPr>
        <w:spacing w:after="0" w:line="36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PART II - 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5" w:lineRule="exact"/>
        <w:rPr>
          <w:sz w:val="20"/>
          <w:szCs w:val="20"/>
          <w:color w:val="auto"/>
        </w:rPr>
      </w:pPr>
    </w:p>
    <w:p>
      <w:pPr>
        <w:ind w:left="180" w:right="4319"/>
        <w:spacing w:after="0" w:line="251" w:lineRule="auto"/>
        <w:rPr>
          <w:sz w:val="20"/>
          <w:szCs w:val="20"/>
          <w:color w:val="auto"/>
        </w:rPr>
      </w:pPr>
      <w:r>
        <w:rPr>
          <w:rFonts w:ascii="Courier New" w:cs="Courier New" w:eastAsia="Courier New" w:hAnsi="Courier New"/>
          <w:sz w:val="15"/>
          <w:szCs w:val="15"/>
          <w:color w:val="auto"/>
        </w:rPr>
        <w:t>The Company is involved in various lawsuits and claims that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5" w:lineRule="exact"/>
        <w:rPr>
          <w:sz w:val="20"/>
          <w:szCs w:val="20"/>
          <w:color w:val="auto"/>
        </w:rPr>
      </w:pPr>
    </w:p>
    <w:p>
      <w:pPr>
        <w:ind w:left="180" w:right="4319"/>
        <w:spacing w:after="0" w:line="251" w:lineRule="auto"/>
        <w:rPr>
          <w:sz w:val="20"/>
          <w:szCs w:val="20"/>
          <w:color w:val="auto"/>
        </w:rPr>
      </w:pPr>
      <w:r>
        <w:rPr>
          <w:rFonts w:ascii="Courier New" w:cs="Courier New" w:eastAsia="Courier New" w:hAnsi="Courier New"/>
          <w:sz w:val="15"/>
          <w:szCs w:val="15"/>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7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142" w:right="1440" w:bottom="0" w:gutter="0" w:footer="0" w:header="0"/>
        </w:sectPr>
      </w:pPr>
    </w:p>
    <w:bookmarkStart w:id="12" w:name="page13"/>
    <w:bookmarkEnd w:id="12"/>
    <w:p>
      <w:pPr>
        <w:ind w:left="180" w:right="4319"/>
        <w:spacing w:after="0" w:line="250" w:lineRule="auto"/>
        <w:rPr>
          <w:sz w:val="20"/>
          <w:szCs w:val="20"/>
          <w:color w:val="auto"/>
        </w:rPr>
      </w:pPr>
      <w:r>
        <w:rPr>
          <w:rFonts w:ascii="Courier New" w:cs="Courier New" w:eastAsia="Courier New" w:hAnsi="Courier New"/>
          <w:sz w:val="15"/>
          <w:szCs w:val="15"/>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364" w:lineRule="exact"/>
        <w:rPr>
          <w:sz w:val="20"/>
          <w:szCs w:val="20"/>
          <w:color w:val="auto"/>
        </w:rPr>
      </w:pPr>
    </w:p>
    <w:p>
      <w:pPr>
        <w:ind w:left="180" w:right="4319"/>
        <w:spacing w:after="0" w:line="250" w:lineRule="auto"/>
        <w:rPr>
          <w:sz w:val="20"/>
          <w:szCs w:val="20"/>
          <w:color w:val="auto"/>
        </w:rPr>
      </w:pPr>
      <w:r>
        <w:rPr>
          <w:rFonts w:ascii="Courier New" w:cs="Courier New" w:eastAsia="Courier New" w:hAnsi="Courier New"/>
          <w:sz w:val="15"/>
          <w:szCs w:val="15"/>
          <w:color w:val="auto"/>
        </w:rPr>
        <w:t>Sierra is a potentially responsible party in connection with the Lorentz Barrel and Drum Superfund Site in California, as a result of its predecessor having shipped barrels to Lorentz for reconditioning or sale between 1967 and 1972. Although many other companies are participating in the remediation of this site, issues relating to the allocation of the costs have not yet been resolved. In addition, 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these proceedings will in the aggregate have a material adverse effect on its financial condition or results of operations. In addition to being named as PRP's in the above noted situations, the Company is subject to potential fines in connection with certain EPA labeling violations under the Federal Insecticide, Fungicide and Rodenticide Act (FIFRA). The fines for such violations are based upon formulas as stated in FIFRA. As determined by these formulas the Company's maximum exposure for the violations is approximately $810,000. The formulas allow for certain reductions of the fines based upon achievable levels of compliance. Based upon management's anticipated levels of compliance, they estimate the Company's ultimate liability to be $200,000, which has been accrued in the financial statements.</w:t>
      </w:r>
    </w:p>
    <w:p>
      <w:pPr>
        <w:spacing w:after="0" w:line="18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5" w:lineRule="exact"/>
        <w:rPr>
          <w:sz w:val="20"/>
          <w:szCs w:val="20"/>
          <w:color w:val="auto"/>
        </w:rPr>
      </w:pPr>
    </w:p>
    <w:p>
      <w:pPr>
        <w:ind w:left="180" w:right="4319"/>
        <w:spacing w:after="0" w:line="251" w:lineRule="auto"/>
        <w:rPr>
          <w:sz w:val="20"/>
          <w:szCs w:val="20"/>
          <w:color w:val="auto"/>
        </w:rPr>
      </w:pPr>
      <w:r>
        <w:rPr>
          <w:rFonts w:ascii="Courier New" w:cs="Courier New" w:eastAsia="Courier New" w:hAnsi="Courier New"/>
          <w:sz w:val="15"/>
          <w:szCs w:val="15"/>
          <w:color w:val="auto"/>
        </w:rPr>
        <w:t>The Annual Meeting of Stockholders of The Scotts Company was held in Columbus, Ohio on March 8, 1994. The meeting was held for the purpose of electing a board of directors and ratifying the appointment of independent auditors.</w:t>
      </w:r>
    </w:p>
    <w:p>
      <w:pPr>
        <w:spacing w:after="0" w:line="176" w:lineRule="exact"/>
        <w:rPr>
          <w:sz w:val="20"/>
          <w:szCs w:val="20"/>
          <w:color w:val="auto"/>
        </w:rPr>
      </w:pPr>
    </w:p>
    <w:p>
      <w:pPr>
        <w:ind w:left="180" w:right="4599"/>
        <w:spacing w:after="0" w:line="253" w:lineRule="auto"/>
        <w:rPr>
          <w:sz w:val="20"/>
          <w:szCs w:val="20"/>
          <w:color w:val="auto"/>
        </w:rPr>
      </w:pPr>
      <w:r>
        <w:rPr>
          <w:rFonts w:ascii="Courier New" w:cs="Courier New" w:eastAsia="Courier New" w:hAnsi="Courier New"/>
          <w:sz w:val="15"/>
          <w:szCs w:val="15"/>
          <w:color w:val="auto"/>
        </w:rPr>
        <w:t>The results of the vote of the stockholders for each of the proposals is as follows:</w:t>
      </w:r>
    </w:p>
    <w:p>
      <w:pPr>
        <w:spacing w:after="0" w:line="174" w:lineRule="exact"/>
        <w:rPr>
          <w:sz w:val="20"/>
          <w:szCs w:val="20"/>
          <w:color w:val="auto"/>
        </w:rPr>
      </w:pPr>
    </w:p>
    <w:p>
      <w:pPr>
        <w:ind w:left="180" w:right="4419"/>
        <w:spacing w:after="0" w:line="253" w:lineRule="auto"/>
        <w:rPr>
          <w:sz w:val="20"/>
          <w:szCs w:val="20"/>
          <w:color w:val="auto"/>
        </w:rPr>
      </w:pPr>
      <w:r>
        <w:rPr>
          <w:rFonts w:ascii="Courier New" w:cs="Courier New" w:eastAsia="Courier New" w:hAnsi="Courier New"/>
          <w:sz w:val="15"/>
          <w:szCs w:val="15"/>
          <w:color w:val="auto"/>
        </w:rPr>
        <w:t>The proposal to elect nine directors to serve for the ensuing year:</w:t>
      </w:r>
    </w:p>
    <w:p>
      <w:pPr>
        <w:spacing w:after="0" w:line="35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Nominee</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Votes For</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Withheld</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Not Voted</w:t>
            </w:r>
          </w:p>
        </w:tc>
      </w:tr>
      <w:tr>
        <w:trPr>
          <w:trHeight w:val="355"/>
        </w:trPr>
        <w:tc>
          <w:tcPr>
            <w:tcW w:w="1200" w:type="dxa"/>
            <w:vAlign w:val="bottom"/>
          </w:tcPr>
          <w:p>
            <w:pPr>
              <w:spacing w:after="0"/>
              <w:rPr>
                <w:sz w:val="20"/>
                <w:szCs w:val="20"/>
                <w:color w:val="auto"/>
              </w:rPr>
            </w:pPr>
            <w:r>
              <w:rPr>
                <w:rFonts w:ascii="Courier New" w:cs="Courier New" w:eastAsia="Courier New" w:hAnsi="Courier New"/>
                <w:sz w:val="15"/>
                <w:szCs w:val="15"/>
                <w:color w:val="auto"/>
              </w:rPr>
              <w:t>James B.</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16,059,316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Beard</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John S.</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16,057,616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Chamberlin</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Alberto</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16,050,416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9,600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Cribiore</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Joseph P.</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16,058,216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Flannery</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Theodore J.</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16,058,216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Host</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Tadd C.</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16,059,016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Seitz</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Donald A.</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16,059,516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Sherman</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John M.</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16,051,016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9,000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Sullivan</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L. Jack Van</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16,057,316</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2,700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2,598,519</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Fossen</w:t>
            </w: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Each of the foregoing persons was elected as a director of</w:t>
      </w:r>
    </w:p>
    <w:p>
      <w:pPr>
        <w:sectPr>
          <w:pgSz w:w="11900" w:h="16838" w:orient="portrait"/>
          <w:cols w:equalWidth="0" w:num="1">
            <w:col w:w="10219"/>
          </w:cols>
          <w:pgMar w:left="240" w:top="142" w:right="1440" w:bottom="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the Company.</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proposal to ratify appointment of Coopers &amp; Lybrand as</w:t>
      </w:r>
    </w:p>
    <w:p>
      <w:pPr>
        <w:spacing w:after="0" w:line="8" w:lineRule="exact"/>
        <w:rPr>
          <w:sz w:val="20"/>
          <w:szCs w:val="20"/>
          <w:color w:val="auto"/>
        </w:rPr>
      </w:pPr>
    </w:p>
    <w:p>
      <w:pPr>
        <w:ind w:left="280"/>
        <w:spacing w:after="0"/>
        <w:tabs>
          <w:tab w:leader="none" w:pos="3020" w:val="left"/>
        </w:tabs>
        <w:rPr>
          <w:sz w:val="20"/>
          <w:szCs w:val="20"/>
          <w:color w:val="auto"/>
        </w:rPr>
      </w:pPr>
      <w:r>
        <w:rPr>
          <w:rFonts w:ascii="Courier New" w:cs="Courier New" w:eastAsia="Courier New" w:hAnsi="Courier New"/>
          <w:sz w:val="15"/>
          <w:szCs w:val="15"/>
          <w:color w:val="auto"/>
        </w:rPr>
        <w:t>independent auditors for</w:t>
      </w:r>
      <w:r>
        <w:rPr>
          <w:sz w:val="20"/>
          <w:szCs w:val="20"/>
          <w:color w:val="auto"/>
        </w:rPr>
        <w:tab/>
      </w:r>
      <w:r>
        <w:rPr>
          <w:rFonts w:ascii="Courier New" w:cs="Courier New" w:eastAsia="Courier New" w:hAnsi="Courier New"/>
          <w:sz w:val="15"/>
          <w:szCs w:val="15"/>
          <w:color w:val="auto"/>
        </w:rPr>
        <w:t>fiscal year 1994:</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Shares</w:t>
      </w:r>
    </w:p>
    <w:p>
      <w:pPr>
        <w:spacing w:after="0" w:line="8" w:lineRule="exact"/>
        <w:rPr>
          <w:sz w:val="20"/>
          <w:szCs w:val="20"/>
          <w:color w:val="auto"/>
        </w:rPr>
      </w:pPr>
    </w:p>
    <w:p>
      <w:pPr>
        <w:ind w:left="740"/>
        <w:spacing w:after="0"/>
        <w:tabs>
          <w:tab w:leader="none" w:pos="1640" w:val="left"/>
          <w:tab w:leader="none" w:pos="2560" w:val="left"/>
          <w:tab w:leader="none" w:pos="358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5"/>
          <w:szCs w:val="15"/>
          <w:color w:val="auto"/>
        </w:rPr>
        <w:t>Abstain</w:t>
      </w:r>
      <w:r>
        <w:rPr>
          <w:sz w:val="20"/>
          <w:szCs w:val="20"/>
          <w:color w:val="auto"/>
        </w:rPr>
        <w:tab/>
      </w:r>
      <w:r>
        <w:rPr>
          <w:rFonts w:ascii="Courier New" w:cs="Courier New" w:eastAsia="Courier New" w:hAnsi="Courier New"/>
          <w:sz w:val="14"/>
          <w:szCs w:val="14"/>
          <w:color w:val="auto"/>
        </w:rPr>
        <w:t>Not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Voted</w:t>
      </w:r>
    </w:p>
    <w:p>
      <w:pPr>
        <w:spacing w:after="0" w:line="185" w:lineRule="exact"/>
        <w:rPr>
          <w:sz w:val="20"/>
          <w:szCs w:val="20"/>
          <w:color w:val="auto"/>
        </w:rPr>
      </w:pPr>
    </w:p>
    <w:p>
      <w:pPr>
        <w:ind w:left="540"/>
        <w:spacing w:after="0"/>
        <w:tabs>
          <w:tab w:leader="none" w:pos="1720" w:val="left"/>
          <w:tab w:leader="none" w:pos="2560" w:val="left"/>
          <w:tab w:leader="none" w:pos="3480" w:val="left"/>
        </w:tabs>
        <w:rPr>
          <w:sz w:val="20"/>
          <w:szCs w:val="20"/>
          <w:color w:val="auto"/>
        </w:rPr>
      </w:pPr>
      <w:r>
        <w:rPr>
          <w:rFonts w:ascii="Courier New" w:cs="Courier New" w:eastAsia="Courier New" w:hAnsi="Courier New"/>
          <w:sz w:val="15"/>
          <w:szCs w:val="15"/>
          <w:color w:val="auto"/>
        </w:rPr>
        <w:t>16,014,612</w:t>
        <w:tab/>
        <w:t>11,400</w:t>
      </w:r>
      <w:r>
        <w:rPr>
          <w:sz w:val="20"/>
          <w:szCs w:val="20"/>
          <w:color w:val="auto"/>
        </w:rPr>
        <w:tab/>
      </w:r>
      <w:r>
        <w:rPr>
          <w:rFonts w:ascii="Courier New" w:cs="Courier New" w:eastAsia="Courier New" w:hAnsi="Courier New"/>
          <w:sz w:val="15"/>
          <w:szCs w:val="15"/>
          <w:color w:val="auto"/>
        </w:rPr>
        <w:t>34,004</w:t>
      </w:r>
      <w:r>
        <w:rPr>
          <w:sz w:val="20"/>
          <w:szCs w:val="20"/>
          <w:color w:val="auto"/>
        </w:rPr>
        <w:tab/>
      </w:r>
      <w:r>
        <w:rPr>
          <w:rFonts w:ascii="Courier New" w:cs="Courier New" w:eastAsia="Courier New" w:hAnsi="Courier New"/>
          <w:sz w:val="15"/>
          <w:szCs w:val="15"/>
          <w:color w:val="auto"/>
        </w:rPr>
        <w:t>2,598,519</w:t>
      </w:r>
    </w:p>
    <w:p>
      <w:pPr>
        <w:spacing w:after="0" w:line="36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5" w:lineRule="exact"/>
        <w:rPr>
          <w:sz w:val="20"/>
          <w:szCs w:val="20"/>
          <w:color w:val="auto"/>
        </w:rPr>
      </w:pPr>
    </w:p>
    <w:p>
      <w:pPr>
        <w:ind w:left="1000" w:hanging="452"/>
        <w:spacing w:after="0"/>
        <w:tabs>
          <w:tab w:leader="none" w:pos="1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5" w:lineRule="exact"/>
        <w:rPr>
          <w:sz w:val="20"/>
          <w:szCs w:val="20"/>
          <w:color w:val="auto"/>
        </w:rPr>
      </w:pPr>
    </w:p>
    <w:p>
      <w:pPr>
        <w:ind w:left="1100"/>
        <w:spacing w:after="0"/>
        <w:tabs>
          <w:tab w:leader="none" w:pos="1720" w:val="left"/>
        </w:tabs>
        <w:rPr>
          <w:sz w:val="20"/>
          <w:szCs w:val="20"/>
          <w:color w:val="auto"/>
        </w:rPr>
      </w:pPr>
      <w:r>
        <w:rPr>
          <w:rFonts w:ascii="Courier New" w:cs="Courier New" w:eastAsia="Courier New" w:hAnsi="Courier New"/>
          <w:sz w:val="15"/>
          <w:szCs w:val="15"/>
          <w:color w:val="auto"/>
        </w:rPr>
        <w:t>11(a)</w:t>
        <w:tab/>
        <w:t>Computation of Net Income Per Common Share</w:t>
      </w:r>
    </w:p>
    <w:p>
      <w:pPr>
        <w:spacing w:after="0" w:line="185" w:lineRule="exact"/>
        <w:rPr>
          <w:sz w:val="20"/>
          <w:szCs w:val="20"/>
          <w:color w:val="auto"/>
        </w:rPr>
      </w:pPr>
    </w:p>
    <w:p>
      <w:pPr>
        <w:ind w:left="1000" w:hanging="452"/>
        <w:spacing w:after="0"/>
        <w:tabs>
          <w:tab w:leader="none" w:pos="10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5" w:lineRule="exact"/>
        <w:rPr>
          <w:sz w:val="20"/>
          <w:szCs w:val="20"/>
          <w:color w:val="auto"/>
        </w:rPr>
      </w:pPr>
    </w:p>
    <w:p>
      <w:pPr>
        <w:ind w:left="280" w:right="4419" w:firstLine="92"/>
        <w:spacing w:after="0" w:line="250" w:lineRule="auto"/>
        <w:rPr>
          <w:sz w:val="20"/>
          <w:szCs w:val="20"/>
          <w:color w:val="auto"/>
        </w:rPr>
      </w:pPr>
      <w:r>
        <w:rPr>
          <w:rFonts w:ascii="Courier New" w:cs="Courier New" w:eastAsia="Courier New" w:hAnsi="Courier New"/>
          <w:sz w:val="15"/>
          <w:szCs w:val="15"/>
          <w:color w:val="auto"/>
        </w:rPr>
        <w:t>On December 30, 1993, Scotts filed a Form 8-K to report the acquisition of Grace-Sierra</w:t>
      </w:r>
    </w:p>
    <w:p>
      <w:pPr>
        <w:spacing w:after="0" w:line="1" w:lineRule="exact"/>
        <w:rPr>
          <w:sz w:val="20"/>
          <w:szCs w:val="20"/>
          <w:color w:val="auto"/>
        </w:rPr>
      </w:pPr>
    </w:p>
    <w:p>
      <w:pPr>
        <w:ind w:left="280" w:right="4679" w:firstLine="92"/>
        <w:spacing w:after="0" w:line="250" w:lineRule="auto"/>
        <w:rPr>
          <w:sz w:val="20"/>
          <w:szCs w:val="20"/>
          <w:color w:val="auto"/>
        </w:rPr>
      </w:pPr>
      <w:r>
        <w:rPr>
          <w:rFonts w:ascii="Courier New" w:cs="Courier New" w:eastAsia="Courier New" w:hAnsi="Courier New"/>
          <w:sz w:val="15"/>
          <w:szCs w:val="15"/>
          <w:color w:val="auto"/>
        </w:rPr>
        <w:t>Horticultural Products Company by The O. M. Scott &amp; Sons Company. On February 28,</w:t>
      </w:r>
    </w:p>
    <w:p>
      <w:pPr>
        <w:spacing w:after="0" w:line="1" w:lineRule="exact"/>
        <w:rPr>
          <w:sz w:val="20"/>
          <w:szCs w:val="20"/>
          <w:color w:val="auto"/>
        </w:rPr>
      </w:pPr>
    </w:p>
    <w:p>
      <w:pPr>
        <w:ind w:left="280" w:right="4679" w:firstLine="92"/>
        <w:spacing w:after="0" w:line="250" w:lineRule="auto"/>
        <w:rPr>
          <w:sz w:val="20"/>
          <w:szCs w:val="20"/>
          <w:color w:val="auto"/>
        </w:rPr>
      </w:pPr>
      <w:r>
        <w:rPr>
          <w:rFonts w:ascii="Courier New" w:cs="Courier New" w:eastAsia="Courier New" w:hAnsi="Courier New"/>
          <w:sz w:val="15"/>
          <w:szCs w:val="15"/>
          <w:color w:val="auto"/>
        </w:rPr>
        <w:t>1994, Scotts filed a Form 8-K/A to include the financial statements specified by</w:t>
      </w:r>
    </w:p>
    <w:p>
      <w:pPr>
        <w:spacing w:after="0" w:line="1" w:lineRule="exact"/>
        <w:rPr>
          <w:sz w:val="20"/>
          <w:szCs w:val="20"/>
          <w:color w:val="auto"/>
        </w:rPr>
      </w:pPr>
    </w:p>
    <w:p>
      <w:pPr>
        <w:ind w:left="280" w:right="4599" w:firstLine="92"/>
        <w:spacing w:after="0" w:line="253" w:lineRule="auto"/>
        <w:rPr>
          <w:sz w:val="20"/>
          <w:szCs w:val="20"/>
          <w:color w:val="auto"/>
        </w:rPr>
      </w:pPr>
      <w:r>
        <w:rPr>
          <w:rFonts w:ascii="Courier New" w:cs="Courier New" w:eastAsia="Courier New" w:hAnsi="Courier New"/>
          <w:sz w:val="15"/>
          <w:szCs w:val="15"/>
          <w:color w:val="auto"/>
        </w:rPr>
        <w:t>Rules 3-05 and 11-01 of Regulation S-X and Items 7(a) and 7(b) of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16</w:t>
      </w:r>
    </w:p>
    <w:p>
      <w:pPr>
        <w:spacing w:after="0" w:line="200" w:lineRule="exact"/>
        <w:rPr>
          <w:sz w:val="20"/>
          <w:szCs w:val="20"/>
          <w:color w:val="auto"/>
        </w:rPr>
      </w:pPr>
    </w:p>
    <w:p>
      <w:pPr>
        <w:spacing w:after="0" w:line="340"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0" w:right="4499"/>
        <w:spacing w:after="0" w:line="25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4"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Courier New" w:cs="Courier New" w:eastAsia="Courier New" w:hAnsi="Courier New"/>
                <w:sz w:val="15"/>
                <w:szCs w:val="15"/>
                <w:color w:val="auto"/>
              </w:rPr>
              <w:t>THE SCOTTS COMPANY</w:t>
            </w:r>
          </w:p>
        </w:tc>
      </w:tr>
      <w:tr>
        <w:trPr>
          <w:trHeight w:val="710"/>
        </w:trPr>
        <w:tc>
          <w:tcPr>
            <w:tcW w:w="7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480" w:type="dxa"/>
            <w:vAlign w:val="bottom"/>
          </w:tcPr>
          <w:p>
            <w:pPr>
              <w:ind w:left="380"/>
              <w:spacing w:after="0"/>
              <w:rPr>
                <w:sz w:val="20"/>
                <w:szCs w:val="20"/>
                <w:color w:val="auto"/>
              </w:rPr>
            </w:pPr>
            <w:r>
              <w:rPr>
                <w:rFonts w:ascii="Courier New" w:cs="Courier New" w:eastAsia="Courier New" w:hAnsi="Courier New"/>
                <w:sz w:val="15"/>
                <w:szCs w:val="15"/>
                <w:color w:val="auto"/>
                <w:w w:val="99"/>
              </w:rPr>
              <w:t>May 16, 1994</w:t>
            </w:r>
          </w:p>
        </w:tc>
        <w:tc>
          <w:tcPr>
            <w:tcW w:w="3140" w:type="dxa"/>
            <w:vAlign w:val="bottom"/>
          </w:tcPr>
          <w:p>
            <w:pPr>
              <w:ind w:left="1940"/>
              <w:spacing w:after="0"/>
              <w:rPr>
                <w:sz w:val="20"/>
                <w:szCs w:val="20"/>
                <w:color w:val="auto"/>
              </w:rPr>
            </w:pPr>
            <w:r>
              <w:rPr>
                <w:rFonts w:ascii="Courier New" w:cs="Courier New" w:eastAsia="Courier New" w:hAnsi="Courier New"/>
                <w:sz w:val="15"/>
                <w:szCs w:val="15"/>
                <w:color w:val="auto"/>
              </w:rPr>
              <w:t>/s/   Paul D.</w:t>
            </w:r>
          </w:p>
        </w:tc>
      </w:tr>
    </w:tbl>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Yeager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Paul D. Yeager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Executive Vice President</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Chief Financial Officer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Principal Accounting Officer</w:t>
      </w:r>
    </w:p>
    <w:p>
      <w:pPr>
        <w:sectPr>
          <w:pgSz w:w="11900" w:h="16838" w:orient="portrait"/>
          <w:cols w:equalWidth="0" w:num="1">
            <w:col w:w="10219"/>
          </w:cols>
          <w:pgMar w:left="240" w:top="142" w:right="1440" w:bottom="348"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SCOTTS COMPANY</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QUARTERLY REPORT ON FORM 10-Q FOR</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FISCAL QUARTER ENDED APRIL 2, 1994</w:t>
      </w:r>
    </w:p>
    <w:p>
      <w:pPr>
        <w:spacing w:after="0" w:line="36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62" w:lineRule="exact"/>
        <w:rPr>
          <w:sz w:val="20"/>
          <w:szCs w:val="20"/>
          <w:color w:val="auto"/>
        </w:rPr>
      </w:pPr>
    </w:p>
    <w:p>
      <w:pPr>
        <w:sectPr>
          <w:pgSz w:w="11900" w:h="16838" w:orient="portrait"/>
          <w:cols w:equalWidth="0" w:num="2">
            <w:col w:w="3240" w:space="720"/>
            <w:col w:w="6259"/>
          </w:cols>
          <w:pgMar w:left="240" w:top="1440"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11(a)</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Computation of Net Income Per Common Share</w:t>
      </w:r>
    </w:p>
    <w:p>
      <w:pPr>
        <w:sectPr>
          <w:pgSz w:w="11900" w:h="16838" w:orient="portrait"/>
          <w:cols w:equalWidth="0" w:num="2">
            <w:col w:w="1400" w:space="720"/>
            <w:col w:w="8099"/>
          </w:cols>
          <w:pgMar w:left="240" w:top="1440" w:right="1440" w:bottom="1440" w:gutter="0" w:footer="0" w:header="0"/>
          <w:type w:val="continuous"/>
        </w:sectPr>
      </w:pPr>
    </w:p>
    <w:bookmarkStart w:id="15" w:name="page16"/>
    <w:bookmarkEnd w:id="15"/>
    <w:p>
      <w:pPr>
        <w:ind w:left="2680"/>
        <w:spacing w:after="0"/>
        <w:rPr>
          <w:sz w:val="20"/>
          <w:szCs w:val="20"/>
          <w:color w:val="auto"/>
        </w:rPr>
      </w:pPr>
      <w:r>
        <w:rPr>
          <w:rFonts w:ascii="Courier New" w:cs="Courier New" w:eastAsia="Courier New" w:hAnsi="Courier New"/>
          <w:sz w:val="15"/>
          <w:szCs w:val="15"/>
          <w:color w:val="auto"/>
        </w:rPr>
        <w:t>Page 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Exhibit 11a</w:t>
            </w:r>
          </w:p>
        </w:tc>
      </w:tr>
      <w:tr>
        <w:trPr>
          <w:trHeight w:val="710"/>
        </w:trPr>
        <w:tc>
          <w:tcPr>
            <w:tcW w:w="4140" w:type="dxa"/>
            <w:vAlign w:val="bottom"/>
            <w:gridSpan w:val="4"/>
          </w:tcPr>
          <w:p>
            <w:pPr>
              <w:ind w:left="2120"/>
              <w:spacing w:after="0"/>
              <w:rPr>
                <w:sz w:val="20"/>
                <w:szCs w:val="20"/>
                <w:color w:val="auto"/>
              </w:rPr>
            </w:pPr>
            <w:r>
              <w:rPr>
                <w:rFonts w:ascii="Courier New" w:cs="Courier New" w:eastAsia="Courier New" w:hAnsi="Courier New"/>
                <w:sz w:val="15"/>
                <w:szCs w:val="15"/>
                <w:color w:val="auto"/>
              </w:rPr>
              <w:t>THE SCOTTS COMPANY</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5060" w:type="dxa"/>
            <w:vAlign w:val="bottom"/>
            <w:gridSpan w:val="5"/>
          </w:tcPr>
          <w:p>
            <w:pPr>
              <w:ind w:left="1000"/>
              <w:spacing w:after="0"/>
              <w:rPr>
                <w:sz w:val="20"/>
                <w:szCs w:val="20"/>
                <w:color w:val="auto"/>
              </w:rPr>
            </w:pPr>
            <w:r>
              <w:rPr>
                <w:rFonts w:ascii="Courier New" w:cs="Courier New" w:eastAsia="Courier New" w:hAnsi="Courier New"/>
                <w:sz w:val="15"/>
                <w:szCs w:val="15"/>
                <w:color w:val="auto"/>
              </w:rPr>
              <w:t>Computation of Net Income Per Common Share</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5060" w:type="dxa"/>
            <w:vAlign w:val="bottom"/>
            <w:gridSpan w:val="5"/>
          </w:tcPr>
          <w:p>
            <w:pPr>
              <w:ind w:left="1380"/>
              <w:spacing w:after="0"/>
              <w:rPr>
                <w:sz w:val="20"/>
                <w:szCs w:val="20"/>
                <w:color w:val="auto"/>
              </w:rPr>
            </w:pPr>
            <w:r>
              <w:rPr>
                <w:rFonts w:ascii="Courier New" w:cs="Courier New" w:eastAsia="Courier New" w:hAnsi="Courier New"/>
                <w:sz w:val="15"/>
                <w:szCs w:val="15"/>
                <w:color w:val="auto"/>
              </w:rPr>
              <w:t>(in thousands except share amounts)</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532"/>
        </w:trPr>
        <w:tc>
          <w:tcPr>
            <w:tcW w:w="2260" w:type="dxa"/>
            <w:vAlign w:val="bottom"/>
          </w:tcPr>
          <w:p>
            <w:pPr>
              <w:spacing w:after="0"/>
              <w:rPr>
                <w:sz w:val="24"/>
                <w:szCs w:val="24"/>
                <w:color w:val="auto"/>
              </w:rPr>
            </w:pPr>
          </w:p>
        </w:tc>
        <w:tc>
          <w:tcPr>
            <w:tcW w:w="1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 the Three</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For the Six</w:t>
            </w:r>
          </w:p>
        </w:tc>
        <w:tc>
          <w:tcPr>
            <w:tcW w:w="640" w:type="dxa"/>
            <w:vAlign w:val="bottom"/>
          </w:tcPr>
          <w:p>
            <w:pPr>
              <w:spacing w:after="0"/>
              <w:rPr>
                <w:sz w:val="24"/>
                <w:szCs w:val="24"/>
                <w:color w:val="auto"/>
              </w:rPr>
            </w:pPr>
          </w:p>
        </w:tc>
      </w:tr>
      <w:tr>
        <w:trPr>
          <w:trHeight w:val="177"/>
        </w:trPr>
        <w:tc>
          <w:tcPr>
            <w:tcW w:w="2260" w:type="dxa"/>
            <w:vAlign w:val="bottom"/>
          </w:tcPr>
          <w:p>
            <w:pPr>
              <w:spacing w:after="0"/>
              <w:rPr>
                <w:sz w:val="15"/>
                <w:szCs w:val="15"/>
                <w:color w:val="auto"/>
              </w:rPr>
            </w:pPr>
          </w:p>
        </w:tc>
        <w:tc>
          <w:tcPr>
            <w:tcW w:w="1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Months Ended</w:t>
            </w:r>
          </w:p>
        </w:tc>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Months Ended</w:t>
            </w: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April</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April</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April</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ind w:left="200"/>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spacing w:after="0"/>
              <w:rPr>
                <w:sz w:val="15"/>
                <w:szCs w:val="15"/>
                <w:color w:val="auto"/>
              </w:rPr>
            </w:pPr>
          </w:p>
        </w:tc>
      </w:tr>
      <w:tr>
        <w:trPr>
          <w:trHeight w:val="532"/>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for computing</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per</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common share: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before cumulative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effect of accounting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10,847</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$ 13,013</w:t>
            </w:r>
          </w:p>
        </w:tc>
        <w:tc>
          <w:tcPr>
            <w:tcW w:w="920" w:type="dxa"/>
            <w:vAlign w:val="bottom"/>
          </w:tcPr>
          <w:p>
            <w:pPr>
              <w:ind w:left="200"/>
              <w:spacing w:after="0"/>
              <w:rPr>
                <w:sz w:val="20"/>
                <w:szCs w:val="20"/>
                <w:color w:val="auto"/>
              </w:rPr>
            </w:pPr>
            <w:r>
              <w:rPr>
                <w:rFonts w:ascii="Courier New" w:cs="Courier New" w:eastAsia="Courier New" w:hAnsi="Courier New"/>
                <w:sz w:val="15"/>
                <w:szCs w:val="15"/>
                <w:color w:val="auto"/>
                <w:w w:val="97"/>
              </w:rPr>
              <w:t>$ 10,376</w:t>
            </w:r>
          </w:p>
        </w:tc>
        <w:tc>
          <w:tcPr>
            <w:tcW w:w="4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11,456</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changes in accounting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for postretirement</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benefits, net of tax and</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(13,157)</w:t>
            </w:r>
          </w:p>
        </w:tc>
        <w:tc>
          <w:tcPr>
            <w:tcW w:w="6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10,847</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w w:val="99"/>
              </w:rPr>
              <w:t>$ 13,013</w:t>
            </w:r>
          </w:p>
        </w:tc>
        <w:tc>
          <w:tcPr>
            <w:tcW w:w="14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(2,781)</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6"/>
              </w:rPr>
              <w:t>11,456</w:t>
            </w:r>
          </w:p>
        </w:tc>
      </w:tr>
      <w:tr>
        <w:trPr>
          <w:trHeight w:val="532"/>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per common</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before cumulative</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effect of accounting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 .69</w:t>
            </w:r>
          </w:p>
        </w:tc>
        <w:tc>
          <w:tcPr>
            <w:tcW w:w="920" w:type="dxa"/>
            <w:vAlign w:val="bottom"/>
          </w:tcPr>
          <w:p>
            <w:pPr>
              <w:ind w:left="380"/>
              <w:spacing w:after="0"/>
              <w:rPr>
                <w:sz w:val="20"/>
                <w:szCs w:val="20"/>
                <w:color w:val="auto"/>
              </w:rPr>
            </w:pPr>
            <w:r>
              <w:rPr>
                <w:rFonts w:ascii="Courier New" w:cs="Courier New" w:eastAsia="Courier New" w:hAnsi="Courier New"/>
                <w:sz w:val="15"/>
                <w:szCs w:val="15"/>
                <w:color w:val="auto"/>
              </w:rPr>
              <w:t>$ .50</w:t>
            </w:r>
          </w:p>
        </w:tc>
        <w:tc>
          <w:tcPr>
            <w:tcW w:w="48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.61</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changes in accounting</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for postretirement</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benefits, net of tax and</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63"/>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(.63)</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96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6"/>
              </w:rPr>
              <w:t>.69</w:t>
            </w:r>
          </w:p>
        </w:tc>
        <w:tc>
          <w:tcPr>
            <w:tcW w:w="14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(.13)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Computation of Weighted Average Number</w:t>
      </w:r>
    </w:p>
    <w:p>
      <w:pPr>
        <w:spacing w:after="0" w:line="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of Common Shares Outstanding</w:t>
      </w:r>
    </w:p>
    <w:p>
      <w:pPr>
        <w:spacing w:after="0" w:line="362" w:lineRule="exact"/>
        <w:rPr>
          <w:sz w:val="20"/>
          <w:szCs w:val="20"/>
          <w:color w:val="auto"/>
        </w:rPr>
      </w:pPr>
    </w:p>
    <w:tbl>
      <w:tblPr>
        <w:tblLayout w:type="fixed"/>
        <w:tblInd w:w="2300" w:type="dxa"/>
        <w:tblCellMar>
          <w:top w:w="0" w:type="dxa"/>
          <w:left w:w="0" w:type="dxa"/>
          <w:bottom w:w="0" w:type="dxa"/>
          <w:right w:w="0" w:type="dxa"/>
        </w:tblCellMar>
      </w:tblPr>
      <w:tr>
        <w:trPr>
          <w:trHeight w:val="172"/>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For the Three</w:t>
            </w:r>
          </w:p>
        </w:tc>
        <w:tc>
          <w:tcPr>
            <w:tcW w:w="17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For the Six</w:t>
            </w:r>
          </w:p>
        </w:tc>
      </w:tr>
      <w:tr>
        <w:trPr>
          <w:trHeight w:val="177"/>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Months Ended</w:t>
            </w:r>
          </w:p>
        </w:tc>
        <w:tc>
          <w:tcPr>
            <w:tcW w:w="17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Months Ended</w:t>
            </w:r>
          </w:p>
        </w:tc>
      </w:tr>
      <w:tr>
        <w:trPr>
          <w:trHeight w:val="177"/>
        </w:trPr>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April</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April</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April</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w w:val="97"/>
              </w:rPr>
              <w:t>April</w:t>
            </w:r>
          </w:p>
        </w:tc>
      </w:tr>
      <w:tr>
        <w:trPr>
          <w:trHeight w:val="177"/>
        </w:trPr>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3,</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7"/>
        </w:trPr>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ind w:left="460"/>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shares outstanding</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during the period</w:t>
            </w:r>
          </w:p>
        </w:tc>
        <w:tc>
          <w:tcPr>
            <w:tcW w:w="5020" w:type="dxa"/>
            <w:vAlign w:val="bottom"/>
            <w:gridSpan w:val="4"/>
          </w:tcPr>
          <w:p>
            <w:pPr>
              <w:jc w:val="right"/>
              <w:ind w:right="663"/>
              <w:spacing w:after="0"/>
              <w:rPr>
                <w:sz w:val="20"/>
                <w:szCs w:val="20"/>
                <w:color w:val="auto"/>
              </w:rPr>
            </w:pPr>
            <w:r>
              <w:rPr>
                <w:rFonts w:ascii="Courier New" w:cs="Courier New" w:eastAsia="Courier New" w:hAnsi="Courier New"/>
                <w:sz w:val="15"/>
                <w:szCs w:val="15"/>
                <w:color w:val="auto"/>
              </w:rPr>
              <w:t>20,038,475 18,659,472  20,564,344  18,658,999</w:t>
            </w:r>
          </w:p>
        </w:tc>
      </w:tr>
      <w:tr>
        <w:trPr>
          <w:trHeight w:val="35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Effect of options</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based upon</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the Treasury Stock</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Method:</w:t>
            </w:r>
          </w:p>
        </w:tc>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Performance shares</w:t>
            </w:r>
          </w:p>
        </w:tc>
        <w:tc>
          <w:tcPr>
            <w:tcW w:w="1280" w:type="dxa"/>
            <w:vAlign w:val="bottom"/>
          </w:tcPr>
          <w:p>
            <w:pPr>
              <w:jc w:val="right"/>
              <w:ind w:right="78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102,484</w:t>
            </w:r>
          </w:p>
        </w:tc>
        <w:tc>
          <w:tcPr>
            <w:tcW w:w="124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84,961</w:t>
            </w:r>
          </w:p>
        </w:tc>
      </w:tr>
      <w:tr>
        <w:trPr>
          <w:trHeight w:val="35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December 1992 - 300,000</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at $ 18.00</w:t>
            </w:r>
          </w:p>
        </w:tc>
        <w:tc>
          <w:tcPr>
            <w:tcW w:w="1020" w:type="dxa"/>
            <w:vAlign w:val="bottom"/>
          </w:tcPr>
          <w:p>
            <w:pPr>
              <w:spacing w:after="0"/>
              <w:rPr>
                <w:sz w:val="15"/>
                <w:szCs w:val="15"/>
                <w:color w:val="auto"/>
              </w:rPr>
            </w:pP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17,937</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17,425</w:t>
            </w:r>
          </w:p>
        </w:tc>
        <w:tc>
          <w:tcPr>
            <w:tcW w:w="12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11,172</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9,678</w:t>
            </w: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November 1992 - 123,925</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at $ 16.25</w:t>
            </w:r>
          </w:p>
        </w:tc>
        <w:tc>
          <w:tcPr>
            <w:tcW w:w="1020" w:type="dxa"/>
            <w:vAlign w:val="bottom"/>
          </w:tcPr>
          <w:p>
            <w:pPr>
              <w:spacing w:after="0"/>
              <w:rPr>
                <w:sz w:val="15"/>
                <w:szCs w:val="15"/>
                <w:color w:val="auto"/>
              </w:rPr>
            </w:pP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15,790</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21,540</w:t>
            </w:r>
          </w:p>
        </w:tc>
        <w:tc>
          <w:tcPr>
            <w:tcW w:w="12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18,184</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January 1992</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136,364 at $</w:t>
            </w:r>
          </w:p>
        </w:tc>
        <w:tc>
          <w:tcPr>
            <w:tcW w:w="10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9.90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66,383</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73,326</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61,916</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71,598</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June 1992</w:t>
            </w: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15,000 at $ 16.25</w:t>
            </w:r>
          </w:p>
        </w:tc>
        <w:tc>
          <w:tcPr>
            <w:tcW w:w="12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2,245</w:t>
            </w:r>
          </w:p>
        </w:tc>
        <w:tc>
          <w:tcPr>
            <w:tcW w:w="12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1,896</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October 1993</w:t>
            </w:r>
          </w:p>
        </w:tc>
        <w:tc>
          <w:tcPr>
            <w:tcW w:w="10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129,950 at $ 17.25</w:t>
            </w:r>
          </w:p>
        </w:tc>
        <w:tc>
          <w:tcPr>
            <w:tcW w:w="12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12,649</w:t>
            </w:r>
          </w:p>
        </w:tc>
        <w:tc>
          <w:tcPr>
            <w:tcW w:w="12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9,432</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March 1993</w:t>
            </w:r>
          </w:p>
        </w:tc>
        <w:tc>
          <w:tcPr>
            <w:tcW w:w="10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24,000 at $ 18.25</w:t>
            </w:r>
          </w:p>
        </w:tc>
        <w:tc>
          <w:tcPr>
            <w:tcW w:w="12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1,080</w:t>
            </w:r>
          </w:p>
        </w:tc>
        <w:tc>
          <w:tcPr>
            <w:tcW w:w="12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452</w:t>
            </w:r>
          </w:p>
        </w:tc>
      </w:tr>
      <w:tr>
        <w:trPr>
          <w:trHeight w:val="355"/>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shares outstanding</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during the period for</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computing net income</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(loss) per common share</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20,138,585</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18,890,221</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20,637,432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18,855,200</w:t>
            </w:r>
          </w:p>
        </w:tc>
      </w:tr>
    </w:tbl>
    <w:p>
      <w:pPr>
        <w:sectPr>
          <w:pgSz w:w="11900" w:h="16838" w:orient="portrait"/>
          <w:cols w:equalWidth="0" w:num="1">
            <w:col w:w="10219"/>
          </w:cols>
          <w:pgMar w:left="240" w:top="851" w:right="1440" w:bottom="0" w:gutter="0" w:footer="0" w:header="0"/>
        </w:sectPr>
      </w:pPr>
    </w:p>
    <w:bookmarkStart w:id="16" w:name="page17"/>
    <w:bookmarkEnd w:id="16"/>
    <w:p>
      <w:pPr>
        <w:ind w:right="4419"/>
        <w:spacing w:after="0" w:line="250" w:lineRule="auto"/>
        <w:rPr>
          <w:sz w:val="20"/>
          <w:szCs w:val="20"/>
          <w:color w:val="auto"/>
        </w:rPr>
      </w:pPr>
      <w:r>
        <w:rPr>
          <w:rFonts w:ascii="Courier New" w:cs="Courier New" w:eastAsia="Courier New" w:hAnsi="Courier New"/>
          <w:sz w:val="15"/>
          <w:szCs w:val="15"/>
          <w:color w:val="auto"/>
        </w:rPr>
        <w:t>Fully diluted weighted average shares outstanding were not materially different than primary</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weighted average shares outstanding for the periods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presented.</w:t>
      </w:r>
    </w:p>
    <w:sectPr>
      <w:pgSz w:w="11900" w:h="16838" w:orient="portrait"/>
      <w:cols w:equalWidth="0" w:num="1">
        <w:col w:w="9759"/>
      </w:cols>
      <w:pgMar w:left="700" w:top="3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2019-12-19T23:56:11Z</dcterms:created>
  <dcterms:modified xsi:type="dcterms:W3CDTF">2019-12-19T23:56:11Z</dcterms:modified>
</cp:coreProperties>
</file>