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As filed with the Securities and Exchange Commission on May 20, 2005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Registration No. 033-47073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131445</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POST-EFFECTIVE AMENDMENT NO. 2</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148590</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gridSpan w:val="7"/>
          </w:tcPr>
          <w:p>
            <w:pPr>
              <w:jc w:val="center"/>
              <w:ind w:right="302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432"/>
        </w:trPr>
        <w:tc>
          <w:tcPr>
            <w:tcW w:w="3020" w:type="dxa"/>
            <w:vAlign w:val="bottom"/>
            <w:gridSpan w:val="2"/>
          </w:tcPr>
          <w:p>
            <w:pPr>
              <w:ind w:left="900"/>
              <w:spacing w:after="0"/>
              <w:rPr>
                <w:sz w:val="20"/>
                <w:szCs w:val="20"/>
                <w:color w:val="auto"/>
              </w:rPr>
            </w:pPr>
            <w:r>
              <w:rPr>
                <w:rFonts w:ascii="Arial" w:cs="Arial" w:eastAsia="Arial" w:hAnsi="Arial"/>
                <w:sz w:val="18"/>
                <w:szCs w:val="18"/>
                <w:color w:val="auto"/>
              </w:rPr>
              <w:t>Ohio</w:t>
            </w:r>
          </w:p>
        </w:tc>
        <w:tc>
          <w:tcPr>
            <w:tcW w:w="8400" w:type="dxa"/>
            <w:vAlign w:val="bottom"/>
            <w:gridSpan w:val="6"/>
          </w:tcPr>
          <w:p>
            <w:pPr>
              <w:jc w:val="center"/>
              <w:ind w:left="2890"/>
              <w:spacing w:after="0"/>
              <w:rPr>
                <w:sz w:val="20"/>
                <w:szCs w:val="20"/>
                <w:color w:val="auto"/>
              </w:rPr>
            </w:pPr>
            <w:r>
              <w:rPr>
                <w:rFonts w:ascii="Arial" w:cs="Arial" w:eastAsia="Arial" w:hAnsi="Arial"/>
                <w:sz w:val="18"/>
                <w:szCs w:val="18"/>
                <w:color w:val="auto"/>
                <w:w w:val="89"/>
              </w:rPr>
              <w:t>31-1414921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020" w:type="dxa"/>
            <w:vAlign w:val="bottom"/>
            <w:gridSpan w:val="2"/>
          </w:tcPr>
          <w:p>
            <w:pPr>
              <w:spacing w:after="0"/>
              <w:rPr>
                <w:sz w:val="20"/>
                <w:szCs w:val="20"/>
                <w:color w:val="auto"/>
              </w:rPr>
            </w:pPr>
            <w:r>
              <w:rPr>
                <w:rFonts w:ascii="Arial" w:cs="Arial" w:eastAsia="Arial" w:hAnsi="Arial"/>
                <w:sz w:val="18"/>
                <w:szCs w:val="18"/>
                <w:color w:val="auto"/>
              </w:rPr>
              <w:t>(State or other jurisdiction of</w:t>
            </w: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incorporation or organization)</w:t>
            </w:r>
          </w:p>
        </w:tc>
        <w:tc>
          <w:tcPr>
            <w:tcW w:w="2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4"/>
          </w:tcPr>
          <w:p>
            <w:pPr>
              <w:jc w:val="center"/>
              <w:ind w:right="2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32"/>
        </w:trPr>
        <w:tc>
          <w:tcPr>
            <w:tcW w:w="3020" w:type="dxa"/>
            <w:vAlign w:val="bottom"/>
            <w:gridSpan w:val="2"/>
          </w:tcPr>
          <w:p>
            <w:pPr>
              <w:spacing w:after="0"/>
              <w:rPr>
                <w:sz w:val="20"/>
                <w:szCs w:val="20"/>
                <w:color w:val="auto"/>
              </w:rPr>
            </w:pPr>
            <w:r>
              <w:rPr>
                <w:rFonts w:ascii="Arial" w:cs="Arial" w:eastAsia="Arial" w:hAnsi="Arial"/>
                <w:sz w:val="18"/>
                <w:szCs w:val="18"/>
                <w:color w:val="auto"/>
                <w:w w:val="91"/>
              </w:rPr>
              <w:t>14111 Scottslawn Road, Marysville, Ohio</w:t>
            </w:r>
          </w:p>
        </w:tc>
        <w:tc>
          <w:tcPr>
            <w:tcW w:w="8400" w:type="dxa"/>
            <w:vAlign w:val="bottom"/>
            <w:gridSpan w:val="6"/>
          </w:tcPr>
          <w:p>
            <w:pPr>
              <w:jc w:val="right"/>
              <w:ind w:right="510"/>
              <w:spacing w:after="0"/>
              <w:rPr>
                <w:sz w:val="20"/>
                <w:szCs w:val="20"/>
                <w:color w:val="auto"/>
              </w:rPr>
            </w:pPr>
            <w:r>
              <w:rPr>
                <w:rFonts w:ascii="Arial" w:cs="Arial" w:eastAsia="Arial" w:hAnsi="Arial"/>
                <w:sz w:val="18"/>
                <w:szCs w:val="18"/>
                <w:color w:val="auto"/>
              </w:rPr>
              <w:t>43041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020" w:type="dxa"/>
            <w:vAlign w:val="bottom"/>
            <w:gridSpan w:val="2"/>
          </w:tcPr>
          <w:p>
            <w:pPr>
              <w:spacing w:after="0"/>
              <w:rPr>
                <w:sz w:val="20"/>
                <w:szCs w:val="20"/>
                <w:color w:val="auto"/>
              </w:rPr>
            </w:pPr>
            <w:r>
              <w:rPr>
                <w:rFonts w:ascii="Arial" w:cs="Arial" w:eastAsia="Arial" w:hAnsi="Arial"/>
                <w:sz w:val="18"/>
                <w:szCs w:val="18"/>
                <w:color w:val="auto"/>
                <w:w w:val="94"/>
              </w:rPr>
              <w:t>(Address of Principal Executive Offices)</w:t>
            </w: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2"/>
          </w:tcPr>
          <w:p>
            <w:pPr>
              <w:ind w:left="168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r>
        <w:trPr>
          <w:trHeight w:val="391"/>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gridSpan w:val="7"/>
          </w:tcPr>
          <w:p>
            <w:pPr>
              <w:jc w:val="center"/>
              <w:ind w:right="3020"/>
              <w:spacing w:after="0"/>
              <w:rPr>
                <w:sz w:val="20"/>
                <w:szCs w:val="20"/>
                <w:color w:val="auto"/>
              </w:rPr>
            </w:pPr>
            <w:r>
              <w:rPr>
                <w:rFonts w:ascii="Arial" w:cs="Arial" w:eastAsia="Arial" w:hAnsi="Arial"/>
                <w:sz w:val="18"/>
                <w:szCs w:val="18"/>
                <w:color w:val="auto"/>
                <w:w w:val="90"/>
              </w:rPr>
              <w:t>The Scotts Company LLC Retirement Savings Plan</w:t>
            </w: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20" w:type="dxa"/>
            <w:vAlign w:val="bottom"/>
            <w:gridSpan w:val="7"/>
          </w:tcPr>
          <w:p>
            <w:pPr>
              <w:jc w:val="center"/>
              <w:ind w:right="3040"/>
              <w:spacing w:after="0" w:line="190" w:lineRule="exact"/>
              <w:rPr>
                <w:sz w:val="20"/>
                <w:szCs w:val="20"/>
                <w:color w:val="auto"/>
              </w:rPr>
            </w:pPr>
            <w:r>
              <w:rPr>
                <w:rFonts w:ascii="Arial" w:cs="Arial" w:eastAsia="Arial" w:hAnsi="Arial"/>
                <w:sz w:val="18"/>
                <w:szCs w:val="18"/>
                <w:color w:val="auto"/>
                <w:w w:val="91"/>
              </w:rPr>
              <w:t>(formerly known as The Scotts Company Profit Sharing and Savings Plan)</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8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4"/>
              </w:rPr>
              <w:t>(Full title of the plan)</w:t>
            </w:r>
          </w:p>
        </w:tc>
        <w:tc>
          <w:tcPr>
            <w:tcW w:w="30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4"/>
          </w:tcPr>
          <w:p>
            <w:pPr>
              <w:ind w:left="700"/>
              <w:spacing w:after="0"/>
              <w:rPr>
                <w:sz w:val="20"/>
                <w:szCs w:val="20"/>
                <w:color w:val="auto"/>
              </w:rPr>
            </w:pPr>
            <w:r>
              <w:rPr>
                <w:rFonts w:ascii="Arial" w:cs="Arial" w:eastAsia="Arial" w:hAnsi="Arial"/>
                <w:sz w:val="18"/>
                <w:szCs w:val="18"/>
                <w:color w:val="auto"/>
              </w:rPr>
              <w:t>Copy to:</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David M. Aronowitz, Esq.</w:t>
            </w:r>
          </w:p>
        </w:tc>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4"/>
          </w:tcPr>
          <w:p>
            <w:pPr>
              <w:ind w:left="700"/>
              <w:spacing w:after="0"/>
              <w:rPr>
                <w:sz w:val="20"/>
                <w:szCs w:val="20"/>
                <w:color w:val="auto"/>
              </w:rPr>
            </w:pPr>
            <w:r>
              <w:rPr>
                <w:rFonts w:ascii="Arial" w:cs="Arial" w:eastAsia="Arial" w:hAnsi="Arial"/>
                <w:sz w:val="18"/>
                <w:szCs w:val="18"/>
                <w:color w:val="auto"/>
              </w:rPr>
              <w:t>Elizabeth Turrell Farrar, Esq.</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The Scotts Miracle-Gro Company</w:t>
            </w:r>
          </w:p>
        </w:tc>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4"/>
          </w:tcPr>
          <w:p>
            <w:pPr>
              <w:ind w:left="700"/>
              <w:spacing w:after="0"/>
              <w:rPr>
                <w:sz w:val="20"/>
                <w:szCs w:val="20"/>
                <w:color w:val="auto"/>
              </w:rPr>
            </w:pPr>
            <w:r>
              <w:rPr>
                <w:rFonts w:ascii="Arial" w:cs="Arial" w:eastAsia="Arial" w:hAnsi="Arial"/>
                <w:sz w:val="18"/>
                <w:szCs w:val="18"/>
                <w:color w:val="auto"/>
              </w:rPr>
              <w:t>Vorys, Sater, Seymour and Pease LLP</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14111 Scottslawn Road</w:t>
            </w:r>
          </w:p>
        </w:tc>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4"/>
          </w:tcPr>
          <w:p>
            <w:pPr>
              <w:ind w:left="700"/>
              <w:spacing w:after="0"/>
              <w:rPr>
                <w:sz w:val="20"/>
                <w:szCs w:val="20"/>
                <w:color w:val="auto"/>
              </w:rPr>
            </w:pPr>
            <w:r>
              <w:rPr>
                <w:rFonts w:ascii="Arial" w:cs="Arial" w:eastAsia="Arial" w:hAnsi="Arial"/>
                <w:sz w:val="18"/>
                <w:szCs w:val="18"/>
                <w:color w:val="auto"/>
              </w:rPr>
              <w:t>52 East Gay Street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Marysville, Ohio 43041</w:t>
            </w:r>
          </w:p>
        </w:tc>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4"/>
          </w:tcPr>
          <w:p>
            <w:pPr>
              <w:ind w:left="700"/>
              <w:spacing w:after="0"/>
              <w:rPr>
                <w:sz w:val="20"/>
                <w:szCs w:val="20"/>
                <w:color w:val="auto"/>
              </w:rPr>
            </w:pPr>
            <w:r>
              <w:rPr>
                <w:rFonts w:ascii="Arial" w:cs="Arial" w:eastAsia="Arial" w:hAnsi="Arial"/>
                <w:sz w:val="18"/>
                <w:szCs w:val="18"/>
                <w:color w:val="auto"/>
              </w:rPr>
              <w:t>P.O. Box 1008</w:t>
            </w:r>
          </w:p>
        </w:tc>
        <w:tc>
          <w:tcPr>
            <w:tcW w:w="0" w:type="dxa"/>
            <w:vAlign w:val="bottom"/>
          </w:tcPr>
          <w:p>
            <w:pPr>
              <w:spacing w:after="0"/>
              <w:rPr>
                <w:sz w:val="1"/>
                <w:szCs w:val="1"/>
                <w:color w:val="auto"/>
              </w:rPr>
            </w:pPr>
          </w:p>
        </w:tc>
      </w:tr>
      <w:tr>
        <w:trPr>
          <w:trHeight w:val="109"/>
        </w:trPr>
        <w:tc>
          <w:tcPr>
            <w:tcW w:w="28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40" w:type="dxa"/>
            <w:vAlign w:val="bottom"/>
            <w:gridSpan w:val="4"/>
            <w:vMerge w:val="restart"/>
          </w:tcPr>
          <w:p>
            <w:pPr>
              <w:ind w:left="700"/>
              <w:spacing w:after="0"/>
              <w:rPr>
                <w:sz w:val="20"/>
                <w:szCs w:val="20"/>
                <w:color w:val="auto"/>
              </w:rPr>
            </w:pPr>
            <w:r>
              <w:rPr>
                <w:rFonts w:ascii="Arial" w:cs="Arial" w:eastAsia="Arial" w:hAnsi="Arial"/>
                <w:sz w:val="18"/>
                <w:szCs w:val="18"/>
                <w:color w:val="auto"/>
              </w:rPr>
              <w:t>Columbus, Ohio 43216-1008</w:t>
            </w:r>
          </w:p>
        </w:tc>
        <w:tc>
          <w:tcPr>
            <w:tcW w:w="0" w:type="dxa"/>
            <w:vAlign w:val="bottom"/>
          </w:tcPr>
          <w:p>
            <w:pPr>
              <w:spacing w:after="0"/>
              <w:rPr>
                <w:sz w:val="1"/>
                <w:szCs w:val="1"/>
                <w:color w:val="auto"/>
              </w:rPr>
            </w:pPr>
          </w:p>
        </w:tc>
      </w:tr>
      <w:tr>
        <w:trPr>
          <w:trHeight w:val="102"/>
        </w:trPr>
        <w:tc>
          <w:tcPr>
            <w:tcW w:w="3020" w:type="dxa"/>
            <w:vAlign w:val="bottom"/>
            <w:gridSpan w:val="2"/>
            <w:vMerge w:val="restart"/>
          </w:tcPr>
          <w:p>
            <w:pPr>
              <w:spacing w:after="0"/>
              <w:rPr>
                <w:sz w:val="20"/>
                <w:szCs w:val="20"/>
                <w:color w:val="auto"/>
              </w:rPr>
            </w:pPr>
            <w:r>
              <w:rPr>
                <w:rFonts w:ascii="Arial" w:cs="Arial" w:eastAsia="Arial" w:hAnsi="Arial"/>
                <w:sz w:val="18"/>
                <w:szCs w:val="18"/>
                <w:color w:val="auto"/>
                <w:w w:val="93"/>
              </w:rPr>
              <w:t>(Name and address of agent for service)</w:t>
            </w:r>
          </w:p>
        </w:tc>
        <w:tc>
          <w:tcPr>
            <w:tcW w:w="2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2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80" w:type="dxa"/>
            <w:vAlign w:val="bottom"/>
            <w:gridSpan w:val="4"/>
          </w:tcPr>
          <w:p>
            <w:pPr>
              <w:jc w:val="center"/>
              <w:spacing w:after="0"/>
              <w:rPr>
                <w:sz w:val="20"/>
                <w:szCs w:val="20"/>
                <w:color w:val="auto"/>
              </w:rPr>
            </w:pPr>
            <w:r>
              <w:rPr>
                <w:rFonts w:ascii="Arial" w:cs="Arial" w:eastAsia="Arial" w:hAnsi="Arial"/>
                <w:sz w:val="18"/>
                <w:szCs w:val="18"/>
                <w:color w:val="auto"/>
                <w:w w:val="90"/>
              </w:rPr>
              <w:t>(937) 644-0011</w:t>
            </w: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gridSpan w:val="7"/>
          </w:tcPr>
          <w:p>
            <w:pPr>
              <w:jc w:val="center"/>
              <w:ind w:right="3020"/>
              <w:spacing w:after="0"/>
              <w:rPr>
                <w:sz w:val="20"/>
                <w:szCs w:val="20"/>
                <w:color w:val="auto"/>
              </w:rPr>
            </w:pPr>
            <w:r>
              <w:rPr>
                <w:rFonts w:ascii="Arial" w:cs="Arial" w:eastAsia="Arial" w:hAnsi="Arial"/>
                <w:sz w:val="18"/>
                <w:szCs w:val="18"/>
                <w:color w:val="auto"/>
                <w:w w:val="90"/>
              </w:rPr>
              <w:t>(Telephone number, including area code, of agent for service)</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8"/>
        </w:trPr>
        <w:tc>
          <w:tcPr>
            <w:tcW w:w="2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EX-10.1</w:t>
      </w:r>
    </w:p>
    <w:p>
      <w:pPr>
        <w:spacing w:after="0" w:line="230" w:lineRule="auto"/>
        <w:rPr>
          <w:sz w:val="20"/>
          <w:szCs w:val="20"/>
          <w:color w:val="auto"/>
        </w:rPr>
      </w:pPr>
      <w:r>
        <w:rPr>
          <w:rFonts w:ascii="Arial" w:cs="Arial" w:eastAsia="Arial" w:hAnsi="Arial"/>
          <w:sz w:val="22"/>
          <w:szCs w:val="22"/>
          <w:u w:val="single" w:color="auto"/>
          <w:color w:val="0000EE"/>
        </w:rPr>
        <w:t>EX-23.1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EXPLANATORY NOTE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ADOPTION OF PREDECESSOR ISSUER’S REGISTRATION STATEMENT</w:t>
      </w:r>
    </w:p>
    <w:p>
      <w:pPr>
        <w:spacing w:after="0" w:line="184"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This Post-Effective Amendment No. 2 to Registration Statement on Form S-8 (this “Post-Effective Amendment No. 2”), is being filed by The Scotts Miracle-Gro Company, an Ohio corporation (“Scotts Miracle-Gro” or the “Registrant”), as the public company successor to The Scotts Company, an Ohio corporation (“Scotts”).</w:t>
      </w:r>
    </w:p>
    <w:p>
      <w:pPr>
        <w:spacing w:after="0" w:line="141" w:lineRule="exact"/>
        <w:rPr>
          <w:sz w:val="20"/>
          <w:szCs w:val="20"/>
          <w:color w:val="auto"/>
        </w:rPr>
      </w:pPr>
    </w:p>
    <w:p>
      <w:pPr>
        <w:ind w:right="400" w:firstLine="225"/>
        <w:spacing w:after="0" w:line="259" w:lineRule="auto"/>
        <w:rPr>
          <w:sz w:val="20"/>
          <w:szCs w:val="20"/>
          <w:color w:val="auto"/>
        </w:rPr>
      </w:pPr>
      <w:r>
        <w:rPr>
          <w:rFonts w:ascii="Arial" w:cs="Arial" w:eastAsia="Arial" w:hAnsi="Arial"/>
          <w:sz w:val="18"/>
          <w:szCs w:val="18"/>
          <w:color w:val="auto"/>
        </w:rPr>
        <w:t>On March 18, 2005 (the “Effective Time”), Scotts consummated the restructuring of Scotts’ corporate structure into a holding company structure by merging Scotts into a newly-created, wholly-owned, second-tier Ohio limited liability company subsidiary, The Scotts Company LLC (“Scotts LLC”), pursuant to an Agreement and Plan of Merger, dated as of December 13, 2004, by and among Scotts, Scotts LLC and Scotts Miracle-Gro. This merger is referred to in this Post-Effective Amendment No. 2 as the “Restructuring Merger.”</w:t>
      </w:r>
    </w:p>
    <w:p>
      <w:pPr>
        <w:spacing w:after="0" w:line="146"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Upon consummation of the Restructuring Merger, each of Scotts’ common shares, without par value (the “Scotts Common Shares”), issued and outstanding immediately prior to the Effective Time was automatically converted into one fully paid and nonassessable common share, without par value, of Scotts Miracle-Gro (the “Scotts Miracle-Gro Common Shares”). Also, the entire class of Scotts Miracle-Gro Common Shares became registered under Section 12(b) of the Securities Exchange Act of 1934, as amended (the “Exchange Act”), in accordance with Rule 12g-3 under the Exchange Act. As a result of the Restructuring Merger, Scotts Miracle-Gro is the new parent holding company and the public company successor to Scotts. Scotts LLC is the successor to Scotts and is a direct, wholly-owned subsidiary of Scotts Miracle-Gro.</w:t>
      </w:r>
    </w:p>
    <w:p>
      <w:pPr>
        <w:spacing w:after="0" w:line="166"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As of the Effective Time, Scotts maintained The Scotts Company Retirement Savings Plan (the “Retirement Savings Plan”), a tax-qualified, defined contribution profit sharing and 401(k) plan. As of the Effective Time, Scotts LLC assumed the obligations of Scotts under the Retirement Savings Plan. The Scotts Common Shares attributable to the accounts of participants under the Retirement Savings Plan relating to common share units immediately prior to the Effective Time were, by virtue of the Restructuring Merger, converted into the same number of Scotts Miracle-Gro Common Shares and those Scotts Miracle-Gro Common Shares are attributable to the accounts of those participants upon the same terms and subject to the same conditions as were in effect at the Effective Time.</w:t>
      </w:r>
    </w:p>
    <w:p>
      <w:pPr>
        <w:spacing w:after="0" w:line="153"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All provisions of the Retirement Savings Plan remain the same following the Restructuring Merger, except that the Retirement Savings Plan has been amended to change the name of the Retirement Savings Plan from “The Scotts Company Retirement Savings Plan” to “The Scotts Company LLC Retirement Savings Plan” and to revise certain definitions and other provisions of the Retirement Savings Plan to reflect the assumption of the Retirement Savings Plan by Scotts LLC and the ability to invest in Scotts Miracle-Gro Common Shares instead of Scotts Common Shares under the Retirement Savings Plan. From and after the Effective Time, all amounts contributed to the Retirement Savings Plan’s “Scotts Miracle-Gro Stock Fund” will be invested in securities of Scotts Miracle-Gro.</w:t>
      </w:r>
    </w:p>
    <w:p>
      <w:pPr>
        <w:spacing w:after="0" w:line="153"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Restructuring Merger was approved by the shareholders of Scotts at the Annual Meeting of Shareholders held on January 27, 2005. Prior to the Restructuring Merger, Scotts Miracle-Gro had engaged in no activities other than those incident to the restructuring and had no assets or liabilities other than nominal assets and liabilities.</w:t>
      </w:r>
    </w:p>
    <w:p>
      <w:pPr>
        <w:spacing w:after="0" w:line="154"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Pursuant to Rule 414(d) under the Securities Act of 1933, as amended (the “Securities Act”), Scotts Miracle-Gro, as the successor issuer to Scotts, hereby adopts Scotts’ Registration Statement on Form S-8 (Registration No. 033-47073), which Registration Statement is applicable to the securities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issuable under the Retirement Savings Plan, as the Registration Statement of Scotts Miracle-Gro for all purposes of the Securities Act and the Exchange Act.</w:t>
      </w:r>
    </w:p>
    <w:p>
      <w:pPr>
        <w:spacing w:after="0" w:line="22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PART II</w:t>
      </w:r>
    </w:p>
    <w:p>
      <w:pPr>
        <w:spacing w:after="0" w:line="18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INFORMATION REQUIRED IN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Incorporation of Documents by Reference</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Scotts Miracle-Gro hereby incorporates into this Post-Effective Amendment No. 2 to Registration Statement on Form S-8 (the “Registration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Scotts Miracle-Gro and Scotts with the Securities and Exchange Commission (the “Commission”):</w:t>
      </w:r>
    </w:p>
    <w:p>
      <w:pPr>
        <w:spacing w:after="0" w:line="211" w:lineRule="exact"/>
        <w:rPr>
          <w:sz w:val="20"/>
          <w:szCs w:val="20"/>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Annual Report on Form 10-K of Scotts for the fiscal year ended September 30, 2004.</w:t>
      </w:r>
    </w:p>
    <w:p>
      <w:pPr>
        <w:spacing w:after="0" w:line="225" w:lineRule="exact"/>
        <w:rPr>
          <w:rFonts w:ascii="Arial" w:cs="Arial" w:eastAsia="Arial" w:hAnsi="Arial"/>
          <w:sz w:val="18"/>
          <w:szCs w:val="18"/>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Quarterly Report on Form 10-Q of Scotts for the quarterly period ended January 1, 2005.</w:t>
      </w:r>
    </w:p>
    <w:p>
      <w:pPr>
        <w:spacing w:after="0" w:line="225" w:lineRule="exact"/>
        <w:rPr>
          <w:rFonts w:ascii="Arial" w:cs="Arial" w:eastAsia="Arial" w:hAnsi="Arial"/>
          <w:sz w:val="18"/>
          <w:szCs w:val="18"/>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Quarterly Report on Form 10-Q of Scotts Miracle-Gro for the quarterly period ended April 2, 2005.</w:t>
      </w:r>
    </w:p>
    <w:p>
      <w:pPr>
        <w:spacing w:after="0" w:line="225" w:lineRule="exact"/>
        <w:rPr>
          <w:rFonts w:ascii="Arial" w:cs="Arial" w:eastAsia="Arial" w:hAnsi="Arial"/>
          <w:sz w:val="18"/>
          <w:szCs w:val="18"/>
          <w:color w:val="auto"/>
        </w:rPr>
      </w:pPr>
    </w:p>
    <w:p>
      <w:pPr>
        <w:ind w:left="440" w:right="220" w:hanging="216"/>
        <w:spacing w:after="0" w:line="277"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Reports on Form 8-K filed by Scotts with the Commission on November 19, 2004, December 8, 2004 (as subsequently amended by the Current Report on Form 8-K/A filed with the Commission on December 17, 2004) and February 2, 2005.</w:t>
      </w:r>
    </w:p>
    <w:p>
      <w:pPr>
        <w:spacing w:after="0" w:line="170" w:lineRule="exact"/>
        <w:rPr>
          <w:rFonts w:ascii="Arial" w:cs="Arial" w:eastAsia="Arial" w:hAnsi="Arial"/>
          <w:sz w:val="18"/>
          <w:szCs w:val="18"/>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Report on Form 8-K filed by Scotts Miracle-Gro with the Commission on March 24, 2005.</w:t>
      </w:r>
    </w:p>
    <w:p>
      <w:pPr>
        <w:spacing w:after="0" w:line="225" w:lineRule="exact"/>
        <w:rPr>
          <w:rFonts w:ascii="Arial" w:cs="Arial" w:eastAsia="Arial" w:hAnsi="Arial"/>
          <w:sz w:val="18"/>
          <w:szCs w:val="18"/>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Annual Report on Form 11-K of the Retirement Savings Plan for the fiscal year ended December 31, 2003.</w:t>
      </w:r>
    </w:p>
    <w:p>
      <w:pPr>
        <w:spacing w:after="0" w:line="225" w:lineRule="exact"/>
        <w:rPr>
          <w:rFonts w:ascii="Arial" w:cs="Arial" w:eastAsia="Arial" w:hAnsi="Arial"/>
          <w:sz w:val="18"/>
          <w:szCs w:val="18"/>
          <w:color w:val="auto"/>
        </w:rPr>
      </w:pPr>
    </w:p>
    <w:p>
      <w:pPr>
        <w:ind w:left="440" w:right="100" w:hanging="216"/>
        <w:spacing w:after="0" w:line="277"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Scotts Miracle-Gro Common Shares contained in Scotts Miracle-Gro’s Current Report on Form 8-K filed with the Commission on March 24, 2005.</w:t>
      </w:r>
    </w:p>
    <w:p>
      <w:pPr>
        <w:spacing w:after="0" w:line="170"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Any definitive proxy statement or information statement filed by Scotts Miracle-Gro pursuant to Section 14 of the Exchange Act and all documents which may be filed by Scotts Miracle-Gro and the Retirement Savings Plan with the Commission pursuant to Section 13, 14 or 15(d) of the Exchange Act subsequent to the date hereof and prior to the completion of the offering contemplated by the Retirement Savings Plan, shall also be deemed to be incorporated herein by reference and to be made a part hereof from the date of filing of such documents. Information furnished by Scotts Miracle-Gro under any Current Report on Form 8-K is not incorporated by reference in this Registration Statement.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Description of Securities</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Interests of Named Experts and Counsel</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Indemnification of Directors and Officers</w:t>
      </w:r>
      <w:r>
        <w:rPr>
          <w:rFonts w:ascii="Arial" w:cs="Arial" w:eastAsia="Arial" w:hAnsi="Arial"/>
          <w:sz w:val="18"/>
          <w:szCs w:val="18"/>
          <w:color w:val="auto"/>
        </w:rPr>
        <w:t>.</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Section 11.5 of the Retirement Savings Plan provides for indemnification of the Administrative Committee which administers the Retirement Savings Plan and the employees carrying out the duties of the Administrative Committee as follows:</w:t>
      </w:r>
    </w:p>
    <w:p>
      <w:pPr>
        <w:spacing w:after="0" w:line="130" w:lineRule="exact"/>
        <w:rPr>
          <w:sz w:val="20"/>
          <w:szCs w:val="20"/>
          <w:color w:val="auto"/>
        </w:rPr>
      </w:pPr>
    </w:p>
    <w:p>
      <w:pPr>
        <w:ind w:left="240" w:right="60"/>
        <w:spacing w:after="0" w:line="270" w:lineRule="auto"/>
        <w:rPr>
          <w:sz w:val="20"/>
          <w:szCs w:val="20"/>
          <w:color w:val="auto"/>
        </w:rPr>
      </w:pPr>
      <w:r>
        <w:rPr>
          <w:rFonts w:ascii="Arial" w:cs="Arial" w:eastAsia="Arial" w:hAnsi="Arial"/>
          <w:sz w:val="17"/>
          <w:szCs w:val="17"/>
          <w:color w:val="auto"/>
        </w:rPr>
        <w:t>Each member of the Administrative Committee and Employees carrying out the duties of the Administrative Committee shall be indemnified by the Employer against costs, expenses, and liabilities (other than amounts paid in settlement to which the Employer does not consent) reasonably incurred by the person in connection with any action to which the person may be a party by reason of his or her service as a member of the committee, except in relation to matters as to which he or she shall be adjudged in such action to be personally guilty of negligence or willful misconduct in the performance of his or her duties. The foregoing right to indemnification shall be in addition to such other rights as the person may enjoy as a matter of law or by reason of insurance coverage of any kind, but shall not extend to costs, expenses, and/or liabilities otherwise covered by insurance or that would be so covered by any insurance then in force if such insurance contained a waiver of subrogation. Rights granted hereunder shall be in addition to and not in lieu of any rights to indemnification to which the person may be entitled under the operating agreement of the Company. Service on the Administrative Committee shall be deemed in partial fulfillment of the person’s function as an Employee, officer, and/or director of the Employer, if the person serves in such capacity as well.</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Article Five of the Code of Regulations of the Registrant governs the indemnification of officers and directors of the Registrant. Article Five provides:</w:t>
      </w:r>
    </w:p>
    <w:p>
      <w:pPr>
        <w:spacing w:after="0" w:line="210" w:lineRule="exact"/>
        <w:rPr>
          <w:sz w:val="20"/>
          <w:szCs w:val="20"/>
          <w:color w:val="auto"/>
        </w:rPr>
      </w:pPr>
    </w:p>
    <w:p>
      <w:pPr>
        <w:ind w:left="240" w:right="160" w:firstLine="225"/>
        <w:spacing w:after="0" w:line="268" w:lineRule="auto"/>
        <w:rPr>
          <w:sz w:val="20"/>
          <w:szCs w:val="20"/>
          <w:color w:val="auto"/>
        </w:rPr>
      </w:pPr>
      <w:r>
        <w:rPr>
          <w:rFonts w:ascii="Arial" w:cs="Arial" w:eastAsia="Arial" w:hAnsi="Arial"/>
          <w:sz w:val="17"/>
          <w:szCs w:val="17"/>
          <w:u w:val="single" w:color="auto"/>
          <w:color w:val="auto"/>
        </w:rPr>
        <w:t>Section 5.01. Mandatory Indemnification</w:t>
      </w:r>
      <w:r>
        <w:rPr>
          <w:rFonts w:ascii="Arial" w:cs="Arial" w:eastAsia="Arial" w:hAnsi="Arial"/>
          <w:sz w:val="17"/>
          <w:szCs w:val="17"/>
          <w:color w:val="auto"/>
        </w:rPr>
        <w:t>.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5.02. Court-Approved Indemnification</w:t>
      </w:r>
      <w:r>
        <w:rPr>
          <w:rFonts w:ascii="Arial" w:cs="Arial" w:eastAsia="Arial" w:hAnsi="Arial"/>
          <w:sz w:val="18"/>
          <w:szCs w:val="18"/>
          <w:color w:val="auto"/>
        </w:rPr>
        <w:t>. Anything contained in the Regulations or elsewhere to the contrary notwithstanding:</w:t>
      </w:r>
    </w:p>
    <w:p>
      <w:pPr>
        <w:spacing w:after="0" w:line="198" w:lineRule="exact"/>
        <w:rPr>
          <w:sz w:val="20"/>
          <w:szCs w:val="20"/>
          <w:color w:val="auto"/>
        </w:rPr>
      </w:pPr>
    </w:p>
    <w:p>
      <w:pPr>
        <w:ind w:left="240" w:right="40" w:firstLine="221"/>
        <w:spacing w:after="0" w:line="253"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156" w:lineRule="exact"/>
        <w:rPr>
          <w:rFonts w:ascii="Arial" w:cs="Arial" w:eastAsia="Arial" w:hAnsi="Arial"/>
          <w:sz w:val="18"/>
          <w:szCs w:val="18"/>
          <w:color w:val="auto"/>
        </w:rPr>
      </w:pPr>
    </w:p>
    <w:p>
      <w:pPr>
        <w:ind w:left="740" w:hanging="279"/>
        <w:spacing w:after="0"/>
        <w:tabs>
          <w:tab w:leader="none" w:pos="7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corporation shall promptly make any such unpaid indemnification as is determined by a court to be proper as contemplated by this Section 5.02.</w:t>
      </w:r>
    </w:p>
    <w:p>
      <w:pPr>
        <w:spacing w:after="0" w:line="208" w:lineRule="exact"/>
        <w:rPr>
          <w:sz w:val="20"/>
          <w:szCs w:val="20"/>
          <w:color w:val="auto"/>
        </w:rPr>
      </w:pPr>
    </w:p>
    <w:p>
      <w:pPr>
        <w:ind w:left="240" w:right="40" w:firstLine="225"/>
        <w:spacing w:after="0" w:line="302" w:lineRule="auto"/>
        <w:rPr>
          <w:sz w:val="20"/>
          <w:szCs w:val="20"/>
          <w:color w:val="auto"/>
        </w:rPr>
      </w:pPr>
      <w:r>
        <w:rPr>
          <w:rFonts w:ascii="Arial" w:cs="Arial" w:eastAsia="Arial" w:hAnsi="Arial"/>
          <w:sz w:val="16"/>
          <w:szCs w:val="16"/>
          <w:u w:val="single" w:color="auto"/>
          <w:color w:val="auto"/>
        </w:rPr>
        <w:t>Section 5.03. Indemnification for Expenses</w:t>
      </w:r>
      <w:r>
        <w:rPr>
          <w:rFonts w:ascii="Arial" w:cs="Arial" w:eastAsia="Arial" w:hAnsi="Arial"/>
          <w:sz w:val="16"/>
          <w:szCs w:val="16"/>
          <w:color w:val="auto"/>
        </w:rPr>
        <w:t>.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127" w:lineRule="exact"/>
        <w:rPr>
          <w:sz w:val="20"/>
          <w:szCs w:val="20"/>
          <w:color w:val="auto"/>
        </w:rPr>
      </w:pPr>
    </w:p>
    <w:p>
      <w:pPr>
        <w:ind w:left="240" w:firstLine="225"/>
        <w:spacing w:after="0" w:line="287" w:lineRule="auto"/>
        <w:rPr>
          <w:sz w:val="20"/>
          <w:szCs w:val="20"/>
          <w:color w:val="auto"/>
        </w:rPr>
      </w:pPr>
      <w:r>
        <w:rPr>
          <w:rFonts w:ascii="Arial" w:cs="Arial" w:eastAsia="Arial" w:hAnsi="Arial"/>
          <w:sz w:val="16"/>
          <w:szCs w:val="16"/>
          <w:u w:val="single" w:color="auto"/>
          <w:color w:val="auto"/>
        </w:rPr>
        <w:t>Section 5.04. Determination Required</w:t>
      </w:r>
      <w:r>
        <w:rPr>
          <w:rFonts w:ascii="Arial" w:cs="Arial" w:eastAsia="Arial" w:hAnsi="Arial"/>
          <w:sz w:val="16"/>
          <w:szCs w:val="16"/>
          <w:color w:val="auto"/>
        </w:rPr>
        <w:t>.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60"/>
        <w:spacing w:after="0" w:line="255" w:lineRule="auto"/>
        <w:rPr>
          <w:sz w:val="20"/>
          <w:szCs w:val="20"/>
          <w:color w:val="auto"/>
        </w:rPr>
      </w:pPr>
      <w:r>
        <w:rPr>
          <w:rFonts w:ascii="Arial" w:cs="Arial" w:eastAsia="Arial" w:hAnsi="Arial"/>
          <w:sz w:val="18"/>
          <w:szCs w:val="18"/>
          <w:color w:val="auto"/>
        </w:rPr>
        <w:t>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166" w:lineRule="exact"/>
        <w:rPr>
          <w:sz w:val="20"/>
          <w:szCs w:val="20"/>
          <w:color w:val="auto"/>
        </w:rPr>
      </w:pPr>
    </w:p>
    <w:p>
      <w:pPr>
        <w:ind w:left="240" w:right="100" w:firstLine="225"/>
        <w:spacing w:after="0" w:line="257" w:lineRule="auto"/>
        <w:rPr>
          <w:sz w:val="20"/>
          <w:szCs w:val="20"/>
          <w:color w:val="auto"/>
        </w:rPr>
      </w:pPr>
      <w:r>
        <w:rPr>
          <w:rFonts w:ascii="Arial" w:cs="Arial" w:eastAsia="Arial" w:hAnsi="Arial"/>
          <w:sz w:val="18"/>
          <w:szCs w:val="18"/>
          <w:u w:val="single" w:color="auto"/>
          <w:color w:val="auto"/>
        </w:rPr>
        <w:t>Section 5.05. Advances for Expenses</w:t>
      </w:r>
      <w:r>
        <w:rPr>
          <w:rFonts w:ascii="Arial" w:cs="Arial" w:eastAsia="Arial" w:hAnsi="Arial"/>
          <w:sz w:val="18"/>
          <w:szCs w:val="18"/>
          <w:color w:val="auto"/>
        </w:rPr>
        <w:t>.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148" w:lineRule="exact"/>
        <w:rPr>
          <w:sz w:val="20"/>
          <w:szCs w:val="20"/>
          <w:color w:val="auto"/>
        </w:rPr>
      </w:pPr>
    </w:p>
    <w:p>
      <w:pPr>
        <w:ind w:left="240" w:right="580" w:firstLine="221"/>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it shall ultimately be determined as provided in Section 5.04 that he is not entitled to be indemnified by the corporation as provided under Section 5.01; or</w:t>
      </w:r>
    </w:p>
    <w:p>
      <w:pPr>
        <w:spacing w:after="0" w:line="129" w:lineRule="exact"/>
        <w:rPr>
          <w:rFonts w:ascii="Arial" w:cs="Arial" w:eastAsia="Arial" w:hAnsi="Arial"/>
          <w:sz w:val="18"/>
          <w:szCs w:val="18"/>
          <w:color w:val="auto"/>
        </w:rPr>
      </w:pPr>
    </w:p>
    <w:p>
      <w:pPr>
        <w:ind w:left="240" w:right="20" w:firstLine="221"/>
        <w:spacing w:after="0" w:line="257" w:lineRule="auto"/>
        <w:tabs>
          <w:tab w:leader="none" w:pos="75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61" w:lineRule="exact"/>
        <w:rPr>
          <w:sz w:val="20"/>
          <w:szCs w:val="20"/>
          <w:color w:val="auto"/>
        </w:rPr>
      </w:pPr>
    </w:p>
    <w:p>
      <w:pPr>
        <w:ind w:left="240" w:right="80" w:firstLine="225"/>
        <w:spacing w:after="0" w:line="257" w:lineRule="auto"/>
        <w:rPr>
          <w:sz w:val="20"/>
          <w:szCs w:val="20"/>
          <w:color w:val="auto"/>
        </w:rPr>
      </w:pPr>
      <w:r>
        <w:rPr>
          <w:rFonts w:ascii="Arial" w:cs="Arial" w:eastAsia="Arial" w:hAnsi="Arial"/>
          <w:sz w:val="18"/>
          <w:szCs w:val="18"/>
          <w:u w:val="single" w:color="auto"/>
          <w:color w:val="auto"/>
        </w:rPr>
        <w:t>Section 5.06. Article FIVE Not Exclusive</w:t>
      </w:r>
      <w:r>
        <w:rPr>
          <w:rFonts w:ascii="Arial" w:cs="Arial" w:eastAsia="Arial" w:hAnsi="Arial"/>
          <w:sz w:val="18"/>
          <w:szCs w:val="18"/>
          <w:color w:val="auto"/>
        </w:rPr>
        <w:t>.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148" w:lineRule="exact"/>
        <w:rPr>
          <w:sz w:val="20"/>
          <w:szCs w:val="20"/>
          <w:color w:val="auto"/>
        </w:rPr>
      </w:pPr>
    </w:p>
    <w:p>
      <w:pPr>
        <w:ind w:left="240" w:firstLine="225"/>
        <w:spacing w:after="0" w:line="255" w:lineRule="auto"/>
        <w:rPr>
          <w:sz w:val="20"/>
          <w:szCs w:val="20"/>
          <w:color w:val="auto"/>
        </w:rPr>
      </w:pPr>
      <w:r>
        <w:rPr>
          <w:rFonts w:ascii="Arial" w:cs="Arial" w:eastAsia="Arial" w:hAnsi="Arial"/>
          <w:sz w:val="18"/>
          <w:szCs w:val="18"/>
          <w:u w:val="single" w:color="auto"/>
          <w:color w:val="auto"/>
        </w:rPr>
        <w:t>Section 5.07. Insurance</w:t>
      </w:r>
      <w:r>
        <w:rPr>
          <w:rFonts w:ascii="Arial" w:cs="Arial" w:eastAsia="Arial" w:hAnsi="Arial"/>
          <w:sz w:val="18"/>
          <w:szCs w:val="18"/>
          <w:color w:val="auto"/>
        </w:rPr>
        <w:t>.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5.08. Certain Definitions</w:t>
      </w:r>
      <w:r>
        <w:rPr>
          <w:rFonts w:ascii="Arial" w:cs="Arial" w:eastAsia="Arial" w:hAnsi="Arial"/>
          <w:sz w:val="18"/>
          <w:szCs w:val="18"/>
          <w:color w:val="auto"/>
        </w:rPr>
        <w:t>. For purposes of this Article FIVE, and as examples and not by way of limitation:</w:t>
      </w:r>
    </w:p>
    <w:p>
      <w:pPr>
        <w:spacing w:after="0" w:line="198" w:lineRule="exact"/>
        <w:rPr>
          <w:sz w:val="20"/>
          <w:szCs w:val="20"/>
          <w:color w:val="auto"/>
        </w:rPr>
      </w:pPr>
    </w:p>
    <w:p>
      <w:pPr>
        <w:ind w:left="240" w:right="160" w:firstLine="221"/>
        <w:spacing w:after="0" w:line="297"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117" w:lineRule="exact"/>
        <w:rPr>
          <w:rFonts w:ascii="Arial" w:cs="Arial" w:eastAsia="Arial" w:hAnsi="Arial"/>
          <w:sz w:val="16"/>
          <w:szCs w:val="16"/>
          <w:color w:val="auto"/>
        </w:rPr>
      </w:pPr>
    </w:p>
    <w:p>
      <w:pPr>
        <w:ind w:left="240" w:right="40" w:firstLine="221"/>
        <w:spacing w:after="0" w:line="273" w:lineRule="auto"/>
        <w:tabs>
          <w:tab w:leader="none" w:pos="75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138" w:lineRule="exact"/>
        <w:rPr>
          <w:sz w:val="20"/>
          <w:szCs w:val="20"/>
          <w:color w:val="auto"/>
        </w:rPr>
      </w:pPr>
    </w:p>
    <w:p>
      <w:pPr>
        <w:ind w:left="240" w:firstLine="225"/>
        <w:spacing w:after="0" w:line="259" w:lineRule="auto"/>
        <w:rPr>
          <w:sz w:val="20"/>
          <w:szCs w:val="20"/>
          <w:color w:val="auto"/>
        </w:rPr>
      </w:pPr>
      <w:r>
        <w:rPr>
          <w:rFonts w:ascii="Arial" w:cs="Arial" w:eastAsia="Arial" w:hAnsi="Arial"/>
          <w:sz w:val="18"/>
          <w:szCs w:val="18"/>
          <w:u w:val="single" w:color="auto"/>
          <w:color w:val="auto"/>
        </w:rPr>
        <w:t>Section 5.09. Venue</w:t>
      </w:r>
      <w:r>
        <w:rPr>
          <w:rFonts w:ascii="Arial" w:cs="Arial" w:eastAsia="Arial" w:hAnsi="Arial"/>
          <w:sz w:val="18"/>
          <w:szCs w:val="18"/>
          <w:color w:val="auto"/>
        </w:rPr>
        <w:t>.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Division (E) of Section 1701.13 of the Ohio Revised Code addresses indemnification by an Ohio corporation and provides as follows:</w:t>
      </w:r>
    </w:p>
    <w:p>
      <w:pPr>
        <w:spacing w:after="0" w:line="185" w:lineRule="exact"/>
        <w:rPr>
          <w:sz w:val="20"/>
          <w:szCs w:val="20"/>
          <w:color w:val="auto"/>
        </w:rPr>
      </w:pPr>
    </w:p>
    <w:p>
      <w:pPr>
        <w:ind w:left="240" w:firstLine="225"/>
        <w:spacing w:after="0" w:line="270" w:lineRule="auto"/>
        <w:rPr>
          <w:sz w:val="20"/>
          <w:szCs w:val="20"/>
          <w:color w:val="auto"/>
        </w:rPr>
      </w:pPr>
      <w:r>
        <w:rPr>
          <w:rFonts w:ascii="Arial" w:cs="Arial" w:eastAsia="Arial" w:hAnsi="Arial"/>
          <w:sz w:val="17"/>
          <w:szCs w:val="17"/>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color w:val="auto"/>
        </w:rPr>
        <w:t>believed to be in or not opposed to the best interests of the corporation, and, with respect to any criminal action or proceeding, he had reasonable cause to believe that his conduct was unlawful.</w:t>
      </w:r>
    </w:p>
    <w:p>
      <w:pPr>
        <w:spacing w:after="0" w:line="143" w:lineRule="exact"/>
        <w:rPr>
          <w:sz w:val="20"/>
          <w:szCs w:val="20"/>
          <w:color w:val="auto"/>
        </w:rPr>
      </w:pPr>
    </w:p>
    <w:p>
      <w:pPr>
        <w:ind w:left="240" w:firstLine="221"/>
        <w:spacing w:after="0" w:line="272"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37" w:lineRule="exact"/>
        <w:rPr>
          <w:sz w:val="20"/>
          <w:szCs w:val="20"/>
          <w:color w:val="auto"/>
        </w:rPr>
      </w:pPr>
    </w:p>
    <w:p>
      <w:pPr>
        <w:ind w:left="240" w:right="460" w:firstLine="221"/>
        <w:spacing w:after="0" w:line="279" w:lineRule="auto"/>
        <w:tabs>
          <w:tab w:leader="none" w:pos="71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30" w:lineRule="exact"/>
        <w:rPr>
          <w:rFonts w:ascii="Arial" w:cs="Arial" w:eastAsia="Arial" w:hAnsi="Arial"/>
          <w:sz w:val="17"/>
          <w:szCs w:val="17"/>
          <w:color w:val="auto"/>
        </w:rPr>
      </w:pPr>
    </w:p>
    <w:p>
      <w:pPr>
        <w:ind w:left="720" w:hanging="25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action or suit in which the only liability asserted against a director is pursuant to section 1701.95 of the Revised Code.</w:t>
      </w:r>
    </w:p>
    <w:p>
      <w:pPr>
        <w:spacing w:after="0" w:line="198" w:lineRule="exact"/>
        <w:rPr>
          <w:sz w:val="20"/>
          <w:szCs w:val="20"/>
          <w:color w:val="auto"/>
        </w:rPr>
      </w:pPr>
    </w:p>
    <w:p>
      <w:pPr>
        <w:ind w:left="240" w:right="100" w:firstLine="221"/>
        <w:spacing w:after="0" w:line="31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06" w:lineRule="exact"/>
        <w:rPr>
          <w:rFonts w:ascii="Arial" w:cs="Arial" w:eastAsia="Arial" w:hAnsi="Arial"/>
          <w:sz w:val="16"/>
          <w:szCs w:val="16"/>
          <w:color w:val="auto"/>
        </w:rPr>
      </w:pPr>
    </w:p>
    <w:p>
      <w:pPr>
        <w:ind w:left="240" w:right="100" w:firstLine="221"/>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146" w:lineRule="exact"/>
        <w:rPr>
          <w:sz w:val="20"/>
          <w:szCs w:val="20"/>
          <w:color w:val="auto"/>
        </w:rPr>
      </w:pPr>
    </w:p>
    <w:p>
      <w:pPr>
        <w:ind w:left="240" w:right="260" w:firstLine="221"/>
        <w:spacing w:after="0" w:line="277" w:lineRule="auto"/>
        <w:tabs>
          <w:tab w:leader="none" w:pos="71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143" w:lineRule="exact"/>
        <w:rPr>
          <w:rFonts w:ascii="Arial" w:cs="Arial" w:eastAsia="Arial" w:hAnsi="Arial"/>
          <w:sz w:val="18"/>
          <w:szCs w:val="18"/>
          <w:color w:val="auto"/>
        </w:rPr>
      </w:pPr>
    </w:p>
    <w:p>
      <w:pPr>
        <w:ind w:left="240" w:firstLine="221"/>
        <w:spacing w:after="0" w:line="26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hanging="23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198" w:lineRule="exact"/>
        <w:rPr>
          <w:rFonts w:ascii="Arial" w:cs="Arial" w:eastAsia="Arial" w:hAnsi="Arial"/>
          <w:sz w:val="18"/>
          <w:szCs w:val="18"/>
          <w:color w:val="auto"/>
        </w:rPr>
      </w:pPr>
    </w:p>
    <w:p>
      <w:pPr>
        <w:ind w:left="720" w:hanging="259"/>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the court of common pleas or the court in which the action, suit, or proceeding referred to in division (E)(1) or (2) of this section was brought.</w:t>
      </w:r>
    </w:p>
    <w:p>
      <w:pPr>
        <w:spacing w:after="0" w:line="208" w:lineRule="exact"/>
        <w:rPr>
          <w:sz w:val="20"/>
          <w:szCs w:val="20"/>
          <w:color w:val="auto"/>
        </w:rPr>
      </w:pPr>
    </w:p>
    <w:p>
      <w:pPr>
        <w:ind w:left="240" w:right="120" w:firstLine="440"/>
        <w:spacing w:after="0" w:line="291" w:lineRule="auto"/>
        <w:rPr>
          <w:sz w:val="20"/>
          <w:szCs w:val="20"/>
          <w:color w:val="auto"/>
        </w:rPr>
      </w:pPr>
      <w:r>
        <w:rPr>
          <w:rFonts w:ascii="Arial" w:cs="Arial" w:eastAsia="Arial" w:hAnsi="Arial"/>
          <w:sz w:val="16"/>
          <w:szCs w:val="16"/>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w:t>
      </w:r>
    </w:p>
    <w:p>
      <w:pPr>
        <w:ind w:left="240" w:right="20" w:hanging="4"/>
        <w:spacing w:after="0" w:line="261"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43" w:lineRule="exact"/>
        <w:rPr>
          <w:sz w:val="20"/>
          <w:szCs w:val="20"/>
          <w:color w:val="auto"/>
        </w:rPr>
      </w:pPr>
    </w:p>
    <w:p>
      <w:pPr>
        <w:ind w:left="240" w:firstLine="225"/>
        <w:spacing w:after="0" w:line="273" w:lineRule="auto"/>
        <w:rPr>
          <w:sz w:val="20"/>
          <w:szCs w:val="20"/>
          <w:color w:val="auto"/>
        </w:rPr>
      </w:pPr>
      <w:r>
        <w:rPr>
          <w:rFonts w:ascii="Arial" w:cs="Arial" w:eastAsia="Arial" w:hAnsi="Arial"/>
          <w:sz w:val="17"/>
          <w:szCs w:val="17"/>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151" w:lineRule="exact"/>
        <w:rPr>
          <w:sz w:val="20"/>
          <w:szCs w:val="20"/>
          <w:color w:val="auto"/>
        </w:rPr>
      </w:pPr>
    </w:p>
    <w:p>
      <w:pPr>
        <w:ind w:left="240" w:right="160" w:firstLine="221"/>
        <w:spacing w:after="0" w:line="26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40" w:lineRule="exact"/>
        <w:rPr>
          <w:rFonts w:ascii="Arial" w:cs="Arial" w:eastAsia="Arial" w:hAnsi="Arial"/>
          <w:sz w:val="18"/>
          <w:szCs w:val="18"/>
          <w:color w:val="auto"/>
        </w:rPr>
      </w:pPr>
    </w:p>
    <w:p>
      <w:pPr>
        <w:ind w:left="720" w:hanging="25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Reasonably cooperate with the corporation concerning the action, suit, or proceeding.</w:t>
      </w:r>
    </w:p>
    <w:p>
      <w:pPr>
        <w:spacing w:after="0" w:line="185" w:lineRule="exact"/>
        <w:rPr>
          <w:sz w:val="20"/>
          <w:szCs w:val="20"/>
          <w:color w:val="auto"/>
        </w:rPr>
      </w:pPr>
    </w:p>
    <w:p>
      <w:pPr>
        <w:ind w:left="240" w:right="200" w:firstLine="221"/>
        <w:spacing w:after="0" w:line="25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61" w:lineRule="exact"/>
        <w:rPr>
          <w:sz w:val="20"/>
          <w:szCs w:val="20"/>
          <w:color w:val="auto"/>
        </w:rPr>
      </w:pPr>
    </w:p>
    <w:p>
      <w:pPr>
        <w:ind w:left="240" w:right="120" w:firstLine="221"/>
        <w:spacing w:after="0" w:line="302"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80" w:firstLine="221"/>
        <w:spacing w:after="0" w:line="293"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37" w:lineRule="exact"/>
        <w:rPr>
          <w:rFonts w:ascii="Arial" w:cs="Arial" w:eastAsia="Arial" w:hAnsi="Arial"/>
          <w:sz w:val="16"/>
          <w:szCs w:val="16"/>
          <w:color w:val="auto"/>
        </w:rPr>
      </w:pPr>
    </w:p>
    <w:p>
      <w:pPr>
        <w:jc w:val="both"/>
        <w:ind w:left="240" w:firstLine="221"/>
        <w:spacing w:after="0" w:line="312"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106" w:lineRule="exact"/>
        <w:rPr>
          <w:rFonts w:ascii="Arial" w:cs="Arial" w:eastAsia="Arial" w:hAnsi="Arial"/>
          <w:sz w:val="16"/>
          <w:szCs w:val="16"/>
          <w:color w:val="auto"/>
        </w:rPr>
      </w:pPr>
    </w:p>
    <w:p>
      <w:pPr>
        <w:ind w:left="240" w:right="80" w:firstLine="221"/>
        <w:spacing w:after="0" w:line="297"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18"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Registrant has purchased insurance coverage under a policy which insures directors and officers against certain liabilities which might be incurred by them in such capacity.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Exemption from Registration Claimed</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Exhibits</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the Index to Exhibits attached hereto and beginning at page 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Undertakings</w:t>
      </w:r>
      <w:r>
        <w:rPr>
          <w:rFonts w:ascii="Arial" w:cs="Arial" w:eastAsia="Arial" w:hAnsi="Arial"/>
          <w:sz w:val="18"/>
          <w:szCs w:val="18"/>
          <w:color w:val="auto"/>
        </w:rPr>
        <w:t>.</w:t>
      </w:r>
    </w:p>
    <w:p>
      <w:pPr>
        <w:spacing w:after="0" w:line="225"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20" w:hanging="274"/>
        <w:spacing w:after="0"/>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40" w:right="140" w:hanging="365"/>
        <w:spacing w:after="0" w:line="255"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left="940" w:right="20" w:hanging="365"/>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580" w:right="140"/>
        <w:spacing w:after="0" w:line="286" w:lineRule="auto"/>
        <w:rPr>
          <w:sz w:val="20"/>
          <w:szCs w:val="20"/>
          <w:color w:val="auto"/>
        </w:rPr>
      </w:pPr>
      <w:r>
        <w:rPr>
          <w:rFonts w:ascii="Arial" w:cs="Arial" w:eastAsia="Arial" w:hAnsi="Arial"/>
          <w:sz w:val="17"/>
          <w:szCs w:val="17"/>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66" w:lineRule="exact"/>
        <w:rPr>
          <w:sz w:val="20"/>
          <w:szCs w:val="20"/>
          <w:color w:val="auto"/>
        </w:rPr>
      </w:pPr>
    </w:p>
    <w:p>
      <w:pPr>
        <w:ind w:left="660" w:right="80" w:hanging="314"/>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20" w:hanging="314"/>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60" w:hanging="252"/>
        <w:spacing w:after="0" w:line="257"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each filing of the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260" w:right="40" w:hanging="252"/>
        <w:spacing w:after="0" w:line="271"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SIGNATURES</w:t>
      </w:r>
    </w:p>
    <w:p>
      <w:pPr>
        <w:spacing w:after="0" w:line="198"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Registrant. Pursuant to the requirements of the Securities Act of 1933, the Registrant certifies that it has reasonable grounds to believe that it meets all of the requirements for filing on Form S-8 and has duly caused this Post-Effective Amendment No. 2 to Registration Statement to be signed on its behalf by the undersigned, thereunto duly authorized, in the City of Marysville, State of Ohio, on the 20th day of May, 2005.</w:t>
      </w:r>
    </w:p>
    <w:p>
      <w:pPr>
        <w:spacing w:after="0" w:line="3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30873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James Hagedorn, President, Chief Executive</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Officer and Chairman of the Board</w:t>
      </w:r>
    </w:p>
    <w:p>
      <w:pPr>
        <w:spacing w:after="0" w:line="170" w:lineRule="exact"/>
        <w:rPr>
          <w:sz w:val="20"/>
          <w:szCs w:val="20"/>
          <w:color w:val="auto"/>
        </w:rPr>
      </w:pPr>
    </w:p>
    <w:p>
      <w:pPr>
        <w:jc w:val="both"/>
        <w:ind w:right="260" w:firstLine="222"/>
        <w:spacing w:after="0" w:line="264" w:lineRule="auto"/>
        <w:rPr>
          <w:sz w:val="20"/>
          <w:szCs w:val="20"/>
          <w:color w:val="auto"/>
        </w:rPr>
      </w:pPr>
      <w:r>
        <w:rPr>
          <w:rFonts w:ascii="Arial" w:cs="Arial" w:eastAsia="Arial" w:hAnsi="Arial"/>
          <w:sz w:val="18"/>
          <w:szCs w:val="18"/>
          <w:color w:val="auto"/>
        </w:rPr>
        <w:t>The Plan. Pursuant to the requirements of the Securities Act of 1933, the persons who administer the employee benefit plan have duly caused this Post-Effective Amendment No. 2 to Registration Statement to be signed on its behalf by the undersigned, thereunto duly authorized, in the City of Marysville, State of Ohio, on the 20th day of May, 2005</w:t>
      </w:r>
    </w:p>
    <w:p>
      <w:pPr>
        <w:spacing w:after="0" w:line="3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RETIREMENT SAVINGS PLAN</w:t>
      </w:r>
    </w:p>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3087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Christopher L. Nagel, Member of the</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Administrative Committee</w:t>
      </w:r>
    </w:p>
    <w:p>
      <w:pPr>
        <w:spacing w:after="0" w:line="170"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Registration Statement has been signed by the following persons in the capacities indicated on May 20, 2005.</w:t>
      </w:r>
    </w:p>
    <w:p>
      <w:pPr>
        <w:spacing w:after="0" w:line="342" w:lineRule="exact"/>
        <w:rPr>
          <w:sz w:val="20"/>
          <w:szCs w:val="20"/>
          <w:color w:val="auto"/>
        </w:rPr>
      </w:pPr>
    </w:p>
    <w:p>
      <w:pPr>
        <w:spacing w:after="0"/>
        <w:tabs>
          <w:tab w:leader="none" w:pos="556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 *Mark R. Baker</w:t>
            </w:r>
          </w:p>
        </w:tc>
        <w:tc>
          <w:tcPr>
            <w:tcW w:w="4080" w:type="dxa"/>
            <w:vAlign w:val="bottom"/>
          </w:tcPr>
          <w:p>
            <w:pPr>
              <w:ind w:left="9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66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4660" w:type="dxa"/>
            <w:vAlign w:val="bottom"/>
          </w:tcPr>
          <w:p>
            <w:pPr>
              <w:spacing w:after="0"/>
              <w:rPr>
                <w:sz w:val="20"/>
                <w:szCs w:val="20"/>
                <w:color w:val="auto"/>
              </w:rPr>
            </w:pPr>
            <w:r>
              <w:rPr>
                <w:rFonts w:ascii="Arial" w:cs="Arial" w:eastAsia="Arial" w:hAnsi="Arial"/>
                <w:sz w:val="18"/>
                <w:szCs w:val="18"/>
                <w:color w:val="auto"/>
              </w:rPr>
              <w:t>Mark R. Baker</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/s/ *Lynn J. Beasley</w:t>
            </w:r>
          </w:p>
        </w:tc>
        <w:tc>
          <w:tcPr>
            <w:tcW w:w="4080" w:type="dxa"/>
            <w:vAlign w:val="bottom"/>
          </w:tcPr>
          <w:p>
            <w:pPr>
              <w:ind w:left="9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66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4660" w:type="dxa"/>
            <w:vAlign w:val="bottom"/>
          </w:tcPr>
          <w:p>
            <w:pPr>
              <w:spacing w:after="0"/>
              <w:rPr>
                <w:sz w:val="20"/>
                <w:szCs w:val="20"/>
                <w:color w:val="auto"/>
              </w:rPr>
            </w:pPr>
            <w:r>
              <w:rPr>
                <w:rFonts w:ascii="Arial" w:cs="Arial" w:eastAsia="Arial" w:hAnsi="Arial"/>
                <w:sz w:val="18"/>
                <w:szCs w:val="18"/>
                <w:color w:val="auto"/>
              </w:rPr>
              <w:t>Lynn J. Beasley</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/s/ *Gordon F. Brunner</w:t>
            </w:r>
          </w:p>
        </w:tc>
        <w:tc>
          <w:tcPr>
            <w:tcW w:w="4080" w:type="dxa"/>
            <w:vAlign w:val="bottom"/>
          </w:tcPr>
          <w:p>
            <w:pPr>
              <w:ind w:left="9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66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4660" w:type="dxa"/>
            <w:vAlign w:val="bottom"/>
          </w:tcPr>
          <w:p>
            <w:pPr>
              <w:spacing w:after="0"/>
              <w:rPr>
                <w:sz w:val="20"/>
                <w:szCs w:val="20"/>
                <w:color w:val="auto"/>
              </w:rPr>
            </w:pPr>
            <w:r>
              <w:rPr>
                <w:rFonts w:ascii="Arial" w:cs="Arial" w:eastAsia="Arial" w:hAnsi="Arial"/>
                <w:sz w:val="18"/>
                <w:szCs w:val="18"/>
                <w:color w:val="auto"/>
              </w:rPr>
              <w:t>Gordon F. Brunner</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/s/ *Arnold W. Donald</w:t>
            </w:r>
          </w:p>
        </w:tc>
        <w:tc>
          <w:tcPr>
            <w:tcW w:w="4080" w:type="dxa"/>
            <w:vAlign w:val="bottom"/>
          </w:tcPr>
          <w:p>
            <w:pPr>
              <w:ind w:left="9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66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4660" w:type="dxa"/>
            <w:vAlign w:val="bottom"/>
          </w:tcPr>
          <w:p>
            <w:pPr>
              <w:spacing w:after="0"/>
              <w:rPr>
                <w:sz w:val="20"/>
                <w:szCs w:val="20"/>
                <w:color w:val="auto"/>
              </w:rPr>
            </w:pPr>
            <w:r>
              <w:rPr>
                <w:rFonts w:ascii="Arial" w:cs="Arial" w:eastAsia="Arial" w:hAnsi="Arial"/>
                <w:sz w:val="18"/>
                <w:szCs w:val="18"/>
                <w:color w:val="auto"/>
              </w:rPr>
              <w:t>Arnold W. Donald</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/s/ *Joseph P. Flannery</w:t>
            </w:r>
          </w:p>
        </w:tc>
        <w:tc>
          <w:tcPr>
            <w:tcW w:w="4080" w:type="dxa"/>
            <w:vAlign w:val="bottom"/>
          </w:tcPr>
          <w:p>
            <w:pPr>
              <w:ind w:left="9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66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4660" w:type="dxa"/>
            <w:vAlign w:val="bottom"/>
          </w:tcPr>
          <w:p>
            <w:pPr>
              <w:spacing w:after="0"/>
              <w:rPr>
                <w:sz w:val="20"/>
                <w:szCs w:val="20"/>
                <w:color w:val="auto"/>
              </w:rPr>
            </w:pPr>
            <w:r>
              <w:rPr>
                <w:rFonts w:ascii="Arial" w:cs="Arial" w:eastAsia="Arial" w:hAnsi="Arial"/>
                <w:sz w:val="18"/>
                <w:szCs w:val="18"/>
                <w:color w:val="auto"/>
              </w:rPr>
              <w:t>Joseph P. Flannery</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60" w:type="dxa"/>
            <w:vAlign w:val="bottom"/>
          </w:tcPr>
          <w:p>
            <w:pPr>
              <w:spacing w:after="0"/>
              <w:rPr>
                <w:sz w:val="20"/>
                <w:szCs w:val="20"/>
                <w:color w:val="auto"/>
              </w:rPr>
            </w:pPr>
            <w:r>
              <w:rPr>
                <w:rFonts w:ascii="Arial" w:cs="Arial" w:eastAsia="Arial" w:hAnsi="Arial"/>
                <w:sz w:val="18"/>
                <w:szCs w:val="18"/>
                <w:color w:val="auto"/>
              </w:rPr>
              <w:t>/s/ James Hagedorn</w:t>
            </w:r>
          </w:p>
        </w:tc>
        <w:tc>
          <w:tcPr>
            <w:tcW w:w="4080" w:type="dxa"/>
            <w:vAlign w:val="bottom"/>
          </w:tcPr>
          <w:p>
            <w:pPr>
              <w:ind w:left="920"/>
              <w:spacing w:after="0"/>
              <w:rPr>
                <w:sz w:val="20"/>
                <w:szCs w:val="20"/>
                <w:color w:val="auto"/>
              </w:rPr>
            </w:pPr>
            <w:r>
              <w:rPr>
                <w:rFonts w:ascii="Arial" w:cs="Arial" w:eastAsia="Arial" w:hAnsi="Arial"/>
                <w:sz w:val="18"/>
                <w:szCs w:val="18"/>
                <w:color w:val="auto"/>
              </w:rPr>
              <w:t>President, Chief Executive Officer</w:t>
            </w:r>
          </w:p>
        </w:tc>
        <w:tc>
          <w:tcPr>
            <w:tcW w:w="0" w:type="dxa"/>
            <w:vAlign w:val="bottom"/>
          </w:tcPr>
          <w:p>
            <w:pPr>
              <w:spacing w:after="0"/>
              <w:rPr>
                <w:sz w:val="1"/>
                <w:szCs w:val="1"/>
                <w:color w:val="auto"/>
              </w:rPr>
            </w:pPr>
          </w:p>
        </w:tc>
      </w:tr>
      <w:tr>
        <w:trPr>
          <w:trHeight w:val="109"/>
        </w:trPr>
        <w:tc>
          <w:tcPr>
            <w:tcW w:w="4660" w:type="dxa"/>
            <w:vAlign w:val="bottom"/>
            <w:tcBorders>
              <w:bottom w:val="single" w:sz="8" w:color="auto"/>
            </w:tcBorders>
          </w:tcPr>
          <w:p>
            <w:pPr>
              <w:spacing w:after="0"/>
              <w:rPr>
                <w:sz w:val="9"/>
                <w:szCs w:val="9"/>
                <w:color w:val="auto"/>
              </w:rPr>
            </w:pPr>
          </w:p>
        </w:tc>
        <w:tc>
          <w:tcPr>
            <w:tcW w:w="4080" w:type="dxa"/>
            <w:vAlign w:val="bottom"/>
            <w:vMerge w:val="restart"/>
          </w:tcPr>
          <w:p>
            <w:pPr>
              <w:ind w:left="920"/>
              <w:spacing w:after="0"/>
              <w:rPr>
                <w:sz w:val="20"/>
                <w:szCs w:val="20"/>
                <w:color w:val="auto"/>
              </w:rPr>
            </w:pPr>
            <w:r>
              <w:rPr>
                <w:rFonts w:ascii="Arial" w:cs="Arial" w:eastAsia="Arial" w:hAnsi="Arial"/>
                <w:sz w:val="18"/>
                <w:szCs w:val="18"/>
                <w:color w:val="auto"/>
              </w:rPr>
              <w:t>and Chairman of the Board (Principal</w:t>
            </w:r>
          </w:p>
        </w:tc>
        <w:tc>
          <w:tcPr>
            <w:tcW w:w="0" w:type="dxa"/>
            <w:vAlign w:val="bottom"/>
          </w:tcPr>
          <w:p>
            <w:pPr>
              <w:spacing w:after="0"/>
              <w:rPr>
                <w:sz w:val="1"/>
                <w:szCs w:val="1"/>
                <w:color w:val="auto"/>
              </w:rPr>
            </w:pPr>
          </w:p>
        </w:tc>
      </w:tr>
      <w:tr>
        <w:trPr>
          <w:trHeight w:val="87"/>
        </w:trPr>
        <w:tc>
          <w:tcPr>
            <w:tcW w:w="4660" w:type="dxa"/>
            <w:vAlign w:val="bottom"/>
          </w:tcPr>
          <w:p>
            <w:pPr>
              <w:spacing w:after="0"/>
              <w:rPr>
                <w:sz w:val="7"/>
                <w:szCs w:val="7"/>
                <w:color w:val="auto"/>
              </w:rPr>
            </w:pP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James Hagedorn</w:t>
            </w:r>
          </w:p>
        </w:tc>
        <w:tc>
          <w:tcPr>
            <w:tcW w:w="4080" w:type="dxa"/>
            <w:vAlign w:val="bottom"/>
          </w:tcPr>
          <w:p>
            <w:pPr>
              <w:ind w:left="920"/>
              <w:spacing w:after="0"/>
              <w:rPr>
                <w:sz w:val="20"/>
                <w:szCs w:val="20"/>
                <w:color w:val="auto"/>
              </w:rPr>
            </w:pPr>
            <w:r>
              <w:rPr>
                <w:rFonts w:ascii="Arial" w:cs="Arial" w:eastAsia="Arial" w:hAnsi="Arial"/>
                <w:sz w:val="18"/>
                <w:szCs w:val="18"/>
                <w:color w:val="auto"/>
              </w:rPr>
              <w:t>Executive Officer) and Director</w:t>
            </w:r>
          </w:p>
        </w:tc>
        <w:tc>
          <w:tcPr>
            <w:tcW w:w="0" w:type="dxa"/>
            <w:vAlign w:val="bottom"/>
          </w:tcPr>
          <w:p>
            <w:pPr>
              <w:spacing w:after="0"/>
              <w:rPr>
                <w:sz w:val="1"/>
                <w:szCs w:val="1"/>
                <w:color w:val="auto"/>
              </w:rPr>
            </w:pPr>
          </w:p>
        </w:tc>
      </w:tr>
      <w:tr>
        <w:trPr>
          <w:trHeight w:val="648"/>
        </w:trPr>
        <w:tc>
          <w:tcPr>
            <w:tcW w:w="4660" w:type="dxa"/>
            <w:vAlign w:val="bottom"/>
          </w:tcPr>
          <w:p>
            <w:pPr>
              <w:spacing w:after="0"/>
              <w:rPr>
                <w:sz w:val="20"/>
                <w:szCs w:val="20"/>
                <w:color w:val="auto"/>
              </w:rPr>
            </w:pPr>
            <w:r>
              <w:rPr>
                <w:rFonts w:ascii="Arial" w:cs="Arial" w:eastAsia="Arial" w:hAnsi="Arial"/>
                <w:sz w:val="18"/>
                <w:szCs w:val="18"/>
                <w:color w:val="auto"/>
              </w:rPr>
              <w:t>/s/ *Katherine Hagedorn Littlefield</w:t>
            </w:r>
          </w:p>
        </w:tc>
        <w:tc>
          <w:tcPr>
            <w:tcW w:w="4080" w:type="dxa"/>
            <w:vAlign w:val="bottom"/>
          </w:tcPr>
          <w:p>
            <w:pPr>
              <w:ind w:left="9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66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466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60" w:type="dxa"/>
            <w:vAlign w:val="bottom"/>
          </w:tcPr>
          <w:p>
            <w:pPr>
              <w:spacing w:after="0"/>
              <w:rPr>
                <w:sz w:val="20"/>
                <w:szCs w:val="20"/>
                <w:color w:val="auto"/>
              </w:rPr>
            </w:pPr>
            <w:r>
              <w:rPr>
                <w:rFonts w:ascii="Arial" w:cs="Arial" w:eastAsia="Arial" w:hAnsi="Arial"/>
                <w:sz w:val="18"/>
                <w:szCs w:val="18"/>
                <w:color w:val="auto"/>
              </w:rPr>
              <w:t>/s/ Christopher L. Nagel</w:t>
            </w:r>
          </w:p>
        </w:tc>
        <w:tc>
          <w:tcPr>
            <w:tcW w:w="4080" w:type="dxa"/>
            <w:vAlign w:val="bottom"/>
          </w:tcPr>
          <w:p>
            <w:pPr>
              <w:ind w:left="920"/>
              <w:spacing w:after="0"/>
              <w:rPr>
                <w:sz w:val="20"/>
                <w:szCs w:val="20"/>
                <w:color w:val="auto"/>
              </w:rPr>
            </w:pPr>
            <w:r>
              <w:rPr>
                <w:rFonts w:ascii="Arial" w:cs="Arial" w:eastAsia="Arial" w:hAnsi="Arial"/>
                <w:sz w:val="18"/>
                <w:szCs w:val="18"/>
                <w:color w:val="auto"/>
              </w:rPr>
              <w:t>Executive Vice President and</w:t>
            </w:r>
          </w:p>
        </w:tc>
        <w:tc>
          <w:tcPr>
            <w:tcW w:w="0" w:type="dxa"/>
            <w:vAlign w:val="bottom"/>
          </w:tcPr>
          <w:p>
            <w:pPr>
              <w:spacing w:after="0"/>
              <w:rPr>
                <w:sz w:val="1"/>
                <w:szCs w:val="1"/>
                <w:color w:val="auto"/>
              </w:rPr>
            </w:pPr>
          </w:p>
        </w:tc>
      </w:tr>
      <w:tr>
        <w:trPr>
          <w:trHeight w:val="109"/>
        </w:trPr>
        <w:tc>
          <w:tcPr>
            <w:tcW w:w="4660" w:type="dxa"/>
            <w:vAlign w:val="bottom"/>
            <w:tcBorders>
              <w:bottom w:val="single" w:sz="8" w:color="auto"/>
            </w:tcBorders>
          </w:tcPr>
          <w:p>
            <w:pPr>
              <w:spacing w:after="0"/>
              <w:rPr>
                <w:sz w:val="9"/>
                <w:szCs w:val="9"/>
                <w:color w:val="auto"/>
              </w:rPr>
            </w:pPr>
          </w:p>
        </w:tc>
        <w:tc>
          <w:tcPr>
            <w:tcW w:w="4080" w:type="dxa"/>
            <w:vAlign w:val="bottom"/>
            <w:vMerge w:val="restart"/>
          </w:tcPr>
          <w:p>
            <w:pPr>
              <w:ind w:left="920"/>
              <w:spacing w:after="0"/>
              <w:rPr>
                <w:sz w:val="20"/>
                <w:szCs w:val="20"/>
                <w:color w:val="auto"/>
              </w:rPr>
            </w:pPr>
            <w:r>
              <w:rPr>
                <w:rFonts w:ascii="Arial" w:cs="Arial" w:eastAsia="Arial" w:hAnsi="Arial"/>
                <w:sz w:val="18"/>
                <w:szCs w:val="18"/>
                <w:color w:val="auto"/>
                <w:w w:val="93"/>
              </w:rPr>
              <w:t>Chief Financial Officer (Principal Financial</w:t>
            </w:r>
          </w:p>
        </w:tc>
        <w:tc>
          <w:tcPr>
            <w:tcW w:w="0" w:type="dxa"/>
            <w:vAlign w:val="bottom"/>
          </w:tcPr>
          <w:p>
            <w:pPr>
              <w:spacing w:after="0"/>
              <w:rPr>
                <w:sz w:val="1"/>
                <w:szCs w:val="1"/>
                <w:color w:val="auto"/>
              </w:rPr>
            </w:pPr>
          </w:p>
        </w:tc>
      </w:tr>
      <w:tr>
        <w:trPr>
          <w:trHeight w:val="87"/>
        </w:trPr>
        <w:tc>
          <w:tcPr>
            <w:tcW w:w="4660" w:type="dxa"/>
            <w:vAlign w:val="bottom"/>
          </w:tcPr>
          <w:p>
            <w:pPr>
              <w:spacing w:after="0"/>
              <w:rPr>
                <w:sz w:val="7"/>
                <w:szCs w:val="7"/>
                <w:color w:val="auto"/>
              </w:rPr>
            </w:pP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Christopher L. Nagel</w:t>
            </w:r>
          </w:p>
        </w:tc>
        <w:tc>
          <w:tcPr>
            <w:tcW w:w="4080" w:type="dxa"/>
            <w:vAlign w:val="bottom"/>
          </w:tcPr>
          <w:p>
            <w:pPr>
              <w:ind w:left="920"/>
              <w:spacing w:after="0"/>
              <w:rPr>
                <w:sz w:val="20"/>
                <w:szCs w:val="20"/>
                <w:color w:val="auto"/>
              </w:rPr>
            </w:pPr>
            <w:r>
              <w:rPr>
                <w:rFonts w:ascii="Arial" w:cs="Arial" w:eastAsia="Arial" w:hAnsi="Arial"/>
                <w:sz w:val="18"/>
                <w:szCs w:val="18"/>
                <w:color w:val="auto"/>
                <w:w w:val="98"/>
              </w:rPr>
              <w:t>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419" w:right="279" w:bottom="919" w:gutter="0" w:footer="0" w:header="0"/>
        </w:sectPr>
      </w:pP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919"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tabs>
          <w:tab w:leader="none" w:pos="556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 *Patrick J. Norton</w:t>
            </w:r>
          </w:p>
        </w:tc>
        <w:tc>
          <w:tcPr>
            <w:tcW w:w="1520" w:type="dxa"/>
            <w:vAlign w:val="bottom"/>
          </w:tcPr>
          <w:p>
            <w:pPr>
              <w:ind w:left="920"/>
              <w:spacing w:after="0"/>
              <w:rPr>
                <w:sz w:val="20"/>
                <w:szCs w:val="20"/>
                <w:color w:val="auto"/>
              </w:rPr>
            </w:pPr>
            <w:r>
              <w:rPr>
                <w:rFonts w:ascii="Arial" w:cs="Arial" w:eastAsia="Arial" w:hAnsi="Arial"/>
                <w:sz w:val="18"/>
                <w:szCs w:val="18"/>
                <w:color w:val="auto"/>
                <w:w w:val="91"/>
              </w:rPr>
              <w:t>Director</w:t>
            </w:r>
          </w:p>
        </w:tc>
      </w:tr>
      <w:tr>
        <w:trPr>
          <w:trHeight w:val="95"/>
        </w:trPr>
        <w:tc>
          <w:tcPr>
            <w:tcW w:w="466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r>
      <w:tr>
        <w:trPr>
          <w:trHeight w:val="318"/>
        </w:trPr>
        <w:tc>
          <w:tcPr>
            <w:tcW w:w="4660" w:type="dxa"/>
            <w:vAlign w:val="bottom"/>
          </w:tcPr>
          <w:p>
            <w:pPr>
              <w:spacing w:after="0"/>
              <w:rPr>
                <w:sz w:val="20"/>
                <w:szCs w:val="20"/>
                <w:color w:val="auto"/>
              </w:rPr>
            </w:pPr>
            <w:r>
              <w:rPr>
                <w:rFonts w:ascii="Arial" w:cs="Arial" w:eastAsia="Arial" w:hAnsi="Arial"/>
                <w:sz w:val="18"/>
                <w:szCs w:val="18"/>
                <w:color w:val="auto"/>
              </w:rPr>
              <w:t>Patrick J. Norton</w:t>
            </w:r>
          </w:p>
        </w:tc>
        <w:tc>
          <w:tcPr>
            <w:tcW w:w="1520" w:type="dxa"/>
            <w:vAlign w:val="bottom"/>
          </w:tcPr>
          <w:p>
            <w:pPr>
              <w:spacing w:after="0"/>
              <w:rPr>
                <w:sz w:val="24"/>
                <w:szCs w:val="24"/>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/s/ *Stephanie M. Shern</w:t>
            </w:r>
          </w:p>
        </w:tc>
        <w:tc>
          <w:tcPr>
            <w:tcW w:w="1520" w:type="dxa"/>
            <w:vAlign w:val="bottom"/>
          </w:tcPr>
          <w:p>
            <w:pPr>
              <w:ind w:left="920"/>
              <w:spacing w:after="0"/>
              <w:rPr>
                <w:sz w:val="20"/>
                <w:szCs w:val="20"/>
                <w:color w:val="auto"/>
              </w:rPr>
            </w:pPr>
            <w:r>
              <w:rPr>
                <w:rFonts w:ascii="Arial" w:cs="Arial" w:eastAsia="Arial" w:hAnsi="Arial"/>
                <w:sz w:val="18"/>
                <w:szCs w:val="18"/>
                <w:color w:val="auto"/>
                <w:w w:val="91"/>
              </w:rPr>
              <w:t>Director</w:t>
            </w:r>
          </w:p>
        </w:tc>
      </w:tr>
      <w:tr>
        <w:trPr>
          <w:trHeight w:val="95"/>
        </w:trPr>
        <w:tc>
          <w:tcPr>
            <w:tcW w:w="466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r>
      <w:tr>
        <w:trPr>
          <w:trHeight w:val="318"/>
        </w:trPr>
        <w:tc>
          <w:tcPr>
            <w:tcW w:w="4660" w:type="dxa"/>
            <w:vAlign w:val="bottom"/>
          </w:tcPr>
          <w:p>
            <w:pPr>
              <w:spacing w:after="0"/>
              <w:rPr>
                <w:sz w:val="20"/>
                <w:szCs w:val="20"/>
                <w:color w:val="auto"/>
              </w:rPr>
            </w:pPr>
            <w:r>
              <w:rPr>
                <w:rFonts w:ascii="Arial" w:cs="Arial" w:eastAsia="Arial" w:hAnsi="Arial"/>
                <w:sz w:val="18"/>
                <w:szCs w:val="18"/>
                <w:color w:val="auto"/>
              </w:rPr>
              <w:t>Stephanie M. Shern</w:t>
            </w:r>
          </w:p>
        </w:tc>
        <w:tc>
          <w:tcPr>
            <w:tcW w:w="1520" w:type="dxa"/>
            <w:vAlign w:val="bottom"/>
          </w:tcPr>
          <w:p>
            <w:pPr>
              <w:spacing w:after="0"/>
              <w:rPr>
                <w:sz w:val="24"/>
                <w:szCs w:val="24"/>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/s/ *John M. Sullivan</w:t>
            </w:r>
          </w:p>
        </w:tc>
        <w:tc>
          <w:tcPr>
            <w:tcW w:w="1520" w:type="dxa"/>
            <w:vAlign w:val="bottom"/>
          </w:tcPr>
          <w:p>
            <w:pPr>
              <w:ind w:left="920"/>
              <w:spacing w:after="0"/>
              <w:rPr>
                <w:sz w:val="20"/>
                <w:szCs w:val="20"/>
                <w:color w:val="auto"/>
              </w:rPr>
            </w:pPr>
            <w:r>
              <w:rPr>
                <w:rFonts w:ascii="Arial" w:cs="Arial" w:eastAsia="Arial" w:hAnsi="Arial"/>
                <w:sz w:val="18"/>
                <w:szCs w:val="18"/>
                <w:color w:val="auto"/>
                <w:w w:val="91"/>
              </w:rPr>
              <w:t>Director</w:t>
            </w:r>
          </w:p>
        </w:tc>
      </w:tr>
      <w:tr>
        <w:trPr>
          <w:trHeight w:val="95"/>
        </w:trPr>
        <w:tc>
          <w:tcPr>
            <w:tcW w:w="466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r>
      <w:tr>
        <w:trPr>
          <w:trHeight w:val="318"/>
        </w:trPr>
        <w:tc>
          <w:tcPr>
            <w:tcW w:w="4660" w:type="dxa"/>
            <w:vAlign w:val="bottom"/>
          </w:tcPr>
          <w:p>
            <w:pPr>
              <w:spacing w:after="0"/>
              <w:rPr>
                <w:sz w:val="20"/>
                <w:szCs w:val="20"/>
                <w:color w:val="auto"/>
              </w:rPr>
            </w:pPr>
            <w:r>
              <w:rPr>
                <w:rFonts w:ascii="Arial" w:cs="Arial" w:eastAsia="Arial" w:hAnsi="Arial"/>
                <w:sz w:val="18"/>
                <w:szCs w:val="18"/>
                <w:color w:val="auto"/>
              </w:rPr>
              <w:t>John M. Sullivan</w:t>
            </w:r>
          </w:p>
        </w:tc>
        <w:tc>
          <w:tcPr>
            <w:tcW w:w="1520" w:type="dxa"/>
            <w:vAlign w:val="bottom"/>
          </w:tcPr>
          <w:p>
            <w:pPr>
              <w:spacing w:after="0"/>
              <w:rPr>
                <w:sz w:val="24"/>
                <w:szCs w:val="24"/>
                <w:color w:val="auto"/>
              </w:rPr>
            </w:pPr>
          </w:p>
        </w:tc>
      </w:tr>
    </w:tbl>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*By James Hagedorn pursuant to Powers of Attorney executed by the directors and executive officers identified above, which Powers of Attorney have been filed with the Securities and Exchange Commission as exhibits to this Post-Effective Amendment No. 2 to Registration Statement on Form S-8.</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2809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James Hagedorn, Attorney-in-Fact</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u w:val="single" w:color="auto"/>
          <w:color w:val="auto"/>
        </w:rPr>
        <w:t>INDEX TO EXHIBITS</w:t>
      </w:r>
    </w:p>
    <w:p>
      <w:pPr>
        <w:spacing w:after="0" w:line="200" w:lineRule="exact"/>
        <w:rPr>
          <w:sz w:val="20"/>
          <w:szCs w:val="20"/>
          <w:color w:val="auto"/>
        </w:rPr>
      </w:pPr>
    </w:p>
    <w:p>
      <w:pPr>
        <w:spacing w:after="0" w:line="210"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46393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1" w:lineRule="exact"/>
        <w:rPr>
          <w:sz w:val="20"/>
          <w:szCs w:val="20"/>
          <w:color w:val="auto"/>
        </w:rPr>
      </w:pPr>
    </w:p>
    <w:p>
      <w:pPr>
        <w:ind w:left="1100" w:hanging="589"/>
        <w:spacing w:after="0" w:line="259" w:lineRule="auto"/>
        <w:tabs>
          <w:tab w:leader="none" w:pos="1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Initial Articles of Incorporation of The Scotts Miracle-Gro Company as filed with the Ohio Secretary of State on November 22,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00" w:right="40" w:hanging="589"/>
        <w:spacing w:after="0" w:line="342" w:lineRule="auto"/>
        <w:tabs>
          <w:tab w:leader="none" w:pos="10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Certificate of Amendment by Shareholders to Articles of Incorporation of The Scotts Miracle-Gro Company as filed with the Ohio Secretary of State on March 18, 2005</w:t>
      </w:r>
    </w:p>
    <w:p>
      <w:pPr>
        <w:spacing w:after="0" w:line="124" w:lineRule="exact"/>
        <w:rPr>
          <w:sz w:val="20"/>
          <w:szCs w:val="20"/>
          <w:color w:val="auto"/>
        </w:rPr>
      </w:pPr>
    </w:p>
    <w:p>
      <w:pPr>
        <w:ind w:left="520"/>
        <w:spacing w:after="0"/>
        <w:tabs>
          <w:tab w:leader="none" w:pos="10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Code of Regulations of The Scotts Miracle-Gro Company</w:t>
      </w:r>
    </w:p>
    <w:p>
      <w:pPr>
        <w:spacing w:after="0" w:line="200" w:lineRule="exact"/>
        <w:rPr>
          <w:sz w:val="20"/>
          <w:szCs w:val="20"/>
          <w:color w:val="auto"/>
        </w:rPr>
      </w:pPr>
    </w:p>
    <w:p>
      <w:pPr>
        <w:spacing w:after="0" w:line="241" w:lineRule="exact"/>
        <w:rPr>
          <w:sz w:val="20"/>
          <w:szCs w:val="20"/>
          <w:color w:val="auto"/>
        </w:rPr>
      </w:pPr>
    </w:p>
    <w:p>
      <w:pPr>
        <w:ind w:left="1100" w:right="80" w:hanging="679"/>
        <w:spacing w:after="0" w:line="277" w:lineRule="auto"/>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Eighth Amendment to The Scotts Company Retirement Savings Plan, effective as of March 18, 2005</w:t>
      </w:r>
    </w:p>
    <w:p>
      <w:pPr>
        <w:spacing w:after="0" w:line="170" w:lineRule="exact"/>
        <w:rPr>
          <w:sz w:val="20"/>
          <w:szCs w:val="20"/>
          <w:color w:val="auto"/>
        </w:rPr>
      </w:pPr>
    </w:p>
    <w:p>
      <w:pPr>
        <w:ind w:left="1100" w:right="140" w:hanging="679"/>
        <w:spacing w:after="0" w:line="277" w:lineRule="auto"/>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PricewaterhouseCoopers LLP, independent registered public accounting firm</w:t>
      </w:r>
    </w:p>
    <w:p>
      <w:pPr>
        <w:spacing w:after="0" w:line="170" w:lineRule="exact"/>
        <w:rPr>
          <w:sz w:val="20"/>
          <w:szCs w:val="20"/>
          <w:color w:val="auto"/>
        </w:rPr>
      </w:pPr>
    </w:p>
    <w:p>
      <w:pPr>
        <w:ind w:left="1100" w:right="180" w:hanging="679"/>
        <w:spacing w:after="0" w:line="277" w:lineRule="auto"/>
        <w:tabs>
          <w:tab w:leader="none" w:pos="10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Powers of Attorney of Executive Officers and Directors of The Scotts Miracle-Gro Company</w:t>
      </w:r>
    </w:p>
    <w:p>
      <w:pPr>
        <w:spacing w:after="0" w:line="1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23755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Incorporated herein by reference to Exhibit 3.1 to the Current Report on Form 8-K of The Scotts Miracle-Gro Company dated and filed with the Securities and Exchange Commission on March 24, 2005 (File No. 1-13292) (the “March 24, 2005 Form 8-K”)</w:t>
      </w:r>
    </w:p>
    <w:p>
      <w:pPr>
        <w:spacing w:after="0" w:line="193"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Incorporated herein by reference to Exhibit 3.2 to the March 24, 2005 Form 8-K (File No. 1-13292)</w:t>
      </w:r>
    </w:p>
    <w:p>
      <w:pPr>
        <w:spacing w:after="0" w:line="124"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Incorporated herein by reference to Exhibit 3.3 to the March 24, 2005 Form 8-K (File No. 1-13292)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7260" w:space="420"/>
            <w:col w:w="3740"/>
          </w:cols>
          <w:pgMar w:left="240" w:top="419"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SCOTTS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SAVINGS PLAN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Scotts Company (“Scotts”) sponsored The Scotts Company Retirement Savings Plan (the “Plan”); and</w:t>
      </w:r>
    </w:p>
    <w:p>
      <w:pPr>
        <w:spacing w:after="0" w:line="185"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(the “Company”), pursuant to the Agreement and Plan of Merger, dated as of December 13, 2004 (the “Merger Agreement”), by and among Scotts, The Scotts Miracle-Gro Company (“Scotts Miracle-Gro”) and the Company; and</w:t>
      </w:r>
    </w:p>
    <w:p>
      <w:pPr>
        <w:spacing w:after="0" w:line="153"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and as a result of the merger of Scotts into the Company, the Company assumed, as of the Effective Time, the Plan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liabilities of Scotts thereunder; and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11.6 of the Plan provides that the Company may amend the Plan;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effective as of March 18, 2005, the Plan is amended as follows to reflect the Company’s assumption of the Plan:</w:t>
      </w:r>
    </w:p>
    <w:p>
      <w:pPr>
        <w:spacing w:after="0" w:line="202" w:lineRule="exact"/>
        <w:rPr>
          <w:sz w:val="20"/>
          <w:szCs w:val="20"/>
          <w:color w:val="auto"/>
        </w:rPr>
      </w:pPr>
    </w:p>
    <w:p>
      <w:pPr>
        <w:ind w:left="400" w:hanging="167"/>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Company LLC Retirement Savings Plan.”</w:t>
      </w:r>
    </w:p>
    <w:p>
      <w:pPr>
        <w:spacing w:after="0" w:line="184" w:lineRule="exact"/>
        <w:rPr>
          <w:rFonts w:ascii="Arial" w:cs="Arial" w:eastAsia="Arial" w:hAnsi="Arial"/>
          <w:sz w:val="18"/>
          <w:szCs w:val="18"/>
          <w:color w:val="auto"/>
        </w:rPr>
      </w:pPr>
    </w:p>
    <w:p>
      <w:pPr>
        <w:ind w:firstLine="233"/>
        <w:spacing w:after="0" w:line="277" w:lineRule="auto"/>
        <w:tabs>
          <w:tab w:leader="none" w:pos="4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first recital of the Plan is amended and restated to read, in its entirety, as follows: WHEREAS, The Scotts Company LLC (the “Company”) sponsors The Scotts Company LLC Retirement Savings Plan (the “Plan”); and</w:t>
      </w:r>
    </w:p>
    <w:p>
      <w:pPr>
        <w:spacing w:after="0" w:line="129" w:lineRule="exact"/>
        <w:rPr>
          <w:rFonts w:ascii="Arial" w:cs="Arial" w:eastAsia="Arial" w:hAnsi="Arial"/>
          <w:sz w:val="18"/>
          <w:szCs w:val="18"/>
          <w:color w:val="auto"/>
        </w:rPr>
      </w:pPr>
    </w:p>
    <w:p>
      <w:pPr>
        <w:ind w:right="160" w:firstLine="233"/>
        <w:spacing w:after="0" w:line="286" w:lineRule="auto"/>
        <w:tabs>
          <w:tab w:leader="none" w:pos="40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definition of “Administrative Committee” contained in Section 1 of the Plan is amended and restated to read as follows: “Administrative Committee” means the committee appointed as such by the Company under the provisions of the Plan or, in the absence of such appointment, the Company. The Administrative Committee is the administrator of the Plan within the meaning of Section 3(16) of ERISA.</w:t>
      </w:r>
    </w:p>
    <w:p>
      <w:pPr>
        <w:spacing w:after="0" w:line="138" w:lineRule="exact"/>
        <w:rPr>
          <w:rFonts w:ascii="Arial" w:cs="Arial" w:eastAsia="Arial" w:hAnsi="Arial"/>
          <w:sz w:val="17"/>
          <w:szCs w:val="17"/>
          <w:color w:val="auto"/>
        </w:rPr>
      </w:pPr>
    </w:p>
    <w:p>
      <w:pPr>
        <w:ind w:left="400" w:hanging="167"/>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definition of “Board of Directors” contained in Section 1 of the Plan is deleted in its entirety.</w:t>
      </w:r>
    </w:p>
    <w:p>
      <w:pPr>
        <w:spacing w:after="0" w:line="184" w:lineRule="exact"/>
        <w:rPr>
          <w:rFonts w:ascii="Arial" w:cs="Arial" w:eastAsia="Arial" w:hAnsi="Arial"/>
          <w:sz w:val="18"/>
          <w:szCs w:val="18"/>
          <w:color w:val="auto"/>
        </w:rPr>
      </w:pPr>
    </w:p>
    <w:p>
      <w:pPr>
        <w:ind w:right="460" w:firstLine="233"/>
        <w:spacing w:after="0" w:line="277" w:lineRule="auto"/>
        <w:tabs>
          <w:tab w:leader="none" w:pos="4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definition of “Company” contained in Section 1 of the Plan is amended and restated to read, in its entirety, as follows: “Company” means The Scotts Company LLC, an Ohio limited liability company, and any successor thereto.</w:t>
      </w:r>
    </w:p>
    <w:p>
      <w:pPr>
        <w:spacing w:after="0" w:line="129" w:lineRule="exact"/>
        <w:rPr>
          <w:rFonts w:ascii="Arial" w:cs="Arial" w:eastAsia="Arial" w:hAnsi="Arial"/>
          <w:sz w:val="18"/>
          <w:szCs w:val="18"/>
          <w:color w:val="auto"/>
        </w:rPr>
      </w:pPr>
    </w:p>
    <w:p>
      <w:pPr>
        <w:ind w:right="240" w:firstLine="233"/>
        <w:spacing w:after="0" w:line="286" w:lineRule="auto"/>
        <w:tabs>
          <w:tab w:leader="none" w:pos="40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definition of “Plan” contained in Section 1 of the Plan is amended and restated to read, in its entirety, as follows: “Plan” means The Scotts Company LLC Retirement Savings Plan (formerly known as The Scotts Company Retirement Savings Plan and as The Scotts Company Profit Sharing and Savings Plan) as set forth herein and as from time to time amended. The Plan is a profit sharing and stock bonus plan.</w:t>
      </w:r>
    </w:p>
    <w:p>
      <w:pPr>
        <w:spacing w:after="0" w:line="138" w:lineRule="exact"/>
        <w:rPr>
          <w:rFonts w:ascii="Arial" w:cs="Arial" w:eastAsia="Arial" w:hAnsi="Arial"/>
          <w:sz w:val="17"/>
          <w:szCs w:val="17"/>
          <w:color w:val="auto"/>
        </w:rPr>
      </w:pPr>
    </w:p>
    <w:p>
      <w:pPr>
        <w:ind w:left="420" w:hanging="187"/>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2.1 of the Plan is amended and restated so as to replace any reference to “corporate headquarters” with “company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ind w:left="187" w:hanging="187"/>
        <w:spacing w:after="0"/>
        <w:tabs>
          <w:tab w:leader="none" w:pos="1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Sections 11.1 and 11.2 of the Plan are amended so as to replace any reference to “Board of Directors” with “Company.”</w:t>
      </w:r>
    </w:p>
    <w:p>
      <w:pPr>
        <w:spacing w:after="0" w:line="198" w:lineRule="exact"/>
        <w:rPr>
          <w:rFonts w:ascii="Arial" w:cs="Arial" w:eastAsia="Arial" w:hAnsi="Arial"/>
          <w:sz w:val="18"/>
          <w:szCs w:val="18"/>
          <w:color w:val="auto"/>
        </w:rPr>
      </w:pPr>
    </w:p>
    <w:p>
      <w:pPr>
        <w:ind w:left="187" w:hanging="187"/>
        <w:spacing w:after="0"/>
        <w:tabs>
          <w:tab w:leader="none" w:pos="1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11.5 of the Plan is amended and restated to read, in its entirety, as follows:</w:t>
      </w:r>
    </w:p>
    <w:p>
      <w:pPr>
        <w:spacing w:after="0" w:line="185" w:lineRule="exact"/>
        <w:rPr>
          <w:sz w:val="20"/>
          <w:szCs w:val="20"/>
          <w:color w:val="auto"/>
        </w:rPr>
      </w:pPr>
    </w:p>
    <w:p>
      <w:pPr>
        <w:ind w:left="7" w:right="60"/>
        <w:spacing w:after="0" w:line="270" w:lineRule="auto"/>
        <w:rPr>
          <w:sz w:val="20"/>
          <w:szCs w:val="20"/>
          <w:color w:val="auto"/>
        </w:rPr>
      </w:pPr>
      <w:r>
        <w:rPr>
          <w:rFonts w:ascii="Arial" w:cs="Arial" w:eastAsia="Arial" w:hAnsi="Arial"/>
          <w:sz w:val="17"/>
          <w:szCs w:val="17"/>
          <w:color w:val="auto"/>
        </w:rPr>
        <w:t>Each member of the Administrative Committee and Employees carrying out the duties of the Administrative Committee shall be indemnified by the Employer against costs, expenses, and liabilities (other than amounts paid in settlement to which the Employer does not consent) reasonably incurred by the person in connection with any action to which the person may be a party by reason of his or her service as a member of the committee, except in relation to matters as to which he or she shall be adjudged in such action to be personally guilty of negligence or willful misconduct in the performance of his or her duties. The foregoing right to indemnification shall be in addition to such other rights as the person may enjoy as a matter of law or by reason of insurance coverage of any kind, but shall not extend to costs, expenses, and/or liabilities otherwise covered by insurance or that would be so covered by any insurance then in force if such insurance contained a waiver of subrogation. Rights granted hereunder shall be in addition to and not in lieu of any rights to indemnification to which the person may be entitled under the operating agreement of the Company. Service on the Administrative Committee shall be deemed in partial fulfillment of the person’s function as an Employee, officer, and/or director of the Employer, if the person serves in such capacity as well.</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18"/>
          <w:szCs w:val="18"/>
          <w:color w:val="auto"/>
        </w:rPr>
        <w:t>10. Section 11.6 of the Plan is amended and restated to read, in its entirety, as follows:</w:t>
      </w:r>
    </w:p>
    <w:p>
      <w:pPr>
        <w:spacing w:after="0" w:line="198" w:lineRule="exact"/>
        <w:rPr>
          <w:sz w:val="20"/>
          <w:szCs w:val="20"/>
          <w:color w:val="auto"/>
        </w:rPr>
      </w:pPr>
    </w:p>
    <w:p>
      <w:pPr>
        <w:ind w:left="7"/>
        <w:spacing w:after="0" w:line="254" w:lineRule="auto"/>
        <w:rPr>
          <w:sz w:val="20"/>
          <w:szCs w:val="20"/>
          <w:color w:val="auto"/>
        </w:rPr>
      </w:pPr>
      <w:r>
        <w:rPr>
          <w:rFonts w:ascii="Arial" w:cs="Arial" w:eastAsia="Arial" w:hAnsi="Arial"/>
          <w:sz w:val="18"/>
          <w:szCs w:val="18"/>
          <w:color w:val="auto"/>
        </w:rPr>
        <w:t>The Company, as Plan sponsor, shall have the following (and only the following) authority and responsibilities: (a) to appoint the Administrative Committee and to monitor its performance; (b) to communicate such information to the Administrative Committee and the Trustee as each needs for the proper performance of its duties; (c) to provide channels and mechanisms through which the Administrative Committee and/or the Trustee can communicate with Participants and Beneficiaries; and (d) to perform such duties as are imposed by law or by regulation and to serve as Administrative Committee in the absence of an appointed committee. Any action which may be taken and any decision which may be made by the Company under the Plan (including authorization of Plan amendments or termination) may be made by: (i) the Company’s Manager, SMGM LLC or any successor manager of the Company or (ii) any committee (including the Administrative Committee) to which the Company delegates discretionary authority with respect to the Plan.</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8"/>
          <w:szCs w:val="18"/>
          <w:color w:val="auto"/>
        </w:rPr>
        <w:t>11. Section 12.1 of the Plan is amended and restated to read, in its entirety, as follows:</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Company or any other committee to which the Company delegates discretionary authority with respect to the Plan may amend the provisions of this</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color w:val="auto"/>
        </w:rPr>
        <w:t>Plan at any time and from time to time; provided, however, that:</w:t>
      </w:r>
    </w:p>
    <w:p>
      <w:pPr>
        <w:spacing w:after="0" w:line="184" w:lineRule="exact"/>
        <w:rPr>
          <w:sz w:val="20"/>
          <w:szCs w:val="20"/>
          <w:color w:val="auto"/>
        </w:rPr>
      </w:pPr>
    </w:p>
    <w:p>
      <w:pPr>
        <w:ind w:left="467" w:hanging="239"/>
        <w:spacing w:after="0"/>
        <w:tabs>
          <w:tab w:leader="none" w:pos="4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amendment shall increase the duties or liabilities of the Trustee without the consent of such party.</w:t>
      </w:r>
    </w:p>
    <w:p>
      <w:pPr>
        <w:spacing w:after="0" w:line="184" w:lineRule="exact"/>
        <w:rPr>
          <w:rFonts w:ascii="Arial" w:cs="Arial" w:eastAsia="Arial" w:hAnsi="Arial"/>
          <w:sz w:val="18"/>
          <w:szCs w:val="18"/>
          <w:color w:val="auto"/>
        </w:rPr>
      </w:pPr>
    </w:p>
    <w:p>
      <w:pPr>
        <w:jc w:val="both"/>
        <w:ind w:left="7" w:right="220" w:firstLine="221"/>
        <w:spacing w:after="0" w:line="264" w:lineRule="auto"/>
        <w:tabs>
          <w:tab w:leader="none" w:pos="4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amendment shall deprive any Participant or Beneficiary of a deceased Participant of any of the benefits to which such person is entitled under the Plan with respect to contributions previously made or decrease the balance in any Participant’s Account, except as permitted by Section 412(c)(8) of the Code and Section 302(c)(8) of ERISA.</w:t>
      </w:r>
    </w:p>
    <w:p>
      <w:pPr>
        <w:spacing w:after="0" w:line="141"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18" w:name="page19"/>
    <w:bookmarkEnd w:id="18"/>
    <w:p>
      <w:pPr>
        <w:ind w:left="460" w:hanging="239"/>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amendment changing the vesting schedule shall decrease the vested percentage of any Participant.</w:t>
      </w:r>
    </w:p>
    <w:p>
      <w:pPr>
        <w:spacing w:after="0" w:line="198" w:lineRule="exact"/>
        <w:rPr>
          <w:rFonts w:ascii="Arial" w:cs="Arial" w:eastAsia="Arial" w:hAnsi="Arial"/>
          <w:sz w:val="18"/>
          <w:szCs w:val="18"/>
          <w:color w:val="auto"/>
        </w:rPr>
      </w:pPr>
    </w:p>
    <w:p>
      <w:pPr>
        <w:ind w:left="480" w:hanging="259"/>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amendment shall eliminate an optional form of benefit in violation of Section 411(d)(6).</w:t>
      </w:r>
    </w:p>
    <w:p>
      <w:pPr>
        <w:spacing w:after="0" w:line="184" w:lineRule="exact"/>
        <w:rPr>
          <w:rFonts w:ascii="Arial" w:cs="Arial" w:eastAsia="Arial" w:hAnsi="Arial"/>
          <w:sz w:val="18"/>
          <w:szCs w:val="18"/>
          <w:color w:val="auto"/>
        </w:rPr>
      </w:pPr>
    </w:p>
    <w:p>
      <w:pPr>
        <w:ind w:right="420" w:firstLine="221"/>
        <w:spacing w:after="0" w:line="277" w:lineRule="auto"/>
        <w:tabs>
          <w:tab w:leader="none" w:pos="4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amendment shall provide for the use of funds or assets held to provide benefits under the Plan other than for the benefit of Employees and Beneficiaries, except as may be specifically authorized by statute or regulation.</w:t>
      </w:r>
    </w:p>
    <w:p>
      <w:pPr>
        <w:spacing w:after="0" w:line="129" w:lineRule="exact"/>
        <w:rPr>
          <w:rFonts w:ascii="Arial" w:cs="Arial" w:eastAsia="Arial" w:hAnsi="Arial"/>
          <w:sz w:val="18"/>
          <w:szCs w:val="18"/>
          <w:color w:val="auto"/>
        </w:rPr>
      </w:pPr>
    </w:p>
    <w:p>
      <w:pPr>
        <w:ind w:right="80" w:firstLine="221"/>
        <w:spacing w:after="0" w:line="277" w:lineRule="auto"/>
        <w:tabs>
          <w:tab w:leader="none" w:pos="4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amendment necessary to maintain the qualification of the Plan under Section 401(a) of the Code may be made without the further approval of the Company or any committee if signed by an officer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12. Sections 12.2, 12.3 and 12.4 of the Plan are amended so as to replace any reference to “Board of Directors” with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Amendment to be executed on this 6th day of May, 2005, to be effective as of March 18, 2005.</w:t>
      </w:r>
    </w:p>
    <w:p>
      <w:pPr>
        <w:spacing w:after="0" w:line="200" w:lineRule="exact"/>
        <w:rPr>
          <w:sz w:val="20"/>
          <w:szCs w:val="20"/>
          <w:color w:val="auto"/>
        </w:rPr>
      </w:pP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THE SCOTTS COMPANY LLC</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/s/ Paul DeSantis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Print Name: Paul F. DeSantis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Vice President and Treasurer</w:t>
      </w:r>
    </w:p>
    <w:p>
      <w:pPr>
        <w:spacing w:after="0" w:line="19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480" w:top="93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June 18, 2004 relating to the financial statements for the plan year ended December 31, 2003, which appears in the Annual Report of The Scotts Company Retirement Savings Plan on Form 11-K for the year ended December 31, 2003.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2005</w:t>
      </w:r>
    </w:p>
    <w:p>
      <w:pPr>
        <w:sectPr>
          <w:pgSz w:w="11900" w:h="16838" w:orient="portrait"/>
          <w:cols w:equalWidth="0" w:num="1">
            <w:col w:w="11420"/>
          </w:cols>
          <w:pgMar w:left="240" w:top="931" w:right="2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u w:val="single" w:color="auto"/>
          <w:color w:val="auto"/>
        </w:rPr>
        <w:t>EXHIBIT 24.1</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1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Retirement Savings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his true and lawful attorneys-in-fact and agents with full power of substitution and resubstitution, for him and in his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Retirement Savings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her true and lawful attorneys-in-fact and agents with full power of substitution and resubstitution, for her and in her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Lynn J.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Lynn J.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Retirement Savings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his true and lawful attorneys-in-fact and agents with full power of substitution and resubstitution, for him and in his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Retirement Savings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his true and lawful attorneys-in-fact and agents with full power of substitution and resubstitution, for him and in his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2005.</w:t>
      </w: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Retirement Savings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his true and lawful attorneys-in-fact and agents with full power of substitution and resubstitution, for him and in his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6" w:name="page27"/>
    <w:bookmarkEnd w:id="26"/>
    <w:p>
      <w:pPr>
        <w:jc w:val="center"/>
        <w:ind w:right="-15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officer and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Post-Effective Amendment No. 2 to Registration Statement on Form S-8</w:t>
      </w:r>
      <w:r>
        <w:rPr>
          <w:rFonts w:ascii="Arial" w:cs="Arial" w:eastAsia="Arial" w:hAnsi="Arial"/>
          <w:sz w:val="16"/>
          <w:szCs w:val="16"/>
          <w:color w:val="auto"/>
        </w:rPr>
        <w:t xml:space="preserve"> for the registration of certain of its common shares for offering and sale pursuant to </w:t>
      </w:r>
      <w:r>
        <w:rPr>
          <w:rFonts w:ascii="Arial" w:cs="Arial" w:eastAsia="Arial" w:hAnsi="Arial"/>
          <w:sz w:val="16"/>
          <w:szCs w:val="16"/>
          <w:b w:val="1"/>
          <w:bCs w:val="1"/>
          <w:color w:val="auto"/>
        </w:rPr>
        <w:t>The Scotts Company LLC Retirement Savings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Retirement Savings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her true and lawful attorneys-in-fact and agents with full power of substitution and resubstitution, for her and in her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2 to Registration Statement on Form S-8 </w:t>
      </w:r>
      <w:r>
        <w:rPr>
          <w:rFonts w:ascii="Arial" w:cs="Arial" w:eastAsia="Arial" w:hAnsi="Arial"/>
          <w:sz w:val="17"/>
          <w:szCs w:val="17"/>
          <w:color w:val="auto"/>
        </w:rPr>
        <w:t>for the registration of certain of its common shares for offering and sale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b w:val="1"/>
          <w:bCs w:val="1"/>
          <w:color w:val="auto"/>
        </w:rPr>
        <w:t>The Scotts Company LLC Retirement Savings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and </w:t>
      </w:r>
      <w:r>
        <w:rPr>
          <w:rFonts w:ascii="Arial" w:cs="Arial" w:eastAsia="Arial" w:hAnsi="Arial"/>
          <w:sz w:val="17"/>
          <w:szCs w:val="17"/>
          <w:b w:val="1"/>
          <w:bCs w:val="1"/>
          <w:color w:val="auto"/>
        </w:rPr>
        <w:t>David M. Aronowitz</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6th day of May, 2005.</w:t>
      </w: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Retirement Savings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his true and lawful attorneys-in-fact and agents with full power of substitution and resubstitution, for him and in his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2005.</w:t>
      </w: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Retirement Savings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her true and lawful attorneys-in-fact and agents with full power of substitution and resubstitution, for her and in her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2005.</w:t>
      </w: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Retirement Savings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his true and lawful attorneys-in-fact and agents with full power of substitution and resubstitution, for him and in his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John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John M. Sullivan</w:t>
      </w:r>
    </w:p>
    <w:sectPr>
      <w:pgSz w:w="11900" w:h="16838" w:orient="portrait"/>
      <w:cols w:equalWidth="0" w:num="1">
        <w:col w:w="11400"/>
      </w:cols>
      <w:pgMar w:left="240" w:top="9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upperLetter"/>
      <w:start w:val="1"/>
    </w:lvl>
  </w:abstractNum>
  <w:abstractNum w:abstractNumId="2">
    <w:nsid w:val="140E0F76"/>
    <w:multiLevelType w:val="hybridMultilevel"/>
    <w:lvl w:ilvl="0">
      <w:lvlJc w:val="left"/>
      <w:lvlText w:val="(%1)"/>
      <w:numFmt w:val="upperLetter"/>
      <w:start w:val="1"/>
    </w:lvl>
  </w:abstractNum>
  <w:abstractNum w:abstractNumId="3">
    <w:nsid w:val="3352255A"/>
    <w:multiLevelType w:val="hybridMultilevel"/>
    <w:lvl w:ilvl="0">
      <w:lvlJc w:val="left"/>
      <w:lvlText w:val="(%1)"/>
      <w:numFmt w:val="upperLetter"/>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3"/>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1)"/>
      <w:numFmt w:val="lowerRoman"/>
      <w:start w:val="1"/>
    </w:lvl>
  </w:abstractNum>
  <w:abstractNum w:abstractNumId="11">
    <w:nsid w:val="25E45D32"/>
    <w:multiLevelType w:val="hybridMultilevel"/>
    <w:lvl w:ilvl="0">
      <w:lvlJc w:val="left"/>
      <w:lvlText w:val="(%1)"/>
      <w:numFmt w:val="lowerLetter"/>
      <w:start w:val="2"/>
    </w:lvl>
  </w:abstractNum>
  <w:abstractNum w:abstractNumId="12">
    <w:nsid w:val="519B500D"/>
    <w:multiLevelType w:val="hybridMultilevel"/>
    <w:lvl w:ilvl="0">
      <w:lvlJc w:val="left"/>
      <w:lvlText w:val="(%1)"/>
      <w:numFmt w:val="decimal"/>
      <w:start w:val="6"/>
    </w:lvl>
  </w:abstractNum>
  <w:abstractNum w:abstractNumId="13">
    <w:nsid w:val="431BD7B7"/>
    <w:multiLevelType w:val="hybridMultilevel"/>
    <w:lvl w:ilvl="0">
      <w:lvlJc w:val="left"/>
      <w:lvlText w:val="(%1)"/>
      <w:numFmt w:val="decimal"/>
      <w:start w:val="7"/>
    </w:lvl>
  </w:abstractNum>
  <w:abstractNum w:abstractNumId="14">
    <w:nsid w:val="3F2DBA31"/>
    <w:multiLevelType w:val="hybridMultilevel"/>
    <w:lvl w:ilvl="0">
      <w:lvlJc w:val="left"/>
      <w:lvlText w:val="%1."/>
      <w:numFmt w:val="upperLetter"/>
      <w:start w:val="1"/>
    </w:lvl>
    <w:lvl w:ilvl="1">
      <w:lvlJc w:val="left"/>
      <w:lvlText w:val="(%2)"/>
      <w:numFmt w:val="lowerLetter"/>
      <w:start w:val="12"/>
    </w:lvl>
    <w:lvl w:ilvl="2">
      <w:lvlJc w:val="left"/>
      <w:lvlText w:val="(%3)"/>
      <w:numFmt w:val="lowerLetter"/>
      <w:start w:val="9"/>
    </w:lvl>
  </w:abstractNum>
  <w:abstractNum w:abstractNumId="15">
    <w:nsid w:val="7C83E458"/>
    <w:multiLevelType w:val="hybridMultilevel"/>
    <w:lvl w:ilvl="0">
      <w:lvlJc w:val="left"/>
      <w:lvlText w:val="(%1)"/>
      <w:numFmt w:val="lowerRoman"/>
      <w:start w:val="2"/>
    </w:lvl>
  </w:abstractNum>
  <w:abstractNum w:abstractNumId="16">
    <w:nsid w:val="257130A3"/>
    <w:multiLevelType w:val="hybridMultilevel"/>
    <w:lvl w:ilvl="0">
      <w:lvlJc w:val="left"/>
      <w:lvlText w:val="%1"/>
      <w:numFmt w:val="upperLetter"/>
      <w:start w:val="1"/>
    </w:lvl>
    <w:lvl w:ilvl="1">
      <w:lvlJc w:val="left"/>
      <w:lvlText w:val="(%2)"/>
      <w:numFmt w:val="decimal"/>
      <w:start w:val="2"/>
    </w:lvl>
  </w:abstractNum>
  <w:abstractNum w:abstractNumId="17">
    <w:nsid w:val="62BBD95A"/>
    <w:multiLevelType w:val="hybridMultilevel"/>
    <w:lvl w:ilvl="0">
      <w:lvlJc w:val="left"/>
      <w:lvlText w:val="%1."/>
      <w:numFmt w:val="upperLetter"/>
      <w:start w:val="2"/>
    </w:lvl>
    <w:lvl w:ilvl="1">
      <w:lvlJc w:val="left"/>
      <w:lvlText w:val="%2"/>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8"/>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2019-12-20T06:28:04Z</dcterms:created>
  <dcterms:modified xsi:type="dcterms:W3CDTF">2019-12-20T06:28:04Z</dcterms:modified>
</cp:coreProperties>
</file>