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6"/>
          <w:szCs w:val="16"/>
          <w:color w:val="auto"/>
        </w:rPr>
        <w:t>1</w:t>
      </w:r>
    </w:p>
    <w:p>
      <w:pPr>
        <w:spacing w:after="0" w:line="4" w:lineRule="exact"/>
        <w:rPr>
          <w:sz w:val="24"/>
          <w:szCs w:val="24"/>
          <w:color w:val="auto"/>
        </w:rPr>
      </w:pPr>
    </w:p>
    <w:p>
      <w:pPr>
        <w:jc w:val="center"/>
        <w:ind w:right="2639"/>
        <w:spacing w:after="0"/>
        <w:rPr>
          <w:sz w:val="20"/>
          <w:szCs w:val="20"/>
          <w:color w:val="auto"/>
        </w:rPr>
      </w:pPr>
      <w:r>
        <w:rPr>
          <w:rFonts w:ascii="Courier New" w:cs="Courier New" w:eastAsia="Courier New" w:hAnsi="Courier New"/>
          <w:sz w:val="16"/>
          <w:szCs w:val="16"/>
          <w:color w:val="auto"/>
        </w:rPr>
        <w:t>FORM 10-Q</w:t>
      </w:r>
    </w:p>
    <w:p>
      <w:pPr>
        <w:spacing w:after="0" w:line="188"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4"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WASHINGTON, D.C. 20549</w:t>
      </w:r>
    </w:p>
    <w:p>
      <w:pPr>
        <w:spacing w:after="0" w:line="188" w:lineRule="exact"/>
        <w:rPr>
          <w:sz w:val="24"/>
          <w:szCs w:val="24"/>
          <w:color w:val="auto"/>
        </w:rPr>
      </w:pPr>
    </w:p>
    <w:p>
      <w:pPr>
        <w:ind w:left="1340"/>
        <w:spacing w:after="0"/>
        <w:rPr>
          <w:sz w:val="20"/>
          <w:szCs w:val="20"/>
          <w:color w:val="auto"/>
        </w:rPr>
      </w:pPr>
      <w:r>
        <w:rPr>
          <w:rFonts w:ascii="Courier New" w:cs="Courier New" w:eastAsia="Courier New" w:hAnsi="Courier New"/>
          <w:sz w:val="16"/>
          <w:szCs w:val="16"/>
          <w:color w:val="auto"/>
        </w:rPr>
        <w:t>[X] QUARTERLY REPORT PURSUANT TO SECTION 13 OR 15(d)</w:t>
      </w:r>
    </w:p>
    <w:p>
      <w:pPr>
        <w:spacing w:after="0" w:line="4" w:lineRule="exact"/>
        <w:rPr>
          <w:sz w:val="24"/>
          <w:szCs w:val="24"/>
          <w:color w:val="auto"/>
        </w:rPr>
      </w:pPr>
    </w:p>
    <w:p>
      <w:pPr>
        <w:ind w:left="1720"/>
        <w:spacing w:after="0"/>
        <w:rPr>
          <w:sz w:val="20"/>
          <w:szCs w:val="20"/>
          <w:color w:val="auto"/>
        </w:rPr>
      </w:pPr>
      <w:r>
        <w:rPr>
          <w:rFonts w:ascii="Courier New" w:cs="Courier New" w:eastAsia="Courier New" w:hAnsi="Courier New"/>
          <w:sz w:val="16"/>
          <w:szCs w:val="16"/>
          <w:color w:val="auto"/>
        </w:rPr>
        <w:t>OF THE SECURITIES EXCHANGE ACT OF 1934</w:t>
      </w:r>
    </w:p>
    <w:p>
      <w:pPr>
        <w:spacing w:after="0" w:line="188"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For the quarterly period ended June 28, 1997</w:t>
      </w:r>
    </w:p>
    <w:p>
      <w:pPr>
        <w:spacing w:after="0" w:line="188"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OR</w:t>
      </w:r>
    </w:p>
    <w:p>
      <w:pPr>
        <w:spacing w:after="0" w:line="188" w:lineRule="exact"/>
        <w:rPr>
          <w:sz w:val="24"/>
          <w:szCs w:val="24"/>
          <w:color w:val="auto"/>
        </w:rPr>
      </w:pPr>
    </w:p>
    <w:p>
      <w:pPr>
        <w:ind w:left="1340"/>
        <w:spacing w:after="0"/>
        <w:rPr>
          <w:sz w:val="20"/>
          <w:szCs w:val="20"/>
          <w:color w:val="auto"/>
        </w:rPr>
      </w:pPr>
      <w:r>
        <w:rPr>
          <w:rFonts w:ascii="Courier New" w:cs="Courier New" w:eastAsia="Courier New" w:hAnsi="Courier New"/>
          <w:sz w:val="16"/>
          <w:szCs w:val="16"/>
          <w:color w:val="auto"/>
        </w:rPr>
        <w:t>[ ] TRANSITION REPORT PURSUANT TO SECTION 13 OR 15(d)</w:t>
      </w:r>
    </w:p>
    <w:p>
      <w:pPr>
        <w:spacing w:after="0" w:line="4" w:lineRule="exact"/>
        <w:rPr>
          <w:sz w:val="24"/>
          <w:szCs w:val="24"/>
          <w:color w:val="auto"/>
        </w:rPr>
      </w:pPr>
    </w:p>
    <w:p>
      <w:pPr>
        <w:ind w:left="1720"/>
        <w:spacing w:after="0"/>
        <w:rPr>
          <w:sz w:val="20"/>
          <w:szCs w:val="20"/>
          <w:color w:val="auto"/>
        </w:rPr>
      </w:pPr>
      <w:r>
        <w:rPr>
          <w:rFonts w:ascii="Courier New" w:cs="Courier New" w:eastAsia="Courier New" w:hAnsi="Courier New"/>
          <w:sz w:val="16"/>
          <w:szCs w:val="16"/>
          <w:color w:val="auto"/>
        </w:rPr>
        <w:t>OF THE SECURITIES EXCHANGE ACT OF 1934</w:t>
      </w:r>
    </w:p>
    <w:p>
      <w:pPr>
        <w:spacing w:after="0" w:line="188"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For the transition period from ____________ to ____________</w:t>
      </w:r>
    </w:p>
    <w:p>
      <w:pPr>
        <w:spacing w:after="0" w:line="188"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Commission file number 1-11593</w:t>
      </w:r>
    </w:p>
    <w:p>
      <w:pPr>
        <w:spacing w:after="0" w:line="188" w:lineRule="exact"/>
        <w:rPr>
          <w:sz w:val="24"/>
          <w:szCs w:val="24"/>
          <w:color w:val="auto"/>
        </w:rPr>
      </w:pPr>
    </w:p>
    <w:p>
      <w:pPr>
        <w:ind w:left="2980"/>
        <w:spacing w:after="0"/>
        <w:rPr>
          <w:sz w:val="20"/>
          <w:szCs w:val="20"/>
          <w:color w:val="auto"/>
        </w:rPr>
      </w:pPr>
      <w:r>
        <w:rPr>
          <w:rFonts w:ascii="Courier New" w:cs="Courier New" w:eastAsia="Courier New" w:hAnsi="Courier New"/>
          <w:sz w:val="16"/>
          <w:szCs w:val="16"/>
          <w:color w:val="auto"/>
        </w:rPr>
        <w:t>THE SCOTTS COMPANY</w:t>
      </w:r>
    </w:p>
    <w:p>
      <w:pPr>
        <w:spacing w:after="0" w:line="4" w:lineRule="exact"/>
        <w:rPr>
          <w:sz w:val="24"/>
          <w:szCs w:val="24"/>
          <w:color w:val="auto"/>
        </w:rPr>
      </w:pPr>
    </w:p>
    <w:p>
      <w:pPr>
        <w:ind w:left="29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4"/>
          <w:szCs w:val="24"/>
          <w:color w:val="auto"/>
        </w:rPr>
      </w:pPr>
    </w:p>
    <w:p>
      <w:pPr>
        <w:ind w:left="124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188" w:lineRule="exact"/>
        <w:rPr>
          <w:sz w:val="24"/>
          <w:szCs w:val="24"/>
          <w:color w:val="auto"/>
        </w:rPr>
      </w:pPr>
    </w:p>
    <w:tbl>
      <w:tblPr>
        <w:tblLayout w:type="fixed"/>
        <w:tblInd w:w="200" w:type="dxa"/>
        <w:tblCellMar>
          <w:top w:w="0" w:type="dxa"/>
          <w:left w:w="0" w:type="dxa"/>
          <w:bottom w:w="0" w:type="dxa"/>
          <w:right w:w="0" w:type="dxa"/>
        </w:tblCellMar>
      </w:tblPr>
      <w:tr>
        <w:trPr>
          <w:trHeight w:val="181"/>
        </w:trPr>
        <w:tc>
          <w:tcPr>
            <w:tcW w:w="4740" w:type="dxa"/>
            <w:vAlign w:val="bottom"/>
          </w:tcPr>
          <w:p>
            <w:pPr>
              <w:jc w:val="center"/>
              <w:ind w:right="1604"/>
              <w:spacing w:after="0"/>
              <w:rPr>
                <w:sz w:val="20"/>
                <w:szCs w:val="20"/>
                <w:color w:val="auto"/>
              </w:rPr>
            </w:pPr>
            <w:r>
              <w:rPr>
                <w:rFonts w:ascii="Courier New" w:cs="Courier New" w:eastAsia="Courier New" w:hAnsi="Courier New"/>
                <w:sz w:val="16"/>
                <w:szCs w:val="16"/>
                <w:color w:val="auto"/>
                <w:w w:val="98"/>
              </w:rPr>
              <w:t>Ohio</w:t>
            </w:r>
          </w:p>
        </w:tc>
        <w:tc>
          <w:tcPr>
            <w:tcW w:w="236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31-1199481</w:t>
            </w:r>
          </w:p>
        </w:tc>
      </w:tr>
      <w:tr>
        <w:trPr>
          <w:trHeight w:val="185"/>
        </w:trPr>
        <w:tc>
          <w:tcPr>
            <w:tcW w:w="7100" w:type="dxa"/>
            <w:vAlign w:val="bottom"/>
            <w:gridSpan w:val="2"/>
          </w:tcPr>
          <w:p>
            <w:pPr>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4740" w:type="dxa"/>
            <w:vAlign w:val="bottom"/>
          </w:tcPr>
          <w:p>
            <w:pPr>
              <w:spacing w:after="0"/>
              <w:rPr>
                <w:sz w:val="20"/>
                <w:szCs w:val="20"/>
                <w:color w:val="auto"/>
              </w:rPr>
            </w:pPr>
            <w:r>
              <w:rPr>
                <w:rFonts w:ascii="Courier New" w:cs="Courier New" w:eastAsia="Courier New" w:hAnsi="Courier New"/>
                <w:sz w:val="16"/>
                <w:szCs w:val="16"/>
                <w:color w:val="auto"/>
              </w:rPr>
              <w:t>(State or other jurisdiction of</w:t>
            </w:r>
          </w:p>
        </w:tc>
        <w:tc>
          <w:tcPr>
            <w:tcW w:w="2360" w:type="dxa"/>
            <w:vAlign w:val="bottom"/>
          </w:tcPr>
          <w:p>
            <w:pPr>
              <w:jc w:val="center"/>
              <w:ind w:right="260"/>
              <w:spacing w:after="0"/>
              <w:rPr>
                <w:sz w:val="20"/>
                <w:szCs w:val="20"/>
                <w:color w:val="auto"/>
              </w:rPr>
            </w:pPr>
            <w:r>
              <w:rPr>
                <w:rFonts w:ascii="Courier New" w:cs="Courier New" w:eastAsia="Courier New" w:hAnsi="Courier New"/>
                <w:sz w:val="16"/>
                <w:szCs w:val="16"/>
                <w:color w:val="auto"/>
              </w:rPr>
              <w:t>(I.R.S. Employer</w:t>
            </w:r>
          </w:p>
        </w:tc>
      </w:tr>
      <w:tr>
        <w:trPr>
          <w:trHeight w:val="185"/>
        </w:trPr>
        <w:tc>
          <w:tcPr>
            <w:tcW w:w="4740" w:type="dxa"/>
            <w:vAlign w:val="bottom"/>
          </w:tcPr>
          <w:p>
            <w:pPr>
              <w:jc w:val="center"/>
              <w:ind w:right="1624"/>
              <w:spacing w:after="0"/>
              <w:rPr>
                <w:sz w:val="20"/>
                <w:szCs w:val="20"/>
                <w:color w:val="auto"/>
              </w:rPr>
            </w:pPr>
            <w:r>
              <w:rPr>
                <w:rFonts w:ascii="Courier New" w:cs="Courier New" w:eastAsia="Courier New" w:hAnsi="Courier New"/>
                <w:sz w:val="16"/>
                <w:szCs w:val="16"/>
                <w:color w:val="auto"/>
                <w:w w:val="99"/>
              </w:rPr>
              <w:t>incorporation or organization)</w:t>
            </w:r>
          </w:p>
        </w:tc>
        <w:tc>
          <w:tcPr>
            <w:tcW w:w="2360" w:type="dxa"/>
            <w:vAlign w:val="bottom"/>
          </w:tcPr>
          <w:p>
            <w:pPr>
              <w:ind w:left="60"/>
              <w:spacing w:after="0"/>
              <w:rPr>
                <w:sz w:val="20"/>
                <w:szCs w:val="20"/>
                <w:color w:val="auto"/>
              </w:rPr>
            </w:pPr>
            <w:r>
              <w:rPr>
                <w:rFonts w:ascii="Courier New" w:cs="Courier New" w:eastAsia="Courier New" w:hAnsi="Courier New"/>
                <w:sz w:val="16"/>
                <w:szCs w:val="16"/>
                <w:color w:val="auto"/>
              </w:rPr>
              <w:t>Identification No.)</w:t>
            </w:r>
          </w:p>
        </w:tc>
      </w:tr>
      <w:tr>
        <w:trPr>
          <w:trHeight w:val="370"/>
        </w:trPr>
        <w:tc>
          <w:tcPr>
            <w:tcW w:w="4740" w:type="dxa"/>
            <w:vAlign w:val="bottom"/>
          </w:tcPr>
          <w:p>
            <w:pPr>
              <w:jc w:val="center"/>
              <w:ind w:left="2364"/>
              <w:spacing w:after="0"/>
              <w:rPr>
                <w:sz w:val="20"/>
                <w:szCs w:val="20"/>
                <w:color w:val="auto"/>
              </w:rPr>
            </w:pPr>
            <w:r>
              <w:rPr>
                <w:rFonts w:ascii="Courier New" w:cs="Courier New" w:eastAsia="Courier New" w:hAnsi="Courier New"/>
                <w:sz w:val="16"/>
                <w:szCs w:val="16"/>
                <w:color w:val="auto"/>
              </w:rPr>
              <w:t>14111 Scottslawn Road</w:t>
            </w:r>
          </w:p>
        </w:tc>
        <w:tc>
          <w:tcPr>
            <w:tcW w:w="2360" w:type="dxa"/>
            <w:vAlign w:val="bottom"/>
          </w:tcPr>
          <w:p>
            <w:pPr>
              <w:spacing w:after="0"/>
              <w:rPr>
                <w:sz w:val="24"/>
                <w:szCs w:val="24"/>
                <w:color w:val="auto"/>
              </w:rPr>
            </w:pPr>
          </w:p>
        </w:tc>
      </w:tr>
      <w:tr>
        <w:trPr>
          <w:trHeight w:val="185"/>
        </w:trPr>
        <w:tc>
          <w:tcPr>
            <w:tcW w:w="4740" w:type="dxa"/>
            <w:vAlign w:val="bottom"/>
          </w:tcPr>
          <w:p>
            <w:pPr>
              <w:jc w:val="center"/>
              <w:ind w:left="2464"/>
              <w:spacing w:after="0"/>
              <w:rPr>
                <w:sz w:val="20"/>
                <w:szCs w:val="20"/>
                <w:color w:val="auto"/>
              </w:rPr>
            </w:pPr>
            <w:r>
              <w:rPr>
                <w:rFonts w:ascii="Courier New" w:cs="Courier New" w:eastAsia="Courier New" w:hAnsi="Courier New"/>
                <w:sz w:val="16"/>
                <w:szCs w:val="16"/>
                <w:color w:val="auto"/>
              </w:rPr>
              <w:t>Marysville, Ohio 43041</w:t>
            </w:r>
          </w:p>
        </w:tc>
        <w:tc>
          <w:tcPr>
            <w:tcW w:w="2360" w:type="dxa"/>
            <w:vAlign w:val="bottom"/>
          </w:tcPr>
          <w:p>
            <w:pPr>
              <w:spacing w:after="0"/>
              <w:rPr>
                <w:sz w:val="16"/>
                <w:szCs w:val="16"/>
                <w:color w:val="auto"/>
              </w:rPr>
            </w:pPr>
          </w:p>
        </w:tc>
      </w:tr>
      <w:tr>
        <w:trPr>
          <w:trHeight w:val="185"/>
        </w:trPr>
        <w:tc>
          <w:tcPr>
            <w:tcW w:w="7100" w:type="dxa"/>
            <w:vAlign w:val="bottom"/>
            <w:gridSpan w:val="2"/>
          </w:tcPr>
          <w:p>
            <w:pPr>
              <w:jc w:val="center"/>
              <w:ind w:left="104"/>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7100" w:type="dxa"/>
            <w:vAlign w:val="bottom"/>
            <w:gridSpan w:val="2"/>
          </w:tcPr>
          <w:p>
            <w:pPr>
              <w:jc w:val="center"/>
              <w:ind w:left="104"/>
              <w:spacing w:after="0"/>
              <w:rPr>
                <w:sz w:val="20"/>
                <w:szCs w:val="20"/>
                <w:color w:val="auto"/>
              </w:rPr>
            </w:pPr>
            <w:r>
              <w:rPr>
                <w:rFonts w:ascii="Courier New" w:cs="Courier New" w:eastAsia="Courier New" w:hAnsi="Courier New"/>
                <w:sz w:val="16"/>
                <w:szCs w:val="16"/>
                <w:color w:val="auto"/>
                <w:w w:val="99"/>
              </w:rPr>
              <w:t>(Address of principal executive offices)</w:t>
            </w:r>
          </w:p>
        </w:tc>
      </w:tr>
      <w:tr>
        <w:trPr>
          <w:trHeight w:val="185"/>
        </w:trPr>
        <w:tc>
          <w:tcPr>
            <w:tcW w:w="4740" w:type="dxa"/>
            <w:vAlign w:val="bottom"/>
          </w:tcPr>
          <w:p>
            <w:pPr>
              <w:jc w:val="center"/>
              <w:ind w:left="2464"/>
              <w:spacing w:after="0"/>
              <w:rPr>
                <w:sz w:val="20"/>
                <w:szCs w:val="20"/>
                <w:color w:val="auto"/>
              </w:rPr>
            </w:pPr>
            <w:r>
              <w:rPr>
                <w:rFonts w:ascii="Courier New" w:cs="Courier New" w:eastAsia="Courier New" w:hAnsi="Courier New"/>
                <w:sz w:val="16"/>
                <w:szCs w:val="16"/>
                <w:color w:val="auto"/>
                <w:w w:val="99"/>
              </w:rPr>
              <w:t>(Zip Code)</w:t>
            </w:r>
          </w:p>
        </w:tc>
        <w:tc>
          <w:tcPr>
            <w:tcW w:w="2360" w:type="dxa"/>
            <w:vAlign w:val="bottom"/>
          </w:tcPr>
          <w:p>
            <w:pPr>
              <w:spacing w:after="0"/>
              <w:rPr>
                <w:sz w:val="16"/>
                <w:szCs w:val="16"/>
                <w:color w:val="auto"/>
              </w:rPr>
            </w:pPr>
          </w:p>
        </w:tc>
      </w:tr>
      <w:tr>
        <w:trPr>
          <w:trHeight w:val="370"/>
        </w:trPr>
        <w:tc>
          <w:tcPr>
            <w:tcW w:w="4740" w:type="dxa"/>
            <w:vAlign w:val="bottom"/>
          </w:tcPr>
          <w:p>
            <w:pPr>
              <w:jc w:val="center"/>
              <w:ind w:left="2464"/>
              <w:spacing w:after="0"/>
              <w:rPr>
                <w:sz w:val="20"/>
                <w:szCs w:val="20"/>
                <w:color w:val="auto"/>
              </w:rPr>
            </w:pPr>
            <w:r>
              <w:rPr>
                <w:rFonts w:ascii="Courier New" w:cs="Courier New" w:eastAsia="Courier New" w:hAnsi="Courier New"/>
                <w:sz w:val="16"/>
                <w:szCs w:val="16"/>
                <w:color w:val="auto"/>
              </w:rPr>
              <w:t>(937) 644-0011</w:t>
            </w:r>
          </w:p>
        </w:tc>
        <w:tc>
          <w:tcPr>
            <w:tcW w:w="2360" w:type="dxa"/>
            <w:vAlign w:val="bottom"/>
          </w:tcPr>
          <w:p>
            <w:pPr>
              <w:spacing w:after="0"/>
              <w:rPr>
                <w:sz w:val="24"/>
                <w:szCs w:val="24"/>
                <w:color w:val="auto"/>
              </w:rPr>
            </w:pPr>
          </w:p>
        </w:tc>
      </w:tr>
      <w:tr>
        <w:trPr>
          <w:trHeight w:val="185"/>
        </w:trPr>
        <w:tc>
          <w:tcPr>
            <w:tcW w:w="7100" w:type="dxa"/>
            <w:vAlign w:val="bottom"/>
            <w:gridSpan w:val="2"/>
          </w:tcPr>
          <w:p>
            <w:pPr>
              <w:jc w:val="center"/>
              <w:ind w:left="104"/>
              <w:spacing w:after="0"/>
              <w:rPr>
                <w:sz w:val="20"/>
                <w:szCs w:val="20"/>
                <w:color w:val="auto"/>
              </w:rPr>
            </w:pPr>
            <w:r>
              <w:rPr>
                <w:rFonts w:ascii="Courier New" w:cs="Courier New" w:eastAsia="Courier New" w:hAnsi="Courier New"/>
                <w:sz w:val="16"/>
                <w:szCs w:val="16"/>
                <w:color w:val="auto"/>
              </w:rPr>
              <w:t>----------------------------------------------------</w:t>
            </w:r>
          </w:p>
        </w:tc>
      </w:tr>
      <w:tr>
        <w:trPr>
          <w:trHeight w:val="185"/>
        </w:trPr>
        <w:tc>
          <w:tcPr>
            <w:tcW w:w="7100" w:type="dxa"/>
            <w:vAlign w:val="bottom"/>
            <w:gridSpan w:val="2"/>
          </w:tcPr>
          <w:p>
            <w:pPr>
              <w:jc w:val="center"/>
              <w:ind w:left="104"/>
              <w:spacing w:after="0"/>
              <w:rPr>
                <w:sz w:val="20"/>
                <w:szCs w:val="20"/>
                <w:color w:val="auto"/>
              </w:rPr>
            </w:pPr>
            <w:r>
              <w:rPr>
                <w:rFonts w:ascii="Courier New" w:cs="Courier New" w:eastAsia="Courier New" w:hAnsi="Courier New"/>
                <w:sz w:val="16"/>
                <w:szCs w:val="16"/>
                <w:color w:val="auto"/>
              </w:rPr>
              <w:t>(Registrant's telephone number, including area code)</w:t>
            </w:r>
          </w:p>
        </w:tc>
      </w:tr>
      <w:tr>
        <w:trPr>
          <w:trHeight w:val="370"/>
        </w:trPr>
        <w:tc>
          <w:tcPr>
            <w:tcW w:w="4740" w:type="dxa"/>
            <w:vAlign w:val="bottom"/>
          </w:tcPr>
          <w:p>
            <w:pPr>
              <w:jc w:val="center"/>
              <w:ind w:left="2364"/>
              <w:spacing w:after="0"/>
              <w:rPr>
                <w:sz w:val="20"/>
                <w:szCs w:val="20"/>
                <w:color w:val="auto"/>
              </w:rPr>
            </w:pPr>
            <w:r>
              <w:rPr>
                <w:rFonts w:ascii="Courier New" w:cs="Courier New" w:eastAsia="Courier New" w:hAnsi="Courier New"/>
                <w:sz w:val="16"/>
                <w:szCs w:val="16"/>
                <w:color w:val="auto"/>
                <w:w w:val="99"/>
              </w:rPr>
              <w:t>No change</w:t>
            </w:r>
          </w:p>
        </w:tc>
        <w:tc>
          <w:tcPr>
            <w:tcW w:w="2360" w:type="dxa"/>
            <w:vAlign w:val="bottom"/>
          </w:tcPr>
          <w:p>
            <w:pPr>
              <w:spacing w:after="0"/>
              <w:rPr>
                <w:sz w:val="24"/>
                <w:szCs w:val="24"/>
                <w:color w:val="auto"/>
              </w:rPr>
            </w:pPr>
          </w:p>
        </w:tc>
      </w:tr>
      <w:tr>
        <w:trPr>
          <w:trHeight w:val="185"/>
        </w:trPr>
        <w:tc>
          <w:tcPr>
            <w:tcW w:w="7100" w:type="dxa"/>
            <w:vAlign w:val="bottom"/>
            <w:gridSpan w:val="2"/>
          </w:tcPr>
          <w:p>
            <w:pPr>
              <w:jc w:val="center"/>
              <w:ind w:left="104"/>
              <w:spacing w:after="0"/>
              <w:rPr>
                <w:sz w:val="20"/>
                <w:szCs w:val="20"/>
                <w:color w:val="auto"/>
              </w:rPr>
            </w:pPr>
            <w:r>
              <w:rPr>
                <w:rFonts w:ascii="Courier New" w:cs="Courier New" w:eastAsia="Courier New" w:hAnsi="Courier New"/>
                <w:sz w:val="16"/>
                <w:szCs w:val="16"/>
                <w:color w:val="auto"/>
              </w:rPr>
              <w:t>----------------------------------------------------</w:t>
            </w:r>
          </w:p>
        </w:tc>
      </w:tr>
      <w:tr>
        <w:trPr>
          <w:trHeight w:val="185"/>
        </w:trPr>
        <w:tc>
          <w:tcPr>
            <w:tcW w:w="7100" w:type="dxa"/>
            <w:vAlign w:val="bottom"/>
            <w:gridSpan w:val="2"/>
          </w:tcPr>
          <w:p>
            <w:pPr>
              <w:jc w:val="center"/>
              <w:ind w:left="104"/>
              <w:spacing w:after="0"/>
              <w:rPr>
                <w:sz w:val="20"/>
                <w:szCs w:val="20"/>
                <w:color w:val="auto"/>
              </w:rPr>
            </w:pPr>
            <w:r>
              <w:rPr>
                <w:rFonts w:ascii="Courier New" w:cs="Courier New" w:eastAsia="Courier New" w:hAnsi="Courier New"/>
                <w:sz w:val="16"/>
                <w:szCs w:val="16"/>
                <w:color w:val="auto"/>
              </w:rPr>
              <w:t>(Former name, former address and former fiscal year,</w:t>
            </w:r>
          </w:p>
        </w:tc>
      </w:tr>
      <w:tr>
        <w:trPr>
          <w:trHeight w:val="185"/>
        </w:trPr>
        <w:tc>
          <w:tcPr>
            <w:tcW w:w="7100" w:type="dxa"/>
            <w:vAlign w:val="bottom"/>
            <w:gridSpan w:val="2"/>
          </w:tcPr>
          <w:p>
            <w:pPr>
              <w:jc w:val="center"/>
              <w:ind w:left="104"/>
              <w:spacing w:after="0"/>
              <w:rPr>
                <w:sz w:val="20"/>
                <w:szCs w:val="20"/>
                <w:color w:val="auto"/>
              </w:rPr>
            </w:pPr>
            <w:r>
              <w:rPr>
                <w:rFonts w:ascii="Courier New" w:cs="Courier New" w:eastAsia="Courier New" w:hAnsi="Courier New"/>
                <w:sz w:val="16"/>
                <w:szCs w:val="16"/>
                <w:color w:val="auto"/>
                <w:w w:val="99"/>
              </w:rPr>
              <w:t>if changed since last report.)</w:t>
            </w:r>
          </w:p>
        </w:tc>
      </w:tr>
    </w:tbl>
    <w:p>
      <w:pPr>
        <w:spacing w:after="0" w:line="190" w:lineRule="exact"/>
        <w:rPr>
          <w:sz w:val="24"/>
          <w:szCs w:val="24"/>
          <w:color w:val="auto"/>
        </w:rPr>
      </w:pPr>
    </w:p>
    <w:p>
      <w:pPr>
        <w:ind w:right="2639"/>
        <w:spacing w:after="0" w:line="260"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w:t>
      </w:r>
    </w:p>
    <w:p>
      <w:pPr>
        <w:sectPr>
          <w:pgSz w:w="11900" w:h="16838" w:orient="portrait"/>
          <w:cols w:equalWidth="0" w:num="1">
            <w:col w:w="10219"/>
          </w:cols>
          <w:pgMar w:left="240" w:top="238" w:right="1440" w:bottom="1440" w:gutter="0" w:footer="0" w:header="0"/>
        </w:sectPr>
      </w:pPr>
    </w:p>
    <w:p>
      <w:pPr>
        <w:spacing w:after="0" w:line="3" w:lineRule="exact"/>
        <w:rPr>
          <w:sz w:val="24"/>
          <w:szCs w:val="24"/>
          <w:color w:val="auto"/>
        </w:rPr>
      </w:pPr>
    </w:p>
    <w:p>
      <w:pPr>
        <w:ind w:left="4220" w:hanging="4611"/>
        <w:spacing w:after="0" w:line="242" w:lineRule="auto"/>
        <w:tabs>
          <w:tab w:leader="none" w:pos="4200" w:val="left"/>
        </w:tabs>
        <w:rPr>
          <w:sz w:val="20"/>
          <w:szCs w:val="20"/>
          <w:color w:val="auto"/>
        </w:rPr>
      </w:pPr>
      <w:r>
        <w:rPr>
          <w:rFonts w:ascii="Courier New" w:cs="Courier New" w:eastAsia="Courier New" w:hAnsi="Courier New"/>
          <w:sz w:val="16"/>
          <w:szCs w:val="16"/>
          <w:color w:val="auto"/>
        </w:rPr>
        <w:t>filing requirements for the past 90 days.</w:t>
        <w:tab/>
        <w:t>Yes X No -----</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9" w:lineRule="exact"/>
        <w:rPr>
          <w:sz w:val="24"/>
          <w:szCs w:val="24"/>
          <w:color w:val="auto"/>
        </w:rPr>
      </w:pPr>
    </w:p>
    <w:p>
      <w:pPr>
        <w:sectPr>
          <w:pgSz w:w="11900" w:h="16838" w:orient="portrait"/>
          <w:cols w:equalWidth="0" w:num="2">
            <w:col w:w="5480" w:space="180"/>
            <w:col w:w="4559"/>
          </w:cols>
          <w:pgMar w:left="240" w:top="238" w:right="1440" w:bottom="1440" w:gutter="0" w:footer="0" w:header="0"/>
          <w:type w:val="continuous"/>
        </w:sectPr>
      </w:pPr>
    </w:p>
    <w:p>
      <w:pPr>
        <w:ind w:right="2919"/>
        <w:spacing w:after="0" w:line="242" w:lineRule="auto"/>
        <w:rPr>
          <w:sz w:val="20"/>
          <w:szCs w:val="20"/>
          <w:color w:val="auto"/>
        </w:rPr>
      </w:pPr>
      <w:r>
        <w:rPr>
          <w:rFonts w:ascii="Courier New" w:cs="Courier New" w:eastAsia="Courier New" w:hAnsi="Courier New"/>
          <w:sz w:val="16"/>
          <w:szCs w:val="16"/>
          <w:color w:val="auto"/>
        </w:rPr>
        <w:t>Indicate the number of shares outstanding of each of the issuer's classes of common stock as of the latest practicable date.</w:t>
      </w:r>
    </w:p>
    <w:p>
      <w:pPr>
        <w:sectPr>
          <w:pgSz w:w="11900" w:h="16838" w:orient="portrait"/>
          <w:cols w:equalWidth="0" w:num="1">
            <w:col w:w="10219"/>
          </w:cols>
          <w:pgMar w:left="240" w:top="238" w:right="1440" w:bottom="1440" w:gutter="0" w:footer="0" w:header="0"/>
          <w:type w:val="continuous"/>
        </w:sectPr>
      </w:pPr>
    </w:p>
    <w:p>
      <w:pPr>
        <w:spacing w:after="0" w:line="187" w:lineRule="exact"/>
        <w:rPr>
          <w:sz w:val="24"/>
          <w:szCs w:val="24"/>
          <w:color w:val="auto"/>
        </w:rPr>
      </w:pPr>
    </w:p>
    <w:p>
      <w:pPr>
        <w:ind w:left="1340"/>
        <w:spacing w:after="0"/>
        <w:rPr>
          <w:sz w:val="20"/>
          <w:szCs w:val="20"/>
          <w:color w:val="auto"/>
        </w:rPr>
      </w:pPr>
      <w:r>
        <w:rPr>
          <w:rFonts w:ascii="Courier New" w:cs="Courier New" w:eastAsia="Courier New" w:hAnsi="Courier New"/>
          <w:sz w:val="16"/>
          <w:szCs w:val="16"/>
          <w:color w:val="auto"/>
        </w:rPr>
        <w:t>18,656,313</w:t>
      </w:r>
    </w:p>
    <w:p>
      <w:pPr>
        <w:spacing w:after="0" w:line="5"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15"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Common Shares, voting, no par value</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Outstanding at August 1, 1997</w:t>
      </w:r>
    </w:p>
    <w:p>
      <w:pPr>
        <w:spacing w:after="0" w:line="1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84" w:lineRule="exact"/>
        <w:rPr>
          <w:sz w:val="24"/>
          <w:szCs w:val="24"/>
          <w:color w:val="auto"/>
        </w:rPr>
      </w:pPr>
    </w:p>
    <w:p>
      <w:pPr>
        <w:sectPr>
          <w:pgSz w:w="11900" w:h="16838" w:orient="portrait"/>
          <w:cols w:equalWidth="0" w:num="2">
            <w:col w:w="3700" w:space="720"/>
            <w:col w:w="5799"/>
          </w:cols>
          <w:pgMar w:left="240" w:top="238" w:right="1440" w:bottom="1440" w:gutter="0" w:footer="0" w:header="0"/>
          <w:type w:val="continuous"/>
        </w:sectPr>
      </w:pPr>
    </w:p>
    <w:p>
      <w:pPr>
        <w:spacing w:after="0" w:line="183"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Page 1 of 25 pages</w:t>
      </w:r>
    </w:p>
    <w:p>
      <w:pPr>
        <w:spacing w:after="0" w:line="188" w:lineRule="exact"/>
        <w:rPr>
          <w:sz w:val="24"/>
          <w:szCs w:val="24"/>
          <w:color w:val="auto"/>
        </w:rPr>
      </w:pPr>
    </w:p>
    <w:p>
      <w:pPr>
        <w:ind w:left="2680"/>
        <w:spacing w:after="0"/>
        <w:rPr>
          <w:sz w:val="20"/>
          <w:szCs w:val="20"/>
          <w:color w:val="auto"/>
        </w:rPr>
      </w:pPr>
      <w:r>
        <w:rPr>
          <w:rFonts w:ascii="Courier New" w:cs="Courier New" w:eastAsia="Courier New" w:hAnsi="Courier New"/>
          <w:sz w:val="16"/>
          <w:szCs w:val="16"/>
          <w:color w:val="auto"/>
        </w:rPr>
        <w:t>Exhibit Index at page 24</w:t>
      </w:r>
    </w:p>
    <w:p>
      <w:pPr>
        <w:sectPr>
          <w:pgSz w:w="11900" w:h="16838" w:orient="portrait"/>
          <w:cols w:equalWidth="0" w:num="1">
            <w:col w:w="10219"/>
          </w:cols>
          <w:pgMar w:left="240" w:top="238"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373"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6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Page No.</w:t>
            </w:r>
          </w:p>
        </w:tc>
      </w:tr>
      <w:tr>
        <w:trPr>
          <w:trHeight w:val="185"/>
        </w:trPr>
        <w:tc>
          <w:tcPr>
            <w:tcW w:w="96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96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6300" w:type="dxa"/>
            <w:vAlign w:val="bottom"/>
          </w:tcPr>
          <w:p>
            <w:pPr>
              <w:spacing w:after="0"/>
              <w:rPr>
                <w:sz w:val="20"/>
                <w:szCs w:val="20"/>
                <w:color w:val="auto"/>
              </w:rPr>
            </w:pPr>
            <w:r>
              <w:rPr>
                <w:rFonts w:ascii="Courier New" w:cs="Courier New" w:eastAsia="Courier New" w:hAnsi="Courier New"/>
                <w:sz w:val="16"/>
                <w:szCs w:val="16"/>
                <w:color w:val="auto"/>
              </w:rPr>
              <w:t>Financial Information:</w:t>
            </w:r>
          </w:p>
        </w:tc>
        <w:tc>
          <w:tcPr>
            <w:tcW w:w="1200" w:type="dxa"/>
            <w:vAlign w:val="bottom"/>
          </w:tcPr>
          <w:p>
            <w:pPr>
              <w:spacing w:after="0"/>
              <w:rPr>
                <w:sz w:val="24"/>
                <w:szCs w:val="24"/>
                <w:color w:val="auto"/>
              </w:rPr>
            </w:pPr>
          </w:p>
        </w:tc>
      </w:tr>
      <w:tr>
        <w:trPr>
          <w:trHeight w:val="370"/>
        </w:trPr>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Item 1.</w:t>
            </w:r>
          </w:p>
        </w:tc>
        <w:tc>
          <w:tcPr>
            <w:tcW w:w="6300" w:type="dxa"/>
            <w:vAlign w:val="bottom"/>
          </w:tcPr>
          <w:p>
            <w:pPr>
              <w:ind w:left="200"/>
              <w:spacing w:after="0"/>
              <w:rPr>
                <w:sz w:val="20"/>
                <w:szCs w:val="20"/>
                <w:color w:val="auto"/>
              </w:rPr>
            </w:pPr>
            <w:r>
              <w:rPr>
                <w:rFonts w:ascii="Courier New" w:cs="Courier New" w:eastAsia="Courier New" w:hAnsi="Courier New"/>
                <w:sz w:val="16"/>
                <w:szCs w:val="16"/>
                <w:color w:val="auto"/>
              </w:rPr>
              <w:t>Financial Statements</w:t>
            </w:r>
          </w:p>
        </w:tc>
        <w:tc>
          <w:tcPr>
            <w:tcW w:w="1200" w:type="dxa"/>
            <w:vAlign w:val="bottom"/>
          </w:tcPr>
          <w:p>
            <w:pPr>
              <w:spacing w:after="0"/>
              <w:rPr>
                <w:sz w:val="24"/>
                <w:szCs w:val="24"/>
                <w:color w:val="auto"/>
              </w:rPr>
            </w:pPr>
          </w:p>
        </w:tc>
      </w:tr>
      <w:tr>
        <w:trPr>
          <w:trHeight w:val="370"/>
        </w:trPr>
        <w:tc>
          <w:tcPr>
            <w:tcW w:w="960" w:type="dxa"/>
            <w:vAlign w:val="bottom"/>
          </w:tcPr>
          <w:p>
            <w:pPr>
              <w:spacing w:after="0"/>
              <w:rPr>
                <w:sz w:val="24"/>
                <w:szCs w:val="2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6"/>
                <w:szCs w:val="16"/>
                <w:color w:val="auto"/>
              </w:rPr>
              <w:t>Consolidated Statements of Operations - Three month and nine</w:t>
            </w:r>
          </w:p>
        </w:tc>
        <w:tc>
          <w:tcPr>
            <w:tcW w:w="1200" w:type="dxa"/>
            <w:vAlign w:val="bottom"/>
          </w:tcPr>
          <w:p>
            <w:pPr>
              <w:spacing w:after="0"/>
              <w:rPr>
                <w:sz w:val="24"/>
                <w:szCs w:val="24"/>
                <w:color w:val="auto"/>
              </w:rPr>
            </w:pPr>
          </w:p>
        </w:tc>
      </w:tr>
      <w:tr>
        <w:trPr>
          <w:trHeight w:val="185"/>
        </w:trPr>
        <w:tc>
          <w:tcPr>
            <w:tcW w:w="960" w:type="dxa"/>
            <w:vAlign w:val="bottom"/>
          </w:tcPr>
          <w:p>
            <w:pPr>
              <w:spacing w:after="0"/>
              <w:rPr>
                <w:sz w:val="16"/>
                <w:szCs w:val="16"/>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6"/>
                <w:szCs w:val="16"/>
                <w:color w:val="auto"/>
              </w:rPr>
              <w:t>month periods ended June 28, 1997 and June 29, 1996</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w:t>
            </w:r>
          </w:p>
        </w:tc>
      </w:tr>
      <w:tr>
        <w:trPr>
          <w:trHeight w:val="370"/>
        </w:trPr>
        <w:tc>
          <w:tcPr>
            <w:tcW w:w="960" w:type="dxa"/>
            <w:vAlign w:val="bottom"/>
          </w:tcPr>
          <w:p>
            <w:pPr>
              <w:spacing w:after="0"/>
              <w:rPr>
                <w:sz w:val="24"/>
                <w:szCs w:val="2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6"/>
                <w:szCs w:val="16"/>
                <w:color w:val="auto"/>
              </w:rPr>
              <w:t>Consolidated Statements of Cash Flows - Nine month periods</w:t>
            </w:r>
          </w:p>
        </w:tc>
        <w:tc>
          <w:tcPr>
            <w:tcW w:w="1200" w:type="dxa"/>
            <w:vAlign w:val="bottom"/>
          </w:tcPr>
          <w:p>
            <w:pPr>
              <w:spacing w:after="0"/>
              <w:rPr>
                <w:sz w:val="24"/>
                <w:szCs w:val="24"/>
                <w:color w:val="auto"/>
              </w:rPr>
            </w:pPr>
          </w:p>
        </w:tc>
      </w:tr>
      <w:tr>
        <w:trPr>
          <w:trHeight w:val="185"/>
        </w:trPr>
        <w:tc>
          <w:tcPr>
            <w:tcW w:w="960" w:type="dxa"/>
            <w:vAlign w:val="bottom"/>
          </w:tcPr>
          <w:p>
            <w:pPr>
              <w:spacing w:after="0"/>
              <w:rPr>
                <w:sz w:val="16"/>
                <w:szCs w:val="16"/>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6"/>
                <w:szCs w:val="16"/>
                <w:color w:val="auto"/>
              </w:rPr>
              <w:t>ended June 28, 1997 and June 29, 1996</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w:t>
            </w:r>
          </w:p>
        </w:tc>
      </w:tr>
      <w:tr>
        <w:trPr>
          <w:trHeight w:val="370"/>
        </w:trPr>
        <w:tc>
          <w:tcPr>
            <w:tcW w:w="960" w:type="dxa"/>
            <w:vAlign w:val="bottom"/>
          </w:tcPr>
          <w:p>
            <w:pPr>
              <w:spacing w:after="0"/>
              <w:rPr>
                <w:sz w:val="24"/>
                <w:szCs w:val="2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6"/>
                <w:szCs w:val="16"/>
                <w:color w:val="auto"/>
              </w:rPr>
              <w:t>Consolidated Balance Sheets -</w:t>
            </w:r>
          </w:p>
        </w:tc>
        <w:tc>
          <w:tcPr>
            <w:tcW w:w="1200" w:type="dxa"/>
            <w:vAlign w:val="bottom"/>
          </w:tcPr>
          <w:p>
            <w:pPr>
              <w:spacing w:after="0"/>
              <w:rPr>
                <w:sz w:val="24"/>
                <w:szCs w:val="24"/>
                <w:color w:val="auto"/>
              </w:rPr>
            </w:pPr>
          </w:p>
        </w:tc>
      </w:tr>
      <w:tr>
        <w:trPr>
          <w:trHeight w:val="185"/>
        </w:trPr>
        <w:tc>
          <w:tcPr>
            <w:tcW w:w="960" w:type="dxa"/>
            <w:vAlign w:val="bottom"/>
          </w:tcPr>
          <w:p>
            <w:pPr>
              <w:spacing w:after="0"/>
              <w:rPr>
                <w:sz w:val="16"/>
                <w:szCs w:val="16"/>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6"/>
                <w:szCs w:val="16"/>
                <w:color w:val="auto"/>
              </w:rPr>
              <w:t>June 28, 1997, June 29, 1996 and September 30, 1996</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w:t>
            </w:r>
          </w:p>
        </w:tc>
      </w:tr>
      <w:tr>
        <w:trPr>
          <w:trHeight w:val="370"/>
        </w:trPr>
        <w:tc>
          <w:tcPr>
            <w:tcW w:w="960" w:type="dxa"/>
            <w:vAlign w:val="bottom"/>
          </w:tcPr>
          <w:p>
            <w:pPr>
              <w:spacing w:after="0"/>
              <w:rPr>
                <w:sz w:val="24"/>
                <w:szCs w:val="2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6"/>
                <w:szCs w:val="16"/>
                <w:color w:val="auto"/>
              </w:rPr>
              <w:t>Notes to Consolidated Financial Statements</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6-12</w:t>
            </w:r>
          </w:p>
        </w:tc>
      </w:tr>
      <w:tr>
        <w:trPr>
          <w:trHeight w:val="370"/>
        </w:trPr>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Item 2.</w:t>
            </w:r>
          </w:p>
        </w:tc>
        <w:tc>
          <w:tcPr>
            <w:tcW w:w="6300" w:type="dxa"/>
            <w:vAlign w:val="bottom"/>
          </w:tcPr>
          <w:p>
            <w:pPr>
              <w:ind w:left="100"/>
              <w:spacing w:after="0"/>
              <w:rPr>
                <w:sz w:val="20"/>
                <w:szCs w:val="20"/>
                <w:color w:val="auto"/>
              </w:rPr>
            </w:pPr>
            <w:r>
              <w:rPr>
                <w:rFonts w:ascii="Courier New" w:cs="Courier New" w:eastAsia="Courier New" w:hAnsi="Courier New"/>
                <w:sz w:val="16"/>
                <w:szCs w:val="16"/>
                <w:color w:val="auto"/>
              </w:rPr>
              <w:t>Management's Discussion and Analysis of</w:t>
            </w:r>
          </w:p>
        </w:tc>
        <w:tc>
          <w:tcPr>
            <w:tcW w:w="1200" w:type="dxa"/>
            <w:vAlign w:val="bottom"/>
          </w:tcPr>
          <w:p>
            <w:pPr>
              <w:spacing w:after="0"/>
              <w:rPr>
                <w:sz w:val="24"/>
                <w:szCs w:val="24"/>
                <w:color w:val="auto"/>
              </w:rPr>
            </w:pPr>
          </w:p>
        </w:tc>
      </w:tr>
      <w:tr>
        <w:trPr>
          <w:trHeight w:val="185"/>
        </w:trPr>
        <w:tc>
          <w:tcPr>
            <w:tcW w:w="960" w:type="dxa"/>
            <w:vAlign w:val="bottom"/>
          </w:tcPr>
          <w:p>
            <w:pPr>
              <w:spacing w:after="0"/>
              <w:rPr>
                <w:sz w:val="16"/>
                <w:szCs w:val="16"/>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6"/>
                <w:szCs w:val="16"/>
                <w:color w:val="auto"/>
              </w:rPr>
              <w:t>Financial Condition and Results of Operations</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13-20</w:t>
            </w:r>
          </w:p>
        </w:tc>
      </w:tr>
      <w:tr>
        <w:trPr>
          <w:trHeight w:val="554"/>
        </w:trPr>
        <w:tc>
          <w:tcPr>
            <w:tcW w:w="960" w:type="dxa"/>
            <w:vAlign w:val="bottom"/>
          </w:tcPr>
          <w:p>
            <w:pPr>
              <w:spacing w:after="0"/>
              <w:rPr>
                <w:sz w:val="20"/>
                <w:szCs w:val="20"/>
                <w:color w:val="auto"/>
              </w:rPr>
            </w:pPr>
            <w:r>
              <w:rPr>
                <w:rFonts w:ascii="Courier New" w:cs="Courier New" w:eastAsia="Courier New" w:hAnsi="Courier New"/>
                <w:sz w:val="16"/>
                <w:szCs w:val="16"/>
                <w:color w:val="auto"/>
              </w:rPr>
              <w:t>Part II.</w:t>
            </w:r>
          </w:p>
        </w:tc>
        <w:tc>
          <w:tcPr>
            <w:tcW w:w="6300" w:type="dxa"/>
            <w:vAlign w:val="bottom"/>
          </w:tcPr>
          <w:p>
            <w:pPr>
              <w:spacing w:after="0"/>
              <w:rPr>
                <w:sz w:val="20"/>
                <w:szCs w:val="20"/>
                <w:color w:val="auto"/>
              </w:rPr>
            </w:pPr>
            <w:r>
              <w:rPr>
                <w:rFonts w:ascii="Courier New" w:cs="Courier New" w:eastAsia="Courier New" w:hAnsi="Courier New"/>
                <w:sz w:val="16"/>
                <w:szCs w:val="16"/>
                <w:color w:val="auto"/>
              </w:rPr>
              <w:t>Other Information</w:t>
            </w:r>
          </w:p>
        </w:tc>
        <w:tc>
          <w:tcPr>
            <w:tcW w:w="1200" w:type="dxa"/>
            <w:vAlign w:val="bottom"/>
          </w:tcPr>
          <w:p>
            <w:pPr>
              <w:spacing w:after="0"/>
              <w:rPr>
                <w:sz w:val="24"/>
                <w:szCs w:val="24"/>
                <w:color w:val="auto"/>
              </w:rPr>
            </w:pPr>
          </w:p>
        </w:tc>
      </w:tr>
      <w:tr>
        <w:trPr>
          <w:trHeight w:val="370"/>
        </w:trPr>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Item 1.</w:t>
            </w:r>
          </w:p>
        </w:tc>
        <w:tc>
          <w:tcPr>
            <w:tcW w:w="6300" w:type="dxa"/>
            <w:vAlign w:val="bottom"/>
          </w:tcPr>
          <w:p>
            <w:pPr>
              <w:ind w:left="200"/>
              <w:spacing w:after="0"/>
              <w:rPr>
                <w:sz w:val="20"/>
                <w:szCs w:val="20"/>
                <w:color w:val="auto"/>
              </w:rPr>
            </w:pPr>
            <w:r>
              <w:rPr>
                <w:rFonts w:ascii="Courier New" w:cs="Courier New" w:eastAsia="Courier New" w:hAnsi="Courier New"/>
                <w:sz w:val="16"/>
                <w:szCs w:val="16"/>
                <w:color w:val="auto"/>
              </w:rPr>
              <w:t>Legal Proceedings</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21</w:t>
            </w:r>
          </w:p>
        </w:tc>
      </w:tr>
      <w:tr>
        <w:trPr>
          <w:trHeight w:val="370"/>
        </w:trPr>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Item 6.</w:t>
            </w:r>
          </w:p>
        </w:tc>
        <w:tc>
          <w:tcPr>
            <w:tcW w:w="6300" w:type="dxa"/>
            <w:vAlign w:val="bottom"/>
          </w:tcPr>
          <w:p>
            <w:pPr>
              <w:ind w:left="200"/>
              <w:spacing w:after="0"/>
              <w:rPr>
                <w:sz w:val="20"/>
                <w:szCs w:val="20"/>
                <w:color w:val="auto"/>
              </w:rPr>
            </w:pPr>
            <w:r>
              <w:rPr>
                <w:rFonts w:ascii="Courier New" w:cs="Courier New" w:eastAsia="Courier New" w:hAnsi="Courier New"/>
                <w:sz w:val="16"/>
                <w:szCs w:val="16"/>
                <w:color w:val="auto"/>
              </w:rPr>
              <w:t>Exhibits and Reports on Form 8-K</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21</w:t>
            </w:r>
          </w:p>
        </w:tc>
      </w:tr>
      <w:tr>
        <w:trPr>
          <w:trHeight w:val="554"/>
        </w:trPr>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7"/>
              </w:rPr>
              <w:t>Signatures</w:t>
            </w:r>
          </w:p>
        </w:tc>
        <w:tc>
          <w:tcPr>
            <w:tcW w:w="6300" w:type="dxa"/>
            <w:vAlign w:val="bottom"/>
          </w:tcPr>
          <w:p>
            <w:pPr>
              <w:spacing w:after="0"/>
              <w:rPr>
                <w:sz w:val="24"/>
                <w:szCs w:val="24"/>
                <w:color w:val="auto"/>
              </w:rPr>
            </w:pP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22</w:t>
            </w:r>
          </w:p>
        </w:tc>
      </w:tr>
      <w:tr>
        <w:trPr>
          <w:trHeight w:val="554"/>
        </w:trPr>
        <w:tc>
          <w:tcPr>
            <w:tcW w:w="7260" w:type="dxa"/>
            <w:vAlign w:val="bottom"/>
            <w:gridSpan w:val="2"/>
          </w:tcPr>
          <w:p>
            <w:pPr>
              <w:spacing w:after="0"/>
              <w:rPr>
                <w:sz w:val="20"/>
                <w:szCs w:val="20"/>
                <w:color w:val="auto"/>
              </w:rPr>
            </w:pPr>
            <w:r>
              <w:rPr>
                <w:rFonts w:ascii="Courier New" w:cs="Courier New" w:eastAsia="Courier New" w:hAnsi="Courier New"/>
                <w:sz w:val="16"/>
                <w:szCs w:val="16"/>
                <w:color w:val="auto"/>
              </w:rPr>
              <w:t>Exhibit Index</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Page 2</w:t>
      </w:r>
    </w:p>
    <w:p>
      <w:pPr>
        <w:sectPr>
          <w:pgSz w:w="11900" w:h="16838" w:orient="portrait"/>
          <w:cols w:equalWidth="0" w:num="1">
            <w:col w:w="10219"/>
          </w:cols>
          <w:pgMar w:left="240" w:top="300"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200" w:lineRule="exact"/>
        <w:rPr>
          <w:sz w:val="20"/>
          <w:szCs w:val="20"/>
          <w:color w:val="auto"/>
        </w:rPr>
      </w:pPr>
    </w:p>
    <w:p>
      <w:pPr>
        <w:spacing w:after="0" w:line="358"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6"/>
          <w:szCs w:val="16"/>
          <w:color w:val="auto"/>
        </w:rPr>
        <w:t>PART I - FINANCIAL INFORMATION</w:t>
      </w:r>
    </w:p>
    <w:p>
      <w:pPr>
        <w:spacing w:after="0" w:line="4"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6"/>
          <w:szCs w:val="16"/>
          <w:color w:val="auto"/>
        </w:rPr>
        <w:t>ITEM 1. FINANCIAL STATEMENTS</w:t>
      </w:r>
    </w:p>
    <w:p>
      <w:pPr>
        <w:spacing w:after="0" w:line="373" w:lineRule="exact"/>
        <w:rPr>
          <w:sz w:val="20"/>
          <w:szCs w:val="20"/>
          <w:color w:val="auto"/>
        </w:rPr>
      </w:pPr>
    </w:p>
    <w:p>
      <w:pPr>
        <w:jc w:val="center"/>
        <w:ind w:right="3940"/>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4" w:lineRule="exact"/>
        <w:rPr>
          <w:sz w:val="20"/>
          <w:szCs w:val="20"/>
          <w:color w:val="auto"/>
        </w:rPr>
      </w:pPr>
    </w:p>
    <w:p>
      <w:pPr>
        <w:jc w:val="center"/>
        <w:ind w:right="3940"/>
        <w:spacing w:after="0"/>
        <w:rPr>
          <w:sz w:val="20"/>
          <w:szCs w:val="20"/>
          <w:color w:val="auto"/>
        </w:rPr>
      </w:pPr>
      <w:r>
        <w:rPr>
          <w:rFonts w:ascii="Courier New" w:cs="Courier New" w:eastAsia="Courier New" w:hAnsi="Courier New"/>
          <w:sz w:val="16"/>
          <w:szCs w:val="16"/>
          <w:color w:val="auto"/>
        </w:rPr>
        <w:t>CONSOLIDATED STATEMENTS OF OPERATIONS</w:t>
      </w:r>
    </w:p>
    <w:p>
      <w:pPr>
        <w:spacing w:after="0" w:line="4" w:lineRule="exact"/>
        <w:rPr>
          <w:sz w:val="20"/>
          <w:szCs w:val="20"/>
          <w:color w:val="auto"/>
        </w:rPr>
      </w:pPr>
    </w:p>
    <w:p>
      <w:pPr>
        <w:jc w:val="center"/>
        <w:ind w:right="3940"/>
        <w:spacing w:after="0"/>
        <w:rPr>
          <w:sz w:val="20"/>
          <w:szCs w:val="20"/>
          <w:color w:val="auto"/>
        </w:rPr>
      </w:pPr>
      <w:r>
        <w:rPr>
          <w:rFonts w:ascii="Courier New" w:cs="Courier New" w:eastAsia="Courier New" w:hAnsi="Courier New"/>
          <w:sz w:val="16"/>
          <w:szCs w:val="16"/>
          <w:color w:val="auto"/>
        </w:rPr>
        <w:t>(Unaudited)</w:t>
      </w:r>
    </w:p>
    <w:p>
      <w:pPr>
        <w:spacing w:after="0" w:line="4"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040" w:type="dxa"/>
            <w:vAlign w:val="bottom"/>
          </w:tcPr>
          <w:p>
            <w:pPr>
              <w:spacing w:after="0"/>
              <w:rPr>
                <w:sz w:val="15"/>
                <w:szCs w:val="15"/>
                <w:color w:val="auto"/>
              </w:rPr>
            </w:pPr>
          </w:p>
        </w:tc>
        <w:tc>
          <w:tcPr>
            <w:tcW w:w="3660" w:type="dxa"/>
            <w:vAlign w:val="bottom"/>
            <w:gridSpan w:val="2"/>
          </w:tcPr>
          <w:p>
            <w:pPr>
              <w:jc w:val="right"/>
              <w:ind w:right="840"/>
              <w:spacing w:after="0"/>
              <w:rPr>
                <w:sz w:val="20"/>
                <w:szCs w:val="20"/>
                <w:color w:val="auto"/>
              </w:rPr>
            </w:pPr>
            <w:r>
              <w:rPr>
                <w:rFonts w:ascii="Courier New" w:cs="Courier New" w:eastAsia="Courier New" w:hAnsi="Courier New"/>
                <w:sz w:val="16"/>
                <w:szCs w:val="16"/>
                <w:color w:val="auto"/>
              </w:rPr>
              <w:t>Three Months Ended</w:t>
            </w:r>
          </w:p>
        </w:tc>
        <w:tc>
          <w:tcPr>
            <w:tcW w:w="282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Nine Months Ended</w:t>
            </w:r>
          </w:p>
        </w:tc>
      </w:tr>
      <w:tr>
        <w:trPr>
          <w:trHeight w:val="185"/>
        </w:trPr>
        <w:tc>
          <w:tcPr>
            <w:tcW w:w="5040" w:type="dxa"/>
            <w:vAlign w:val="bottom"/>
          </w:tcPr>
          <w:p>
            <w:pPr>
              <w:spacing w:after="0"/>
              <w:rPr>
                <w:sz w:val="16"/>
                <w:szCs w:val="16"/>
                <w:color w:val="auto"/>
              </w:rPr>
            </w:pPr>
          </w:p>
        </w:tc>
        <w:tc>
          <w:tcPr>
            <w:tcW w:w="3660" w:type="dxa"/>
            <w:vAlign w:val="bottom"/>
            <w:gridSpan w:val="2"/>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282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5040" w:type="dxa"/>
            <w:vAlign w:val="bottom"/>
          </w:tcPr>
          <w:p>
            <w:pPr>
              <w:spacing w:after="0"/>
              <w:rPr>
                <w:sz w:val="16"/>
                <w:szCs w:val="16"/>
                <w:color w:val="auto"/>
              </w:rPr>
            </w:pPr>
          </w:p>
        </w:tc>
        <w:tc>
          <w:tcPr>
            <w:tcW w:w="19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June 28</w:t>
            </w:r>
          </w:p>
        </w:tc>
        <w:tc>
          <w:tcPr>
            <w:tcW w:w="17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June 29</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June 28</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June 29</w:t>
            </w:r>
          </w:p>
        </w:tc>
      </w:tr>
      <w:tr>
        <w:trPr>
          <w:trHeight w:val="185"/>
        </w:trPr>
        <w:tc>
          <w:tcPr>
            <w:tcW w:w="5040" w:type="dxa"/>
            <w:vAlign w:val="bottom"/>
          </w:tcPr>
          <w:p>
            <w:pPr>
              <w:spacing w:after="0"/>
              <w:rPr>
                <w:sz w:val="16"/>
                <w:szCs w:val="16"/>
                <w:color w:val="auto"/>
              </w:rPr>
            </w:pPr>
          </w:p>
        </w:tc>
        <w:tc>
          <w:tcPr>
            <w:tcW w:w="192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1997</w:t>
            </w:r>
          </w:p>
        </w:tc>
        <w:tc>
          <w:tcPr>
            <w:tcW w:w="174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1996</w:t>
            </w:r>
          </w:p>
        </w:tc>
        <w:tc>
          <w:tcPr>
            <w:tcW w:w="17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1997</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1996</w:t>
            </w:r>
          </w:p>
        </w:tc>
      </w:tr>
      <w:tr>
        <w:trPr>
          <w:trHeight w:val="185"/>
        </w:trPr>
        <w:tc>
          <w:tcPr>
            <w:tcW w:w="5040" w:type="dxa"/>
            <w:vAlign w:val="bottom"/>
          </w:tcPr>
          <w:p>
            <w:pPr>
              <w:spacing w:after="0"/>
              <w:rPr>
                <w:sz w:val="16"/>
                <w:szCs w:val="16"/>
                <w:color w:val="auto"/>
              </w:rPr>
            </w:pPr>
          </w:p>
        </w:tc>
        <w:tc>
          <w:tcPr>
            <w:tcW w:w="19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504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9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$299.0</w:t>
            </w:r>
          </w:p>
        </w:tc>
        <w:tc>
          <w:tcPr>
            <w:tcW w:w="17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$247.9</w:t>
            </w:r>
          </w:p>
        </w:tc>
        <w:tc>
          <w:tcPr>
            <w:tcW w:w="172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$745.4</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$617.1</w:t>
            </w:r>
          </w:p>
        </w:tc>
      </w:tr>
      <w:tr>
        <w:trPr>
          <w:trHeight w:val="185"/>
        </w:trPr>
        <w:tc>
          <w:tcPr>
            <w:tcW w:w="504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19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188.3</w:t>
            </w:r>
          </w:p>
        </w:tc>
        <w:tc>
          <w:tcPr>
            <w:tcW w:w="17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165.9</w:t>
            </w:r>
          </w:p>
        </w:tc>
        <w:tc>
          <w:tcPr>
            <w:tcW w:w="172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463.7</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410.6</w:t>
            </w:r>
          </w:p>
        </w:tc>
      </w:tr>
      <w:tr>
        <w:trPr>
          <w:trHeight w:val="185"/>
        </w:trPr>
        <w:tc>
          <w:tcPr>
            <w:tcW w:w="5040" w:type="dxa"/>
            <w:vAlign w:val="bottom"/>
          </w:tcPr>
          <w:p>
            <w:pPr>
              <w:spacing w:after="0"/>
              <w:rPr>
                <w:sz w:val="16"/>
                <w:szCs w:val="16"/>
                <w:color w:val="auto"/>
              </w:rPr>
            </w:pPr>
          </w:p>
        </w:tc>
        <w:tc>
          <w:tcPr>
            <w:tcW w:w="19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504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19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110.7</w:t>
            </w:r>
          </w:p>
        </w:tc>
        <w:tc>
          <w:tcPr>
            <w:tcW w:w="17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82.0</w:t>
            </w:r>
          </w:p>
        </w:tc>
        <w:tc>
          <w:tcPr>
            <w:tcW w:w="172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281.7</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206.5</w:t>
            </w:r>
          </w:p>
        </w:tc>
      </w:tr>
      <w:tr>
        <w:trPr>
          <w:trHeight w:val="370"/>
        </w:trPr>
        <w:tc>
          <w:tcPr>
            <w:tcW w:w="504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w:t>
            </w:r>
          </w:p>
        </w:tc>
        <w:tc>
          <w:tcPr>
            <w:tcW w:w="19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37.1</w:t>
            </w:r>
          </w:p>
        </w:tc>
        <w:tc>
          <w:tcPr>
            <w:tcW w:w="17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27.8</w:t>
            </w:r>
          </w:p>
        </w:tc>
        <w:tc>
          <w:tcPr>
            <w:tcW w:w="172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95.9</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86.9</w:t>
            </w:r>
          </w:p>
        </w:tc>
      </w:tr>
      <w:tr>
        <w:trPr>
          <w:trHeight w:val="185"/>
        </w:trPr>
        <w:tc>
          <w:tcPr>
            <w:tcW w:w="5040" w:type="dxa"/>
            <w:vAlign w:val="bottom"/>
          </w:tcPr>
          <w:p>
            <w:pPr>
              <w:spacing w:after="0"/>
              <w:rPr>
                <w:sz w:val="20"/>
                <w:szCs w:val="20"/>
                <w:color w:val="auto"/>
              </w:rPr>
            </w:pPr>
            <w:r>
              <w:rPr>
                <w:rFonts w:ascii="Courier New" w:cs="Courier New" w:eastAsia="Courier New" w:hAnsi="Courier New"/>
                <w:sz w:val="16"/>
                <w:szCs w:val="16"/>
                <w:color w:val="auto"/>
              </w:rPr>
              <w:t>Advertising and promotion</w:t>
            </w:r>
          </w:p>
        </w:tc>
        <w:tc>
          <w:tcPr>
            <w:tcW w:w="19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26.5</w:t>
            </w:r>
          </w:p>
        </w:tc>
        <w:tc>
          <w:tcPr>
            <w:tcW w:w="17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27.1</w:t>
            </w:r>
          </w:p>
        </w:tc>
        <w:tc>
          <w:tcPr>
            <w:tcW w:w="172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77.9</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62.4</w:t>
            </w:r>
          </w:p>
        </w:tc>
      </w:tr>
      <w:tr>
        <w:trPr>
          <w:trHeight w:val="185"/>
        </w:trPr>
        <w:tc>
          <w:tcPr>
            <w:tcW w:w="5040" w:type="dxa"/>
            <w:vAlign w:val="bottom"/>
          </w:tcPr>
          <w:p>
            <w:pPr>
              <w:spacing w:after="0"/>
              <w:rPr>
                <w:sz w:val="20"/>
                <w:szCs w:val="20"/>
                <w:color w:val="auto"/>
              </w:rPr>
            </w:pPr>
            <w:r>
              <w:rPr>
                <w:rFonts w:ascii="Courier New" w:cs="Courier New" w:eastAsia="Courier New" w:hAnsi="Courier New"/>
                <w:sz w:val="16"/>
                <w:szCs w:val="16"/>
                <w:color w:val="auto"/>
              </w:rPr>
              <w:t>Amortization of goodwill and other intangibles</w:t>
            </w:r>
          </w:p>
        </w:tc>
        <w:tc>
          <w:tcPr>
            <w:tcW w:w="19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2.7</w:t>
            </w:r>
          </w:p>
        </w:tc>
        <w:tc>
          <w:tcPr>
            <w:tcW w:w="17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2.2</w:t>
            </w:r>
          </w:p>
        </w:tc>
        <w:tc>
          <w:tcPr>
            <w:tcW w:w="172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7.6</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6.6</w:t>
            </w:r>
          </w:p>
        </w:tc>
      </w:tr>
      <w:tr>
        <w:trPr>
          <w:trHeight w:val="185"/>
        </w:trPr>
        <w:tc>
          <w:tcPr>
            <w:tcW w:w="5040" w:type="dxa"/>
            <w:vAlign w:val="bottom"/>
          </w:tcPr>
          <w:p>
            <w:pPr>
              <w:spacing w:after="0"/>
              <w:rPr>
                <w:sz w:val="20"/>
                <w:szCs w:val="20"/>
                <w:color w:val="auto"/>
              </w:rPr>
            </w:pPr>
            <w:r>
              <w:rPr>
                <w:rFonts w:ascii="Courier New" w:cs="Courier New" w:eastAsia="Courier New" w:hAnsi="Courier New"/>
                <w:sz w:val="16"/>
                <w:szCs w:val="16"/>
                <w:color w:val="auto"/>
              </w:rPr>
              <w:t>Other (income) expenses, net</w:t>
            </w:r>
          </w:p>
        </w:tc>
        <w:tc>
          <w:tcPr>
            <w:tcW w:w="19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(0.7)</w:t>
            </w:r>
          </w:p>
        </w:tc>
        <w:tc>
          <w:tcPr>
            <w:tcW w:w="17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3.1</w:t>
            </w:r>
          </w:p>
        </w:tc>
        <w:tc>
          <w:tcPr>
            <w:tcW w:w="172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2.8</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7.7</w:t>
            </w:r>
          </w:p>
        </w:tc>
      </w:tr>
      <w:tr>
        <w:trPr>
          <w:trHeight w:val="185"/>
        </w:trPr>
        <w:tc>
          <w:tcPr>
            <w:tcW w:w="5040" w:type="dxa"/>
            <w:vAlign w:val="bottom"/>
          </w:tcPr>
          <w:p>
            <w:pPr>
              <w:spacing w:after="0"/>
              <w:rPr>
                <w:sz w:val="16"/>
                <w:szCs w:val="16"/>
                <w:color w:val="auto"/>
              </w:rPr>
            </w:pPr>
          </w:p>
        </w:tc>
        <w:tc>
          <w:tcPr>
            <w:tcW w:w="19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504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19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45.1</w:t>
            </w:r>
          </w:p>
        </w:tc>
        <w:tc>
          <w:tcPr>
            <w:tcW w:w="17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21.8</w:t>
            </w:r>
          </w:p>
        </w:tc>
        <w:tc>
          <w:tcPr>
            <w:tcW w:w="172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97.5</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42.9</w:t>
            </w:r>
          </w:p>
        </w:tc>
      </w:tr>
      <w:tr>
        <w:trPr>
          <w:trHeight w:val="370"/>
        </w:trPr>
        <w:tc>
          <w:tcPr>
            <w:tcW w:w="504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9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7.6</w:t>
            </w:r>
          </w:p>
        </w:tc>
        <w:tc>
          <w:tcPr>
            <w:tcW w:w="17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6.9</w:t>
            </w:r>
          </w:p>
        </w:tc>
        <w:tc>
          <w:tcPr>
            <w:tcW w:w="172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21.5</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21.6</w:t>
            </w:r>
          </w:p>
        </w:tc>
      </w:tr>
      <w:tr>
        <w:trPr>
          <w:trHeight w:val="185"/>
        </w:trPr>
        <w:tc>
          <w:tcPr>
            <w:tcW w:w="5040" w:type="dxa"/>
            <w:vAlign w:val="bottom"/>
          </w:tcPr>
          <w:p>
            <w:pPr>
              <w:spacing w:after="0"/>
              <w:rPr>
                <w:sz w:val="16"/>
                <w:szCs w:val="16"/>
                <w:color w:val="auto"/>
              </w:rPr>
            </w:pPr>
          </w:p>
        </w:tc>
        <w:tc>
          <w:tcPr>
            <w:tcW w:w="19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5040" w:type="dxa"/>
            <w:vAlign w:val="bottom"/>
          </w:tcPr>
          <w:p>
            <w:pPr>
              <w:spacing w:after="0"/>
              <w:rPr>
                <w:sz w:val="20"/>
                <w:szCs w:val="20"/>
                <w:color w:val="auto"/>
              </w:rPr>
            </w:pPr>
            <w:r>
              <w:rPr>
                <w:rFonts w:ascii="Courier New" w:cs="Courier New" w:eastAsia="Courier New" w:hAnsi="Courier New"/>
                <w:sz w:val="16"/>
                <w:szCs w:val="16"/>
                <w:color w:val="auto"/>
              </w:rPr>
              <w:t>Income before income taxes</w:t>
            </w:r>
          </w:p>
        </w:tc>
        <w:tc>
          <w:tcPr>
            <w:tcW w:w="19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37.5</w:t>
            </w:r>
          </w:p>
        </w:tc>
        <w:tc>
          <w:tcPr>
            <w:tcW w:w="17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14.9</w:t>
            </w:r>
          </w:p>
        </w:tc>
        <w:tc>
          <w:tcPr>
            <w:tcW w:w="172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76.0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21.3</w:t>
            </w:r>
          </w:p>
        </w:tc>
      </w:tr>
      <w:tr>
        <w:trPr>
          <w:trHeight w:val="370"/>
        </w:trPr>
        <w:tc>
          <w:tcPr>
            <w:tcW w:w="504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19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16.4</w:t>
            </w:r>
          </w:p>
        </w:tc>
        <w:tc>
          <w:tcPr>
            <w:tcW w:w="17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7.3</w:t>
            </w:r>
          </w:p>
        </w:tc>
        <w:tc>
          <w:tcPr>
            <w:tcW w:w="172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33.0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10.2</w:t>
            </w:r>
          </w:p>
        </w:tc>
      </w:tr>
      <w:tr>
        <w:trPr>
          <w:trHeight w:val="185"/>
        </w:trPr>
        <w:tc>
          <w:tcPr>
            <w:tcW w:w="5040" w:type="dxa"/>
            <w:vAlign w:val="bottom"/>
          </w:tcPr>
          <w:p>
            <w:pPr>
              <w:spacing w:after="0"/>
              <w:rPr>
                <w:sz w:val="16"/>
                <w:szCs w:val="16"/>
                <w:color w:val="auto"/>
              </w:rPr>
            </w:pPr>
          </w:p>
        </w:tc>
        <w:tc>
          <w:tcPr>
            <w:tcW w:w="19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50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9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21.1</w:t>
            </w:r>
          </w:p>
        </w:tc>
        <w:tc>
          <w:tcPr>
            <w:tcW w:w="17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7.6</w:t>
            </w:r>
          </w:p>
        </w:tc>
        <w:tc>
          <w:tcPr>
            <w:tcW w:w="172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43.0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11.1</w:t>
            </w:r>
          </w:p>
        </w:tc>
      </w:tr>
      <w:tr>
        <w:trPr>
          <w:trHeight w:val="370"/>
        </w:trPr>
        <w:tc>
          <w:tcPr>
            <w:tcW w:w="5040" w:type="dxa"/>
            <w:vAlign w:val="bottom"/>
          </w:tcPr>
          <w:p>
            <w:pPr>
              <w:spacing w:after="0"/>
              <w:rPr>
                <w:sz w:val="20"/>
                <w:szCs w:val="20"/>
                <w:color w:val="auto"/>
              </w:rPr>
            </w:pPr>
            <w:r>
              <w:rPr>
                <w:rFonts w:ascii="Courier New" w:cs="Courier New" w:eastAsia="Courier New" w:hAnsi="Courier New"/>
                <w:sz w:val="16"/>
                <w:szCs w:val="16"/>
                <w:color w:val="auto"/>
              </w:rPr>
              <w:t>Preferred stock dividends</w:t>
            </w:r>
          </w:p>
        </w:tc>
        <w:tc>
          <w:tcPr>
            <w:tcW w:w="19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2.4</w:t>
            </w:r>
          </w:p>
        </w:tc>
        <w:tc>
          <w:tcPr>
            <w:tcW w:w="17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2.4</w:t>
            </w:r>
          </w:p>
        </w:tc>
        <w:tc>
          <w:tcPr>
            <w:tcW w:w="172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7.3</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7.3</w:t>
            </w:r>
          </w:p>
        </w:tc>
      </w:tr>
      <w:tr>
        <w:trPr>
          <w:trHeight w:val="185"/>
        </w:trPr>
        <w:tc>
          <w:tcPr>
            <w:tcW w:w="5040" w:type="dxa"/>
            <w:vAlign w:val="bottom"/>
          </w:tcPr>
          <w:p>
            <w:pPr>
              <w:spacing w:after="0"/>
              <w:rPr>
                <w:sz w:val="16"/>
                <w:szCs w:val="16"/>
                <w:color w:val="auto"/>
              </w:rPr>
            </w:pPr>
          </w:p>
        </w:tc>
        <w:tc>
          <w:tcPr>
            <w:tcW w:w="19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5040" w:type="dxa"/>
            <w:vAlign w:val="bottom"/>
          </w:tcPr>
          <w:p>
            <w:pPr>
              <w:spacing w:after="0"/>
              <w:rPr>
                <w:sz w:val="20"/>
                <w:szCs w:val="20"/>
                <w:color w:val="auto"/>
              </w:rPr>
            </w:pPr>
            <w:r>
              <w:rPr>
                <w:rFonts w:ascii="Courier New" w:cs="Courier New" w:eastAsia="Courier New" w:hAnsi="Courier New"/>
                <w:sz w:val="16"/>
                <w:szCs w:val="16"/>
                <w:color w:val="auto"/>
              </w:rPr>
              <w:t>Income applicable to common shareholders</w:t>
            </w:r>
          </w:p>
        </w:tc>
        <w:tc>
          <w:tcPr>
            <w:tcW w:w="19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$ 18.7</w:t>
            </w:r>
          </w:p>
        </w:tc>
        <w:tc>
          <w:tcPr>
            <w:tcW w:w="17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  5.2</w:t>
            </w:r>
          </w:p>
        </w:tc>
        <w:tc>
          <w:tcPr>
            <w:tcW w:w="172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$ 35.7</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  3.8</w:t>
            </w:r>
          </w:p>
        </w:tc>
      </w:tr>
      <w:tr>
        <w:trPr>
          <w:trHeight w:val="185"/>
        </w:trPr>
        <w:tc>
          <w:tcPr>
            <w:tcW w:w="5040" w:type="dxa"/>
            <w:vAlign w:val="bottom"/>
          </w:tcPr>
          <w:p>
            <w:pPr>
              <w:spacing w:after="0"/>
              <w:rPr>
                <w:sz w:val="16"/>
                <w:szCs w:val="16"/>
                <w:color w:val="auto"/>
              </w:rPr>
            </w:pPr>
          </w:p>
        </w:tc>
        <w:tc>
          <w:tcPr>
            <w:tcW w:w="19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54"/>
        </w:trPr>
        <w:tc>
          <w:tcPr>
            <w:tcW w:w="5040" w:type="dxa"/>
            <w:vAlign w:val="bottom"/>
          </w:tcPr>
          <w:p>
            <w:pPr>
              <w:spacing w:after="0"/>
              <w:rPr>
                <w:sz w:val="20"/>
                <w:szCs w:val="20"/>
                <w:color w:val="auto"/>
              </w:rPr>
            </w:pPr>
            <w:r>
              <w:rPr>
                <w:rFonts w:ascii="Courier New" w:cs="Courier New" w:eastAsia="Courier New" w:hAnsi="Courier New"/>
                <w:sz w:val="16"/>
                <w:szCs w:val="16"/>
                <w:color w:val="auto"/>
              </w:rPr>
              <w:t>Income per common share</w:t>
            </w:r>
          </w:p>
        </w:tc>
        <w:tc>
          <w:tcPr>
            <w:tcW w:w="19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$ 0.71</w:t>
            </w:r>
          </w:p>
        </w:tc>
        <w:tc>
          <w:tcPr>
            <w:tcW w:w="17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$ 0.26</w:t>
            </w:r>
          </w:p>
        </w:tc>
        <w:tc>
          <w:tcPr>
            <w:tcW w:w="172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$ 1.47</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$ 0.20</w:t>
            </w:r>
          </w:p>
        </w:tc>
      </w:tr>
      <w:tr>
        <w:trPr>
          <w:trHeight w:val="185"/>
        </w:trPr>
        <w:tc>
          <w:tcPr>
            <w:tcW w:w="5040" w:type="dxa"/>
            <w:vAlign w:val="bottom"/>
          </w:tcPr>
          <w:p>
            <w:pPr>
              <w:spacing w:after="0"/>
              <w:rPr>
                <w:sz w:val="16"/>
                <w:szCs w:val="16"/>
                <w:color w:val="auto"/>
              </w:rPr>
            </w:pPr>
          </w:p>
        </w:tc>
        <w:tc>
          <w:tcPr>
            <w:tcW w:w="19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5040" w:type="dxa"/>
            <w:vAlign w:val="bottom"/>
          </w:tcPr>
          <w:p>
            <w:pPr>
              <w:spacing w:after="0"/>
              <w:rPr>
                <w:sz w:val="20"/>
                <w:szCs w:val="20"/>
                <w:color w:val="auto"/>
              </w:rPr>
            </w:pPr>
            <w:r>
              <w:rPr>
                <w:rFonts w:ascii="Courier New" w:cs="Courier New" w:eastAsia="Courier New" w:hAnsi="Courier New"/>
                <w:sz w:val="16"/>
                <w:szCs w:val="16"/>
                <w:color w:val="auto"/>
              </w:rPr>
              <w:t>Common shares used in per common</w:t>
            </w:r>
          </w:p>
        </w:tc>
        <w:tc>
          <w:tcPr>
            <w:tcW w:w="19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5"/>
        </w:trPr>
        <w:tc>
          <w:tcPr>
            <w:tcW w:w="5040" w:type="dxa"/>
            <w:vAlign w:val="bottom"/>
          </w:tcPr>
          <w:p>
            <w:pPr>
              <w:ind w:left="200"/>
              <w:spacing w:after="0"/>
              <w:rPr>
                <w:sz w:val="20"/>
                <w:szCs w:val="20"/>
                <w:color w:val="auto"/>
              </w:rPr>
            </w:pPr>
            <w:r>
              <w:rPr>
                <w:rFonts w:ascii="Courier New" w:cs="Courier New" w:eastAsia="Courier New" w:hAnsi="Courier New"/>
                <w:sz w:val="16"/>
                <w:szCs w:val="16"/>
                <w:color w:val="auto"/>
              </w:rPr>
              <w:t>share computation</w:t>
            </w:r>
          </w:p>
        </w:tc>
        <w:tc>
          <w:tcPr>
            <w:tcW w:w="19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29.9</w:t>
            </w:r>
          </w:p>
        </w:tc>
        <w:tc>
          <w:tcPr>
            <w:tcW w:w="17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29.4</w:t>
            </w:r>
          </w:p>
        </w:tc>
        <w:tc>
          <w:tcPr>
            <w:tcW w:w="172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29.3</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19.1</w:t>
            </w:r>
          </w:p>
        </w:tc>
      </w:tr>
      <w:tr>
        <w:trPr>
          <w:trHeight w:val="185"/>
        </w:trPr>
        <w:tc>
          <w:tcPr>
            <w:tcW w:w="5040" w:type="dxa"/>
            <w:vAlign w:val="bottom"/>
          </w:tcPr>
          <w:p>
            <w:pPr>
              <w:spacing w:after="0"/>
              <w:rPr>
                <w:sz w:val="16"/>
                <w:szCs w:val="16"/>
                <w:color w:val="auto"/>
              </w:rPr>
            </w:pPr>
          </w:p>
        </w:tc>
        <w:tc>
          <w:tcPr>
            <w:tcW w:w="19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Page 3</w:t>
      </w:r>
    </w:p>
    <w:p>
      <w:pPr>
        <w:sectPr>
          <w:pgSz w:w="11900" w:h="16838" w:orient="portrait"/>
          <w:cols w:equalWidth="0" w:num="1">
            <w:col w:w="11520"/>
          </w:cols>
          <w:pgMar w:left="240" w:top="300" w:right="139"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p>
      <w:pPr>
        <w:spacing w:after="0" w:line="200" w:lineRule="exact"/>
        <w:rPr>
          <w:sz w:val="20"/>
          <w:szCs w:val="20"/>
          <w:color w:val="auto"/>
        </w:rPr>
      </w:pPr>
    </w:p>
    <w:p>
      <w:pPr>
        <w:spacing w:after="0" w:line="358" w:lineRule="exact"/>
        <w:rPr>
          <w:sz w:val="20"/>
          <w:szCs w:val="20"/>
          <w:color w:val="auto"/>
        </w:rPr>
      </w:pPr>
    </w:p>
    <w:p>
      <w:pPr>
        <w:jc w:val="center"/>
        <w:ind w:left="320"/>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4" w:lineRule="exact"/>
        <w:rPr>
          <w:sz w:val="20"/>
          <w:szCs w:val="20"/>
          <w:color w:val="auto"/>
        </w:rPr>
      </w:pPr>
    </w:p>
    <w:p>
      <w:pPr>
        <w:jc w:val="center"/>
        <w:ind w:left="320"/>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4" w:lineRule="exact"/>
        <w:rPr>
          <w:sz w:val="20"/>
          <w:szCs w:val="20"/>
          <w:color w:val="auto"/>
        </w:rPr>
      </w:pPr>
    </w:p>
    <w:p>
      <w:pPr>
        <w:jc w:val="center"/>
        <w:ind w:left="320"/>
        <w:spacing w:after="0"/>
        <w:rPr>
          <w:sz w:val="20"/>
          <w:szCs w:val="20"/>
          <w:color w:val="auto"/>
        </w:rPr>
      </w:pPr>
      <w:r>
        <w:rPr>
          <w:rFonts w:ascii="Courier New" w:cs="Courier New" w:eastAsia="Courier New" w:hAnsi="Courier New"/>
          <w:sz w:val="16"/>
          <w:szCs w:val="16"/>
          <w:color w:val="auto"/>
        </w:rPr>
        <w:t>(Unaudited)</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 FLOWS FROM OPERATING ACTIVITIES:</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Net income</w:t>
      </w:r>
    </w:p>
    <w:p>
      <w:pPr>
        <w:spacing w:after="0" w:line="5" w:lineRule="exact"/>
        <w:rPr>
          <w:sz w:val="20"/>
          <w:szCs w:val="20"/>
          <w:color w:val="auto"/>
        </w:rPr>
      </w:pPr>
    </w:p>
    <w:p>
      <w:pPr>
        <w:ind w:left="580" w:right="2460" w:hanging="287"/>
        <w:spacing w:after="0" w:line="242" w:lineRule="auto"/>
        <w:rPr>
          <w:sz w:val="20"/>
          <w:szCs w:val="20"/>
          <w:color w:val="auto"/>
        </w:rPr>
      </w:pPr>
      <w:r>
        <w:rPr>
          <w:rFonts w:ascii="Courier New" w:cs="Courier New" w:eastAsia="Courier New" w:hAnsi="Courier New"/>
          <w:sz w:val="16"/>
          <w:szCs w:val="16"/>
          <w:color w:val="auto"/>
        </w:rPr>
        <w:t>Adjustments to reconcile net income to net cash used in operating activities:</w:t>
      </w:r>
    </w:p>
    <w:p>
      <w:pPr>
        <w:spacing w:after="0" w:line="2"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Depreciation and amortization</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Equity in income of unconsolidated business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Postretirement benefits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Unusual charges, net</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Net decrease in certain components of</w:t>
      </w:r>
    </w:p>
    <w:p>
      <w:pPr>
        <w:spacing w:after="0" w:line="4"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working capital</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Net decrease in other assets and</w:t>
      </w:r>
    </w:p>
    <w:p>
      <w:pPr>
        <w:spacing w:after="0" w:line="4"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liabilities and other adjustments</w:t>
      </w:r>
    </w:p>
    <w:p>
      <w:pPr>
        <w:spacing w:after="0" w:line="373" w:lineRule="exact"/>
        <w:rPr>
          <w:sz w:val="20"/>
          <w:szCs w:val="20"/>
          <w:color w:val="auto"/>
        </w:rPr>
      </w:pPr>
    </w:p>
    <w:p>
      <w:pPr>
        <w:jc w:val="right"/>
        <w:ind w:right="1600"/>
        <w:spacing w:after="0"/>
        <w:rPr>
          <w:sz w:val="20"/>
          <w:szCs w:val="20"/>
          <w:color w:val="auto"/>
        </w:rPr>
      </w:pPr>
      <w:r>
        <w:rPr>
          <w:rFonts w:ascii="Courier New" w:cs="Courier New" w:eastAsia="Courier New" w:hAnsi="Courier New"/>
          <w:sz w:val="16"/>
          <w:szCs w:val="16"/>
          <w:color w:val="auto"/>
        </w:rPr>
        <w:t>Net cash provided by operating activities</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 FLOWS FROM INVESTING ACTIVITIES</w:t>
      </w:r>
    </w:p>
    <w:p>
      <w:pPr>
        <w:spacing w:after="0" w:line="5" w:lineRule="exact"/>
        <w:rPr>
          <w:sz w:val="20"/>
          <w:szCs w:val="20"/>
          <w:color w:val="auto"/>
        </w:rPr>
      </w:pPr>
    </w:p>
    <w:p>
      <w:pPr>
        <w:ind w:left="280" w:right="2360"/>
        <w:spacing w:after="0" w:line="242" w:lineRule="auto"/>
        <w:rPr>
          <w:sz w:val="20"/>
          <w:szCs w:val="20"/>
          <w:color w:val="auto"/>
        </w:rPr>
      </w:pPr>
      <w:r>
        <w:rPr>
          <w:rFonts w:ascii="Courier New" w:cs="Courier New" w:eastAsia="Courier New" w:hAnsi="Courier New"/>
          <w:sz w:val="16"/>
          <w:szCs w:val="16"/>
          <w:color w:val="auto"/>
        </w:rPr>
        <w:t>Investment in property, plant and equipment, net Acquisition</w:t>
      </w:r>
    </w:p>
    <w:p>
      <w:pPr>
        <w:spacing w:after="0" w:line="372"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Net cash used in investing activities</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 FLOWS FROM FINANCING ACTIVITIES</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Payments on term and other debt</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Revolving lines of credit and bank line of credit, net</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Purchase of Common Shares</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Issuance of Common Shares</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Deferred financing costs incurred</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Dividends on preferred stock</w:t>
      </w:r>
    </w:p>
    <w:p>
      <w:pPr>
        <w:spacing w:after="0" w:line="373"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Net cash used in financing activities</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 of exchange rate changes on cash</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increase in cash</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 at beginning of period</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 at end of period</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SUPPLEMENTAL CASH FLOW INFORMATION</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Interest paid, net of amount capitalized</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Income taxes paid</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Business acquired:</w:t>
      </w:r>
    </w:p>
    <w:p>
      <w:pPr>
        <w:spacing w:after="0" w:line="4"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Fair value of assets acquired</w:t>
      </w:r>
    </w:p>
    <w:p>
      <w:pPr>
        <w:spacing w:after="0" w:line="4"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Liabilities assumed</w:t>
      </w:r>
    </w:p>
    <w:p>
      <w:pPr>
        <w:spacing w:after="0" w:line="4"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Net cost of acquisition</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188" w:lineRule="exact"/>
        <w:rPr>
          <w:sz w:val="20"/>
          <w:szCs w:val="20"/>
          <w:color w:val="auto"/>
        </w:rPr>
      </w:pPr>
    </w:p>
    <w:p>
      <w:pPr>
        <w:jc w:val="center"/>
        <w:ind w:left="420"/>
        <w:spacing w:after="0"/>
        <w:rPr>
          <w:sz w:val="20"/>
          <w:szCs w:val="20"/>
          <w:color w:val="auto"/>
        </w:rPr>
      </w:pPr>
      <w:r>
        <w:rPr>
          <w:rFonts w:ascii="Courier New" w:cs="Courier New" w:eastAsia="Courier New" w:hAnsi="Courier New"/>
          <w:sz w:val="16"/>
          <w:szCs w:val="16"/>
          <w:color w:val="auto"/>
        </w:rPr>
        <w:t>Page 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Nine Months Ended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300" w:type="dxa"/>
            <w:vAlign w:val="bottom"/>
          </w:tcPr>
          <w:p>
            <w:pPr>
              <w:jc w:val="right"/>
              <w:ind w:right="560"/>
              <w:spacing w:after="0"/>
              <w:rPr>
                <w:sz w:val="20"/>
                <w:szCs w:val="20"/>
                <w:color w:val="auto"/>
              </w:rPr>
            </w:pPr>
            <w:r>
              <w:rPr>
                <w:rFonts w:ascii="Courier New" w:cs="Courier New" w:eastAsia="Courier New" w:hAnsi="Courier New"/>
                <w:sz w:val="16"/>
                <w:szCs w:val="16"/>
                <w:color w:val="auto"/>
                <w:w w:val="95"/>
              </w:rPr>
              <w:t>June 28</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June 29</w:t>
            </w:r>
          </w:p>
        </w:tc>
      </w:tr>
      <w:tr>
        <w:trPr>
          <w:trHeight w:val="185"/>
        </w:trPr>
        <w:tc>
          <w:tcPr>
            <w:tcW w:w="130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1997</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1996</w:t>
            </w:r>
          </w:p>
        </w:tc>
      </w:tr>
      <w:tr>
        <w:trPr>
          <w:trHeight w:val="185"/>
        </w:trPr>
        <w:tc>
          <w:tcPr>
            <w:tcW w:w="1300" w:type="dxa"/>
            <w:vAlign w:val="bottom"/>
          </w:tcPr>
          <w:p>
            <w:pPr>
              <w:jc w:val="right"/>
              <w:ind w:right="560"/>
              <w:spacing w:after="0"/>
              <w:rPr>
                <w:sz w:val="20"/>
                <w:szCs w:val="20"/>
                <w:color w:val="auto"/>
              </w:rPr>
            </w:pPr>
            <w:r>
              <w:rPr>
                <w:rFonts w:ascii="Courier New" w:cs="Courier New" w:eastAsia="Courier New" w:hAnsi="Courier New"/>
                <w:sz w:val="16"/>
                <w:szCs w:val="16"/>
                <w:color w:val="auto"/>
                <w:w w:val="95"/>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54"/>
        </w:trPr>
        <w:tc>
          <w:tcPr>
            <w:tcW w:w="130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$ 43.0</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$ 11.1</w:t>
            </w:r>
          </w:p>
        </w:tc>
      </w:tr>
      <w:tr>
        <w:trPr>
          <w:trHeight w:val="554"/>
        </w:trPr>
        <w:tc>
          <w:tcPr>
            <w:tcW w:w="130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24.0</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22.1</w:t>
            </w:r>
          </w:p>
        </w:tc>
      </w:tr>
      <w:tr>
        <w:trPr>
          <w:trHeight w:val="185"/>
        </w:trPr>
        <w:tc>
          <w:tcPr>
            <w:tcW w:w="130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(0.1)</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(0.4)</w:t>
            </w:r>
          </w:p>
        </w:tc>
      </w:tr>
      <w:tr>
        <w:trPr>
          <w:trHeight w:val="185"/>
        </w:trPr>
        <w:tc>
          <w:tcPr>
            <w:tcW w:w="130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0.1</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0.1</w:t>
            </w:r>
          </w:p>
        </w:tc>
      </w:tr>
    </w:tbl>
    <w:p>
      <w:pPr>
        <w:spacing w:after="0" w:line="4" w:lineRule="exact"/>
        <w:rPr>
          <w:sz w:val="20"/>
          <w:szCs w:val="20"/>
          <w:color w:val="auto"/>
        </w:rPr>
      </w:pPr>
    </w:p>
    <w:p>
      <w:pPr>
        <w:ind w:left="2100" w:hanging="1627"/>
        <w:spacing w:after="0"/>
        <w:tabs>
          <w:tab w:leader="none" w:pos="21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6.7</w:t>
      </w:r>
    </w:p>
    <w:p>
      <w:pPr>
        <w:spacing w:after="0" w:line="188" w:lineRule="exact"/>
        <w:rPr>
          <w:sz w:val="20"/>
          <w:szCs w:val="20"/>
          <w:color w:val="auto"/>
        </w:rPr>
      </w:pPr>
    </w:p>
    <w:tbl>
      <w:tblPr>
        <w:tblLayout w:type="fixed"/>
        <w:tblInd w:w="80" w:type="dxa"/>
        <w:tblCellMar>
          <w:top w:w="0" w:type="dxa"/>
          <w:left w:w="0" w:type="dxa"/>
          <w:bottom w:w="0" w:type="dxa"/>
          <w:right w:w="0" w:type="dxa"/>
        </w:tblCellMar>
      </w:tblPr>
      <w:tr>
        <w:trPr>
          <w:trHeight w:val="181"/>
        </w:trPr>
        <w:tc>
          <w:tcPr>
            <w:tcW w:w="122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27.3</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30.3</w:t>
            </w:r>
          </w:p>
        </w:tc>
      </w:tr>
      <w:tr>
        <w:trPr>
          <w:trHeight w:val="370"/>
        </w:trPr>
        <w:tc>
          <w:tcPr>
            <w:tcW w:w="122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4.1</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6.4</w:t>
            </w:r>
          </w:p>
        </w:tc>
      </w:tr>
      <w:tr>
        <w:trPr>
          <w:trHeight w:val="185"/>
        </w:trPr>
        <w:tc>
          <w:tcPr>
            <w:tcW w:w="1220" w:type="dxa"/>
            <w:vAlign w:val="bottom"/>
          </w:tcPr>
          <w:p>
            <w:pPr>
              <w:jc w:val="right"/>
              <w:ind w:right="560"/>
              <w:spacing w:after="0"/>
              <w:rPr>
                <w:sz w:val="20"/>
                <w:szCs w:val="20"/>
                <w:color w:val="auto"/>
              </w:rPr>
            </w:pPr>
            <w:r>
              <w:rPr>
                <w:rFonts w:ascii="Courier New" w:cs="Courier New" w:eastAsia="Courier New" w:hAnsi="Courier New"/>
                <w:sz w:val="16"/>
                <w:szCs w:val="16"/>
                <w:color w:val="auto"/>
                <w:w w:val="97"/>
              </w:rPr>
              <w:t>------</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122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98.4</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76.3</w:t>
            </w:r>
          </w:p>
        </w:tc>
      </w:tr>
      <w:tr>
        <w:trPr>
          <w:trHeight w:val="185"/>
        </w:trPr>
        <w:tc>
          <w:tcPr>
            <w:tcW w:w="1220" w:type="dxa"/>
            <w:vAlign w:val="bottom"/>
          </w:tcPr>
          <w:p>
            <w:pPr>
              <w:jc w:val="right"/>
              <w:ind w:right="560"/>
              <w:spacing w:after="0"/>
              <w:rPr>
                <w:sz w:val="20"/>
                <w:szCs w:val="20"/>
                <w:color w:val="auto"/>
              </w:rPr>
            </w:pPr>
            <w:r>
              <w:rPr>
                <w:rFonts w:ascii="Courier New" w:cs="Courier New" w:eastAsia="Courier New" w:hAnsi="Courier New"/>
                <w:sz w:val="16"/>
                <w:szCs w:val="16"/>
                <w:color w:val="auto"/>
                <w:w w:val="97"/>
              </w:rPr>
              <w:t>------</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554"/>
        </w:trPr>
        <w:tc>
          <w:tcPr>
            <w:tcW w:w="122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(9.4)</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(11.0)</w:t>
            </w:r>
          </w:p>
        </w:tc>
      </w:tr>
      <w:tr>
        <w:trPr>
          <w:trHeight w:val="185"/>
        </w:trPr>
        <w:tc>
          <w:tcPr>
            <w:tcW w:w="122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(47.1)</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1220" w:type="dxa"/>
            <w:vAlign w:val="bottom"/>
          </w:tcPr>
          <w:p>
            <w:pPr>
              <w:jc w:val="right"/>
              <w:ind w:right="560"/>
              <w:spacing w:after="0"/>
              <w:rPr>
                <w:sz w:val="20"/>
                <w:szCs w:val="20"/>
                <w:color w:val="auto"/>
              </w:rPr>
            </w:pPr>
            <w:r>
              <w:rPr>
                <w:rFonts w:ascii="Courier New" w:cs="Courier New" w:eastAsia="Courier New" w:hAnsi="Courier New"/>
                <w:sz w:val="16"/>
                <w:szCs w:val="16"/>
                <w:color w:val="auto"/>
                <w:w w:val="97"/>
              </w:rPr>
              <w:t>------</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122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(56.5)</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(11.0)</w:t>
            </w:r>
          </w:p>
        </w:tc>
      </w:tr>
      <w:tr>
        <w:trPr>
          <w:trHeight w:val="185"/>
        </w:trPr>
        <w:tc>
          <w:tcPr>
            <w:tcW w:w="1220" w:type="dxa"/>
            <w:vAlign w:val="bottom"/>
          </w:tcPr>
          <w:p>
            <w:pPr>
              <w:jc w:val="right"/>
              <w:ind w:right="560"/>
              <w:spacing w:after="0"/>
              <w:rPr>
                <w:sz w:val="20"/>
                <w:szCs w:val="20"/>
                <w:color w:val="auto"/>
              </w:rPr>
            </w:pPr>
            <w:r>
              <w:rPr>
                <w:rFonts w:ascii="Courier New" w:cs="Courier New" w:eastAsia="Courier New" w:hAnsi="Courier New"/>
                <w:sz w:val="16"/>
                <w:szCs w:val="16"/>
                <w:color w:val="auto"/>
                <w:w w:val="97"/>
              </w:rPr>
              <w:t>------</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ind w:left="2020" w:hanging="1547"/>
        <w:spacing w:after="0"/>
        <w:tabs>
          <w:tab w:leader="none" w:pos="20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(0.3)</w:t>
      </w:r>
    </w:p>
    <w:p>
      <w:pPr>
        <w:spacing w:after="0" w:line="4" w:lineRule="exact"/>
        <w:rPr>
          <w:sz w:val="20"/>
          <w:szCs w:val="20"/>
          <w:color w:val="auto"/>
        </w:rPr>
      </w:pPr>
    </w:p>
    <w:p>
      <w:pPr>
        <w:ind w:left="180"/>
        <w:spacing w:after="0"/>
        <w:tabs>
          <w:tab w:leader="none" w:pos="1900" w:val="left"/>
        </w:tabs>
        <w:rPr>
          <w:sz w:val="20"/>
          <w:szCs w:val="20"/>
          <w:color w:val="auto"/>
        </w:rPr>
      </w:pPr>
      <w:r>
        <w:rPr>
          <w:rFonts w:ascii="Courier New" w:cs="Courier New" w:eastAsia="Courier New" w:hAnsi="Courier New"/>
          <w:sz w:val="16"/>
          <w:szCs w:val="16"/>
          <w:color w:val="auto"/>
        </w:rPr>
        <w:t>(12.1)</w:t>
      </w:r>
      <w:r>
        <w:rPr>
          <w:sz w:val="20"/>
          <w:szCs w:val="20"/>
          <w:color w:val="auto"/>
        </w:rPr>
        <w:tab/>
      </w:r>
      <w:r>
        <w:rPr>
          <w:rFonts w:ascii="Courier New" w:cs="Courier New" w:eastAsia="Courier New" w:hAnsi="Courier New"/>
          <w:sz w:val="16"/>
          <w:szCs w:val="16"/>
          <w:color w:val="auto"/>
        </w:rPr>
        <w:t>(49.6)</w:t>
      </w:r>
    </w:p>
    <w:p>
      <w:pPr>
        <w:spacing w:after="0" w:line="4" w:lineRule="exact"/>
        <w:rPr>
          <w:sz w:val="20"/>
          <w:szCs w:val="20"/>
          <w:color w:val="auto"/>
        </w:rPr>
      </w:pPr>
    </w:p>
    <w:p>
      <w:pPr>
        <w:ind w:left="2020" w:hanging="1547"/>
        <w:spacing w:after="0"/>
        <w:tabs>
          <w:tab w:leader="none" w:pos="20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(4.2)</w:t>
      </w:r>
    </w:p>
    <w:p>
      <w:pPr>
        <w:spacing w:after="0" w:line="4" w:lineRule="exact"/>
        <w:rPr>
          <w:sz w:val="20"/>
          <w:szCs w:val="20"/>
          <w:color w:val="auto"/>
        </w:rPr>
      </w:pPr>
    </w:p>
    <w:tbl>
      <w:tblPr>
        <w:tblLayout w:type="fixed"/>
        <w:tblInd w:w="80" w:type="dxa"/>
        <w:tblCellMar>
          <w:top w:w="0" w:type="dxa"/>
          <w:left w:w="0" w:type="dxa"/>
          <w:bottom w:w="0" w:type="dxa"/>
          <w:right w:w="0" w:type="dxa"/>
        </w:tblCellMar>
      </w:tblPr>
      <w:tr>
        <w:trPr>
          <w:trHeight w:val="181"/>
        </w:trPr>
        <w:tc>
          <w:tcPr>
            <w:tcW w:w="122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1.3</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7.4</w:t>
            </w:r>
          </w:p>
        </w:tc>
      </w:tr>
      <w:tr>
        <w:trPr>
          <w:trHeight w:val="185"/>
        </w:trPr>
        <w:tc>
          <w:tcPr>
            <w:tcW w:w="122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(0.2)</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122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(7.3)</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(7.3)</w:t>
            </w:r>
          </w:p>
        </w:tc>
      </w:tr>
      <w:tr>
        <w:trPr>
          <w:trHeight w:val="185"/>
        </w:trPr>
        <w:tc>
          <w:tcPr>
            <w:tcW w:w="1220" w:type="dxa"/>
            <w:vAlign w:val="bottom"/>
          </w:tcPr>
          <w:p>
            <w:pPr>
              <w:jc w:val="right"/>
              <w:ind w:right="560"/>
              <w:spacing w:after="0"/>
              <w:rPr>
                <w:sz w:val="20"/>
                <w:szCs w:val="20"/>
                <w:color w:val="auto"/>
              </w:rPr>
            </w:pPr>
            <w:r>
              <w:rPr>
                <w:rFonts w:ascii="Courier New" w:cs="Courier New" w:eastAsia="Courier New" w:hAnsi="Courier New"/>
                <w:sz w:val="16"/>
                <w:szCs w:val="16"/>
                <w:color w:val="auto"/>
                <w:w w:val="97"/>
              </w:rPr>
              <w:t>------</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122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(18.3)</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(54.0)</w:t>
            </w:r>
          </w:p>
        </w:tc>
      </w:tr>
      <w:tr>
        <w:trPr>
          <w:trHeight w:val="185"/>
        </w:trPr>
        <w:tc>
          <w:tcPr>
            <w:tcW w:w="1220" w:type="dxa"/>
            <w:vAlign w:val="bottom"/>
          </w:tcPr>
          <w:p>
            <w:pPr>
              <w:jc w:val="right"/>
              <w:ind w:right="560"/>
              <w:spacing w:after="0"/>
              <w:rPr>
                <w:sz w:val="20"/>
                <w:szCs w:val="20"/>
                <w:color w:val="auto"/>
              </w:rPr>
            </w:pPr>
            <w:r>
              <w:rPr>
                <w:rFonts w:ascii="Courier New" w:cs="Courier New" w:eastAsia="Courier New" w:hAnsi="Courier New"/>
                <w:sz w:val="16"/>
                <w:szCs w:val="16"/>
                <w:color w:val="auto"/>
                <w:w w:val="97"/>
              </w:rPr>
              <w:t>------</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122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(5.8)</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5"/>
        </w:trPr>
        <w:tc>
          <w:tcPr>
            <w:tcW w:w="1220" w:type="dxa"/>
            <w:vAlign w:val="bottom"/>
          </w:tcPr>
          <w:p>
            <w:pPr>
              <w:jc w:val="right"/>
              <w:ind w:right="560"/>
              <w:spacing w:after="0"/>
              <w:rPr>
                <w:sz w:val="20"/>
                <w:szCs w:val="20"/>
                <w:color w:val="auto"/>
              </w:rPr>
            </w:pPr>
            <w:r>
              <w:rPr>
                <w:rFonts w:ascii="Courier New" w:cs="Courier New" w:eastAsia="Courier New" w:hAnsi="Courier New"/>
                <w:sz w:val="16"/>
                <w:szCs w:val="16"/>
                <w:color w:val="auto"/>
                <w:w w:val="97"/>
              </w:rPr>
              <w:t>------</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122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17.8</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9.9</w:t>
            </w:r>
          </w:p>
        </w:tc>
      </w:tr>
      <w:tr>
        <w:trPr>
          <w:trHeight w:val="370"/>
        </w:trPr>
        <w:tc>
          <w:tcPr>
            <w:tcW w:w="122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10.6</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7.0</w:t>
            </w:r>
          </w:p>
        </w:tc>
      </w:tr>
      <w:tr>
        <w:trPr>
          <w:trHeight w:val="185"/>
        </w:trPr>
        <w:tc>
          <w:tcPr>
            <w:tcW w:w="1220" w:type="dxa"/>
            <w:vAlign w:val="bottom"/>
          </w:tcPr>
          <w:p>
            <w:pPr>
              <w:jc w:val="right"/>
              <w:ind w:right="560"/>
              <w:spacing w:after="0"/>
              <w:rPr>
                <w:sz w:val="20"/>
                <w:szCs w:val="20"/>
                <w:color w:val="auto"/>
              </w:rPr>
            </w:pPr>
            <w:r>
              <w:rPr>
                <w:rFonts w:ascii="Courier New" w:cs="Courier New" w:eastAsia="Courier New" w:hAnsi="Courier New"/>
                <w:sz w:val="16"/>
                <w:szCs w:val="16"/>
                <w:color w:val="auto"/>
                <w:w w:val="97"/>
              </w:rPr>
              <w:t>------</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1220" w:type="dxa"/>
            <w:vAlign w:val="bottom"/>
          </w:tcPr>
          <w:p>
            <w:pPr>
              <w:jc w:val="right"/>
              <w:ind w:right="560"/>
              <w:spacing w:after="0"/>
              <w:rPr>
                <w:sz w:val="20"/>
                <w:szCs w:val="20"/>
                <w:color w:val="auto"/>
              </w:rPr>
            </w:pPr>
            <w:r>
              <w:rPr>
                <w:rFonts w:ascii="Courier New" w:cs="Courier New" w:eastAsia="Courier New" w:hAnsi="Courier New"/>
                <w:sz w:val="16"/>
                <w:szCs w:val="16"/>
                <w:color w:val="auto"/>
                <w:w w:val="97"/>
              </w:rPr>
              <w:t>$ 28.4</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$ 16.9</w:t>
            </w:r>
          </w:p>
        </w:tc>
      </w:tr>
      <w:tr>
        <w:trPr>
          <w:trHeight w:val="185"/>
        </w:trPr>
        <w:tc>
          <w:tcPr>
            <w:tcW w:w="1220" w:type="dxa"/>
            <w:vAlign w:val="bottom"/>
          </w:tcPr>
          <w:p>
            <w:pPr>
              <w:jc w:val="right"/>
              <w:ind w:right="560"/>
              <w:spacing w:after="0"/>
              <w:rPr>
                <w:sz w:val="20"/>
                <w:szCs w:val="20"/>
                <w:color w:val="auto"/>
              </w:rPr>
            </w:pPr>
            <w:r>
              <w:rPr>
                <w:rFonts w:ascii="Courier New" w:cs="Courier New" w:eastAsia="Courier New" w:hAnsi="Courier New"/>
                <w:sz w:val="16"/>
                <w:szCs w:val="16"/>
                <w:color w:val="auto"/>
                <w:w w:val="97"/>
              </w:rPr>
              <w:t>======</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554"/>
        </w:trPr>
        <w:tc>
          <w:tcPr>
            <w:tcW w:w="1220" w:type="dxa"/>
            <w:vAlign w:val="bottom"/>
          </w:tcPr>
          <w:p>
            <w:pPr>
              <w:jc w:val="right"/>
              <w:ind w:right="560"/>
              <w:spacing w:after="0"/>
              <w:rPr>
                <w:sz w:val="20"/>
                <w:szCs w:val="20"/>
                <w:color w:val="auto"/>
              </w:rPr>
            </w:pPr>
            <w:r>
              <w:rPr>
                <w:rFonts w:ascii="Courier New" w:cs="Courier New" w:eastAsia="Courier New" w:hAnsi="Courier New"/>
                <w:sz w:val="16"/>
                <w:szCs w:val="16"/>
                <w:color w:val="auto"/>
                <w:w w:val="97"/>
              </w:rPr>
              <w:t>$ 16.3</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$ 18.2</w:t>
            </w:r>
          </w:p>
        </w:tc>
      </w:tr>
      <w:tr>
        <w:trPr>
          <w:trHeight w:val="185"/>
        </w:trPr>
        <w:tc>
          <w:tcPr>
            <w:tcW w:w="1220" w:type="dxa"/>
            <w:vAlign w:val="bottom"/>
          </w:tcPr>
          <w:p>
            <w:pPr>
              <w:jc w:val="right"/>
              <w:ind w:right="560"/>
              <w:spacing w:after="0"/>
              <w:rPr>
                <w:sz w:val="20"/>
                <w:szCs w:val="20"/>
                <w:color w:val="auto"/>
              </w:rPr>
            </w:pPr>
            <w:r>
              <w:rPr>
                <w:rFonts w:ascii="Courier New" w:cs="Courier New" w:eastAsia="Courier New" w:hAnsi="Courier New"/>
                <w:sz w:val="16"/>
                <w:szCs w:val="16"/>
                <w:color w:val="auto"/>
                <w:w w:val="97"/>
              </w:rPr>
              <w:t>$ 16.3</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3.8</w:t>
            </w:r>
          </w:p>
        </w:tc>
      </w:tr>
      <w:tr>
        <w:trPr>
          <w:trHeight w:val="370"/>
        </w:trPr>
        <w:tc>
          <w:tcPr>
            <w:tcW w:w="122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103.5</w:t>
            </w:r>
          </w:p>
        </w:tc>
        <w:tc>
          <w:tcPr>
            <w:tcW w:w="1200" w:type="dxa"/>
            <w:vAlign w:val="bottom"/>
          </w:tcPr>
          <w:p>
            <w:pPr>
              <w:spacing w:after="0"/>
              <w:rPr>
                <w:sz w:val="24"/>
                <w:szCs w:val="24"/>
                <w:color w:val="auto"/>
              </w:rPr>
            </w:pPr>
          </w:p>
        </w:tc>
      </w:tr>
      <w:tr>
        <w:trPr>
          <w:trHeight w:val="185"/>
        </w:trPr>
        <w:tc>
          <w:tcPr>
            <w:tcW w:w="122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45.3</w:t>
            </w:r>
          </w:p>
        </w:tc>
        <w:tc>
          <w:tcPr>
            <w:tcW w:w="1200" w:type="dxa"/>
            <w:vAlign w:val="bottom"/>
          </w:tcPr>
          <w:p>
            <w:pPr>
              <w:spacing w:after="0"/>
              <w:rPr>
                <w:sz w:val="16"/>
                <w:szCs w:val="16"/>
                <w:color w:val="auto"/>
              </w:rPr>
            </w:pPr>
          </w:p>
        </w:tc>
      </w:tr>
      <w:tr>
        <w:trPr>
          <w:trHeight w:val="185"/>
        </w:trPr>
        <w:tc>
          <w:tcPr>
            <w:tcW w:w="122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58.2</w:t>
            </w:r>
          </w:p>
        </w:tc>
        <w:tc>
          <w:tcPr>
            <w:tcW w:w="1200" w:type="dxa"/>
            <w:vAlign w:val="bottom"/>
          </w:tcPr>
          <w:p>
            <w:pPr>
              <w:spacing w:after="0"/>
              <w:rPr>
                <w:sz w:val="16"/>
                <w:szCs w:val="16"/>
                <w:color w:val="auto"/>
              </w:rPr>
            </w:pPr>
          </w:p>
        </w:tc>
      </w:tr>
    </w:tbl>
    <w:p>
      <w:pPr>
        <w:sectPr>
          <w:pgSz w:w="11900" w:h="16838" w:orient="portrait"/>
          <w:cols w:equalWidth="0" w:num="2">
            <w:col w:w="7260" w:space="720"/>
            <w:col w:w="2500"/>
          </w:cols>
          <w:pgMar w:left="240" w:top="300" w:right="117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140" w:type="dxa"/>
            <w:vAlign w:val="bottom"/>
          </w:tcPr>
          <w:p>
            <w:pPr>
              <w:ind w:left="280"/>
              <w:spacing w:after="0"/>
              <w:rPr>
                <w:sz w:val="20"/>
                <w:szCs w:val="20"/>
                <w:color w:val="auto"/>
              </w:rPr>
            </w:pPr>
            <w:r>
              <w:rPr>
                <w:rFonts w:ascii="Courier New" w:cs="Courier New" w:eastAsia="Courier New" w:hAnsi="Courier New"/>
                <w:sz w:val="16"/>
                <w:szCs w:val="16"/>
                <w:color w:val="auto"/>
              </w:rPr>
              <w:t>5</w:t>
            </w:r>
          </w:p>
        </w:tc>
        <w:tc>
          <w:tcPr>
            <w:tcW w:w="19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739"/>
        </w:trPr>
        <w:tc>
          <w:tcPr>
            <w:tcW w:w="6140" w:type="dxa"/>
            <w:vAlign w:val="bottom"/>
          </w:tcPr>
          <w:p>
            <w:pPr>
              <w:jc w:val="center"/>
              <w:ind w:left="1380"/>
              <w:spacing w:after="0"/>
              <w:rPr>
                <w:sz w:val="20"/>
                <w:szCs w:val="20"/>
                <w:color w:val="auto"/>
              </w:rPr>
            </w:pPr>
            <w:r>
              <w:rPr>
                <w:rFonts w:ascii="Courier New" w:cs="Courier New" w:eastAsia="Courier New" w:hAnsi="Courier New"/>
                <w:sz w:val="16"/>
                <w:szCs w:val="16"/>
                <w:color w:val="auto"/>
                <w:w w:val="99"/>
              </w:rPr>
              <w:t>THE SCOTTS COMPANY AND SUBSIDIARIES</w:t>
            </w:r>
          </w:p>
        </w:tc>
        <w:tc>
          <w:tcPr>
            <w:tcW w:w="1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85"/>
        </w:trPr>
        <w:tc>
          <w:tcPr>
            <w:tcW w:w="6140" w:type="dxa"/>
            <w:vAlign w:val="bottom"/>
          </w:tcPr>
          <w:p>
            <w:pPr>
              <w:jc w:val="center"/>
              <w:ind w:left="1380"/>
              <w:spacing w:after="0"/>
              <w:rPr>
                <w:sz w:val="20"/>
                <w:szCs w:val="20"/>
                <w:color w:val="auto"/>
              </w:rPr>
            </w:pPr>
            <w:r>
              <w:rPr>
                <w:rFonts w:ascii="Courier New" w:cs="Courier New" w:eastAsia="Courier New" w:hAnsi="Courier New"/>
                <w:sz w:val="16"/>
                <w:szCs w:val="16"/>
                <w:color w:val="auto"/>
              </w:rPr>
              <w:t>CONSOLIDATED BALANCE SHEETS</w:t>
            </w:r>
          </w:p>
        </w:tc>
        <w:tc>
          <w:tcPr>
            <w:tcW w:w="19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85"/>
        </w:trPr>
        <w:tc>
          <w:tcPr>
            <w:tcW w:w="6140" w:type="dxa"/>
            <w:vAlign w:val="bottom"/>
          </w:tcPr>
          <w:p>
            <w:pPr>
              <w:jc w:val="center"/>
              <w:ind w:left="1360"/>
              <w:spacing w:after="0"/>
              <w:rPr>
                <w:sz w:val="20"/>
                <w:szCs w:val="20"/>
                <w:color w:val="auto"/>
              </w:rPr>
            </w:pPr>
            <w:r>
              <w:rPr>
                <w:rFonts w:ascii="Courier New" w:cs="Courier New" w:eastAsia="Courier New" w:hAnsi="Courier New"/>
                <w:sz w:val="16"/>
                <w:szCs w:val="16"/>
                <w:color w:val="auto"/>
              </w:rPr>
              <w:t>(Unaudited)</w:t>
            </w:r>
          </w:p>
        </w:tc>
        <w:tc>
          <w:tcPr>
            <w:tcW w:w="19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85"/>
        </w:trPr>
        <w:tc>
          <w:tcPr>
            <w:tcW w:w="6140" w:type="dxa"/>
            <w:vAlign w:val="bottom"/>
          </w:tcPr>
          <w:p>
            <w:pPr>
              <w:jc w:val="center"/>
              <w:ind w:left="1360"/>
              <w:spacing w:after="0"/>
              <w:rPr>
                <w:sz w:val="20"/>
                <w:szCs w:val="20"/>
                <w:color w:val="auto"/>
              </w:rPr>
            </w:pPr>
            <w:r>
              <w:rPr>
                <w:rFonts w:ascii="Courier New" w:cs="Courier New" w:eastAsia="Courier New" w:hAnsi="Courier New"/>
                <w:sz w:val="16"/>
                <w:szCs w:val="16"/>
                <w:color w:val="auto"/>
              </w:rPr>
              <w:t>(in millions)</w:t>
            </w:r>
          </w:p>
        </w:tc>
        <w:tc>
          <w:tcPr>
            <w:tcW w:w="19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370"/>
        </w:trPr>
        <w:tc>
          <w:tcPr>
            <w:tcW w:w="6140" w:type="dxa"/>
            <w:vAlign w:val="bottom"/>
          </w:tcPr>
          <w:p>
            <w:pPr>
              <w:ind w:left="3560"/>
              <w:spacing w:after="0"/>
              <w:rPr>
                <w:sz w:val="20"/>
                <w:szCs w:val="20"/>
                <w:color w:val="auto"/>
              </w:rPr>
            </w:pPr>
            <w:r>
              <w:rPr>
                <w:rFonts w:ascii="Courier New" w:cs="Courier New" w:eastAsia="Courier New" w:hAnsi="Courier New"/>
                <w:sz w:val="16"/>
                <w:szCs w:val="16"/>
                <w:color w:val="auto"/>
              </w:rPr>
              <w:t>ASSETS</w:t>
            </w:r>
          </w:p>
        </w:tc>
        <w:tc>
          <w:tcPr>
            <w:tcW w:w="1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739"/>
        </w:trPr>
        <w:tc>
          <w:tcPr>
            <w:tcW w:w="6140" w:type="dxa"/>
            <w:vAlign w:val="bottom"/>
          </w:tcPr>
          <w:p>
            <w:pPr>
              <w:spacing w:after="0"/>
              <w:rPr>
                <w:sz w:val="24"/>
                <w:szCs w:val="24"/>
                <w:color w:val="auto"/>
              </w:rPr>
            </w:pPr>
          </w:p>
        </w:tc>
        <w:tc>
          <w:tcPr>
            <w:tcW w:w="19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June 28</w:t>
            </w:r>
          </w:p>
        </w:tc>
        <w:tc>
          <w:tcPr>
            <w:tcW w:w="16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June 29</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September 30</w:t>
            </w:r>
          </w:p>
        </w:tc>
      </w:tr>
      <w:tr>
        <w:trPr>
          <w:trHeight w:val="185"/>
        </w:trPr>
        <w:tc>
          <w:tcPr>
            <w:tcW w:w="6140" w:type="dxa"/>
            <w:vAlign w:val="bottom"/>
          </w:tcPr>
          <w:p>
            <w:pPr>
              <w:spacing w:after="0"/>
              <w:rPr>
                <w:sz w:val="16"/>
                <w:szCs w:val="16"/>
                <w:color w:val="auto"/>
              </w:rPr>
            </w:pPr>
          </w:p>
        </w:tc>
        <w:tc>
          <w:tcPr>
            <w:tcW w:w="192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1997</w:t>
            </w:r>
          </w:p>
        </w:tc>
        <w:tc>
          <w:tcPr>
            <w:tcW w:w="160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1996</w:t>
            </w:r>
          </w:p>
        </w:tc>
        <w:tc>
          <w:tcPr>
            <w:tcW w:w="14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1996</w:t>
            </w:r>
          </w:p>
        </w:tc>
      </w:tr>
      <w:tr>
        <w:trPr>
          <w:trHeight w:val="185"/>
        </w:trPr>
        <w:tc>
          <w:tcPr>
            <w:tcW w:w="6140" w:type="dxa"/>
            <w:vAlign w:val="bottom"/>
          </w:tcPr>
          <w:p>
            <w:pPr>
              <w:spacing w:after="0"/>
              <w:rPr>
                <w:sz w:val="16"/>
                <w:szCs w:val="16"/>
                <w:color w:val="auto"/>
              </w:rPr>
            </w:pPr>
          </w:p>
        </w:tc>
        <w:tc>
          <w:tcPr>
            <w:tcW w:w="19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614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85"/>
        </w:trPr>
        <w:tc>
          <w:tcPr>
            <w:tcW w:w="6140" w:type="dxa"/>
            <w:vAlign w:val="bottom"/>
          </w:tcPr>
          <w:p>
            <w:pPr>
              <w:ind w:left="280"/>
              <w:spacing w:after="0"/>
              <w:rPr>
                <w:sz w:val="20"/>
                <w:szCs w:val="20"/>
                <w:color w:val="auto"/>
              </w:rPr>
            </w:pPr>
            <w:r>
              <w:rPr>
                <w:rFonts w:ascii="Courier New" w:cs="Courier New" w:eastAsia="Courier New" w:hAnsi="Courier New"/>
                <w:sz w:val="16"/>
                <w:szCs w:val="16"/>
                <w:color w:val="auto"/>
              </w:rPr>
              <w:t>Cash</w:t>
            </w:r>
          </w:p>
        </w:tc>
        <w:tc>
          <w:tcPr>
            <w:tcW w:w="19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$ 28.4</w:t>
            </w:r>
          </w:p>
        </w:tc>
        <w:tc>
          <w:tcPr>
            <w:tcW w:w="16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$ 16.9</w:t>
            </w:r>
          </w:p>
        </w:tc>
        <w:tc>
          <w:tcPr>
            <w:tcW w:w="14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$ 10.6</w:t>
            </w:r>
          </w:p>
        </w:tc>
      </w:tr>
      <w:tr>
        <w:trPr>
          <w:trHeight w:val="185"/>
        </w:trPr>
        <w:tc>
          <w:tcPr>
            <w:tcW w:w="6140" w:type="dxa"/>
            <w:vAlign w:val="bottom"/>
          </w:tcPr>
          <w:p>
            <w:pPr>
              <w:ind w:left="280"/>
              <w:spacing w:after="0"/>
              <w:rPr>
                <w:sz w:val="20"/>
                <w:szCs w:val="20"/>
                <w:color w:val="auto"/>
              </w:rPr>
            </w:pPr>
            <w:r>
              <w:rPr>
                <w:rFonts w:ascii="Courier New" w:cs="Courier New" w:eastAsia="Courier New" w:hAnsi="Courier New"/>
                <w:sz w:val="16"/>
                <w:szCs w:val="16"/>
                <w:color w:val="auto"/>
              </w:rPr>
              <w:t>Accounts receivable, less allowances</w:t>
            </w:r>
          </w:p>
        </w:tc>
        <w:tc>
          <w:tcPr>
            <w:tcW w:w="19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85"/>
        </w:trPr>
        <w:tc>
          <w:tcPr>
            <w:tcW w:w="6140" w:type="dxa"/>
            <w:vAlign w:val="bottom"/>
          </w:tcPr>
          <w:p>
            <w:pPr>
              <w:ind w:left="480"/>
              <w:spacing w:after="0"/>
              <w:rPr>
                <w:sz w:val="20"/>
                <w:szCs w:val="20"/>
                <w:color w:val="auto"/>
              </w:rPr>
            </w:pPr>
            <w:r>
              <w:rPr>
                <w:rFonts w:ascii="Courier New" w:cs="Courier New" w:eastAsia="Courier New" w:hAnsi="Courier New"/>
                <w:sz w:val="16"/>
                <w:szCs w:val="16"/>
                <w:color w:val="auto"/>
              </w:rPr>
              <w:t>of $6.0, $5.2, and $4.1, respectively</w:t>
            </w:r>
          </w:p>
        </w:tc>
        <w:tc>
          <w:tcPr>
            <w:tcW w:w="19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141.6</w:t>
            </w:r>
          </w:p>
        </w:tc>
        <w:tc>
          <w:tcPr>
            <w:tcW w:w="16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124.3</w:t>
            </w:r>
          </w:p>
        </w:tc>
        <w:tc>
          <w:tcPr>
            <w:tcW w:w="14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110.4</w:t>
            </w:r>
          </w:p>
        </w:tc>
      </w:tr>
      <w:tr>
        <w:trPr>
          <w:trHeight w:val="185"/>
        </w:trPr>
        <w:tc>
          <w:tcPr>
            <w:tcW w:w="6140" w:type="dxa"/>
            <w:vAlign w:val="bottom"/>
          </w:tcPr>
          <w:p>
            <w:pPr>
              <w:ind w:left="280"/>
              <w:spacing w:after="0"/>
              <w:rPr>
                <w:sz w:val="20"/>
                <w:szCs w:val="20"/>
                <w:color w:val="auto"/>
              </w:rPr>
            </w:pPr>
            <w:r>
              <w:rPr>
                <w:rFonts w:ascii="Courier New" w:cs="Courier New" w:eastAsia="Courier New" w:hAnsi="Courier New"/>
                <w:sz w:val="16"/>
                <w:szCs w:val="16"/>
                <w:color w:val="auto"/>
              </w:rPr>
              <w:t>Inventories</w:t>
            </w:r>
          </w:p>
        </w:tc>
        <w:tc>
          <w:tcPr>
            <w:tcW w:w="19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152.6</w:t>
            </w:r>
          </w:p>
        </w:tc>
        <w:tc>
          <w:tcPr>
            <w:tcW w:w="16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157.5</w:t>
            </w:r>
          </w:p>
        </w:tc>
        <w:tc>
          <w:tcPr>
            <w:tcW w:w="14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148.8</w:t>
            </w:r>
          </w:p>
        </w:tc>
      </w:tr>
      <w:tr>
        <w:trPr>
          <w:trHeight w:val="185"/>
        </w:trPr>
        <w:tc>
          <w:tcPr>
            <w:tcW w:w="6140" w:type="dxa"/>
            <w:vAlign w:val="bottom"/>
          </w:tcPr>
          <w:p>
            <w:pPr>
              <w:ind w:left="280"/>
              <w:spacing w:after="0"/>
              <w:rPr>
                <w:sz w:val="20"/>
                <w:szCs w:val="20"/>
                <w:color w:val="auto"/>
              </w:rPr>
            </w:pPr>
            <w:r>
              <w:rPr>
                <w:rFonts w:ascii="Courier New" w:cs="Courier New" w:eastAsia="Courier New" w:hAnsi="Courier New"/>
                <w:sz w:val="16"/>
                <w:szCs w:val="16"/>
                <w:color w:val="auto"/>
              </w:rPr>
              <w:t>Prepaid and other assets</w:t>
            </w:r>
          </w:p>
        </w:tc>
        <w:tc>
          <w:tcPr>
            <w:tcW w:w="19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21.5</w:t>
            </w:r>
          </w:p>
        </w:tc>
        <w:tc>
          <w:tcPr>
            <w:tcW w:w="16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22.0</w:t>
            </w:r>
          </w:p>
        </w:tc>
        <w:tc>
          <w:tcPr>
            <w:tcW w:w="14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22.1</w:t>
            </w:r>
          </w:p>
        </w:tc>
      </w:tr>
      <w:tr>
        <w:trPr>
          <w:trHeight w:val="185"/>
        </w:trPr>
        <w:tc>
          <w:tcPr>
            <w:tcW w:w="6140" w:type="dxa"/>
            <w:vAlign w:val="bottom"/>
          </w:tcPr>
          <w:p>
            <w:pPr>
              <w:spacing w:after="0"/>
              <w:rPr>
                <w:sz w:val="16"/>
                <w:szCs w:val="16"/>
                <w:color w:val="auto"/>
              </w:rPr>
            </w:pPr>
          </w:p>
        </w:tc>
        <w:tc>
          <w:tcPr>
            <w:tcW w:w="19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6140" w:type="dxa"/>
            <w:vAlign w:val="bottom"/>
          </w:tcPr>
          <w:p>
            <w:pPr>
              <w:ind w:left="480"/>
              <w:spacing w:after="0"/>
              <w:rPr>
                <w:sz w:val="20"/>
                <w:szCs w:val="20"/>
                <w:color w:val="auto"/>
              </w:rPr>
            </w:pPr>
            <w:r>
              <w:rPr>
                <w:rFonts w:ascii="Courier New" w:cs="Courier New" w:eastAsia="Courier New" w:hAnsi="Courier New"/>
                <w:sz w:val="16"/>
                <w:szCs w:val="16"/>
                <w:color w:val="auto"/>
              </w:rPr>
              <w:t>Total current assets</w:t>
            </w:r>
          </w:p>
        </w:tc>
        <w:tc>
          <w:tcPr>
            <w:tcW w:w="19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344.1</w:t>
            </w:r>
          </w:p>
        </w:tc>
        <w:tc>
          <w:tcPr>
            <w:tcW w:w="16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320.7</w:t>
            </w:r>
          </w:p>
        </w:tc>
        <w:tc>
          <w:tcPr>
            <w:tcW w:w="14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291.9</w:t>
            </w:r>
          </w:p>
        </w:tc>
      </w:tr>
      <w:tr>
        <w:trPr>
          <w:trHeight w:val="185"/>
        </w:trPr>
        <w:tc>
          <w:tcPr>
            <w:tcW w:w="6140" w:type="dxa"/>
            <w:vAlign w:val="bottom"/>
          </w:tcPr>
          <w:p>
            <w:pPr>
              <w:spacing w:after="0"/>
              <w:rPr>
                <w:sz w:val="16"/>
                <w:szCs w:val="16"/>
                <w:color w:val="auto"/>
              </w:rPr>
            </w:pPr>
          </w:p>
        </w:tc>
        <w:tc>
          <w:tcPr>
            <w:tcW w:w="19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370"/>
        </w:trPr>
        <w:tc>
          <w:tcPr>
            <w:tcW w:w="614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net</w:t>
            </w:r>
          </w:p>
        </w:tc>
        <w:tc>
          <w:tcPr>
            <w:tcW w:w="19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135.6</w:t>
            </w:r>
          </w:p>
        </w:tc>
        <w:tc>
          <w:tcPr>
            <w:tcW w:w="16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143.3</w:t>
            </w:r>
          </w:p>
        </w:tc>
        <w:tc>
          <w:tcPr>
            <w:tcW w:w="14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139.5</w:t>
            </w:r>
          </w:p>
        </w:tc>
      </w:tr>
      <w:tr>
        <w:trPr>
          <w:trHeight w:val="185"/>
        </w:trPr>
        <w:tc>
          <w:tcPr>
            <w:tcW w:w="6140" w:type="dxa"/>
            <w:vAlign w:val="bottom"/>
          </w:tcPr>
          <w:p>
            <w:pPr>
              <w:spacing w:after="0"/>
              <w:rPr>
                <w:sz w:val="20"/>
                <w:szCs w:val="20"/>
                <w:color w:val="auto"/>
              </w:rPr>
            </w:pPr>
            <w:r>
              <w:rPr>
                <w:rFonts w:ascii="Courier New" w:cs="Courier New" w:eastAsia="Courier New" w:hAnsi="Courier New"/>
                <w:sz w:val="16"/>
                <w:szCs w:val="16"/>
                <w:color w:val="auto"/>
              </w:rPr>
              <w:t>Trademarks</w:t>
            </w:r>
          </w:p>
        </w:tc>
        <w:tc>
          <w:tcPr>
            <w:tcW w:w="19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85.3</w:t>
            </w:r>
          </w:p>
        </w:tc>
        <w:tc>
          <w:tcPr>
            <w:tcW w:w="16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87.6</w:t>
            </w:r>
          </w:p>
        </w:tc>
        <w:tc>
          <w:tcPr>
            <w:tcW w:w="14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87.0</w:t>
            </w:r>
          </w:p>
        </w:tc>
      </w:tr>
      <w:tr>
        <w:trPr>
          <w:trHeight w:val="185"/>
        </w:trPr>
        <w:tc>
          <w:tcPr>
            <w:tcW w:w="6140" w:type="dxa"/>
            <w:vAlign w:val="bottom"/>
          </w:tcPr>
          <w:p>
            <w:pPr>
              <w:spacing w:after="0"/>
              <w:rPr>
                <w:sz w:val="20"/>
                <w:szCs w:val="20"/>
                <w:color w:val="auto"/>
              </w:rPr>
            </w:pPr>
            <w:r>
              <w:rPr>
                <w:rFonts w:ascii="Courier New" w:cs="Courier New" w:eastAsia="Courier New" w:hAnsi="Courier New"/>
                <w:sz w:val="16"/>
                <w:szCs w:val="16"/>
                <w:color w:val="auto"/>
              </w:rPr>
              <w:t>Other intangibles</w:t>
            </w:r>
          </w:p>
        </w:tc>
        <w:tc>
          <w:tcPr>
            <w:tcW w:w="19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16.0</w:t>
            </w:r>
          </w:p>
        </w:tc>
        <w:tc>
          <w:tcPr>
            <w:tcW w:w="16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20.8</w:t>
            </w:r>
          </w:p>
        </w:tc>
        <w:tc>
          <w:tcPr>
            <w:tcW w:w="14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19.5</w:t>
            </w:r>
          </w:p>
        </w:tc>
      </w:tr>
      <w:tr>
        <w:trPr>
          <w:trHeight w:val="185"/>
        </w:trPr>
        <w:tc>
          <w:tcPr>
            <w:tcW w:w="6140" w:type="dxa"/>
            <w:vAlign w:val="bottom"/>
          </w:tcPr>
          <w:p>
            <w:pPr>
              <w:spacing w:after="0"/>
              <w:rPr>
                <w:sz w:val="20"/>
                <w:szCs w:val="20"/>
                <w:color w:val="auto"/>
              </w:rPr>
            </w:pPr>
            <w:r>
              <w:rPr>
                <w:rFonts w:ascii="Courier New" w:cs="Courier New" w:eastAsia="Courier New" w:hAnsi="Courier New"/>
                <w:sz w:val="16"/>
                <w:szCs w:val="16"/>
                <w:color w:val="auto"/>
              </w:rPr>
              <w:t>Goodwill</w:t>
            </w:r>
          </w:p>
        </w:tc>
        <w:tc>
          <w:tcPr>
            <w:tcW w:w="19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250.3</w:t>
            </w:r>
          </w:p>
        </w:tc>
        <w:tc>
          <w:tcPr>
            <w:tcW w:w="16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181.4</w:t>
            </w:r>
          </w:p>
        </w:tc>
        <w:tc>
          <w:tcPr>
            <w:tcW w:w="14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180.2</w:t>
            </w:r>
          </w:p>
        </w:tc>
      </w:tr>
      <w:tr>
        <w:trPr>
          <w:trHeight w:val="185"/>
        </w:trPr>
        <w:tc>
          <w:tcPr>
            <w:tcW w:w="614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19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1.4</w:t>
            </w:r>
          </w:p>
        </w:tc>
        <w:tc>
          <w:tcPr>
            <w:tcW w:w="16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14.2</w:t>
            </w:r>
          </w:p>
        </w:tc>
        <w:tc>
          <w:tcPr>
            <w:tcW w:w="14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13.6</w:t>
            </w:r>
          </w:p>
        </w:tc>
      </w:tr>
      <w:tr>
        <w:trPr>
          <w:trHeight w:val="185"/>
        </w:trPr>
        <w:tc>
          <w:tcPr>
            <w:tcW w:w="6140" w:type="dxa"/>
            <w:vAlign w:val="bottom"/>
          </w:tcPr>
          <w:p>
            <w:pPr>
              <w:spacing w:after="0"/>
              <w:rPr>
                <w:sz w:val="16"/>
                <w:szCs w:val="16"/>
                <w:color w:val="auto"/>
              </w:rPr>
            </w:pPr>
          </w:p>
        </w:tc>
        <w:tc>
          <w:tcPr>
            <w:tcW w:w="19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370"/>
        </w:trPr>
        <w:tc>
          <w:tcPr>
            <w:tcW w:w="6140" w:type="dxa"/>
            <w:vAlign w:val="bottom"/>
          </w:tcPr>
          <w:p>
            <w:pPr>
              <w:ind w:left="480"/>
              <w:spacing w:after="0"/>
              <w:rPr>
                <w:sz w:val="20"/>
                <w:szCs w:val="20"/>
                <w:color w:val="auto"/>
              </w:rPr>
            </w:pPr>
            <w:r>
              <w:rPr>
                <w:rFonts w:ascii="Courier New" w:cs="Courier New" w:eastAsia="Courier New" w:hAnsi="Courier New"/>
                <w:sz w:val="16"/>
                <w:szCs w:val="16"/>
                <w:color w:val="auto"/>
              </w:rPr>
              <w:t>Total Assets</w:t>
            </w:r>
          </w:p>
        </w:tc>
        <w:tc>
          <w:tcPr>
            <w:tcW w:w="19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$832.7</w:t>
            </w:r>
          </w:p>
        </w:tc>
        <w:tc>
          <w:tcPr>
            <w:tcW w:w="16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$768.0</w:t>
            </w:r>
          </w:p>
        </w:tc>
        <w:tc>
          <w:tcPr>
            <w:tcW w:w="14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$731.7</w:t>
            </w:r>
          </w:p>
        </w:tc>
      </w:tr>
      <w:tr>
        <w:trPr>
          <w:trHeight w:val="185"/>
        </w:trPr>
        <w:tc>
          <w:tcPr>
            <w:tcW w:w="6140" w:type="dxa"/>
            <w:vAlign w:val="bottom"/>
          </w:tcPr>
          <w:p>
            <w:pPr>
              <w:spacing w:after="0"/>
              <w:rPr>
                <w:sz w:val="16"/>
                <w:szCs w:val="16"/>
                <w:color w:val="auto"/>
              </w:rPr>
            </w:pPr>
          </w:p>
        </w:tc>
        <w:tc>
          <w:tcPr>
            <w:tcW w:w="19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554"/>
        </w:trPr>
        <w:tc>
          <w:tcPr>
            <w:tcW w:w="8060" w:type="dxa"/>
            <w:vAlign w:val="bottom"/>
            <w:gridSpan w:val="2"/>
          </w:tcPr>
          <w:p>
            <w:pPr>
              <w:jc w:val="right"/>
              <w:ind w:right="480"/>
              <w:spacing w:after="0"/>
              <w:rPr>
                <w:sz w:val="20"/>
                <w:szCs w:val="20"/>
                <w:color w:val="auto"/>
              </w:rPr>
            </w:pPr>
            <w:r>
              <w:rPr>
                <w:rFonts w:ascii="Courier New" w:cs="Courier New" w:eastAsia="Courier New" w:hAnsi="Courier New"/>
                <w:sz w:val="16"/>
                <w:szCs w:val="16"/>
                <w:color w:val="auto"/>
              </w:rPr>
              <w:t>LIABILITIES AND SHAREHOLDERS' EQUITY</w:t>
            </w:r>
          </w:p>
        </w:tc>
        <w:tc>
          <w:tcPr>
            <w:tcW w:w="16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70"/>
        </w:trPr>
        <w:tc>
          <w:tcPr>
            <w:tcW w:w="614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85"/>
        </w:trPr>
        <w:tc>
          <w:tcPr>
            <w:tcW w:w="6140" w:type="dxa"/>
            <w:vAlign w:val="bottom"/>
          </w:tcPr>
          <w:p>
            <w:pPr>
              <w:ind w:left="280"/>
              <w:spacing w:after="0"/>
              <w:rPr>
                <w:sz w:val="20"/>
                <w:szCs w:val="20"/>
                <w:color w:val="auto"/>
              </w:rPr>
            </w:pPr>
            <w:r>
              <w:rPr>
                <w:rFonts w:ascii="Courier New" w:cs="Courier New" w:eastAsia="Courier New" w:hAnsi="Courier New"/>
                <w:sz w:val="16"/>
                <w:szCs w:val="16"/>
                <w:color w:val="auto"/>
              </w:rPr>
              <w:t>Revolving credit line</w:t>
            </w:r>
          </w:p>
        </w:tc>
        <w:tc>
          <w:tcPr>
            <w:tcW w:w="19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  1.6</w:t>
            </w:r>
          </w:p>
        </w:tc>
        <w:tc>
          <w:tcPr>
            <w:tcW w:w="16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  1.8</w:t>
            </w:r>
          </w:p>
        </w:tc>
        <w:tc>
          <w:tcPr>
            <w:tcW w:w="14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  2.0</w:t>
            </w:r>
          </w:p>
        </w:tc>
      </w:tr>
      <w:tr>
        <w:trPr>
          <w:trHeight w:val="185"/>
        </w:trPr>
        <w:tc>
          <w:tcPr>
            <w:tcW w:w="6140" w:type="dxa"/>
            <w:vAlign w:val="bottom"/>
          </w:tcPr>
          <w:p>
            <w:pPr>
              <w:ind w:left="280"/>
              <w:spacing w:after="0"/>
              <w:rPr>
                <w:sz w:val="20"/>
                <w:szCs w:val="20"/>
                <w:color w:val="auto"/>
              </w:rPr>
            </w:pPr>
            <w:r>
              <w:rPr>
                <w:rFonts w:ascii="Courier New" w:cs="Courier New" w:eastAsia="Courier New" w:hAnsi="Courier New"/>
                <w:sz w:val="16"/>
                <w:szCs w:val="16"/>
                <w:color w:val="auto"/>
              </w:rPr>
              <w:t>Current portion of term debt</w:t>
            </w:r>
          </w:p>
        </w:tc>
        <w:tc>
          <w:tcPr>
            <w:tcW w:w="19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0.2</w:t>
            </w:r>
          </w:p>
        </w:tc>
      </w:tr>
      <w:tr>
        <w:trPr>
          <w:trHeight w:val="185"/>
        </w:trPr>
        <w:tc>
          <w:tcPr>
            <w:tcW w:w="6140" w:type="dxa"/>
            <w:vAlign w:val="bottom"/>
          </w:tcPr>
          <w:p>
            <w:pPr>
              <w:ind w:left="280"/>
              <w:spacing w:after="0"/>
              <w:rPr>
                <w:sz w:val="20"/>
                <w:szCs w:val="20"/>
                <w:color w:val="auto"/>
              </w:rPr>
            </w:pPr>
            <w:r>
              <w:rPr>
                <w:rFonts w:ascii="Courier New" w:cs="Courier New" w:eastAsia="Courier New" w:hAnsi="Courier New"/>
                <w:sz w:val="16"/>
                <w:szCs w:val="16"/>
                <w:color w:val="auto"/>
              </w:rPr>
              <w:t>Accounts payable</w:t>
            </w:r>
          </w:p>
        </w:tc>
        <w:tc>
          <w:tcPr>
            <w:tcW w:w="19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53.8</w:t>
            </w:r>
          </w:p>
        </w:tc>
        <w:tc>
          <w:tcPr>
            <w:tcW w:w="16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54.0</w:t>
            </w:r>
          </w:p>
        </w:tc>
        <w:tc>
          <w:tcPr>
            <w:tcW w:w="14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46.3</w:t>
            </w:r>
          </w:p>
        </w:tc>
      </w:tr>
      <w:tr>
        <w:trPr>
          <w:trHeight w:val="185"/>
        </w:trPr>
        <w:tc>
          <w:tcPr>
            <w:tcW w:w="6140" w:type="dxa"/>
            <w:vAlign w:val="bottom"/>
          </w:tcPr>
          <w:p>
            <w:pPr>
              <w:ind w:left="280"/>
              <w:spacing w:after="0"/>
              <w:rPr>
                <w:sz w:val="20"/>
                <w:szCs w:val="20"/>
                <w:color w:val="auto"/>
              </w:rPr>
            </w:pPr>
            <w:r>
              <w:rPr>
                <w:rFonts w:ascii="Courier New" w:cs="Courier New" w:eastAsia="Courier New" w:hAnsi="Courier New"/>
                <w:sz w:val="16"/>
                <w:szCs w:val="16"/>
                <w:color w:val="auto"/>
              </w:rPr>
              <w:t>Accrued liabilities</w:t>
            </w:r>
          </w:p>
        </w:tc>
        <w:tc>
          <w:tcPr>
            <w:tcW w:w="19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70.6</w:t>
            </w:r>
          </w:p>
        </w:tc>
        <w:tc>
          <w:tcPr>
            <w:tcW w:w="16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47.1</w:t>
            </w:r>
          </w:p>
        </w:tc>
        <w:tc>
          <w:tcPr>
            <w:tcW w:w="14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42.6</w:t>
            </w:r>
          </w:p>
        </w:tc>
      </w:tr>
      <w:tr>
        <w:trPr>
          <w:trHeight w:val="185"/>
        </w:trPr>
        <w:tc>
          <w:tcPr>
            <w:tcW w:w="6140" w:type="dxa"/>
            <w:vAlign w:val="bottom"/>
          </w:tcPr>
          <w:p>
            <w:pPr>
              <w:ind w:left="280"/>
              <w:spacing w:after="0"/>
              <w:rPr>
                <w:sz w:val="20"/>
                <w:szCs w:val="20"/>
                <w:color w:val="auto"/>
              </w:rPr>
            </w:pPr>
            <w:r>
              <w:rPr>
                <w:rFonts w:ascii="Courier New" w:cs="Courier New" w:eastAsia="Courier New" w:hAnsi="Courier New"/>
                <w:sz w:val="16"/>
                <w:szCs w:val="16"/>
                <w:color w:val="auto"/>
              </w:rPr>
              <w:t>Accrued taxes</w:t>
            </w:r>
          </w:p>
        </w:tc>
        <w:tc>
          <w:tcPr>
            <w:tcW w:w="19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37.3</w:t>
            </w:r>
          </w:p>
        </w:tc>
        <w:tc>
          <w:tcPr>
            <w:tcW w:w="16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26.1</w:t>
            </w:r>
          </w:p>
        </w:tc>
        <w:tc>
          <w:tcPr>
            <w:tcW w:w="14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19.7</w:t>
            </w:r>
          </w:p>
        </w:tc>
      </w:tr>
      <w:tr>
        <w:trPr>
          <w:trHeight w:val="185"/>
        </w:trPr>
        <w:tc>
          <w:tcPr>
            <w:tcW w:w="6140" w:type="dxa"/>
            <w:vAlign w:val="bottom"/>
          </w:tcPr>
          <w:p>
            <w:pPr>
              <w:spacing w:after="0"/>
              <w:rPr>
                <w:sz w:val="16"/>
                <w:szCs w:val="16"/>
                <w:color w:val="auto"/>
              </w:rPr>
            </w:pPr>
          </w:p>
        </w:tc>
        <w:tc>
          <w:tcPr>
            <w:tcW w:w="19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6140" w:type="dxa"/>
            <w:vAlign w:val="bottom"/>
          </w:tcPr>
          <w:p>
            <w:pPr>
              <w:ind w:left="480"/>
              <w:spacing w:after="0"/>
              <w:rPr>
                <w:sz w:val="20"/>
                <w:szCs w:val="20"/>
                <w:color w:val="auto"/>
              </w:rPr>
            </w:pPr>
            <w:r>
              <w:rPr>
                <w:rFonts w:ascii="Courier New" w:cs="Courier New" w:eastAsia="Courier New" w:hAnsi="Courier New"/>
                <w:sz w:val="16"/>
                <w:szCs w:val="16"/>
                <w:color w:val="auto"/>
              </w:rPr>
              <w:t>Total current liabilities</w:t>
            </w:r>
          </w:p>
        </w:tc>
        <w:tc>
          <w:tcPr>
            <w:tcW w:w="19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163.3</w:t>
            </w:r>
          </w:p>
        </w:tc>
        <w:tc>
          <w:tcPr>
            <w:tcW w:w="16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129.0</w:t>
            </w:r>
          </w:p>
        </w:tc>
        <w:tc>
          <w:tcPr>
            <w:tcW w:w="14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110.8</w:t>
            </w:r>
          </w:p>
        </w:tc>
      </w:tr>
      <w:tr>
        <w:trPr>
          <w:trHeight w:val="185"/>
        </w:trPr>
        <w:tc>
          <w:tcPr>
            <w:tcW w:w="6140" w:type="dxa"/>
            <w:vAlign w:val="bottom"/>
          </w:tcPr>
          <w:p>
            <w:pPr>
              <w:spacing w:after="0"/>
              <w:rPr>
                <w:sz w:val="16"/>
                <w:szCs w:val="16"/>
                <w:color w:val="auto"/>
              </w:rPr>
            </w:pPr>
          </w:p>
        </w:tc>
        <w:tc>
          <w:tcPr>
            <w:tcW w:w="19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370"/>
        </w:trPr>
        <w:tc>
          <w:tcPr>
            <w:tcW w:w="6140" w:type="dxa"/>
            <w:vAlign w:val="bottom"/>
          </w:tcPr>
          <w:p>
            <w:pPr>
              <w:spacing w:after="0"/>
              <w:rPr>
                <w:sz w:val="20"/>
                <w:szCs w:val="20"/>
                <w:color w:val="auto"/>
              </w:rPr>
            </w:pPr>
            <w:r>
              <w:rPr>
                <w:rFonts w:ascii="Courier New" w:cs="Courier New" w:eastAsia="Courier New" w:hAnsi="Courier New"/>
                <w:sz w:val="16"/>
                <w:szCs w:val="16"/>
                <w:color w:val="auto"/>
              </w:rPr>
              <w:t>Term debt, less current portion</w:t>
            </w:r>
          </w:p>
        </w:tc>
        <w:tc>
          <w:tcPr>
            <w:tcW w:w="19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239.8</w:t>
            </w:r>
          </w:p>
        </w:tc>
        <w:tc>
          <w:tcPr>
            <w:tcW w:w="16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220.8</w:t>
            </w:r>
          </w:p>
        </w:tc>
        <w:tc>
          <w:tcPr>
            <w:tcW w:w="14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223.1</w:t>
            </w:r>
          </w:p>
        </w:tc>
      </w:tr>
      <w:tr>
        <w:trPr>
          <w:trHeight w:val="185"/>
        </w:trPr>
        <w:tc>
          <w:tcPr>
            <w:tcW w:w="6140" w:type="dxa"/>
            <w:vAlign w:val="bottom"/>
          </w:tcPr>
          <w:p>
            <w:pPr>
              <w:spacing w:after="0"/>
              <w:rPr>
                <w:sz w:val="20"/>
                <w:szCs w:val="20"/>
                <w:color w:val="auto"/>
              </w:rPr>
            </w:pPr>
            <w:r>
              <w:rPr>
                <w:rFonts w:ascii="Courier New" w:cs="Courier New" w:eastAsia="Courier New" w:hAnsi="Courier New"/>
                <w:sz w:val="16"/>
                <w:szCs w:val="16"/>
                <w:color w:val="auto"/>
              </w:rPr>
              <w:t>Postretirement benefits other than pensions</w:t>
            </w:r>
          </w:p>
        </w:tc>
        <w:tc>
          <w:tcPr>
            <w:tcW w:w="19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27.3</w:t>
            </w:r>
          </w:p>
        </w:tc>
        <w:tc>
          <w:tcPr>
            <w:tcW w:w="16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27.3</w:t>
            </w:r>
          </w:p>
        </w:tc>
        <w:tc>
          <w:tcPr>
            <w:tcW w:w="14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27.2</w:t>
            </w:r>
          </w:p>
        </w:tc>
      </w:tr>
      <w:tr>
        <w:trPr>
          <w:trHeight w:val="185"/>
        </w:trPr>
        <w:tc>
          <w:tcPr>
            <w:tcW w:w="6140" w:type="dxa"/>
            <w:vAlign w:val="bottom"/>
          </w:tcPr>
          <w:p>
            <w:pPr>
              <w:spacing w:after="0"/>
              <w:rPr>
                <w:sz w:val="20"/>
                <w:szCs w:val="20"/>
                <w:color w:val="auto"/>
              </w:rPr>
            </w:pPr>
            <w:r>
              <w:rPr>
                <w:rFonts w:ascii="Courier New" w:cs="Courier New" w:eastAsia="Courier New" w:hAnsi="Courier New"/>
                <w:sz w:val="16"/>
                <w:szCs w:val="16"/>
                <w:color w:val="auto"/>
              </w:rPr>
              <w:t>Other liabilities</w:t>
            </w:r>
          </w:p>
        </w:tc>
        <w:tc>
          <w:tcPr>
            <w:tcW w:w="19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5.9</w:t>
            </w:r>
          </w:p>
        </w:tc>
        <w:tc>
          <w:tcPr>
            <w:tcW w:w="16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5.1</w:t>
            </w:r>
          </w:p>
        </w:tc>
        <w:tc>
          <w:tcPr>
            <w:tcW w:w="14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6.3</w:t>
            </w:r>
          </w:p>
        </w:tc>
      </w:tr>
      <w:tr>
        <w:trPr>
          <w:trHeight w:val="185"/>
        </w:trPr>
        <w:tc>
          <w:tcPr>
            <w:tcW w:w="6140" w:type="dxa"/>
            <w:vAlign w:val="bottom"/>
          </w:tcPr>
          <w:p>
            <w:pPr>
              <w:spacing w:after="0"/>
              <w:rPr>
                <w:sz w:val="16"/>
                <w:szCs w:val="16"/>
                <w:color w:val="auto"/>
              </w:rPr>
            </w:pPr>
          </w:p>
        </w:tc>
        <w:tc>
          <w:tcPr>
            <w:tcW w:w="19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370"/>
        </w:trPr>
        <w:tc>
          <w:tcPr>
            <w:tcW w:w="6140" w:type="dxa"/>
            <w:vAlign w:val="bottom"/>
          </w:tcPr>
          <w:p>
            <w:pPr>
              <w:ind w:left="480"/>
              <w:spacing w:after="0"/>
              <w:rPr>
                <w:sz w:val="20"/>
                <w:szCs w:val="20"/>
                <w:color w:val="auto"/>
              </w:rPr>
            </w:pPr>
            <w:r>
              <w:rPr>
                <w:rFonts w:ascii="Courier New" w:cs="Courier New" w:eastAsia="Courier New" w:hAnsi="Courier New"/>
                <w:sz w:val="16"/>
                <w:szCs w:val="16"/>
                <w:color w:val="auto"/>
              </w:rPr>
              <w:t>Total Liabilities</w:t>
            </w:r>
          </w:p>
        </w:tc>
        <w:tc>
          <w:tcPr>
            <w:tcW w:w="19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436.3</w:t>
            </w:r>
          </w:p>
        </w:tc>
        <w:tc>
          <w:tcPr>
            <w:tcW w:w="16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382.2</w:t>
            </w:r>
          </w:p>
        </w:tc>
        <w:tc>
          <w:tcPr>
            <w:tcW w:w="14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367.4</w:t>
            </w:r>
          </w:p>
        </w:tc>
      </w:tr>
      <w:tr>
        <w:trPr>
          <w:trHeight w:val="185"/>
        </w:trPr>
        <w:tc>
          <w:tcPr>
            <w:tcW w:w="6140" w:type="dxa"/>
            <w:vAlign w:val="bottom"/>
          </w:tcPr>
          <w:p>
            <w:pPr>
              <w:spacing w:after="0"/>
              <w:rPr>
                <w:sz w:val="16"/>
                <w:szCs w:val="16"/>
                <w:color w:val="auto"/>
              </w:rPr>
            </w:pPr>
          </w:p>
        </w:tc>
        <w:tc>
          <w:tcPr>
            <w:tcW w:w="19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370"/>
        </w:trPr>
        <w:tc>
          <w:tcPr>
            <w:tcW w:w="614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1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70"/>
        </w:trPr>
        <w:tc>
          <w:tcPr>
            <w:tcW w:w="614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1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85"/>
        </w:trPr>
        <w:tc>
          <w:tcPr>
            <w:tcW w:w="6140" w:type="dxa"/>
            <w:vAlign w:val="bottom"/>
          </w:tcPr>
          <w:p>
            <w:pPr>
              <w:ind w:left="280"/>
              <w:spacing w:after="0"/>
              <w:rPr>
                <w:sz w:val="20"/>
                <w:szCs w:val="20"/>
                <w:color w:val="auto"/>
              </w:rPr>
            </w:pPr>
            <w:r>
              <w:rPr>
                <w:rFonts w:ascii="Courier New" w:cs="Courier New" w:eastAsia="Courier New" w:hAnsi="Courier New"/>
                <w:sz w:val="16"/>
                <w:szCs w:val="16"/>
                <w:color w:val="auto"/>
              </w:rPr>
              <w:t>Class A Convertible Preferred Stock, no par value</w:t>
            </w:r>
          </w:p>
        </w:tc>
        <w:tc>
          <w:tcPr>
            <w:tcW w:w="19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177.3</w:t>
            </w:r>
          </w:p>
        </w:tc>
        <w:tc>
          <w:tcPr>
            <w:tcW w:w="16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177.3</w:t>
            </w:r>
          </w:p>
        </w:tc>
        <w:tc>
          <w:tcPr>
            <w:tcW w:w="14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177.3</w:t>
            </w:r>
          </w:p>
        </w:tc>
      </w:tr>
      <w:tr>
        <w:trPr>
          <w:trHeight w:val="185"/>
        </w:trPr>
        <w:tc>
          <w:tcPr>
            <w:tcW w:w="6140" w:type="dxa"/>
            <w:vAlign w:val="bottom"/>
          </w:tcPr>
          <w:p>
            <w:pPr>
              <w:ind w:left="280"/>
              <w:spacing w:after="0"/>
              <w:rPr>
                <w:sz w:val="20"/>
                <w:szCs w:val="20"/>
                <w:color w:val="auto"/>
              </w:rPr>
            </w:pPr>
            <w:r>
              <w:rPr>
                <w:rFonts w:ascii="Courier New" w:cs="Courier New" w:eastAsia="Courier New" w:hAnsi="Courier New"/>
                <w:sz w:val="16"/>
                <w:szCs w:val="16"/>
                <w:color w:val="auto"/>
              </w:rPr>
              <w:t>Common Shares, $.01 stated value, issued 21.1</w:t>
            </w:r>
          </w:p>
        </w:tc>
        <w:tc>
          <w:tcPr>
            <w:tcW w:w="19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85"/>
        </w:trPr>
        <w:tc>
          <w:tcPr>
            <w:tcW w:w="6140" w:type="dxa"/>
            <w:vAlign w:val="bottom"/>
          </w:tcPr>
          <w:p>
            <w:pPr>
              <w:ind w:left="480"/>
              <w:spacing w:after="0"/>
              <w:rPr>
                <w:sz w:val="20"/>
                <w:szCs w:val="20"/>
                <w:color w:val="auto"/>
              </w:rPr>
            </w:pPr>
            <w:r>
              <w:rPr>
                <w:rFonts w:ascii="Courier New" w:cs="Courier New" w:eastAsia="Courier New" w:hAnsi="Courier New"/>
                <w:sz w:val="16"/>
                <w:szCs w:val="16"/>
                <w:color w:val="auto"/>
              </w:rPr>
              <w:t>shares in 1997 and 1996</w:t>
            </w:r>
          </w:p>
        </w:tc>
        <w:tc>
          <w:tcPr>
            <w:tcW w:w="19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0.2</w:t>
            </w:r>
          </w:p>
        </w:tc>
        <w:tc>
          <w:tcPr>
            <w:tcW w:w="16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0.2</w:t>
            </w:r>
          </w:p>
        </w:tc>
        <w:tc>
          <w:tcPr>
            <w:tcW w:w="14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0.2</w:t>
            </w:r>
          </w:p>
        </w:tc>
      </w:tr>
      <w:tr>
        <w:trPr>
          <w:trHeight w:val="185"/>
        </w:trPr>
        <w:tc>
          <w:tcPr>
            <w:tcW w:w="6140" w:type="dxa"/>
            <w:vAlign w:val="bottom"/>
          </w:tcPr>
          <w:p>
            <w:pPr>
              <w:ind w:left="280"/>
              <w:spacing w:after="0"/>
              <w:rPr>
                <w:sz w:val="20"/>
                <w:szCs w:val="20"/>
                <w:color w:val="auto"/>
              </w:rPr>
            </w:pPr>
            <w:r>
              <w:rPr>
                <w:rFonts w:ascii="Courier New" w:cs="Courier New" w:eastAsia="Courier New" w:hAnsi="Courier New"/>
                <w:sz w:val="16"/>
                <w:szCs w:val="16"/>
                <w:color w:val="auto"/>
              </w:rPr>
              <w:t>Capital in excess of par value</w:t>
            </w:r>
          </w:p>
        </w:tc>
        <w:tc>
          <w:tcPr>
            <w:tcW w:w="19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207.2</w:t>
            </w:r>
          </w:p>
        </w:tc>
        <w:tc>
          <w:tcPr>
            <w:tcW w:w="16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207.6</w:t>
            </w:r>
          </w:p>
        </w:tc>
        <w:tc>
          <w:tcPr>
            <w:tcW w:w="14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207.6</w:t>
            </w:r>
          </w:p>
        </w:tc>
      </w:tr>
      <w:tr>
        <w:trPr>
          <w:trHeight w:val="185"/>
        </w:trPr>
        <w:tc>
          <w:tcPr>
            <w:tcW w:w="6140" w:type="dxa"/>
            <w:vAlign w:val="bottom"/>
          </w:tcPr>
          <w:p>
            <w:pPr>
              <w:ind w:left="280"/>
              <w:spacing w:after="0"/>
              <w:rPr>
                <w:sz w:val="20"/>
                <w:szCs w:val="20"/>
                <w:color w:val="auto"/>
              </w:rPr>
            </w:pPr>
            <w:r>
              <w:rPr>
                <w:rFonts w:ascii="Courier New" w:cs="Courier New" w:eastAsia="Courier New" w:hAnsi="Courier New"/>
                <w:sz w:val="16"/>
                <w:szCs w:val="16"/>
                <w:color w:val="auto"/>
              </w:rPr>
              <w:t>Retained earnings</w:t>
            </w:r>
          </w:p>
        </w:tc>
        <w:tc>
          <w:tcPr>
            <w:tcW w:w="19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56.1</w:t>
            </w:r>
          </w:p>
        </w:tc>
        <w:tc>
          <w:tcPr>
            <w:tcW w:w="16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36.4</w:t>
            </w:r>
          </w:p>
        </w:tc>
        <w:tc>
          <w:tcPr>
            <w:tcW w:w="14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20.4</w:t>
            </w:r>
          </w:p>
        </w:tc>
      </w:tr>
      <w:tr>
        <w:trPr>
          <w:trHeight w:val="185"/>
        </w:trPr>
        <w:tc>
          <w:tcPr>
            <w:tcW w:w="6140" w:type="dxa"/>
            <w:vAlign w:val="bottom"/>
          </w:tcPr>
          <w:p>
            <w:pPr>
              <w:ind w:left="280"/>
              <w:spacing w:after="0"/>
              <w:rPr>
                <w:sz w:val="20"/>
                <w:szCs w:val="20"/>
                <w:color w:val="auto"/>
              </w:rPr>
            </w:pPr>
            <w:r>
              <w:rPr>
                <w:rFonts w:ascii="Courier New" w:cs="Courier New" w:eastAsia="Courier New" w:hAnsi="Courier New"/>
                <w:sz w:val="16"/>
                <w:szCs w:val="16"/>
                <w:color w:val="auto"/>
              </w:rPr>
              <w:t>Cumulative foreign currency translation adjustments</w:t>
            </w:r>
          </w:p>
        </w:tc>
        <w:tc>
          <w:tcPr>
            <w:tcW w:w="19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(2.3)</w:t>
            </w:r>
          </w:p>
        </w:tc>
        <w:tc>
          <w:tcPr>
            <w:tcW w:w="16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2.1</w:t>
            </w:r>
          </w:p>
        </w:tc>
        <w:tc>
          <w:tcPr>
            <w:tcW w:w="14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2.2</w:t>
            </w:r>
          </w:p>
        </w:tc>
      </w:tr>
      <w:tr>
        <w:trPr>
          <w:trHeight w:val="185"/>
        </w:trPr>
        <w:tc>
          <w:tcPr>
            <w:tcW w:w="6140" w:type="dxa"/>
            <w:vAlign w:val="bottom"/>
          </w:tcPr>
          <w:p>
            <w:pPr>
              <w:ind w:left="280"/>
              <w:spacing w:after="0"/>
              <w:rPr>
                <w:sz w:val="20"/>
                <w:szCs w:val="20"/>
                <w:color w:val="auto"/>
              </w:rPr>
            </w:pPr>
            <w:r>
              <w:rPr>
                <w:rFonts w:ascii="Courier New" w:cs="Courier New" w:eastAsia="Courier New" w:hAnsi="Courier New"/>
                <w:sz w:val="16"/>
                <w:szCs w:val="16"/>
                <w:color w:val="auto"/>
              </w:rPr>
              <w:t>Treasury stock, 2.4 shares on June 28, 1997,</w:t>
            </w:r>
          </w:p>
        </w:tc>
        <w:tc>
          <w:tcPr>
            <w:tcW w:w="19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85"/>
        </w:trPr>
        <w:tc>
          <w:tcPr>
            <w:tcW w:w="6140" w:type="dxa"/>
            <w:vAlign w:val="bottom"/>
          </w:tcPr>
          <w:p>
            <w:pPr>
              <w:ind w:left="480"/>
              <w:spacing w:after="0"/>
              <w:rPr>
                <w:sz w:val="20"/>
                <w:szCs w:val="20"/>
                <w:color w:val="auto"/>
              </w:rPr>
            </w:pPr>
            <w:r>
              <w:rPr>
                <w:rFonts w:ascii="Courier New" w:cs="Courier New" w:eastAsia="Courier New" w:hAnsi="Courier New"/>
                <w:sz w:val="16"/>
                <w:szCs w:val="16"/>
                <w:color w:val="auto"/>
              </w:rPr>
              <w:t>2.5 shares on September 30, 1996, and</w:t>
            </w:r>
          </w:p>
        </w:tc>
        <w:tc>
          <w:tcPr>
            <w:tcW w:w="19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85"/>
        </w:trPr>
        <w:tc>
          <w:tcPr>
            <w:tcW w:w="6140" w:type="dxa"/>
            <w:vAlign w:val="bottom"/>
          </w:tcPr>
          <w:p>
            <w:pPr>
              <w:ind w:left="480"/>
              <w:spacing w:after="0"/>
              <w:rPr>
                <w:sz w:val="20"/>
                <w:szCs w:val="20"/>
                <w:color w:val="auto"/>
              </w:rPr>
            </w:pPr>
            <w:r>
              <w:rPr>
                <w:rFonts w:ascii="Courier New" w:cs="Courier New" w:eastAsia="Courier New" w:hAnsi="Courier New"/>
                <w:sz w:val="16"/>
                <w:szCs w:val="16"/>
                <w:color w:val="auto"/>
              </w:rPr>
              <w:t>2.1 shares on June 29, 1996, at cost</w:t>
            </w:r>
          </w:p>
        </w:tc>
        <w:tc>
          <w:tcPr>
            <w:tcW w:w="19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(42.1)</w:t>
            </w:r>
          </w:p>
        </w:tc>
        <w:tc>
          <w:tcPr>
            <w:tcW w:w="16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(37.8)</w:t>
            </w:r>
          </w:p>
        </w:tc>
        <w:tc>
          <w:tcPr>
            <w:tcW w:w="1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(43.4)</w:t>
            </w:r>
          </w:p>
        </w:tc>
      </w:tr>
      <w:tr>
        <w:trPr>
          <w:trHeight w:val="185"/>
        </w:trPr>
        <w:tc>
          <w:tcPr>
            <w:tcW w:w="6140" w:type="dxa"/>
            <w:vAlign w:val="bottom"/>
          </w:tcPr>
          <w:p>
            <w:pPr>
              <w:spacing w:after="0"/>
              <w:rPr>
                <w:sz w:val="16"/>
                <w:szCs w:val="16"/>
                <w:color w:val="auto"/>
              </w:rPr>
            </w:pPr>
          </w:p>
        </w:tc>
        <w:tc>
          <w:tcPr>
            <w:tcW w:w="19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6140" w:type="dxa"/>
            <w:vAlign w:val="bottom"/>
          </w:tcPr>
          <w:p>
            <w:pPr>
              <w:ind w:left="480"/>
              <w:spacing w:after="0"/>
              <w:rPr>
                <w:sz w:val="20"/>
                <w:szCs w:val="20"/>
                <w:color w:val="auto"/>
              </w:rPr>
            </w:pPr>
            <w:r>
              <w:rPr>
                <w:rFonts w:ascii="Courier New" w:cs="Courier New" w:eastAsia="Courier New" w:hAnsi="Courier New"/>
                <w:sz w:val="16"/>
                <w:szCs w:val="16"/>
                <w:color w:val="auto"/>
              </w:rPr>
              <w:t>Total Shareholders' Equity</w:t>
            </w:r>
          </w:p>
        </w:tc>
        <w:tc>
          <w:tcPr>
            <w:tcW w:w="19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396.4</w:t>
            </w:r>
          </w:p>
        </w:tc>
        <w:tc>
          <w:tcPr>
            <w:tcW w:w="16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385.8</w:t>
            </w:r>
          </w:p>
        </w:tc>
        <w:tc>
          <w:tcPr>
            <w:tcW w:w="14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364.3</w:t>
            </w:r>
          </w:p>
        </w:tc>
      </w:tr>
      <w:tr>
        <w:trPr>
          <w:trHeight w:val="185"/>
        </w:trPr>
        <w:tc>
          <w:tcPr>
            <w:tcW w:w="6140" w:type="dxa"/>
            <w:vAlign w:val="bottom"/>
          </w:tcPr>
          <w:p>
            <w:pPr>
              <w:spacing w:after="0"/>
              <w:rPr>
                <w:sz w:val="16"/>
                <w:szCs w:val="16"/>
                <w:color w:val="auto"/>
              </w:rPr>
            </w:pPr>
          </w:p>
        </w:tc>
        <w:tc>
          <w:tcPr>
            <w:tcW w:w="19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370"/>
        </w:trPr>
        <w:tc>
          <w:tcPr>
            <w:tcW w:w="6140" w:type="dxa"/>
            <w:vAlign w:val="bottom"/>
          </w:tcPr>
          <w:p>
            <w:pPr>
              <w:ind w:left="480"/>
              <w:spacing w:after="0"/>
              <w:rPr>
                <w:sz w:val="20"/>
                <w:szCs w:val="20"/>
                <w:color w:val="auto"/>
              </w:rPr>
            </w:pPr>
            <w:r>
              <w:rPr>
                <w:rFonts w:ascii="Courier New" w:cs="Courier New" w:eastAsia="Courier New" w:hAnsi="Courier New"/>
                <w:sz w:val="16"/>
                <w:szCs w:val="16"/>
                <w:color w:val="auto"/>
              </w:rPr>
              <w:t>Total Liabilities and Shareholders' Equity</w:t>
            </w:r>
          </w:p>
        </w:tc>
        <w:tc>
          <w:tcPr>
            <w:tcW w:w="19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$832.7</w:t>
            </w:r>
          </w:p>
        </w:tc>
        <w:tc>
          <w:tcPr>
            <w:tcW w:w="16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$768.0</w:t>
            </w:r>
          </w:p>
        </w:tc>
        <w:tc>
          <w:tcPr>
            <w:tcW w:w="14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$731.7</w:t>
            </w:r>
          </w:p>
        </w:tc>
      </w:tr>
      <w:tr>
        <w:trPr>
          <w:trHeight w:val="185"/>
        </w:trPr>
        <w:tc>
          <w:tcPr>
            <w:tcW w:w="6140" w:type="dxa"/>
            <w:vAlign w:val="bottom"/>
          </w:tcPr>
          <w:p>
            <w:pPr>
              <w:spacing w:after="0"/>
              <w:rPr>
                <w:sz w:val="16"/>
                <w:szCs w:val="16"/>
                <w:color w:val="auto"/>
              </w:rPr>
            </w:pPr>
          </w:p>
        </w:tc>
        <w:tc>
          <w:tcPr>
            <w:tcW w:w="19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Page 5</w:t>
      </w:r>
    </w:p>
    <w:p>
      <w:pPr>
        <w:sectPr>
          <w:pgSz w:w="11900" w:h="16838" w:orient="portrait"/>
          <w:cols w:equalWidth="0" w:num="1">
            <w:col w:w="11140"/>
          </w:cols>
          <w:pgMar w:left="240" w:top="300" w:right="519" w:bottom="1011" w:gutter="0" w:footer="0" w:header="0"/>
        </w:sectPr>
      </w:pPr>
    </w:p>
    <w:bookmarkStart w:id="5" w:name="page6"/>
    <w:bookmarkEnd w:id="5"/>
    <w:p>
      <w:pPr>
        <w:ind w:left="281"/>
        <w:spacing w:after="0"/>
        <w:rPr>
          <w:sz w:val="20"/>
          <w:szCs w:val="20"/>
          <w:color w:val="auto"/>
        </w:rPr>
      </w:pPr>
      <w:r>
        <w:rPr>
          <w:rFonts w:ascii="Courier New" w:cs="Courier New" w:eastAsia="Courier New" w:hAnsi="Courier New"/>
          <w:sz w:val="16"/>
          <w:szCs w:val="16"/>
          <w:color w:val="auto"/>
        </w:rPr>
        <w:t>6</w:t>
      </w:r>
    </w:p>
    <w:p>
      <w:pPr>
        <w:spacing w:after="0" w:line="200" w:lineRule="exact"/>
        <w:rPr>
          <w:sz w:val="20"/>
          <w:szCs w:val="20"/>
          <w:color w:val="auto"/>
        </w:rPr>
      </w:pPr>
    </w:p>
    <w:p>
      <w:pPr>
        <w:spacing w:after="0" w:line="358" w:lineRule="exact"/>
        <w:rPr>
          <w:sz w:val="20"/>
          <w:szCs w:val="20"/>
          <w:color w:val="auto"/>
        </w:rPr>
      </w:pPr>
    </w:p>
    <w:p>
      <w:pPr>
        <w:ind w:left="2121"/>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4" w:lineRule="exact"/>
        <w:rPr>
          <w:sz w:val="20"/>
          <w:szCs w:val="20"/>
          <w:color w:val="auto"/>
        </w:rPr>
      </w:pPr>
    </w:p>
    <w:p>
      <w:pPr>
        <w:ind w:left="1821"/>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90" w:lineRule="exact"/>
        <w:rPr>
          <w:sz w:val="20"/>
          <w:szCs w:val="20"/>
          <w:color w:val="auto"/>
        </w:rPr>
      </w:pPr>
    </w:p>
    <w:p>
      <w:pPr>
        <w:ind w:left="581" w:right="5999" w:hanging="581"/>
        <w:spacing w:after="0" w:line="486" w:lineRule="auto"/>
        <w:tabs>
          <w:tab w:leader="none" w:pos="58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ORGANIZATION AND BASIS OF PRESENTATION NATURE OF OPERATIONS</w:t>
      </w:r>
    </w:p>
    <w:p>
      <w:pPr>
        <w:spacing w:after="0" w:line="5" w:lineRule="exact"/>
        <w:rPr>
          <w:rFonts w:ascii="Courier New" w:cs="Courier New" w:eastAsia="Courier New" w:hAnsi="Courier New"/>
          <w:sz w:val="16"/>
          <w:szCs w:val="16"/>
          <w:color w:val="auto"/>
        </w:rPr>
      </w:pPr>
    </w:p>
    <w:p>
      <w:pPr>
        <w:ind w:left="581" w:right="28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Scotts Company is engaged in the manufacture and sale of lawn care and garden products. The Company's major customers include mass merchandisers, home improvement centers, large hardware chains, independent hardware stores, nurseries, garden centers, food and drug stores, golf courses, professional sports stadiums, lawn and landscape service companies, commercial nurseries and greenhouses, and specialty crop growers. The Company's products are sold in the United States, Canada, the United Kingdom, continental Europe, Southeast Asia, the Middle East, Africa, Australia, New Zealand, and several Latin American countries. The Company's business is highly seasonal with 70% to 75% of sales occurring in the second and third fiscal quarters.</w:t>
      </w:r>
    </w:p>
    <w:p>
      <w:pPr>
        <w:spacing w:after="0" w:line="188" w:lineRule="exact"/>
        <w:rPr>
          <w:rFonts w:ascii="Courier New" w:cs="Courier New" w:eastAsia="Courier New" w:hAnsi="Courier New"/>
          <w:sz w:val="16"/>
          <w:szCs w:val="16"/>
          <w:color w:val="auto"/>
        </w:rPr>
      </w:pPr>
    </w:p>
    <w:p>
      <w:pPr>
        <w:ind w:left="5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PRESENTATION</w:t>
      </w:r>
    </w:p>
    <w:p>
      <w:pPr>
        <w:spacing w:after="0" w:line="190" w:lineRule="exact"/>
        <w:rPr>
          <w:rFonts w:ascii="Courier New" w:cs="Courier New" w:eastAsia="Courier New" w:hAnsi="Courier New"/>
          <w:sz w:val="16"/>
          <w:szCs w:val="16"/>
          <w:color w:val="auto"/>
        </w:rPr>
      </w:pPr>
    </w:p>
    <w:p>
      <w:pPr>
        <w:ind w:left="58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financial statements include the accounts of The Scotts Company ("Scotts") and its wholly-owned subsidiaries, Hyponex Corporation ("Hyponex"), Republic Tool and Manufacturing Corp. ("Republic"), Scotts-Sierra Horticultural Products Company ("Sierra"), Scotts' Miracle-Gro Products, Inc. ("Miracle-Gro"), and Miracle Holdings Limited ("Miracle Holdings") (collectively, the "Company"). All material intercompany transactions have been eliminated.</w:t>
      </w:r>
    </w:p>
    <w:p>
      <w:pPr>
        <w:spacing w:after="0" w:line="188" w:lineRule="exact"/>
        <w:rPr>
          <w:rFonts w:ascii="Courier New" w:cs="Courier New" w:eastAsia="Courier New" w:hAnsi="Courier New"/>
          <w:sz w:val="16"/>
          <w:szCs w:val="16"/>
          <w:color w:val="auto"/>
        </w:rPr>
      </w:pPr>
    </w:p>
    <w:p>
      <w:pPr>
        <w:ind w:left="58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balance sheets as of June 28, 1997 and June 29, 1996, the related consolidated statements of operations for the three and nine month periods ended June 28, 1997 and June 29, 1996 and the related consolidated statements of cash flows for the nine month periods ended June 28, 1997 and June 29, 1996 are unaudited; however, in the opinion of management, such financial statements contain all adjustments necessary for the fair presentation of the Company's financial position and results of operations. Interim results reflect all normal recurring adjustments and are not necessarily indicative of results for a full year. The interim financial statements and notes are presented as specified by Regulation S-X of the Securities and Exchange Commission, and should be read in conjunction with the financial statements and accompanying notes in Scotts' fiscal 1996 Annual Report on Form 10-K.</w:t>
      </w:r>
    </w:p>
    <w:p>
      <w:pPr>
        <w:spacing w:after="0" w:line="189" w:lineRule="exact"/>
        <w:rPr>
          <w:rFonts w:ascii="Courier New" w:cs="Courier New" w:eastAsia="Courier New" w:hAnsi="Courier New"/>
          <w:sz w:val="16"/>
          <w:szCs w:val="16"/>
          <w:color w:val="auto"/>
        </w:rPr>
      </w:pPr>
    </w:p>
    <w:p>
      <w:pPr>
        <w:ind w:left="5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USE OF ESTIMATES</w:t>
      </w:r>
    </w:p>
    <w:p>
      <w:pPr>
        <w:spacing w:after="0" w:line="190" w:lineRule="exact"/>
        <w:rPr>
          <w:rFonts w:ascii="Courier New" w:cs="Courier New" w:eastAsia="Courier New" w:hAnsi="Courier New"/>
          <w:sz w:val="16"/>
          <w:szCs w:val="16"/>
          <w:color w:val="auto"/>
        </w:rPr>
      </w:pPr>
    </w:p>
    <w:p>
      <w:pPr>
        <w:ind w:left="58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preparation of financial statements in conformity with generally accepted accounting principles requires management to make estimates and assumptions that affect the amounts reported in the consolidated financial statements and accompanying disclosures. The most significant of these estimates are related to the allowance for doubtful accounts, inventory valuation reserves, marketing promotional and consumer rebate liabilities, income taxes and contingencies. Although these estimates are based on management's best knowledge of current events and actions the Company may undertake in the future, actual results ultimately may differ from the estimates.</w:t>
      </w:r>
    </w:p>
    <w:p>
      <w:pPr>
        <w:spacing w:after="0" w:line="187" w:lineRule="exact"/>
        <w:rPr>
          <w:rFonts w:ascii="Courier New" w:cs="Courier New" w:eastAsia="Courier New" w:hAnsi="Courier New"/>
          <w:sz w:val="16"/>
          <w:szCs w:val="16"/>
          <w:color w:val="auto"/>
        </w:rPr>
      </w:pPr>
    </w:p>
    <w:p>
      <w:pPr>
        <w:ind w:left="5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RECLASSIFICATION</w:t>
      </w:r>
    </w:p>
    <w:p>
      <w:pPr>
        <w:spacing w:after="0" w:line="190" w:lineRule="exact"/>
        <w:rPr>
          <w:rFonts w:ascii="Courier New" w:cs="Courier New" w:eastAsia="Courier New" w:hAnsi="Courier New"/>
          <w:sz w:val="16"/>
          <w:szCs w:val="16"/>
          <w:color w:val="auto"/>
        </w:rPr>
      </w:pPr>
    </w:p>
    <w:p>
      <w:pPr>
        <w:ind w:left="581" w:right="29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Certain reclassifications have been made to the prior year's financial statements to conform to fiscal 1997 classifications.</w:t>
      </w:r>
    </w:p>
    <w:p>
      <w:pPr>
        <w:spacing w:after="0" w:line="186" w:lineRule="exact"/>
        <w:rPr>
          <w:rFonts w:ascii="Courier New" w:cs="Courier New" w:eastAsia="Courier New" w:hAnsi="Courier New"/>
          <w:sz w:val="16"/>
          <w:szCs w:val="16"/>
          <w:color w:val="auto"/>
        </w:rPr>
      </w:pPr>
    </w:p>
    <w:p>
      <w:pPr>
        <w:ind w:left="5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ADVERTISING COSTS</w:t>
      </w:r>
    </w:p>
    <w:p>
      <w:pPr>
        <w:spacing w:after="0" w:line="190" w:lineRule="exact"/>
        <w:rPr>
          <w:rFonts w:ascii="Courier New" w:cs="Courier New" w:eastAsia="Courier New" w:hAnsi="Courier New"/>
          <w:sz w:val="16"/>
          <w:szCs w:val="16"/>
          <w:color w:val="auto"/>
        </w:rPr>
      </w:pPr>
    </w:p>
    <w:p>
      <w:pPr>
        <w:ind w:left="581" w:right="26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the quarter ended March 29, 1997, the Company changed its method of accounting for advertising expenses in interim periods. The newly adopted method assigns anticipated advertising costs to interim periods based on projected sales of advertised product categories</w:t>
      </w:r>
    </w:p>
    <w:p>
      <w:pPr>
        <w:spacing w:after="0" w:line="373" w:lineRule="exact"/>
        <w:rPr>
          <w:sz w:val="20"/>
          <w:szCs w:val="20"/>
          <w:color w:val="auto"/>
        </w:rPr>
      </w:pPr>
    </w:p>
    <w:p>
      <w:pPr>
        <w:ind w:left="3561"/>
        <w:spacing w:after="0"/>
        <w:rPr>
          <w:sz w:val="20"/>
          <w:szCs w:val="20"/>
          <w:color w:val="auto"/>
        </w:rPr>
      </w:pPr>
      <w:r>
        <w:rPr>
          <w:rFonts w:ascii="Courier New" w:cs="Courier New" w:eastAsia="Courier New" w:hAnsi="Courier New"/>
          <w:sz w:val="16"/>
          <w:szCs w:val="16"/>
          <w:color w:val="auto"/>
        </w:rPr>
        <w:t>Page 6</w:t>
      </w:r>
    </w:p>
    <w:p>
      <w:pPr>
        <w:sectPr>
          <w:pgSz w:w="11900" w:h="16838" w:orient="portrait"/>
          <w:cols w:equalWidth="0" w:num="1">
            <w:col w:w="10221"/>
          </w:cols>
          <w:pgMar w:left="239" w:top="300" w:right="1440" w:bottom="1440" w:gutter="0" w:footer="0" w:header="0"/>
        </w:sectPr>
      </w:pPr>
    </w:p>
    <w:bookmarkStart w:id="6" w:name="page7"/>
    <w:bookmarkEnd w:id="6"/>
    <w:p>
      <w:pPr>
        <w:ind w:left="281"/>
        <w:spacing w:after="0"/>
        <w:rPr>
          <w:sz w:val="20"/>
          <w:szCs w:val="20"/>
          <w:color w:val="auto"/>
        </w:rPr>
      </w:pPr>
      <w:r>
        <w:rPr>
          <w:rFonts w:ascii="Courier New" w:cs="Courier New" w:eastAsia="Courier New" w:hAnsi="Courier New"/>
          <w:sz w:val="16"/>
          <w:szCs w:val="16"/>
          <w:color w:val="auto"/>
        </w:rPr>
        <w:t>7</w:t>
      </w:r>
    </w:p>
    <w:p>
      <w:pPr>
        <w:spacing w:after="0" w:line="200" w:lineRule="exact"/>
        <w:rPr>
          <w:sz w:val="20"/>
          <w:szCs w:val="20"/>
          <w:color w:val="auto"/>
        </w:rPr>
      </w:pPr>
    </w:p>
    <w:p>
      <w:pPr>
        <w:spacing w:after="0" w:line="358" w:lineRule="exact"/>
        <w:rPr>
          <w:sz w:val="20"/>
          <w:szCs w:val="20"/>
          <w:color w:val="auto"/>
        </w:rPr>
      </w:pPr>
    </w:p>
    <w:p>
      <w:pPr>
        <w:ind w:left="2121"/>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4" w:lineRule="exact"/>
        <w:rPr>
          <w:sz w:val="20"/>
          <w:szCs w:val="20"/>
          <w:color w:val="auto"/>
        </w:rPr>
      </w:pPr>
    </w:p>
    <w:p>
      <w:pPr>
        <w:ind w:left="1821"/>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375" w:lineRule="exact"/>
        <w:rPr>
          <w:sz w:val="20"/>
          <w:szCs w:val="20"/>
          <w:color w:val="auto"/>
        </w:rPr>
      </w:pPr>
    </w:p>
    <w:p>
      <w:pPr>
        <w:ind w:left="581" w:right="2639"/>
        <w:spacing w:after="0" w:line="263" w:lineRule="auto"/>
        <w:rPr>
          <w:sz w:val="20"/>
          <w:szCs w:val="20"/>
          <w:color w:val="auto"/>
        </w:rPr>
      </w:pPr>
      <w:r>
        <w:rPr>
          <w:rFonts w:ascii="Courier New" w:cs="Courier New" w:eastAsia="Courier New" w:hAnsi="Courier New"/>
          <w:sz w:val="15"/>
          <w:szCs w:val="15"/>
          <w:color w:val="auto"/>
        </w:rPr>
        <w:t>and has been applied retroactive to the beginning of fiscal 1997 (October 1, 1996). This change impacts interim periods only; all current year advertising costs will be expensed within the fiscal year. Management believes this method of interim accounting for advertising costs provides better matching of revenues and expenses in interim periods, and is consistent with companies in the consumer packaged goods industry.</w:t>
      </w:r>
    </w:p>
    <w:p>
      <w:pPr>
        <w:spacing w:after="0" w:line="176" w:lineRule="exact"/>
        <w:rPr>
          <w:sz w:val="20"/>
          <w:szCs w:val="20"/>
          <w:color w:val="auto"/>
        </w:rPr>
      </w:pPr>
    </w:p>
    <w:p>
      <w:pPr>
        <w:ind w:left="581" w:right="2639"/>
        <w:spacing w:after="0" w:line="244" w:lineRule="auto"/>
        <w:rPr>
          <w:sz w:val="20"/>
          <w:szCs w:val="20"/>
          <w:color w:val="auto"/>
        </w:rPr>
      </w:pPr>
      <w:r>
        <w:rPr>
          <w:rFonts w:ascii="Courier New" w:cs="Courier New" w:eastAsia="Courier New" w:hAnsi="Courier New"/>
          <w:sz w:val="16"/>
          <w:szCs w:val="16"/>
          <w:color w:val="auto"/>
        </w:rPr>
        <w:t>This change in interim accounting had the effect of increasing advertising expense for the first and second quarters of fiscal 1997 by $3.3 million and $4.6 million, respectively. Third quarter 1997 advertising expense decreased by $8.4 million. Net income for the first and second quarters of fiscal 1997 decreased by $1.9 million or $0.10 per share and $2.6 million or $0.09 per share, respectively. Net income for the third quarter increased $4.8 million or $0.16 per share. For the nine months ended June 28, 1997, advertising expense decreased by $0.5 million, resulting in an increase in net income of $0.3 million or $.01 per share.</w:t>
      </w:r>
    </w:p>
    <w:p>
      <w:pPr>
        <w:spacing w:after="0" w:line="190" w:lineRule="exact"/>
        <w:rPr>
          <w:sz w:val="20"/>
          <w:szCs w:val="20"/>
          <w:color w:val="auto"/>
        </w:rPr>
      </w:pPr>
    </w:p>
    <w:p>
      <w:pPr>
        <w:ind w:left="581" w:right="2639"/>
        <w:spacing w:after="0" w:line="244" w:lineRule="auto"/>
        <w:rPr>
          <w:sz w:val="20"/>
          <w:szCs w:val="20"/>
          <w:color w:val="auto"/>
        </w:rPr>
      </w:pPr>
      <w:r>
        <w:rPr>
          <w:rFonts w:ascii="Courier New" w:cs="Courier New" w:eastAsia="Courier New" w:hAnsi="Courier New"/>
          <w:sz w:val="16"/>
          <w:szCs w:val="16"/>
          <w:color w:val="auto"/>
        </w:rPr>
        <w:t>On a pro forma basis, assuming the new method of accounting for interim advertising had been applied to fiscal 1996, first and second quarter 1996 advertising expense would have increased $3.9 million and $2.0 million, respectively. Third quarter 1996 advertising expense would have decreased $7.4 million. Net income for the first and second quarters of fiscal 1996 would have decreased by $2.2 million or $0.12 per share and $1.2 million or $0.04 per share. Net income for the third quarter would have increased $4.2 million or $0.14 per share. For the nine months ended June 29, 1996, advertising expense would have decreased by $1.5 million, resulting in an increase in net income of $0.8 million or $0.03 per share.</w:t>
      </w:r>
    </w:p>
    <w:p>
      <w:pPr>
        <w:spacing w:after="0" w:line="188" w:lineRule="exact"/>
        <w:rPr>
          <w:sz w:val="20"/>
          <w:szCs w:val="20"/>
          <w:color w:val="auto"/>
        </w:rPr>
      </w:pPr>
    </w:p>
    <w:p>
      <w:pPr>
        <w:ind w:left="581" w:hanging="581"/>
        <w:spacing w:after="0"/>
        <w:tabs>
          <w:tab w:leader="none" w:pos="5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ACQUISITIONS</w:t>
      </w:r>
    </w:p>
    <w:p>
      <w:pPr>
        <w:spacing w:after="0" w:line="190" w:lineRule="exact"/>
        <w:rPr>
          <w:rFonts w:ascii="Courier New" w:cs="Courier New" w:eastAsia="Courier New" w:hAnsi="Courier New"/>
          <w:sz w:val="16"/>
          <w:szCs w:val="16"/>
          <w:color w:val="auto"/>
        </w:rPr>
      </w:pPr>
    </w:p>
    <w:p>
      <w:pPr>
        <w:ind w:left="581" w:right="26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January 3, 1997, the Company acquired the approximately two-thirds interest in Miracle Holdings which the Company did not already own. Miracle Holdings owns Miracle Garden Care Limited, a manufacturer and distributor of lawn and garden products in the United Kingdom.</w:t>
      </w:r>
    </w:p>
    <w:p>
      <w:pPr>
        <w:spacing w:after="0" w:line="189" w:lineRule="exact"/>
        <w:rPr>
          <w:rFonts w:ascii="Courier New" w:cs="Courier New" w:eastAsia="Courier New" w:hAnsi="Courier New"/>
          <w:sz w:val="16"/>
          <w:szCs w:val="16"/>
          <w:color w:val="auto"/>
        </w:rPr>
      </w:pPr>
    </w:p>
    <w:p>
      <w:pPr>
        <w:ind w:left="581" w:right="27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pro forma results of operations give effect to the Miracle Holdings acquisition as if it had occurred on October 1, 1995.</w:t>
      </w:r>
    </w:p>
    <w:p>
      <w:pPr>
        <w:spacing w:after="0" w:line="200" w:lineRule="exact"/>
        <w:rPr>
          <w:sz w:val="20"/>
          <w:szCs w:val="20"/>
          <w:color w:val="auto"/>
        </w:rPr>
      </w:pPr>
    </w:p>
    <w:p>
      <w:pPr>
        <w:spacing w:after="0" w:line="356" w:lineRule="exact"/>
        <w:rPr>
          <w:sz w:val="20"/>
          <w:szCs w:val="20"/>
          <w:color w:val="auto"/>
        </w:rPr>
      </w:pPr>
    </w:p>
    <w:tbl>
      <w:tblPr>
        <w:tblLayout w:type="fixed"/>
        <w:tblInd w:w="681" w:type="dxa"/>
        <w:tblCellMar>
          <w:top w:w="0" w:type="dxa"/>
          <w:left w:w="0" w:type="dxa"/>
          <w:bottom w:w="0" w:type="dxa"/>
          <w:right w:w="0" w:type="dxa"/>
        </w:tblCellMar>
      </w:tblPr>
      <w:tr>
        <w:trPr>
          <w:trHeight w:val="181"/>
        </w:trPr>
        <w:tc>
          <w:tcPr>
            <w:tcW w:w="3540" w:type="dxa"/>
            <w:vAlign w:val="bottom"/>
          </w:tcPr>
          <w:p>
            <w:pPr>
              <w:spacing w:after="0"/>
              <w:rPr>
                <w:sz w:val="15"/>
                <w:szCs w:val="15"/>
                <w:color w:val="auto"/>
              </w:rPr>
            </w:pPr>
          </w:p>
        </w:tc>
        <w:tc>
          <w:tcPr>
            <w:tcW w:w="5100" w:type="dxa"/>
            <w:vAlign w:val="bottom"/>
            <w:gridSpan w:val="3"/>
          </w:tcPr>
          <w:p>
            <w:pPr>
              <w:jc w:val="center"/>
              <w:ind w:left="1280"/>
              <w:spacing w:after="0"/>
              <w:rPr>
                <w:sz w:val="20"/>
                <w:szCs w:val="20"/>
                <w:color w:val="auto"/>
              </w:rPr>
            </w:pPr>
            <w:r>
              <w:rPr>
                <w:rFonts w:ascii="Courier New" w:cs="Courier New" w:eastAsia="Courier New" w:hAnsi="Courier New"/>
                <w:sz w:val="16"/>
                <w:szCs w:val="16"/>
                <w:color w:val="auto"/>
                <w:w w:val="99"/>
              </w:rPr>
              <w:t>(in millions, except per share amounts)</w:t>
            </w:r>
          </w:p>
        </w:tc>
      </w:tr>
      <w:tr>
        <w:trPr>
          <w:trHeight w:val="185"/>
        </w:trPr>
        <w:tc>
          <w:tcPr>
            <w:tcW w:w="35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160" w:type="dxa"/>
            <w:vAlign w:val="bottom"/>
          </w:tcPr>
          <w:p>
            <w:pPr>
              <w:jc w:val="center"/>
              <w:ind w:right="360"/>
              <w:spacing w:after="0"/>
              <w:rPr>
                <w:sz w:val="20"/>
                <w:szCs w:val="20"/>
                <w:color w:val="auto"/>
              </w:rPr>
            </w:pPr>
            <w:r>
              <w:rPr>
                <w:rFonts w:ascii="Courier New" w:cs="Courier New" w:eastAsia="Courier New" w:hAnsi="Courier New"/>
                <w:sz w:val="16"/>
                <w:szCs w:val="16"/>
                <w:color w:val="auto"/>
              </w:rPr>
              <w:t>Nine Months Ended</w:t>
            </w:r>
          </w:p>
        </w:tc>
        <w:tc>
          <w:tcPr>
            <w:tcW w:w="580" w:type="dxa"/>
            <w:vAlign w:val="bottom"/>
          </w:tcPr>
          <w:p>
            <w:pPr>
              <w:spacing w:after="0"/>
              <w:rPr>
                <w:sz w:val="16"/>
                <w:szCs w:val="16"/>
                <w:color w:val="auto"/>
              </w:rPr>
            </w:pPr>
          </w:p>
        </w:tc>
      </w:tr>
      <w:tr>
        <w:trPr>
          <w:trHeight w:val="185"/>
        </w:trPr>
        <w:tc>
          <w:tcPr>
            <w:tcW w:w="3540" w:type="dxa"/>
            <w:vAlign w:val="bottom"/>
          </w:tcPr>
          <w:p>
            <w:pPr>
              <w:spacing w:after="0"/>
              <w:rPr>
                <w:sz w:val="16"/>
                <w:szCs w:val="16"/>
                <w:color w:val="auto"/>
              </w:rPr>
            </w:pPr>
          </w:p>
        </w:tc>
        <w:tc>
          <w:tcPr>
            <w:tcW w:w="5100" w:type="dxa"/>
            <w:vAlign w:val="bottom"/>
            <w:gridSpan w:val="3"/>
          </w:tcPr>
          <w:p>
            <w:pPr>
              <w:jc w:val="center"/>
              <w:ind w:left="1280"/>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3540" w:type="dxa"/>
            <w:vAlign w:val="bottom"/>
          </w:tcPr>
          <w:p>
            <w:pPr>
              <w:spacing w:after="0"/>
              <w:rPr>
                <w:sz w:val="16"/>
                <w:szCs w:val="16"/>
                <w:color w:val="auto"/>
              </w:rPr>
            </w:pPr>
          </w:p>
        </w:tc>
        <w:tc>
          <w:tcPr>
            <w:tcW w:w="2360" w:type="dxa"/>
            <w:vAlign w:val="bottom"/>
          </w:tcPr>
          <w:p>
            <w:pPr>
              <w:ind w:left="1540"/>
              <w:spacing w:after="0"/>
              <w:rPr>
                <w:sz w:val="20"/>
                <w:szCs w:val="20"/>
                <w:color w:val="auto"/>
              </w:rPr>
            </w:pPr>
            <w:r>
              <w:rPr>
                <w:rFonts w:ascii="Courier New" w:cs="Courier New" w:eastAsia="Courier New" w:hAnsi="Courier New"/>
                <w:sz w:val="16"/>
                <w:szCs w:val="16"/>
                <w:color w:val="auto"/>
              </w:rPr>
              <w:t>June 28</w:t>
            </w:r>
          </w:p>
        </w:tc>
        <w:tc>
          <w:tcPr>
            <w:tcW w:w="274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June 29</w:t>
            </w:r>
          </w:p>
        </w:tc>
      </w:tr>
      <w:tr>
        <w:trPr>
          <w:trHeight w:val="185"/>
        </w:trPr>
        <w:tc>
          <w:tcPr>
            <w:tcW w:w="3540" w:type="dxa"/>
            <w:vAlign w:val="bottom"/>
          </w:tcPr>
          <w:p>
            <w:pPr>
              <w:spacing w:after="0"/>
              <w:rPr>
                <w:sz w:val="16"/>
                <w:szCs w:val="16"/>
                <w:color w:val="auto"/>
              </w:rPr>
            </w:pPr>
          </w:p>
        </w:tc>
        <w:tc>
          <w:tcPr>
            <w:tcW w:w="2360" w:type="dxa"/>
            <w:vAlign w:val="bottom"/>
          </w:tcPr>
          <w:p>
            <w:pPr>
              <w:ind w:left="1740"/>
              <w:spacing w:after="0"/>
              <w:rPr>
                <w:sz w:val="20"/>
                <w:szCs w:val="20"/>
                <w:color w:val="auto"/>
              </w:rPr>
            </w:pPr>
            <w:r>
              <w:rPr>
                <w:rFonts w:ascii="Courier New" w:cs="Courier New" w:eastAsia="Courier New" w:hAnsi="Courier New"/>
                <w:sz w:val="16"/>
                <w:szCs w:val="16"/>
                <w:color w:val="auto"/>
              </w:rPr>
              <w:t>1997</w:t>
            </w:r>
          </w:p>
        </w:tc>
        <w:tc>
          <w:tcPr>
            <w:tcW w:w="2740" w:type="dxa"/>
            <w:vAlign w:val="bottom"/>
            <w:gridSpan w:val="2"/>
          </w:tcPr>
          <w:p>
            <w:pPr>
              <w:ind w:left="1960"/>
              <w:spacing w:after="0"/>
              <w:rPr>
                <w:sz w:val="20"/>
                <w:szCs w:val="20"/>
                <w:color w:val="auto"/>
              </w:rPr>
            </w:pPr>
            <w:r>
              <w:rPr>
                <w:rFonts w:ascii="Courier New" w:cs="Courier New" w:eastAsia="Courier New" w:hAnsi="Courier New"/>
                <w:sz w:val="16"/>
                <w:szCs w:val="16"/>
                <w:color w:val="auto"/>
              </w:rPr>
              <w:t>1996</w:t>
            </w:r>
          </w:p>
        </w:tc>
      </w:tr>
      <w:tr>
        <w:trPr>
          <w:trHeight w:val="185"/>
        </w:trPr>
        <w:tc>
          <w:tcPr>
            <w:tcW w:w="3540" w:type="dxa"/>
            <w:vAlign w:val="bottom"/>
          </w:tcPr>
          <w:p>
            <w:pPr>
              <w:spacing w:after="0"/>
              <w:rPr>
                <w:sz w:val="16"/>
                <w:szCs w:val="16"/>
                <w:color w:val="auto"/>
              </w:rPr>
            </w:pPr>
          </w:p>
        </w:tc>
        <w:tc>
          <w:tcPr>
            <w:tcW w:w="2360" w:type="dxa"/>
            <w:vAlign w:val="bottom"/>
          </w:tcPr>
          <w:p>
            <w:pPr>
              <w:ind w:left="1540"/>
              <w:spacing w:after="0"/>
              <w:rPr>
                <w:sz w:val="20"/>
                <w:szCs w:val="20"/>
                <w:color w:val="auto"/>
              </w:rPr>
            </w:pPr>
            <w:r>
              <w:rPr>
                <w:rFonts w:ascii="Courier New" w:cs="Courier New" w:eastAsia="Courier New" w:hAnsi="Courier New"/>
                <w:sz w:val="16"/>
                <w:szCs w:val="16"/>
                <w:color w:val="auto"/>
              </w:rPr>
              <w:t>-------</w:t>
            </w:r>
          </w:p>
        </w:tc>
        <w:tc>
          <w:tcPr>
            <w:tcW w:w="274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370"/>
        </w:trPr>
        <w:tc>
          <w:tcPr>
            <w:tcW w:w="354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2360" w:type="dxa"/>
            <w:vAlign w:val="bottom"/>
          </w:tcPr>
          <w:p>
            <w:pPr>
              <w:ind w:left="1740"/>
              <w:spacing w:after="0"/>
              <w:rPr>
                <w:sz w:val="20"/>
                <w:szCs w:val="20"/>
                <w:color w:val="auto"/>
              </w:rPr>
            </w:pPr>
            <w:r>
              <w:rPr>
                <w:rFonts w:ascii="Courier New" w:cs="Courier New" w:eastAsia="Courier New" w:hAnsi="Courier New"/>
                <w:sz w:val="16"/>
                <w:szCs w:val="16"/>
                <w:color w:val="auto"/>
              </w:rPr>
              <w:t>$756.8</w:t>
            </w:r>
          </w:p>
        </w:tc>
        <w:tc>
          <w:tcPr>
            <w:tcW w:w="274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$664.6</w:t>
            </w:r>
          </w:p>
        </w:tc>
      </w:tr>
      <w:tr>
        <w:trPr>
          <w:trHeight w:val="185"/>
        </w:trPr>
        <w:tc>
          <w:tcPr>
            <w:tcW w:w="3540" w:type="dxa"/>
            <w:vAlign w:val="bottom"/>
          </w:tcPr>
          <w:p>
            <w:pPr>
              <w:spacing w:after="0"/>
              <w:rPr>
                <w:sz w:val="16"/>
                <w:szCs w:val="16"/>
                <w:color w:val="auto"/>
              </w:rPr>
            </w:pPr>
          </w:p>
        </w:tc>
        <w:tc>
          <w:tcPr>
            <w:tcW w:w="2360" w:type="dxa"/>
            <w:vAlign w:val="bottom"/>
          </w:tcPr>
          <w:p>
            <w:pPr>
              <w:ind w:left="1740"/>
              <w:spacing w:after="0"/>
              <w:rPr>
                <w:sz w:val="20"/>
                <w:szCs w:val="20"/>
                <w:color w:val="auto"/>
              </w:rPr>
            </w:pPr>
            <w:r>
              <w:rPr>
                <w:rFonts w:ascii="Courier New" w:cs="Courier New" w:eastAsia="Courier New" w:hAnsi="Courier New"/>
                <w:sz w:val="16"/>
                <w:szCs w:val="16"/>
                <w:color w:val="auto"/>
              </w:rPr>
              <w:t>======</w:t>
            </w:r>
          </w:p>
        </w:tc>
        <w:tc>
          <w:tcPr>
            <w:tcW w:w="274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370"/>
        </w:trPr>
        <w:tc>
          <w:tcPr>
            <w:tcW w:w="35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2360" w:type="dxa"/>
            <w:vAlign w:val="bottom"/>
          </w:tcPr>
          <w:p>
            <w:pPr>
              <w:ind w:left="1740"/>
              <w:spacing w:after="0"/>
              <w:rPr>
                <w:sz w:val="20"/>
                <w:szCs w:val="20"/>
                <w:color w:val="auto"/>
              </w:rPr>
            </w:pPr>
            <w:r>
              <w:rPr>
                <w:rFonts w:ascii="Courier New" w:cs="Courier New" w:eastAsia="Courier New" w:hAnsi="Courier New"/>
                <w:sz w:val="16"/>
                <w:szCs w:val="16"/>
                <w:color w:val="auto"/>
              </w:rPr>
              <w:t>$ 42.8</w:t>
            </w:r>
          </w:p>
        </w:tc>
        <w:tc>
          <w:tcPr>
            <w:tcW w:w="2160" w:type="dxa"/>
            <w:vAlign w:val="bottom"/>
          </w:tcPr>
          <w:p>
            <w:pPr>
              <w:ind w:left="1960"/>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4.5</w:t>
            </w:r>
          </w:p>
        </w:tc>
      </w:tr>
      <w:tr>
        <w:trPr>
          <w:trHeight w:val="185"/>
        </w:trPr>
        <w:tc>
          <w:tcPr>
            <w:tcW w:w="3540" w:type="dxa"/>
            <w:vAlign w:val="bottom"/>
          </w:tcPr>
          <w:p>
            <w:pPr>
              <w:spacing w:after="0"/>
              <w:rPr>
                <w:sz w:val="16"/>
                <w:szCs w:val="16"/>
                <w:color w:val="auto"/>
              </w:rPr>
            </w:pPr>
          </w:p>
        </w:tc>
        <w:tc>
          <w:tcPr>
            <w:tcW w:w="2360" w:type="dxa"/>
            <w:vAlign w:val="bottom"/>
          </w:tcPr>
          <w:p>
            <w:pPr>
              <w:ind w:left="1740"/>
              <w:spacing w:after="0"/>
              <w:rPr>
                <w:sz w:val="20"/>
                <w:szCs w:val="20"/>
                <w:color w:val="auto"/>
              </w:rPr>
            </w:pPr>
            <w:r>
              <w:rPr>
                <w:rFonts w:ascii="Courier New" w:cs="Courier New" w:eastAsia="Courier New" w:hAnsi="Courier New"/>
                <w:sz w:val="16"/>
                <w:szCs w:val="16"/>
                <w:color w:val="auto"/>
              </w:rPr>
              <w:t>======</w:t>
            </w:r>
          </w:p>
        </w:tc>
        <w:tc>
          <w:tcPr>
            <w:tcW w:w="274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370"/>
        </w:trPr>
        <w:tc>
          <w:tcPr>
            <w:tcW w:w="3540" w:type="dxa"/>
            <w:vAlign w:val="bottom"/>
          </w:tcPr>
          <w:p>
            <w:pPr>
              <w:spacing w:after="0"/>
              <w:rPr>
                <w:sz w:val="20"/>
                <w:szCs w:val="20"/>
                <w:color w:val="auto"/>
              </w:rPr>
            </w:pPr>
            <w:r>
              <w:rPr>
                <w:rFonts w:ascii="Courier New" w:cs="Courier New" w:eastAsia="Courier New" w:hAnsi="Courier New"/>
                <w:sz w:val="16"/>
                <w:szCs w:val="16"/>
                <w:color w:val="auto"/>
              </w:rPr>
              <w:t>Income per common share</w:t>
            </w:r>
          </w:p>
        </w:tc>
        <w:tc>
          <w:tcPr>
            <w:tcW w:w="2360" w:type="dxa"/>
            <w:vAlign w:val="bottom"/>
          </w:tcPr>
          <w:p>
            <w:pPr>
              <w:ind w:left="1740"/>
              <w:spacing w:after="0"/>
              <w:rPr>
                <w:sz w:val="20"/>
                <w:szCs w:val="20"/>
                <w:color w:val="auto"/>
              </w:rPr>
            </w:pPr>
            <w:r>
              <w:rPr>
                <w:rFonts w:ascii="Courier New" w:cs="Courier New" w:eastAsia="Courier New" w:hAnsi="Courier New"/>
                <w:sz w:val="16"/>
                <w:szCs w:val="16"/>
                <w:color w:val="auto"/>
              </w:rPr>
              <w:t>$ 1.46</w:t>
            </w:r>
          </w:p>
        </w:tc>
        <w:tc>
          <w:tcPr>
            <w:tcW w:w="2160" w:type="dxa"/>
            <w:vAlign w:val="bottom"/>
          </w:tcPr>
          <w:p>
            <w:pPr>
              <w:ind w:left="1960"/>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.24</w:t>
            </w:r>
          </w:p>
        </w:tc>
      </w:tr>
      <w:tr>
        <w:trPr>
          <w:trHeight w:val="185"/>
        </w:trPr>
        <w:tc>
          <w:tcPr>
            <w:tcW w:w="3540" w:type="dxa"/>
            <w:vAlign w:val="bottom"/>
          </w:tcPr>
          <w:p>
            <w:pPr>
              <w:spacing w:after="0"/>
              <w:rPr>
                <w:sz w:val="16"/>
                <w:szCs w:val="16"/>
                <w:color w:val="auto"/>
              </w:rPr>
            </w:pPr>
          </w:p>
        </w:tc>
        <w:tc>
          <w:tcPr>
            <w:tcW w:w="2360" w:type="dxa"/>
            <w:vAlign w:val="bottom"/>
          </w:tcPr>
          <w:p>
            <w:pPr>
              <w:ind w:left="1740"/>
              <w:spacing w:after="0"/>
              <w:rPr>
                <w:sz w:val="20"/>
                <w:szCs w:val="20"/>
                <w:color w:val="auto"/>
              </w:rPr>
            </w:pPr>
            <w:r>
              <w:rPr>
                <w:rFonts w:ascii="Courier New" w:cs="Courier New" w:eastAsia="Courier New" w:hAnsi="Courier New"/>
                <w:sz w:val="16"/>
                <w:szCs w:val="16"/>
                <w:color w:val="auto"/>
              </w:rPr>
              <w:t>======</w:t>
            </w:r>
          </w:p>
        </w:tc>
        <w:tc>
          <w:tcPr>
            <w:tcW w:w="274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bl>
    <w:p>
      <w:pPr>
        <w:spacing w:after="0" w:line="375" w:lineRule="exact"/>
        <w:rPr>
          <w:sz w:val="20"/>
          <w:szCs w:val="20"/>
          <w:color w:val="auto"/>
        </w:rPr>
      </w:pPr>
    </w:p>
    <w:p>
      <w:pPr>
        <w:jc w:val="both"/>
        <w:ind w:left="581" w:right="2719"/>
        <w:spacing w:after="0" w:line="243" w:lineRule="auto"/>
        <w:rPr>
          <w:sz w:val="20"/>
          <w:szCs w:val="20"/>
          <w:color w:val="auto"/>
        </w:rPr>
      </w:pPr>
      <w:r>
        <w:rPr>
          <w:rFonts w:ascii="Courier New" w:cs="Courier New" w:eastAsia="Courier New" w:hAnsi="Courier New"/>
          <w:sz w:val="16"/>
          <w:szCs w:val="16"/>
          <w:color w:val="auto"/>
        </w:rPr>
        <w:t>Pro forma primary net income per common share for the nine months ended is calculated using the weighted average common shares and common share equivalents outstanding at June 28, 1997 of 29.3 million and at June 29, 1996 of 19.1 million.</w:t>
      </w:r>
    </w:p>
    <w:p>
      <w:pPr>
        <w:spacing w:after="0" w:line="190" w:lineRule="exact"/>
        <w:rPr>
          <w:sz w:val="20"/>
          <w:szCs w:val="20"/>
          <w:color w:val="auto"/>
        </w:rPr>
      </w:pPr>
    </w:p>
    <w:p>
      <w:pPr>
        <w:ind w:left="581" w:right="2819"/>
        <w:spacing w:after="0" w:line="243" w:lineRule="auto"/>
        <w:rPr>
          <w:sz w:val="20"/>
          <w:szCs w:val="20"/>
          <w:color w:val="auto"/>
        </w:rPr>
      </w:pPr>
      <w:r>
        <w:rPr>
          <w:rFonts w:ascii="Courier New" w:cs="Courier New" w:eastAsia="Courier New" w:hAnsi="Courier New"/>
          <w:sz w:val="16"/>
          <w:szCs w:val="16"/>
          <w:color w:val="auto"/>
        </w:rPr>
        <w:t>The pro forma information provided does not purport to be indicative of actual results of operations if the Miracle Holdings acquisition had occurred as of October 1, 1995, and is not intended to be indicative of future results or trends.</w:t>
      </w:r>
    </w:p>
    <w:p>
      <w:pPr>
        <w:spacing w:after="0" w:line="373" w:lineRule="exact"/>
        <w:rPr>
          <w:sz w:val="20"/>
          <w:szCs w:val="20"/>
          <w:color w:val="auto"/>
        </w:rPr>
      </w:pPr>
    </w:p>
    <w:p>
      <w:pPr>
        <w:ind w:left="3561"/>
        <w:spacing w:after="0"/>
        <w:rPr>
          <w:sz w:val="20"/>
          <w:szCs w:val="20"/>
          <w:color w:val="auto"/>
        </w:rPr>
      </w:pPr>
      <w:r>
        <w:rPr>
          <w:rFonts w:ascii="Courier New" w:cs="Courier New" w:eastAsia="Courier New" w:hAnsi="Courier New"/>
          <w:sz w:val="16"/>
          <w:szCs w:val="16"/>
          <w:color w:val="auto"/>
        </w:rPr>
        <w:t>Page 7</w:t>
      </w:r>
    </w:p>
    <w:p>
      <w:pPr>
        <w:sectPr>
          <w:pgSz w:w="11900" w:h="16838" w:orient="portrait"/>
          <w:cols w:equalWidth="0" w:num="1">
            <w:col w:w="10221"/>
          </w:cols>
          <w:pgMar w:left="239" w:top="300" w:right="1440" w:bottom="1440" w:gutter="0" w:footer="0" w:header="0"/>
        </w:sectPr>
      </w:pPr>
    </w:p>
    <w:bookmarkStart w:id="7" w:name="page8"/>
    <w:bookmarkEnd w:id="7"/>
    <w:p>
      <w:pPr>
        <w:ind w:left="281"/>
        <w:spacing w:after="0"/>
        <w:rPr>
          <w:sz w:val="20"/>
          <w:szCs w:val="20"/>
          <w:color w:val="auto"/>
        </w:rPr>
      </w:pPr>
      <w:r>
        <w:rPr>
          <w:rFonts w:ascii="Courier New" w:cs="Courier New" w:eastAsia="Courier New" w:hAnsi="Courier New"/>
          <w:sz w:val="16"/>
          <w:szCs w:val="16"/>
          <w:color w:val="auto"/>
        </w:rPr>
        <w:t>8</w:t>
      </w:r>
    </w:p>
    <w:p>
      <w:pPr>
        <w:spacing w:after="0" w:line="200" w:lineRule="exact"/>
        <w:rPr>
          <w:sz w:val="20"/>
          <w:szCs w:val="20"/>
          <w:color w:val="auto"/>
        </w:rPr>
      </w:pPr>
    </w:p>
    <w:p>
      <w:pPr>
        <w:spacing w:after="0" w:line="358" w:lineRule="exact"/>
        <w:rPr>
          <w:sz w:val="20"/>
          <w:szCs w:val="20"/>
          <w:color w:val="auto"/>
        </w:rPr>
      </w:pPr>
    </w:p>
    <w:p>
      <w:pPr>
        <w:ind w:left="2121"/>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4" w:lineRule="exact"/>
        <w:rPr>
          <w:sz w:val="20"/>
          <w:szCs w:val="20"/>
          <w:color w:val="auto"/>
        </w:rPr>
      </w:pPr>
    </w:p>
    <w:p>
      <w:pPr>
        <w:ind w:left="1821"/>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375" w:lineRule="exact"/>
        <w:rPr>
          <w:sz w:val="20"/>
          <w:szCs w:val="20"/>
          <w:color w:val="auto"/>
        </w:rPr>
      </w:pPr>
    </w:p>
    <w:p>
      <w:pPr>
        <w:ind w:left="581" w:right="8399" w:hanging="581"/>
        <w:spacing w:after="0" w:line="274" w:lineRule="auto"/>
        <w:tabs>
          <w:tab w:leader="none" w:pos="581"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 (in millions)</w:t>
      </w:r>
    </w:p>
    <w:p>
      <w:pPr>
        <w:spacing w:after="0" w:line="164" w:lineRule="exact"/>
        <w:rPr>
          <w:rFonts w:ascii="Courier New" w:cs="Courier New" w:eastAsia="Courier New" w:hAnsi="Courier New"/>
          <w:sz w:val="15"/>
          <w:szCs w:val="15"/>
          <w:color w:val="auto"/>
        </w:rPr>
      </w:pPr>
    </w:p>
    <w:p>
      <w:pPr>
        <w:ind w:left="58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Inventories, net of provisions of $9.1, $6.8 and $8.7, consisted of:</w:t>
      </w:r>
    </w:p>
    <w:p>
      <w:pPr>
        <w:spacing w:after="0" w:line="200" w:lineRule="exact"/>
        <w:rPr>
          <w:sz w:val="20"/>
          <w:szCs w:val="20"/>
          <w:color w:val="auto"/>
        </w:rPr>
      </w:pPr>
    </w:p>
    <w:p>
      <w:pPr>
        <w:spacing w:after="0" w:line="35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8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06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June 28</w:t>
            </w:r>
          </w:p>
        </w:tc>
        <w:tc>
          <w:tcPr>
            <w:tcW w:w="22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June 29</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September 30</w:t>
            </w:r>
          </w:p>
        </w:tc>
      </w:tr>
      <w:tr>
        <w:trPr>
          <w:trHeight w:val="185"/>
        </w:trPr>
        <w:tc>
          <w:tcPr>
            <w:tcW w:w="3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06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1997</w:t>
            </w:r>
          </w:p>
        </w:tc>
        <w:tc>
          <w:tcPr>
            <w:tcW w:w="226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1996</w:t>
            </w:r>
          </w:p>
        </w:tc>
        <w:tc>
          <w:tcPr>
            <w:tcW w:w="19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1996</w:t>
            </w:r>
          </w:p>
        </w:tc>
      </w:tr>
      <w:tr>
        <w:trPr>
          <w:trHeight w:val="185"/>
        </w:trPr>
        <w:tc>
          <w:tcPr>
            <w:tcW w:w="3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06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w:t>
            </w:r>
          </w:p>
        </w:tc>
        <w:tc>
          <w:tcPr>
            <w:tcW w:w="22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380" w:type="dxa"/>
            <w:vAlign w:val="bottom"/>
          </w:tcPr>
          <w:p>
            <w:pPr>
              <w:spacing w:after="0"/>
              <w:rPr>
                <w:sz w:val="24"/>
                <w:szCs w:val="24"/>
                <w:color w:val="auto"/>
              </w:rPr>
            </w:pPr>
          </w:p>
        </w:tc>
        <w:tc>
          <w:tcPr>
            <w:tcW w:w="3180" w:type="dxa"/>
            <w:vAlign w:val="bottom"/>
          </w:tcPr>
          <w:p>
            <w:pPr>
              <w:ind w:left="300"/>
              <w:spacing w:after="0"/>
              <w:rPr>
                <w:sz w:val="20"/>
                <w:szCs w:val="20"/>
                <w:color w:val="auto"/>
              </w:rPr>
            </w:pPr>
            <w:r>
              <w:rPr>
                <w:rFonts w:ascii="Courier New" w:cs="Courier New" w:eastAsia="Courier New" w:hAnsi="Courier New"/>
                <w:sz w:val="16"/>
                <w:szCs w:val="16"/>
                <w:color w:val="auto"/>
              </w:rPr>
              <w:t>Finished Goods</w:t>
            </w:r>
          </w:p>
        </w:tc>
        <w:tc>
          <w:tcPr>
            <w:tcW w:w="206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$102.9</w:t>
            </w:r>
          </w:p>
        </w:tc>
        <w:tc>
          <w:tcPr>
            <w:tcW w:w="22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$ 51.3</w:t>
            </w:r>
          </w:p>
        </w:tc>
        <w:tc>
          <w:tcPr>
            <w:tcW w:w="19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$ 96.7</w:t>
            </w:r>
          </w:p>
        </w:tc>
      </w:tr>
      <w:tr>
        <w:trPr>
          <w:trHeight w:val="185"/>
        </w:trPr>
        <w:tc>
          <w:tcPr>
            <w:tcW w:w="380" w:type="dxa"/>
            <w:vAlign w:val="bottom"/>
          </w:tcPr>
          <w:p>
            <w:pPr>
              <w:spacing w:after="0"/>
              <w:rPr>
                <w:sz w:val="16"/>
                <w:szCs w:val="16"/>
                <w:color w:val="auto"/>
              </w:rPr>
            </w:pPr>
          </w:p>
        </w:tc>
        <w:tc>
          <w:tcPr>
            <w:tcW w:w="3180" w:type="dxa"/>
            <w:vAlign w:val="bottom"/>
          </w:tcPr>
          <w:p>
            <w:pPr>
              <w:ind w:left="300"/>
              <w:spacing w:after="0"/>
              <w:rPr>
                <w:sz w:val="20"/>
                <w:szCs w:val="20"/>
                <w:color w:val="auto"/>
              </w:rPr>
            </w:pPr>
            <w:r>
              <w:rPr>
                <w:rFonts w:ascii="Courier New" w:cs="Courier New" w:eastAsia="Courier New" w:hAnsi="Courier New"/>
                <w:sz w:val="16"/>
                <w:szCs w:val="16"/>
                <w:color w:val="auto"/>
              </w:rPr>
              <w:t>Raw Materials</w:t>
            </w:r>
          </w:p>
        </w:tc>
        <w:tc>
          <w:tcPr>
            <w:tcW w:w="206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49.7</w:t>
            </w:r>
          </w:p>
        </w:tc>
        <w:tc>
          <w:tcPr>
            <w:tcW w:w="22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106.2</w:t>
            </w:r>
          </w:p>
        </w:tc>
        <w:tc>
          <w:tcPr>
            <w:tcW w:w="19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52.1</w:t>
            </w:r>
          </w:p>
        </w:tc>
      </w:tr>
      <w:tr>
        <w:trPr>
          <w:trHeight w:val="185"/>
        </w:trPr>
        <w:tc>
          <w:tcPr>
            <w:tcW w:w="3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06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w:t>
            </w:r>
          </w:p>
        </w:tc>
        <w:tc>
          <w:tcPr>
            <w:tcW w:w="22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370"/>
        </w:trPr>
        <w:tc>
          <w:tcPr>
            <w:tcW w:w="3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06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$152.6</w:t>
            </w:r>
          </w:p>
        </w:tc>
        <w:tc>
          <w:tcPr>
            <w:tcW w:w="22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$157.5</w:t>
            </w:r>
          </w:p>
        </w:tc>
        <w:tc>
          <w:tcPr>
            <w:tcW w:w="19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$148.8</w:t>
            </w:r>
          </w:p>
        </w:tc>
      </w:tr>
      <w:tr>
        <w:trPr>
          <w:trHeight w:val="185"/>
        </w:trPr>
        <w:tc>
          <w:tcPr>
            <w:tcW w:w="3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06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w:t>
            </w:r>
          </w:p>
        </w:tc>
        <w:tc>
          <w:tcPr>
            <w:tcW w:w="22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554"/>
        </w:trPr>
        <w:tc>
          <w:tcPr>
            <w:tcW w:w="38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3"/>
              </w:rPr>
              <w:t>4.</w:t>
            </w:r>
          </w:p>
        </w:tc>
        <w:tc>
          <w:tcPr>
            <w:tcW w:w="3180" w:type="dxa"/>
            <w:vAlign w:val="bottom"/>
          </w:tcPr>
          <w:p>
            <w:pPr>
              <w:ind w:left="200"/>
              <w:spacing w:after="0"/>
              <w:rPr>
                <w:sz w:val="20"/>
                <w:szCs w:val="20"/>
                <w:color w:val="auto"/>
              </w:rPr>
            </w:pPr>
            <w:r>
              <w:rPr>
                <w:rFonts w:ascii="Courier New" w:cs="Courier New" w:eastAsia="Courier New" w:hAnsi="Courier New"/>
                <w:sz w:val="16"/>
                <w:szCs w:val="16"/>
                <w:color w:val="auto"/>
              </w:rPr>
              <w:t>LONG-TERM DEBT</w:t>
            </w:r>
          </w:p>
        </w:tc>
        <w:tc>
          <w:tcPr>
            <w:tcW w:w="20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85"/>
        </w:trPr>
        <w:tc>
          <w:tcPr>
            <w:tcW w:w="380" w:type="dxa"/>
            <w:vAlign w:val="bottom"/>
          </w:tcPr>
          <w:p>
            <w:pPr>
              <w:spacing w:after="0"/>
              <w:rPr>
                <w:sz w:val="16"/>
                <w:szCs w:val="16"/>
                <w:color w:val="auto"/>
              </w:rPr>
            </w:pPr>
          </w:p>
        </w:tc>
        <w:tc>
          <w:tcPr>
            <w:tcW w:w="3180" w:type="dxa"/>
            <w:vAlign w:val="bottom"/>
          </w:tcPr>
          <w:p>
            <w:pPr>
              <w:ind w:left="200"/>
              <w:spacing w:after="0"/>
              <w:rPr>
                <w:sz w:val="20"/>
                <w:szCs w:val="20"/>
                <w:color w:val="auto"/>
              </w:rPr>
            </w:pPr>
            <w:r>
              <w:rPr>
                <w:rFonts w:ascii="Courier New" w:cs="Courier New" w:eastAsia="Courier New" w:hAnsi="Courier New"/>
                <w:sz w:val="16"/>
                <w:szCs w:val="16"/>
                <w:color w:val="auto"/>
              </w:rPr>
              <w:t>(in millions)</w:t>
            </w:r>
          </w:p>
        </w:tc>
        <w:tc>
          <w:tcPr>
            <w:tcW w:w="20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554"/>
        </w:trPr>
        <w:tc>
          <w:tcPr>
            <w:tcW w:w="3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06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June 28</w:t>
            </w:r>
          </w:p>
        </w:tc>
        <w:tc>
          <w:tcPr>
            <w:tcW w:w="226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June 29</w:t>
            </w:r>
          </w:p>
        </w:tc>
        <w:tc>
          <w:tcPr>
            <w:tcW w:w="1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September 30</w:t>
            </w:r>
          </w:p>
        </w:tc>
      </w:tr>
      <w:tr>
        <w:trPr>
          <w:trHeight w:val="185"/>
        </w:trPr>
        <w:tc>
          <w:tcPr>
            <w:tcW w:w="3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060" w:type="dxa"/>
            <w:vAlign w:val="bottom"/>
          </w:tcPr>
          <w:p>
            <w:pPr>
              <w:jc w:val="right"/>
              <w:ind w:right="920"/>
              <w:spacing w:after="0"/>
              <w:rPr>
                <w:sz w:val="20"/>
                <w:szCs w:val="20"/>
                <w:color w:val="auto"/>
              </w:rPr>
            </w:pPr>
            <w:r>
              <w:rPr>
                <w:rFonts w:ascii="Courier New" w:cs="Courier New" w:eastAsia="Courier New" w:hAnsi="Courier New"/>
                <w:sz w:val="16"/>
                <w:szCs w:val="16"/>
                <w:color w:val="auto"/>
              </w:rPr>
              <w:t>1997</w:t>
            </w:r>
          </w:p>
        </w:tc>
        <w:tc>
          <w:tcPr>
            <w:tcW w:w="226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1996</w:t>
            </w:r>
          </w:p>
        </w:tc>
        <w:tc>
          <w:tcPr>
            <w:tcW w:w="19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1996</w:t>
            </w:r>
          </w:p>
        </w:tc>
      </w:tr>
      <w:tr>
        <w:trPr>
          <w:trHeight w:val="185"/>
        </w:trPr>
        <w:tc>
          <w:tcPr>
            <w:tcW w:w="3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06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w:t>
            </w:r>
          </w:p>
        </w:tc>
        <w:tc>
          <w:tcPr>
            <w:tcW w:w="226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380" w:type="dxa"/>
            <w:vAlign w:val="bottom"/>
          </w:tcPr>
          <w:p>
            <w:pPr>
              <w:spacing w:after="0"/>
              <w:rPr>
                <w:sz w:val="24"/>
                <w:szCs w:val="24"/>
                <w:color w:val="auto"/>
              </w:rPr>
            </w:pPr>
          </w:p>
        </w:tc>
        <w:tc>
          <w:tcPr>
            <w:tcW w:w="3180" w:type="dxa"/>
            <w:vAlign w:val="bottom"/>
          </w:tcPr>
          <w:p>
            <w:pPr>
              <w:ind w:left="300"/>
              <w:spacing w:after="0"/>
              <w:rPr>
                <w:sz w:val="20"/>
                <w:szCs w:val="20"/>
                <w:color w:val="auto"/>
              </w:rPr>
            </w:pPr>
            <w:r>
              <w:rPr>
                <w:rFonts w:ascii="Courier New" w:cs="Courier New" w:eastAsia="Courier New" w:hAnsi="Courier New"/>
                <w:sz w:val="16"/>
                <w:szCs w:val="16"/>
                <w:color w:val="auto"/>
              </w:rPr>
              <w:t>Revolving Credit Line</w:t>
            </w:r>
          </w:p>
        </w:tc>
        <w:tc>
          <w:tcPr>
            <w:tcW w:w="206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$141.9</w:t>
            </w:r>
          </w:p>
        </w:tc>
        <w:tc>
          <w:tcPr>
            <w:tcW w:w="22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$123.0</w:t>
            </w:r>
          </w:p>
        </w:tc>
        <w:tc>
          <w:tcPr>
            <w:tcW w:w="19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$125.7</w:t>
            </w:r>
          </w:p>
        </w:tc>
      </w:tr>
      <w:tr>
        <w:trPr>
          <w:trHeight w:val="185"/>
        </w:trPr>
        <w:tc>
          <w:tcPr>
            <w:tcW w:w="380" w:type="dxa"/>
            <w:vAlign w:val="bottom"/>
          </w:tcPr>
          <w:p>
            <w:pPr>
              <w:spacing w:after="0"/>
              <w:rPr>
                <w:sz w:val="16"/>
                <w:szCs w:val="16"/>
                <w:color w:val="auto"/>
              </w:rPr>
            </w:pPr>
          </w:p>
        </w:tc>
        <w:tc>
          <w:tcPr>
            <w:tcW w:w="3180" w:type="dxa"/>
            <w:vAlign w:val="bottom"/>
          </w:tcPr>
          <w:p>
            <w:pPr>
              <w:ind w:left="300"/>
              <w:spacing w:after="0"/>
              <w:rPr>
                <w:sz w:val="20"/>
                <w:szCs w:val="20"/>
                <w:color w:val="auto"/>
              </w:rPr>
            </w:pPr>
            <w:r>
              <w:rPr>
                <w:rFonts w:ascii="Courier New" w:cs="Courier New" w:eastAsia="Courier New" w:hAnsi="Courier New"/>
                <w:sz w:val="16"/>
                <w:szCs w:val="16"/>
                <w:color w:val="auto"/>
              </w:rPr>
              <w:t>9 7/8% Senior</w:t>
            </w:r>
          </w:p>
        </w:tc>
        <w:tc>
          <w:tcPr>
            <w:tcW w:w="20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5"/>
        </w:trPr>
        <w:tc>
          <w:tcPr>
            <w:tcW w:w="380" w:type="dxa"/>
            <w:vAlign w:val="bottom"/>
          </w:tcPr>
          <w:p>
            <w:pPr>
              <w:spacing w:after="0"/>
              <w:rPr>
                <w:sz w:val="16"/>
                <w:szCs w:val="16"/>
                <w:color w:val="auto"/>
              </w:rPr>
            </w:pPr>
          </w:p>
        </w:tc>
        <w:tc>
          <w:tcPr>
            <w:tcW w:w="3180" w:type="dxa"/>
            <w:vAlign w:val="bottom"/>
          </w:tcPr>
          <w:p>
            <w:pPr>
              <w:ind w:left="680"/>
              <w:spacing w:after="0"/>
              <w:rPr>
                <w:sz w:val="20"/>
                <w:szCs w:val="20"/>
                <w:color w:val="auto"/>
              </w:rPr>
            </w:pPr>
            <w:r>
              <w:rPr>
                <w:rFonts w:ascii="Courier New" w:cs="Courier New" w:eastAsia="Courier New" w:hAnsi="Courier New"/>
                <w:sz w:val="16"/>
                <w:szCs w:val="16"/>
                <w:color w:val="auto"/>
              </w:rPr>
              <w:t>Subordinated Notes</w:t>
            </w:r>
          </w:p>
        </w:tc>
        <w:tc>
          <w:tcPr>
            <w:tcW w:w="20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5"/>
        </w:trPr>
        <w:tc>
          <w:tcPr>
            <w:tcW w:w="380" w:type="dxa"/>
            <w:vAlign w:val="bottom"/>
          </w:tcPr>
          <w:p>
            <w:pPr>
              <w:spacing w:after="0"/>
              <w:rPr>
                <w:sz w:val="16"/>
                <w:szCs w:val="16"/>
                <w:color w:val="auto"/>
              </w:rPr>
            </w:pPr>
          </w:p>
        </w:tc>
        <w:tc>
          <w:tcPr>
            <w:tcW w:w="3180" w:type="dxa"/>
            <w:vAlign w:val="bottom"/>
          </w:tcPr>
          <w:p>
            <w:pPr>
              <w:ind w:left="680"/>
              <w:spacing w:after="0"/>
              <w:rPr>
                <w:sz w:val="20"/>
                <w:szCs w:val="20"/>
                <w:color w:val="auto"/>
              </w:rPr>
            </w:pPr>
            <w:r>
              <w:rPr>
                <w:rFonts w:ascii="Courier New" w:cs="Courier New" w:eastAsia="Courier New" w:hAnsi="Courier New"/>
                <w:sz w:val="16"/>
                <w:szCs w:val="16"/>
                <w:color w:val="auto"/>
              </w:rPr>
              <w:t>$100 million face</w:t>
            </w:r>
          </w:p>
        </w:tc>
        <w:tc>
          <w:tcPr>
            <w:tcW w:w="20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5"/>
        </w:trPr>
        <w:tc>
          <w:tcPr>
            <w:tcW w:w="380" w:type="dxa"/>
            <w:vAlign w:val="bottom"/>
          </w:tcPr>
          <w:p>
            <w:pPr>
              <w:spacing w:after="0"/>
              <w:rPr>
                <w:sz w:val="16"/>
                <w:szCs w:val="16"/>
                <w:color w:val="auto"/>
              </w:rPr>
            </w:pPr>
          </w:p>
        </w:tc>
        <w:tc>
          <w:tcPr>
            <w:tcW w:w="3180" w:type="dxa"/>
            <w:vAlign w:val="bottom"/>
          </w:tcPr>
          <w:p>
            <w:pPr>
              <w:ind w:left="680"/>
              <w:spacing w:after="0"/>
              <w:rPr>
                <w:sz w:val="20"/>
                <w:szCs w:val="20"/>
                <w:color w:val="auto"/>
              </w:rPr>
            </w:pPr>
            <w:r>
              <w:rPr>
                <w:rFonts w:ascii="Courier New" w:cs="Courier New" w:eastAsia="Courier New" w:hAnsi="Courier New"/>
                <w:sz w:val="16"/>
                <w:szCs w:val="16"/>
                <w:color w:val="auto"/>
              </w:rPr>
              <w:t>amount due 2004</w:t>
            </w:r>
          </w:p>
        </w:tc>
        <w:tc>
          <w:tcPr>
            <w:tcW w:w="206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99.4</w:t>
            </w:r>
          </w:p>
        </w:tc>
        <w:tc>
          <w:tcPr>
            <w:tcW w:w="22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99.4</w:t>
            </w:r>
          </w:p>
        </w:tc>
        <w:tc>
          <w:tcPr>
            <w:tcW w:w="19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99.4</w:t>
            </w:r>
          </w:p>
        </w:tc>
      </w:tr>
      <w:tr>
        <w:trPr>
          <w:trHeight w:val="185"/>
        </w:trPr>
        <w:tc>
          <w:tcPr>
            <w:tcW w:w="380" w:type="dxa"/>
            <w:vAlign w:val="bottom"/>
          </w:tcPr>
          <w:p>
            <w:pPr>
              <w:spacing w:after="0"/>
              <w:rPr>
                <w:sz w:val="16"/>
                <w:szCs w:val="16"/>
                <w:color w:val="auto"/>
              </w:rPr>
            </w:pPr>
          </w:p>
        </w:tc>
        <w:tc>
          <w:tcPr>
            <w:tcW w:w="3180" w:type="dxa"/>
            <w:vAlign w:val="bottom"/>
          </w:tcPr>
          <w:p>
            <w:pPr>
              <w:ind w:left="300"/>
              <w:spacing w:after="0"/>
              <w:rPr>
                <w:sz w:val="20"/>
                <w:szCs w:val="20"/>
                <w:color w:val="auto"/>
              </w:rPr>
            </w:pPr>
            <w:r>
              <w:rPr>
                <w:rFonts w:ascii="Courier New" w:cs="Courier New" w:eastAsia="Courier New" w:hAnsi="Courier New"/>
                <w:sz w:val="16"/>
                <w:szCs w:val="16"/>
                <w:color w:val="auto"/>
              </w:rPr>
              <w:t>Capital lease</w:t>
            </w:r>
          </w:p>
        </w:tc>
        <w:tc>
          <w:tcPr>
            <w:tcW w:w="20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5"/>
        </w:trPr>
        <w:tc>
          <w:tcPr>
            <w:tcW w:w="380" w:type="dxa"/>
            <w:vAlign w:val="bottom"/>
          </w:tcPr>
          <w:p>
            <w:pPr>
              <w:spacing w:after="0"/>
              <w:rPr>
                <w:sz w:val="16"/>
                <w:szCs w:val="16"/>
                <w:color w:val="auto"/>
              </w:rPr>
            </w:pPr>
          </w:p>
        </w:tc>
        <w:tc>
          <w:tcPr>
            <w:tcW w:w="3180" w:type="dxa"/>
            <w:vAlign w:val="bottom"/>
          </w:tcPr>
          <w:p>
            <w:pPr>
              <w:ind w:left="680"/>
              <w:spacing w:after="0"/>
              <w:rPr>
                <w:sz w:val="20"/>
                <w:szCs w:val="20"/>
                <w:color w:val="auto"/>
              </w:rPr>
            </w:pPr>
            <w:r>
              <w:rPr>
                <w:rFonts w:ascii="Courier New" w:cs="Courier New" w:eastAsia="Courier New" w:hAnsi="Courier New"/>
                <w:sz w:val="16"/>
                <w:szCs w:val="16"/>
                <w:color w:val="auto"/>
              </w:rPr>
              <w:t>obligations and other</w:t>
            </w:r>
          </w:p>
        </w:tc>
        <w:tc>
          <w:tcPr>
            <w:tcW w:w="206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0.1</w:t>
            </w:r>
          </w:p>
        </w:tc>
        <w:tc>
          <w:tcPr>
            <w:tcW w:w="22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0.2</w:t>
            </w:r>
          </w:p>
        </w:tc>
        <w:tc>
          <w:tcPr>
            <w:tcW w:w="19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0.2</w:t>
            </w:r>
          </w:p>
        </w:tc>
      </w:tr>
      <w:tr>
        <w:trPr>
          <w:trHeight w:val="185"/>
        </w:trPr>
        <w:tc>
          <w:tcPr>
            <w:tcW w:w="3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06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w:t>
            </w:r>
          </w:p>
        </w:tc>
        <w:tc>
          <w:tcPr>
            <w:tcW w:w="22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3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06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241.4</w:t>
            </w:r>
          </w:p>
        </w:tc>
        <w:tc>
          <w:tcPr>
            <w:tcW w:w="22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222.6</w:t>
            </w:r>
          </w:p>
        </w:tc>
        <w:tc>
          <w:tcPr>
            <w:tcW w:w="19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225.3</w:t>
            </w:r>
          </w:p>
        </w:tc>
      </w:tr>
      <w:tr>
        <w:trPr>
          <w:trHeight w:val="185"/>
        </w:trPr>
        <w:tc>
          <w:tcPr>
            <w:tcW w:w="380" w:type="dxa"/>
            <w:vAlign w:val="bottom"/>
          </w:tcPr>
          <w:p>
            <w:pPr>
              <w:spacing w:after="0"/>
              <w:rPr>
                <w:sz w:val="16"/>
                <w:szCs w:val="16"/>
                <w:color w:val="auto"/>
              </w:rPr>
            </w:pPr>
          </w:p>
        </w:tc>
        <w:tc>
          <w:tcPr>
            <w:tcW w:w="3180" w:type="dxa"/>
            <w:vAlign w:val="bottom"/>
          </w:tcPr>
          <w:p>
            <w:pPr>
              <w:ind w:left="300"/>
              <w:spacing w:after="0"/>
              <w:rPr>
                <w:sz w:val="20"/>
                <w:szCs w:val="20"/>
                <w:color w:val="auto"/>
              </w:rPr>
            </w:pPr>
            <w:r>
              <w:rPr>
                <w:rFonts w:ascii="Courier New" w:cs="Courier New" w:eastAsia="Courier New" w:hAnsi="Courier New"/>
                <w:sz w:val="16"/>
                <w:szCs w:val="16"/>
                <w:color w:val="auto"/>
              </w:rPr>
              <w:t>Less current portions</w:t>
            </w:r>
          </w:p>
        </w:tc>
        <w:tc>
          <w:tcPr>
            <w:tcW w:w="206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1.6</w:t>
            </w:r>
          </w:p>
        </w:tc>
        <w:tc>
          <w:tcPr>
            <w:tcW w:w="22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1.8</w:t>
            </w:r>
          </w:p>
        </w:tc>
        <w:tc>
          <w:tcPr>
            <w:tcW w:w="19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2.2</w:t>
            </w:r>
          </w:p>
        </w:tc>
      </w:tr>
      <w:tr>
        <w:trPr>
          <w:trHeight w:val="185"/>
        </w:trPr>
        <w:tc>
          <w:tcPr>
            <w:tcW w:w="3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06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w:t>
            </w:r>
          </w:p>
        </w:tc>
        <w:tc>
          <w:tcPr>
            <w:tcW w:w="22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370"/>
        </w:trPr>
        <w:tc>
          <w:tcPr>
            <w:tcW w:w="380" w:type="dxa"/>
            <w:vAlign w:val="bottom"/>
          </w:tcPr>
          <w:p>
            <w:pPr>
              <w:spacing w:after="0"/>
              <w:rPr>
                <w:sz w:val="24"/>
                <w:szCs w:val="24"/>
                <w:color w:val="auto"/>
              </w:rPr>
            </w:pPr>
          </w:p>
        </w:tc>
        <w:tc>
          <w:tcPr>
            <w:tcW w:w="3180" w:type="dxa"/>
            <w:vAlign w:val="bottom"/>
          </w:tcPr>
          <w:p>
            <w:pPr>
              <w:ind w:left="300"/>
              <w:spacing w:after="0"/>
              <w:rPr>
                <w:sz w:val="20"/>
                <w:szCs w:val="20"/>
                <w:color w:val="auto"/>
              </w:rPr>
            </w:pPr>
            <w:r>
              <w:rPr>
                <w:rFonts w:ascii="Courier New" w:cs="Courier New" w:eastAsia="Courier New" w:hAnsi="Courier New"/>
                <w:sz w:val="16"/>
                <w:szCs w:val="16"/>
                <w:color w:val="auto"/>
              </w:rPr>
              <w:t>Long-term debt</w:t>
            </w:r>
          </w:p>
        </w:tc>
        <w:tc>
          <w:tcPr>
            <w:tcW w:w="206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$239.8</w:t>
            </w:r>
          </w:p>
        </w:tc>
        <w:tc>
          <w:tcPr>
            <w:tcW w:w="22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$220.8</w:t>
            </w:r>
          </w:p>
        </w:tc>
        <w:tc>
          <w:tcPr>
            <w:tcW w:w="19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$223.1</w:t>
            </w:r>
          </w:p>
        </w:tc>
      </w:tr>
      <w:tr>
        <w:trPr>
          <w:trHeight w:val="185"/>
        </w:trPr>
        <w:tc>
          <w:tcPr>
            <w:tcW w:w="3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06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w:t>
            </w:r>
          </w:p>
        </w:tc>
        <w:tc>
          <w:tcPr>
            <w:tcW w:w="22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Maturities of term debt for the next five calendar years are as follows:</w:t>
      </w:r>
    </w:p>
    <w:p>
      <w:pPr>
        <w:spacing w:after="0" w:line="200" w:lineRule="exact"/>
        <w:rPr>
          <w:sz w:val="20"/>
          <w:szCs w:val="20"/>
          <w:color w:val="auto"/>
        </w:rPr>
      </w:pPr>
    </w:p>
    <w:p>
      <w:pPr>
        <w:spacing w:after="0" w:line="358" w:lineRule="exact"/>
        <w:rPr>
          <w:sz w:val="20"/>
          <w:szCs w:val="20"/>
          <w:color w:val="auto"/>
        </w:rPr>
      </w:pPr>
    </w:p>
    <w:tbl>
      <w:tblPr>
        <w:tblLayout w:type="fixed"/>
        <w:tblInd w:w="581" w:type="dxa"/>
        <w:tblCellMar>
          <w:top w:w="0" w:type="dxa"/>
          <w:left w:w="0" w:type="dxa"/>
          <w:bottom w:w="0" w:type="dxa"/>
          <w:right w:w="0" w:type="dxa"/>
        </w:tblCellMar>
      </w:tblPr>
      <w:tr>
        <w:trPr>
          <w:trHeight w:val="181"/>
        </w:trPr>
        <w:tc>
          <w:tcPr>
            <w:tcW w:w="1920" w:type="dxa"/>
            <w:vAlign w:val="bottom"/>
          </w:tcPr>
          <w:p>
            <w:pPr>
              <w:spacing w:after="0"/>
              <w:rPr>
                <w:sz w:val="20"/>
                <w:szCs w:val="20"/>
                <w:color w:val="auto"/>
              </w:rPr>
            </w:pPr>
            <w:r>
              <w:rPr>
                <w:rFonts w:ascii="Courier New" w:cs="Courier New" w:eastAsia="Courier New" w:hAnsi="Courier New"/>
                <w:sz w:val="16"/>
                <w:szCs w:val="16"/>
                <w:color w:val="auto"/>
              </w:rPr>
              <w:t>1997</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5"/>
        </w:trPr>
        <w:tc>
          <w:tcPr>
            <w:tcW w:w="1920" w:type="dxa"/>
            <w:vAlign w:val="bottom"/>
          </w:tcPr>
          <w:p>
            <w:pPr>
              <w:spacing w:after="0"/>
              <w:rPr>
                <w:sz w:val="20"/>
                <w:szCs w:val="20"/>
                <w:color w:val="auto"/>
              </w:rPr>
            </w:pPr>
            <w:r>
              <w:rPr>
                <w:rFonts w:ascii="Courier New" w:cs="Courier New" w:eastAsia="Courier New" w:hAnsi="Courier New"/>
                <w:sz w:val="16"/>
                <w:szCs w:val="16"/>
                <w:color w:val="auto"/>
              </w:rPr>
              <w:t>1998</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5"/>
        </w:trPr>
        <w:tc>
          <w:tcPr>
            <w:tcW w:w="1920" w:type="dxa"/>
            <w:vAlign w:val="bottom"/>
          </w:tcPr>
          <w:p>
            <w:pPr>
              <w:spacing w:after="0"/>
              <w:rPr>
                <w:sz w:val="20"/>
                <w:szCs w:val="20"/>
                <w:color w:val="auto"/>
              </w:rPr>
            </w:pPr>
            <w:r>
              <w:rPr>
                <w:rFonts w:ascii="Courier New" w:cs="Courier New" w:eastAsia="Courier New" w:hAnsi="Courier New"/>
                <w:sz w:val="16"/>
                <w:szCs w:val="16"/>
                <w:color w:val="auto"/>
              </w:rPr>
              <w:t>1999</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5"/>
        </w:trPr>
        <w:tc>
          <w:tcPr>
            <w:tcW w:w="1920" w:type="dxa"/>
            <w:vAlign w:val="bottom"/>
          </w:tcPr>
          <w:p>
            <w:pPr>
              <w:spacing w:after="0"/>
              <w:rPr>
                <w:sz w:val="20"/>
                <w:szCs w:val="20"/>
                <w:color w:val="auto"/>
              </w:rPr>
            </w:pPr>
            <w:r>
              <w:rPr>
                <w:rFonts w:ascii="Courier New" w:cs="Courier New" w:eastAsia="Courier New" w:hAnsi="Courier New"/>
                <w:sz w:val="16"/>
                <w:szCs w:val="16"/>
                <w:color w:val="auto"/>
              </w:rPr>
              <w:t>2000</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139.8</w:t>
            </w:r>
          </w:p>
        </w:tc>
      </w:tr>
      <w:tr>
        <w:trPr>
          <w:trHeight w:val="185"/>
        </w:trPr>
        <w:tc>
          <w:tcPr>
            <w:tcW w:w="1920" w:type="dxa"/>
            <w:vAlign w:val="bottom"/>
          </w:tcPr>
          <w:p>
            <w:pPr>
              <w:spacing w:after="0"/>
              <w:rPr>
                <w:sz w:val="20"/>
                <w:szCs w:val="20"/>
                <w:color w:val="auto"/>
              </w:rPr>
            </w:pPr>
            <w:r>
              <w:rPr>
                <w:rFonts w:ascii="Courier New" w:cs="Courier New" w:eastAsia="Courier New" w:hAnsi="Courier New"/>
                <w:sz w:val="16"/>
                <w:szCs w:val="16"/>
                <w:color w:val="auto"/>
              </w:rPr>
              <w:t>2001</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5"/>
        </w:trPr>
        <w:tc>
          <w:tcPr>
            <w:tcW w:w="1920" w:type="dxa"/>
            <w:vAlign w:val="bottom"/>
          </w:tcPr>
          <w:p>
            <w:pPr>
              <w:spacing w:after="0"/>
              <w:rPr>
                <w:sz w:val="20"/>
                <w:szCs w:val="20"/>
                <w:color w:val="auto"/>
              </w:rPr>
            </w:pPr>
            <w:r>
              <w:rPr>
                <w:rFonts w:ascii="Courier New" w:cs="Courier New" w:eastAsia="Courier New" w:hAnsi="Courier New"/>
                <w:sz w:val="16"/>
                <w:szCs w:val="16"/>
                <w:color w:val="auto"/>
              </w:rPr>
              <w:t>Thereafter</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r>
    </w:tbl>
    <w:p>
      <w:pPr>
        <w:spacing w:after="0" w:line="375" w:lineRule="exact"/>
        <w:rPr>
          <w:sz w:val="20"/>
          <w:szCs w:val="20"/>
          <w:color w:val="auto"/>
        </w:rPr>
      </w:pPr>
    </w:p>
    <w:p>
      <w:pPr>
        <w:ind w:left="581" w:right="2639"/>
        <w:spacing w:after="0" w:line="244" w:lineRule="auto"/>
        <w:rPr>
          <w:sz w:val="20"/>
          <w:szCs w:val="20"/>
          <w:color w:val="auto"/>
        </w:rPr>
      </w:pPr>
      <w:r>
        <w:rPr>
          <w:rFonts w:ascii="Courier New" w:cs="Courier New" w:eastAsia="Courier New" w:hAnsi="Courier New"/>
          <w:sz w:val="16"/>
          <w:szCs w:val="16"/>
          <w:color w:val="auto"/>
        </w:rPr>
        <w:t>On December 23, 1996, the Company entered into an amendment to the Fourth Amended and Restated Credit Agreement with Chase Manhattan Bank and various participating banks. The amendment provides, on an unsecured basis, up to $425 million to the Company, which represents an increase of $50 million to the revolving credit facility, and establishes a $100 million sub-tranche to be available in U.K. Pounds Sterling.</w:t>
      </w:r>
    </w:p>
    <w:p>
      <w:pPr>
        <w:spacing w:after="0" w:line="186" w:lineRule="exact"/>
        <w:rPr>
          <w:sz w:val="20"/>
          <w:szCs w:val="20"/>
          <w:color w:val="auto"/>
        </w:rPr>
      </w:pPr>
    </w:p>
    <w:p>
      <w:pPr>
        <w:ind w:left="581" w:hanging="581"/>
        <w:spacing w:after="0"/>
        <w:tabs>
          <w:tab w:leader="none" w:pos="58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FOREIGN EXCHANGE INSTRUMENTS</w:t>
      </w:r>
    </w:p>
    <w:p>
      <w:pPr>
        <w:spacing w:after="0" w:line="190" w:lineRule="exact"/>
        <w:rPr>
          <w:rFonts w:ascii="Courier New" w:cs="Courier New" w:eastAsia="Courier New" w:hAnsi="Courier New"/>
          <w:sz w:val="16"/>
          <w:szCs w:val="16"/>
          <w:color w:val="auto"/>
        </w:rPr>
      </w:pPr>
    </w:p>
    <w:p>
      <w:pPr>
        <w:ind w:left="58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enters into forward foreign exchange contracts and purchases currency options to hedge its exposure to fluctuations in foreign currency exchange rates. These contracts generally involve the exchange of one currency for a second currency at some future date. Counterparties to these contracts are major financial institutions. Gains and losses on these contracts generally offset gains and losses on the assets, liabilities and transactions being hedged. Effective in the second quarter of 1997, the Company significantly reduced this program.</w:t>
      </w:r>
    </w:p>
    <w:p>
      <w:pPr>
        <w:spacing w:after="0" w:line="372" w:lineRule="exact"/>
        <w:rPr>
          <w:sz w:val="20"/>
          <w:szCs w:val="20"/>
          <w:color w:val="auto"/>
        </w:rPr>
      </w:pPr>
    </w:p>
    <w:p>
      <w:pPr>
        <w:ind w:left="3561"/>
        <w:spacing w:after="0"/>
        <w:rPr>
          <w:sz w:val="20"/>
          <w:szCs w:val="20"/>
          <w:color w:val="auto"/>
        </w:rPr>
      </w:pPr>
      <w:r>
        <w:rPr>
          <w:rFonts w:ascii="Courier New" w:cs="Courier New" w:eastAsia="Courier New" w:hAnsi="Courier New"/>
          <w:sz w:val="16"/>
          <w:szCs w:val="16"/>
          <w:color w:val="auto"/>
        </w:rPr>
        <w:t>Page 8</w:t>
      </w:r>
    </w:p>
    <w:p>
      <w:pPr>
        <w:sectPr>
          <w:pgSz w:w="11900" w:h="16838" w:orient="portrait"/>
          <w:cols w:equalWidth="0" w:num="1">
            <w:col w:w="10221"/>
          </w:cols>
          <w:pgMar w:left="239" w:top="300" w:right="1440" w:bottom="641" w:gutter="0" w:footer="0" w:header="0"/>
        </w:sectPr>
      </w:pPr>
    </w:p>
    <w:bookmarkStart w:id="8" w:name="page9"/>
    <w:bookmarkEnd w:id="8"/>
    <w:p>
      <w:pPr>
        <w:ind w:left="281"/>
        <w:spacing w:after="0"/>
        <w:rPr>
          <w:sz w:val="20"/>
          <w:szCs w:val="20"/>
          <w:color w:val="auto"/>
        </w:rPr>
      </w:pPr>
      <w:r>
        <w:rPr>
          <w:rFonts w:ascii="Courier New" w:cs="Courier New" w:eastAsia="Courier New" w:hAnsi="Courier New"/>
          <w:sz w:val="16"/>
          <w:szCs w:val="16"/>
          <w:color w:val="auto"/>
        </w:rPr>
        <w:t>9</w:t>
      </w:r>
    </w:p>
    <w:p>
      <w:pPr>
        <w:spacing w:after="0" w:line="200" w:lineRule="exact"/>
        <w:rPr>
          <w:sz w:val="20"/>
          <w:szCs w:val="20"/>
          <w:color w:val="auto"/>
        </w:rPr>
      </w:pPr>
    </w:p>
    <w:p>
      <w:pPr>
        <w:spacing w:after="0" w:line="358" w:lineRule="exact"/>
        <w:rPr>
          <w:sz w:val="20"/>
          <w:szCs w:val="20"/>
          <w:color w:val="auto"/>
        </w:rPr>
      </w:pPr>
    </w:p>
    <w:p>
      <w:pPr>
        <w:ind w:left="2121"/>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4" w:lineRule="exact"/>
        <w:rPr>
          <w:sz w:val="20"/>
          <w:szCs w:val="20"/>
          <w:color w:val="auto"/>
        </w:rPr>
      </w:pPr>
    </w:p>
    <w:p>
      <w:pPr>
        <w:ind w:left="1821"/>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375" w:lineRule="exact"/>
        <w:rPr>
          <w:sz w:val="20"/>
          <w:szCs w:val="20"/>
          <w:color w:val="auto"/>
        </w:rPr>
      </w:pPr>
    </w:p>
    <w:p>
      <w:pPr>
        <w:ind w:left="581" w:right="2719"/>
        <w:spacing w:after="0" w:line="244" w:lineRule="auto"/>
        <w:rPr>
          <w:sz w:val="20"/>
          <w:szCs w:val="20"/>
          <w:color w:val="auto"/>
        </w:rPr>
      </w:pPr>
      <w:r>
        <w:rPr>
          <w:rFonts w:ascii="Courier New" w:cs="Courier New" w:eastAsia="Courier New" w:hAnsi="Courier New"/>
          <w:sz w:val="16"/>
          <w:szCs w:val="16"/>
          <w:color w:val="auto"/>
        </w:rPr>
        <w:t>Realized and unrealized foreign exchange gains and losses are recognized and offset foreign exchange gains or losses on the underlying exposures. Unrealized gains and losses that are designated and effective as hedges on such transactions are deferred and recognized in income in the same period as the hedged transactions.</w:t>
      </w:r>
    </w:p>
    <w:p>
      <w:pPr>
        <w:spacing w:after="0" w:line="187" w:lineRule="exact"/>
        <w:rPr>
          <w:sz w:val="20"/>
          <w:szCs w:val="20"/>
          <w:color w:val="auto"/>
        </w:rPr>
      </w:pPr>
    </w:p>
    <w:p>
      <w:pPr>
        <w:ind w:left="581" w:right="2719"/>
        <w:spacing w:after="0" w:line="244" w:lineRule="auto"/>
        <w:rPr>
          <w:sz w:val="20"/>
          <w:szCs w:val="20"/>
          <w:color w:val="auto"/>
        </w:rPr>
      </w:pPr>
      <w:r>
        <w:rPr>
          <w:rFonts w:ascii="Courier New" w:cs="Courier New" w:eastAsia="Courier New" w:hAnsi="Courier New"/>
          <w:sz w:val="16"/>
          <w:szCs w:val="16"/>
          <w:color w:val="auto"/>
        </w:rPr>
        <w:t>At June 28, 1997, the Company's European operations had foreign exchange risk in various European currencies tied to the Dutch Guilder. These currencies are the Belgian Franc, German Mark, Spanish Peseta, Italian Lire, French Franc, British Pound, Australian Dollar and U.S. Dollar. The Company's U.S. operations had foreign exchange rate risk in the Canadian Dollar, the Dutch Guilder and the British Pound which are tied to the U.S. Dollar.</w:t>
      </w:r>
    </w:p>
    <w:p>
      <w:pPr>
        <w:spacing w:after="0" w:line="186" w:lineRule="exact"/>
        <w:rPr>
          <w:sz w:val="20"/>
          <w:szCs w:val="20"/>
          <w:color w:val="auto"/>
        </w:rPr>
      </w:pPr>
    </w:p>
    <w:p>
      <w:pPr>
        <w:ind w:left="581" w:hanging="581"/>
        <w:spacing w:after="0"/>
        <w:tabs>
          <w:tab w:leader="none" w:pos="5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ACCOUNTING ISSUES</w:t>
      </w:r>
    </w:p>
    <w:p>
      <w:pPr>
        <w:spacing w:after="0" w:line="190" w:lineRule="exact"/>
        <w:rPr>
          <w:rFonts w:ascii="Courier New" w:cs="Courier New" w:eastAsia="Courier New" w:hAnsi="Courier New"/>
          <w:sz w:val="16"/>
          <w:szCs w:val="16"/>
          <w:color w:val="auto"/>
        </w:rPr>
      </w:pPr>
    </w:p>
    <w:p>
      <w:pPr>
        <w:ind w:left="58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October 1995, the Financial Accounting Standards Board ("FASB") issued SFAS No. 123, "Accounting for Stock-Based Compensation," effective for financial statements for fiscal years beginning after December 15, 1995. SFAS No. 123 provides for, but does not require, a fair value method of accounting for stock-based compensation arrangements rather than the intrinsic value method previously required. Alternatively, entities that retain the intrinsic value method are required to disclose in the notes to the financial statements pro forma net income and earnings per share information as if the fair value method had been applied. The Company does not intend to adopt the fair value method of SFAS No. 123; therefore, this standard will not have a material effect on the Company's consolidated financial statements.</w:t>
      </w:r>
    </w:p>
    <w:p>
      <w:pPr>
        <w:spacing w:after="0" w:line="190" w:lineRule="exact"/>
        <w:rPr>
          <w:rFonts w:ascii="Courier New" w:cs="Courier New" w:eastAsia="Courier New" w:hAnsi="Courier New"/>
          <w:sz w:val="16"/>
          <w:szCs w:val="16"/>
          <w:color w:val="auto"/>
        </w:rPr>
      </w:pPr>
    </w:p>
    <w:p>
      <w:pPr>
        <w:ind w:left="581" w:right="2919"/>
        <w:spacing w:after="0" w:line="265"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In June 1997, the FASB issued SFAS No. 130, "Reporting Comprehensive Income" and SFAS No. 131, "Disclosures About Segments of an Enterprise and Related Information", each standard is effective for financial statements for fiscal years beginning after December 15, 1997.</w:t>
      </w:r>
    </w:p>
    <w:p>
      <w:pPr>
        <w:spacing w:after="0" w:line="173" w:lineRule="exact"/>
        <w:rPr>
          <w:rFonts w:ascii="Courier New" w:cs="Courier New" w:eastAsia="Courier New" w:hAnsi="Courier New"/>
          <w:sz w:val="16"/>
          <w:szCs w:val="16"/>
          <w:color w:val="auto"/>
        </w:rPr>
      </w:pPr>
    </w:p>
    <w:p>
      <w:pPr>
        <w:ind w:left="581"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SFAS No. 130 establishes standards for reporting and display of comprehensive income and its components (revenues, expenses, gains and losses). SFAS No. 130 requires that all items that are required to be recognized under accounting standards as components of comprehensive income be reported in a financial statement that is displayed with the same prominence as other financial statements. Comprehensive income is defined as the change in equity of a business enterprise during a period from transactions and other events and circumstances from non-owners sources; it includes all changes in equity during a period except those resulting from investments by owners and distributions to owners.</w:t>
      </w:r>
    </w:p>
    <w:p>
      <w:pPr>
        <w:spacing w:after="0" w:line="189" w:lineRule="exact"/>
        <w:rPr>
          <w:rFonts w:ascii="Courier New" w:cs="Courier New" w:eastAsia="Courier New" w:hAnsi="Courier New"/>
          <w:sz w:val="16"/>
          <w:szCs w:val="16"/>
          <w:color w:val="auto"/>
        </w:rPr>
      </w:pPr>
    </w:p>
    <w:p>
      <w:pPr>
        <w:ind w:left="58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SFAS No. 131 establishes standards for the way that public business enterprises report information about operating segments in annual financial statements and requires that those enterprises report selected information about operating segments in interim financial reports issued to shareholders. This statement defines business segments as components of an enterprise about which separate financial information is available and used internally for evaluating segment performance and decision making on resource allocations. SFAS No. 131 requires reporting a measure of segment profit or loss, certain specific revenue and expense items, and segment assets; and other reporting about geographic and customer matters.</w:t>
      </w:r>
    </w:p>
    <w:p>
      <w:pPr>
        <w:spacing w:after="0" w:line="190" w:lineRule="exact"/>
        <w:rPr>
          <w:rFonts w:ascii="Courier New" w:cs="Courier New" w:eastAsia="Courier New" w:hAnsi="Courier New"/>
          <w:sz w:val="16"/>
          <w:szCs w:val="16"/>
          <w:color w:val="auto"/>
        </w:rPr>
      </w:pPr>
    </w:p>
    <w:p>
      <w:pPr>
        <w:ind w:left="581" w:right="27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evaluating each of these recent pronouncements. Although additional disclosures may be required, they are not anticipated to have a material impact on the Company's currently reported statement of operations or its financial position.</w:t>
      </w:r>
    </w:p>
    <w:p>
      <w:pPr>
        <w:spacing w:after="0" w:line="373" w:lineRule="exact"/>
        <w:rPr>
          <w:sz w:val="20"/>
          <w:szCs w:val="20"/>
          <w:color w:val="auto"/>
        </w:rPr>
      </w:pPr>
    </w:p>
    <w:p>
      <w:pPr>
        <w:ind w:left="3561"/>
        <w:spacing w:after="0"/>
        <w:rPr>
          <w:sz w:val="20"/>
          <w:szCs w:val="20"/>
          <w:color w:val="auto"/>
        </w:rPr>
      </w:pPr>
      <w:r>
        <w:rPr>
          <w:rFonts w:ascii="Courier New" w:cs="Courier New" w:eastAsia="Courier New" w:hAnsi="Courier New"/>
          <w:sz w:val="16"/>
          <w:szCs w:val="16"/>
          <w:color w:val="auto"/>
        </w:rPr>
        <w:t>Page 9</w:t>
      </w:r>
    </w:p>
    <w:p>
      <w:pPr>
        <w:sectPr>
          <w:pgSz w:w="11900" w:h="16838" w:orient="portrait"/>
          <w:cols w:equalWidth="0" w:num="1">
            <w:col w:w="10221"/>
          </w:cols>
          <w:pgMar w:left="239" w:top="300" w:right="1440" w:bottom="1440" w:gutter="0" w:footer="0" w:header="0"/>
        </w:sectPr>
      </w:pPr>
    </w:p>
    <w:bookmarkStart w:id="9" w:name="page10"/>
    <w:bookmarkEnd w:id="9"/>
    <w:p>
      <w:pPr>
        <w:ind w:left="281"/>
        <w:spacing w:after="0"/>
        <w:rPr>
          <w:sz w:val="20"/>
          <w:szCs w:val="20"/>
          <w:color w:val="auto"/>
        </w:rPr>
      </w:pPr>
      <w:r>
        <w:rPr>
          <w:rFonts w:ascii="Courier New" w:cs="Courier New" w:eastAsia="Courier New" w:hAnsi="Courier New"/>
          <w:sz w:val="16"/>
          <w:szCs w:val="16"/>
          <w:color w:val="auto"/>
        </w:rPr>
        <w:t>10</w:t>
      </w:r>
    </w:p>
    <w:p>
      <w:pPr>
        <w:spacing w:after="0" w:line="188" w:lineRule="exact"/>
        <w:rPr>
          <w:sz w:val="20"/>
          <w:szCs w:val="20"/>
          <w:color w:val="auto"/>
        </w:rPr>
      </w:pPr>
    </w:p>
    <w:p>
      <w:pPr>
        <w:ind w:left="2121"/>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4" w:lineRule="exact"/>
        <w:rPr>
          <w:sz w:val="20"/>
          <w:szCs w:val="20"/>
          <w:color w:val="auto"/>
        </w:rPr>
      </w:pPr>
    </w:p>
    <w:p>
      <w:pPr>
        <w:ind w:left="1821"/>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90" w:lineRule="exact"/>
        <w:rPr>
          <w:sz w:val="20"/>
          <w:szCs w:val="20"/>
          <w:color w:val="auto"/>
        </w:rPr>
      </w:pPr>
    </w:p>
    <w:p>
      <w:pPr>
        <w:ind w:left="581" w:right="7400" w:hanging="581"/>
        <w:spacing w:after="0" w:line="242" w:lineRule="auto"/>
        <w:tabs>
          <w:tab w:leader="none" w:pos="5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(INCOME) EXPENSES, NET (in millions)</w:t>
      </w:r>
    </w:p>
    <w:p>
      <w:pPr>
        <w:spacing w:after="0" w:line="186" w:lineRule="exact"/>
        <w:rPr>
          <w:rFonts w:ascii="Courier New" w:cs="Courier New" w:eastAsia="Courier New" w:hAnsi="Courier New"/>
          <w:sz w:val="16"/>
          <w:szCs w:val="16"/>
          <w:color w:val="auto"/>
        </w:rPr>
      </w:pPr>
    </w:p>
    <w:p>
      <w:pPr>
        <w:ind w:left="5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Other (income) expenses, net consisted of the following:</w:t>
      </w:r>
    </w:p>
    <w:p>
      <w:pPr>
        <w:spacing w:after="0" w:line="200" w:lineRule="exact"/>
        <w:rPr>
          <w:sz w:val="20"/>
          <w:szCs w:val="20"/>
          <w:color w:val="auto"/>
        </w:rPr>
      </w:pPr>
    </w:p>
    <w:p>
      <w:pPr>
        <w:spacing w:after="0" w:line="358" w:lineRule="exact"/>
        <w:rPr>
          <w:sz w:val="20"/>
          <w:szCs w:val="20"/>
          <w:color w:val="auto"/>
        </w:rPr>
      </w:pPr>
    </w:p>
    <w:tbl>
      <w:tblPr>
        <w:tblLayout w:type="fixed"/>
        <w:tblInd w:w="681" w:type="dxa"/>
        <w:tblCellMar>
          <w:top w:w="0" w:type="dxa"/>
          <w:left w:w="0" w:type="dxa"/>
          <w:bottom w:w="0" w:type="dxa"/>
          <w:right w:w="0" w:type="dxa"/>
        </w:tblCellMar>
      </w:tblPr>
      <w:tr>
        <w:trPr>
          <w:trHeight w:val="181"/>
        </w:trPr>
        <w:tc>
          <w:tcPr>
            <w:tcW w:w="3400" w:type="dxa"/>
            <w:vAlign w:val="bottom"/>
          </w:tcPr>
          <w:p>
            <w:pPr>
              <w:spacing w:after="0"/>
              <w:rPr>
                <w:sz w:val="15"/>
                <w:szCs w:val="15"/>
                <w:color w:val="auto"/>
              </w:rPr>
            </w:pPr>
          </w:p>
        </w:tc>
        <w:tc>
          <w:tcPr>
            <w:tcW w:w="3660" w:type="dxa"/>
            <w:vAlign w:val="bottom"/>
            <w:gridSpan w:val="2"/>
          </w:tcPr>
          <w:p>
            <w:pPr>
              <w:jc w:val="right"/>
              <w:ind w:right="740"/>
              <w:spacing w:after="0"/>
              <w:rPr>
                <w:sz w:val="20"/>
                <w:szCs w:val="20"/>
                <w:color w:val="auto"/>
              </w:rPr>
            </w:pPr>
            <w:r>
              <w:rPr>
                <w:rFonts w:ascii="Courier New" w:cs="Courier New" w:eastAsia="Courier New" w:hAnsi="Courier New"/>
                <w:sz w:val="16"/>
                <w:szCs w:val="16"/>
                <w:color w:val="auto"/>
              </w:rPr>
              <w:t>Three Months Ended</w:t>
            </w:r>
          </w:p>
        </w:tc>
        <w:tc>
          <w:tcPr>
            <w:tcW w:w="292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Nine Months Ended</w:t>
            </w:r>
          </w:p>
        </w:tc>
      </w:tr>
      <w:tr>
        <w:trPr>
          <w:trHeight w:val="185"/>
        </w:trPr>
        <w:tc>
          <w:tcPr>
            <w:tcW w:w="3400" w:type="dxa"/>
            <w:vAlign w:val="bottom"/>
          </w:tcPr>
          <w:p>
            <w:pPr>
              <w:spacing w:after="0"/>
              <w:rPr>
                <w:sz w:val="16"/>
                <w:szCs w:val="16"/>
                <w:color w:val="auto"/>
              </w:rPr>
            </w:pPr>
          </w:p>
        </w:tc>
        <w:tc>
          <w:tcPr>
            <w:tcW w:w="3660" w:type="dxa"/>
            <w:vAlign w:val="bottom"/>
            <w:gridSpan w:val="2"/>
          </w:tcPr>
          <w:p>
            <w:pPr>
              <w:jc w:val="right"/>
              <w:ind w:right="560"/>
              <w:spacing w:after="0"/>
              <w:rPr>
                <w:sz w:val="20"/>
                <w:szCs w:val="20"/>
                <w:color w:val="auto"/>
              </w:rPr>
            </w:pPr>
            <w:r>
              <w:rPr>
                <w:rFonts w:ascii="Courier New" w:cs="Courier New" w:eastAsia="Courier New" w:hAnsi="Courier New"/>
                <w:sz w:val="16"/>
                <w:szCs w:val="16"/>
                <w:color w:val="auto"/>
              </w:rPr>
              <w:t>----------------------</w:t>
            </w:r>
          </w:p>
        </w:tc>
        <w:tc>
          <w:tcPr>
            <w:tcW w:w="292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3400" w:type="dxa"/>
            <w:vAlign w:val="bottom"/>
          </w:tcPr>
          <w:p>
            <w:pPr>
              <w:spacing w:after="0"/>
              <w:rPr>
                <w:sz w:val="16"/>
                <w:szCs w:val="16"/>
                <w:color w:val="auto"/>
              </w:rPr>
            </w:pPr>
          </w:p>
        </w:tc>
        <w:tc>
          <w:tcPr>
            <w:tcW w:w="19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June 28</w:t>
            </w:r>
          </w:p>
        </w:tc>
        <w:tc>
          <w:tcPr>
            <w:tcW w:w="16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June 29</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June 28</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June 29</w:t>
            </w:r>
          </w:p>
        </w:tc>
      </w:tr>
      <w:tr>
        <w:trPr>
          <w:trHeight w:val="185"/>
        </w:trPr>
        <w:tc>
          <w:tcPr>
            <w:tcW w:w="3400" w:type="dxa"/>
            <w:vAlign w:val="bottom"/>
          </w:tcPr>
          <w:p>
            <w:pPr>
              <w:spacing w:after="0"/>
              <w:rPr>
                <w:sz w:val="16"/>
                <w:szCs w:val="16"/>
                <w:color w:val="auto"/>
              </w:rPr>
            </w:pPr>
          </w:p>
        </w:tc>
        <w:tc>
          <w:tcPr>
            <w:tcW w:w="19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1997</w:t>
            </w:r>
          </w:p>
        </w:tc>
        <w:tc>
          <w:tcPr>
            <w:tcW w:w="168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1996</w:t>
            </w:r>
          </w:p>
        </w:tc>
        <w:tc>
          <w:tcPr>
            <w:tcW w:w="17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1997</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1996</w:t>
            </w:r>
          </w:p>
        </w:tc>
      </w:tr>
      <w:tr>
        <w:trPr>
          <w:trHeight w:val="185"/>
        </w:trPr>
        <w:tc>
          <w:tcPr>
            <w:tcW w:w="3400" w:type="dxa"/>
            <w:vAlign w:val="bottom"/>
          </w:tcPr>
          <w:p>
            <w:pPr>
              <w:spacing w:after="0"/>
              <w:rPr>
                <w:sz w:val="16"/>
                <w:szCs w:val="16"/>
                <w:color w:val="auto"/>
              </w:rPr>
            </w:pPr>
          </w:p>
        </w:tc>
        <w:tc>
          <w:tcPr>
            <w:tcW w:w="19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3400" w:type="dxa"/>
            <w:vAlign w:val="bottom"/>
          </w:tcPr>
          <w:p>
            <w:pPr>
              <w:spacing w:after="0"/>
              <w:rPr>
                <w:sz w:val="20"/>
                <w:szCs w:val="20"/>
                <w:color w:val="auto"/>
              </w:rPr>
            </w:pPr>
            <w:r>
              <w:rPr>
                <w:rFonts w:ascii="Courier New" w:cs="Courier New" w:eastAsia="Courier New" w:hAnsi="Courier New"/>
                <w:sz w:val="16"/>
                <w:szCs w:val="16"/>
                <w:color w:val="auto"/>
              </w:rPr>
              <w:t>Foreign currency (gain) loss</w:t>
            </w:r>
          </w:p>
        </w:tc>
        <w:tc>
          <w:tcPr>
            <w:tcW w:w="19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$(0.2)</w:t>
            </w:r>
          </w:p>
        </w:tc>
        <w:tc>
          <w:tcPr>
            <w:tcW w:w="168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$ 0.1</w:t>
            </w:r>
          </w:p>
        </w:tc>
        <w:tc>
          <w:tcPr>
            <w:tcW w:w="17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$ 0.1</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$ 0.6</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Royalty income</w:t>
            </w:r>
          </w:p>
        </w:tc>
        <w:tc>
          <w:tcPr>
            <w:tcW w:w="19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(0.6)</w:t>
            </w:r>
          </w:p>
        </w:tc>
        <w:tc>
          <w:tcPr>
            <w:tcW w:w="16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(0.1)</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(1.7)</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(0.4)</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Asset valuation charges</w:t>
            </w:r>
          </w:p>
        </w:tc>
        <w:tc>
          <w:tcPr>
            <w:tcW w:w="19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3.3</w:t>
            </w:r>
          </w:p>
        </w:tc>
        <w:tc>
          <w:tcPr>
            <w:tcW w:w="17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4.3</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4.1</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Restructuring/severance</w:t>
            </w:r>
          </w:p>
        </w:tc>
        <w:tc>
          <w:tcPr>
            <w:tcW w:w="19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4.5</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Equity in income of</w:t>
            </w:r>
          </w:p>
        </w:tc>
        <w:tc>
          <w:tcPr>
            <w:tcW w:w="19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5"/>
        </w:trPr>
        <w:tc>
          <w:tcPr>
            <w:tcW w:w="3400" w:type="dxa"/>
            <w:vAlign w:val="bottom"/>
          </w:tcPr>
          <w:p>
            <w:pPr>
              <w:ind w:left="380"/>
              <w:spacing w:after="0"/>
              <w:rPr>
                <w:sz w:val="20"/>
                <w:szCs w:val="20"/>
                <w:color w:val="auto"/>
              </w:rPr>
            </w:pPr>
            <w:r>
              <w:rPr>
                <w:rFonts w:ascii="Courier New" w:cs="Courier New" w:eastAsia="Courier New" w:hAnsi="Courier New"/>
                <w:sz w:val="16"/>
                <w:szCs w:val="16"/>
                <w:color w:val="auto"/>
              </w:rPr>
              <w:t>unconsolidated business</w:t>
            </w:r>
          </w:p>
        </w:tc>
        <w:tc>
          <w:tcPr>
            <w:tcW w:w="19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(0.2)</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(0.1)</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(0.4)</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Other, net</w:t>
            </w:r>
          </w:p>
        </w:tc>
        <w:tc>
          <w:tcPr>
            <w:tcW w:w="19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0.1</w:t>
            </w:r>
          </w:p>
        </w:tc>
        <w:tc>
          <w:tcPr>
            <w:tcW w:w="168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0.2</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(0.7)</w:t>
            </w:r>
          </w:p>
        </w:tc>
      </w:tr>
      <w:tr>
        <w:trPr>
          <w:trHeight w:val="185"/>
        </w:trPr>
        <w:tc>
          <w:tcPr>
            <w:tcW w:w="3400" w:type="dxa"/>
            <w:vAlign w:val="bottom"/>
          </w:tcPr>
          <w:p>
            <w:pPr>
              <w:spacing w:after="0"/>
              <w:rPr>
                <w:sz w:val="16"/>
                <w:szCs w:val="16"/>
                <w:color w:val="auto"/>
              </w:rPr>
            </w:pPr>
          </w:p>
        </w:tc>
        <w:tc>
          <w:tcPr>
            <w:tcW w:w="19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340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19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$(0.7)</w:t>
            </w:r>
          </w:p>
        </w:tc>
        <w:tc>
          <w:tcPr>
            <w:tcW w:w="168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$ 3.1</w:t>
            </w:r>
          </w:p>
        </w:tc>
        <w:tc>
          <w:tcPr>
            <w:tcW w:w="17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$ 2.8</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$ 7.7</w:t>
            </w:r>
          </w:p>
        </w:tc>
      </w:tr>
      <w:tr>
        <w:trPr>
          <w:trHeight w:val="185"/>
        </w:trPr>
        <w:tc>
          <w:tcPr>
            <w:tcW w:w="3400" w:type="dxa"/>
            <w:vAlign w:val="bottom"/>
          </w:tcPr>
          <w:p>
            <w:pPr>
              <w:spacing w:after="0"/>
              <w:rPr>
                <w:sz w:val="16"/>
                <w:szCs w:val="16"/>
                <w:color w:val="auto"/>
              </w:rPr>
            </w:pPr>
          </w:p>
        </w:tc>
        <w:tc>
          <w:tcPr>
            <w:tcW w:w="19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ind w:left="581" w:hanging="581"/>
        <w:spacing w:after="0"/>
        <w:tabs>
          <w:tab w:leader="none" w:pos="5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PER COMMON SHARE</w:t>
      </w:r>
    </w:p>
    <w:p>
      <w:pPr>
        <w:spacing w:after="0" w:line="190" w:lineRule="exact"/>
        <w:rPr>
          <w:rFonts w:ascii="Courier New" w:cs="Courier New" w:eastAsia="Courier New" w:hAnsi="Courier New"/>
          <w:sz w:val="16"/>
          <w:szCs w:val="16"/>
          <w:color w:val="auto"/>
        </w:rPr>
      </w:pPr>
    </w:p>
    <w:p>
      <w:pPr>
        <w:ind w:left="581" w:right="3080"/>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Income per common share is based on the weighted average number of common shares and common share equivalents (stock options, Class A Convertible Preferred Stock and warrants) outstanding each period.</w:t>
      </w:r>
    </w:p>
    <w:p>
      <w:pPr>
        <w:spacing w:after="0" w:line="188" w:lineRule="exact"/>
        <w:rPr>
          <w:rFonts w:ascii="Courier New" w:cs="Courier New" w:eastAsia="Courier New" w:hAnsi="Courier New"/>
          <w:sz w:val="16"/>
          <w:szCs w:val="16"/>
          <w:color w:val="auto"/>
        </w:rPr>
      </w:pPr>
    </w:p>
    <w:p>
      <w:pPr>
        <w:ind w:left="581" w:right="3360"/>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table presents information necessary to calculate income per common share.</w:t>
      </w:r>
    </w:p>
    <w:p>
      <w:pPr>
        <w:spacing w:after="0" w:line="200" w:lineRule="exact"/>
        <w:rPr>
          <w:sz w:val="20"/>
          <w:szCs w:val="20"/>
          <w:color w:val="auto"/>
        </w:rPr>
      </w:pPr>
    </w:p>
    <w:p>
      <w:pPr>
        <w:spacing w:after="0" w:line="356" w:lineRule="exact"/>
        <w:rPr>
          <w:sz w:val="20"/>
          <w:szCs w:val="20"/>
          <w:color w:val="auto"/>
        </w:rPr>
      </w:pPr>
    </w:p>
    <w:tbl>
      <w:tblPr>
        <w:tblLayout w:type="fixed"/>
        <w:tblInd w:w="681" w:type="dxa"/>
        <w:tblCellMar>
          <w:top w:w="0" w:type="dxa"/>
          <w:left w:w="0" w:type="dxa"/>
          <w:bottom w:w="0" w:type="dxa"/>
          <w:right w:w="0" w:type="dxa"/>
        </w:tblCellMar>
      </w:tblPr>
      <w:tr>
        <w:trPr>
          <w:trHeight w:val="181"/>
        </w:trPr>
        <w:tc>
          <w:tcPr>
            <w:tcW w:w="35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0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(in millions, except per share amounts)</w:t>
            </w:r>
          </w:p>
        </w:tc>
        <w:tc>
          <w:tcPr>
            <w:tcW w:w="760" w:type="dxa"/>
            <w:vAlign w:val="bottom"/>
          </w:tcPr>
          <w:p>
            <w:pPr>
              <w:spacing w:after="0"/>
              <w:rPr>
                <w:sz w:val="15"/>
                <w:szCs w:val="15"/>
                <w:color w:val="auto"/>
              </w:rPr>
            </w:pPr>
          </w:p>
        </w:tc>
      </w:tr>
      <w:tr>
        <w:trPr>
          <w:trHeight w:val="185"/>
        </w:trPr>
        <w:tc>
          <w:tcPr>
            <w:tcW w:w="3540" w:type="dxa"/>
            <w:vAlign w:val="bottom"/>
          </w:tcPr>
          <w:p>
            <w:pPr>
              <w:spacing w:after="0"/>
              <w:rPr>
                <w:sz w:val="16"/>
                <w:szCs w:val="16"/>
                <w:color w:val="auto"/>
              </w:rPr>
            </w:pPr>
          </w:p>
        </w:tc>
        <w:tc>
          <w:tcPr>
            <w:tcW w:w="3560" w:type="dxa"/>
            <w:vAlign w:val="bottom"/>
            <w:gridSpan w:val="2"/>
          </w:tcPr>
          <w:p>
            <w:pPr>
              <w:jc w:val="right"/>
              <w:ind w:right="780"/>
              <w:spacing w:after="0"/>
              <w:rPr>
                <w:sz w:val="20"/>
                <w:szCs w:val="20"/>
                <w:color w:val="auto"/>
              </w:rPr>
            </w:pPr>
            <w:r>
              <w:rPr>
                <w:rFonts w:ascii="Courier New" w:cs="Courier New" w:eastAsia="Courier New" w:hAnsi="Courier New"/>
                <w:sz w:val="16"/>
                <w:szCs w:val="16"/>
                <w:color w:val="auto"/>
              </w:rPr>
              <w:t>Three Months Ended</w:t>
            </w:r>
          </w:p>
        </w:tc>
        <w:tc>
          <w:tcPr>
            <w:tcW w:w="278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Nine Months Ended</w:t>
            </w:r>
          </w:p>
        </w:tc>
      </w:tr>
      <w:tr>
        <w:trPr>
          <w:trHeight w:val="185"/>
        </w:trPr>
        <w:tc>
          <w:tcPr>
            <w:tcW w:w="3540" w:type="dxa"/>
            <w:vAlign w:val="bottom"/>
          </w:tcPr>
          <w:p>
            <w:pPr>
              <w:spacing w:after="0"/>
              <w:rPr>
                <w:sz w:val="16"/>
                <w:szCs w:val="16"/>
                <w:color w:val="auto"/>
              </w:rPr>
            </w:pPr>
          </w:p>
        </w:tc>
        <w:tc>
          <w:tcPr>
            <w:tcW w:w="3560" w:type="dxa"/>
            <w:vAlign w:val="bottom"/>
            <w:gridSpan w:val="2"/>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2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540" w:type="dxa"/>
            <w:vAlign w:val="bottom"/>
          </w:tcPr>
          <w:p>
            <w:pPr>
              <w:spacing w:after="0"/>
              <w:rPr>
                <w:sz w:val="16"/>
                <w:szCs w:val="16"/>
                <w:color w:val="auto"/>
              </w:rPr>
            </w:pPr>
          </w:p>
        </w:tc>
        <w:tc>
          <w:tcPr>
            <w:tcW w:w="15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June 28</w:t>
            </w:r>
          </w:p>
        </w:tc>
        <w:tc>
          <w:tcPr>
            <w:tcW w:w="20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June 29</w:t>
            </w:r>
          </w:p>
        </w:tc>
        <w:tc>
          <w:tcPr>
            <w:tcW w:w="20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June 28</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June 29</w:t>
            </w:r>
          </w:p>
        </w:tc>
      </w:tr>
      <w:tr>
        <w:trPr>
          <w:trHeight w:val="185"/>
        </w:trPr>
        <w:tc>
          <w:tcPr>
            <w:tcW w:w="3540" w:type="dxa"/>
            <w:vAlign w:val="bottom"/>
          </w:tcPr>
          <w:p>
            <w:pPr>
              <w:spacing w:after="0"/>
              <w:rPr>
                <w:sz w:val="16"/>
                <w:szCs w:val="16"/>
                <w:color w:val="auto"/>
              </w:rPr>
            </w:pPr>
          </w:p>
        </w:tc>
        <w:tc>
          <w:tcPr>
            <w:tcW w:w="15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1997</w:t>
            </w:r>
          </w:p>
        </w:tc>
        <w:tc>
          <w:tcPr>
            <w:tcW w:w="20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1996</w:t>
            </w:r>
          </w:p>
        </w:tc>
        <w:tc>
          <w:tcPr>
            <w:tcW w:w="202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1997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1996</w:t>
            </w:r>
          </w:p>
        </w:tc>
      </w:tr>
      <w:tr>
        <w:trPr>
          <w:trHeight w:val="185"/>
        </w:trPr>
        <w:tc>
          <w:tcPr>
            <w:tcW w:w="3540" w:type="dxa"/>
            <w:vAlign w:val="bottom"/>
          </w:tcPr>
          <w:p>
            <w:pPr>
              <w:spacing w:after="0"/>
              <w:rPr>
                <w:sz w:val="16"/>
                <w:szCs w:val="16"/>
                <w:color w:val="auto"/>
              </w:rPr>
            </w:pPr>
          </w:p>
        </w:tc>
        <w:tc>
          <w:tcPr>
            <w:tcW w:w="15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35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5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$21.1</w:t>
            </w:r>
          </w:p>
        </w:tc>
        <w:tc>
          <w:tcPr>
            <w:tcW w:w="20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$ 7.6</w:t>
            </w:r>
          </w:p>
        </w:tc>
        <w:tc>
          <w:tcPr>
            <w:tcW w:w="20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$43.0</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$11.1</w:t>
            </w:r>
          </w:p>
        </w:tc>
      </w:tr>
      <w:tr>
        <w:trPr>
          <w:trHeight w:val="185"/>
        </w:trPr>
        <w:tc>
          <w:tcPr>
            <w:tcW w:w="3540" w:type="dxa"/>
            <w:vAlign w:val="bottom"/>
          </w:tcPr>
          <w:p>
            <w:pPr>
              <w:spacing w:after="0"/>
              <w:rPr>
                <w:sz w:val="20"/>
                <w:szCs w:val="20"/>
                <w:color w:val="auto"/>
              </w:rPr>
            </w:pPr>
            <w:r>
              <w:rPr>
                <w:rFonts w:ascii="Courier New" w:cs="Courier New" w:eastAsia="Courier New" w:hAnsi="Courier New"/>
                <w:sz w:val="16"/>
                <w:szCs w:val="16"/>
                <w:color w:val="auto"/>
              </w:rPr>
              <w:t>Class A Convertible Preferred</w:t>
            </w:r>
          </w:p>
        </w:tc>
        <w:tc>
          <w:tcPr>
            <w:tcW w:w="15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3540" w:type="dxa"/>
            <w:vAlign w:val="bottom"/>
          </w:tcPr>
          <w:p>
            <w:pPr>
              <w:ind w:left="380"/>
              <w:spacing w:after="0"/>
              <w:rPr>
                <w:sz w:val="20"/>
                <w:szCs w:val="20"/>
                <w:color w:val="auto"/>
              </w:rPr>
            </w:pPr>
            <w:r>
              <w:rPr>
                <w:rFonts w:ascii="Courier New" w:cs="Courier New" w:eastAsia="Courier New" w:hAnsi="Courier New"/>
                <w:sz w:val="16"/>
                <w:szCs w:val="16"/>
                <w:color w:val="auto"/>
              </w:rPr>
              <w:t>Stock dividend</w:t>
            </w:r>
          </w:p>
        </w:tc>
        <w:tc>
          <w:tcPr>
            <w:tcW w:w="15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na</w:t>
            </w:r>
          </w:p>
        </w:tc>
        <w:tc>
          <w:tcPr>
            <w:tcW w:w="20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na</w:t>
            </w:r>
          </w:p>
        </w:tc>
        <w:tc>
          <w:tcPr>
            <w:tcW w:w="20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na</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7.3</w:t>
            </w:r>
          </w:p>
        </w:tc>
      </w:tr>
      <w:tr>
        <w:trPr>
          <w:trHeight w:val="185"/>
        </w:trPr>
        <w:tc>
          <w:tcPr>
            <w:tcW w:w="3540" w:type="dxa"/>
            <w:vAlign w:val="bottom"/>
          </w:tcPr>
          <w:p>
            <w:pPr>
              <w:spacing w:after="0"/>
              <w:rPr>
                <w:sz w:val="16"/>
                <w:szCs w:val="16"/>
                <w:color w:val="auto"/>
              </w:rPr>
            </w:pPr>
          </w:p>
        </w:tc>
        <w:tc>
          <w:tcPr>
            <w:tcW w:w="15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540" w:type="dxa"/>
            <w:vAlign w:val="bottom"/>
          </w:tcPr>
          <w:p>
            <w:pPr>
              <w:spacing w:after="0"/>
              <w:rPr>
                <w:sz w:val="20"/>
                <w:szCs w:val="20"/>
                <w:color w:val="auto"/>
              </w:rPr>
            </w:pPr>
            <w:r>
              <w:rPr>
                <w:rFonts w:ascii="Courier New" w:cs="Courier New" w:eastAsia="Courier New" w:hAnsi="Courier New"/>
                <w:sz w:val="16"/>
                <w:szCs w:val="16"/>
                <w:color w:val="auto"/>
              </w:rPr>
              <w:t>Income used in</w:t>
            </w:r>
          </w:p>
        </w:tc>
        <w:tc>
          <w:tcPr>
            <w:tcW w:w="15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3540" w:type="dxa"/>
            <w:vAlign w:val="bottom"/>
          </w:tcPr>
          <w:p>
            <w:pPr>
              <w:ind w:left="380"/>
              <w:spacing w:after="0"/>
              <w:rPr>
                <w:sz w:val="20"/>
                <w:szCs w:val="20"/>
                <w:color w:val="auto"/>
              </w:rPr>
            </w:pPr>
            <w:r>
              <w:rPr>
                <w:rFonts w:ascii="Courier New" w:cs="Courier New" w:eastAsia="Courier New" w:hAnsi="Courier New"/>
                <w:sz w:val="16"/>
                <w:szCs w:val="16"/>
                <w:color w:val="auto"/>
              </w:rPr>
              <w:t>income per common</w:t>
            </w:r>
          </w:p>
        </w:tc>
        <w:tc>
          <w:tcPr>
            <w:tcW w:w="15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3540" w:type="dxa"/>
            <w:vAlign w:val="bottom"/>
          </w:tcPr>
          <w:p>
            <w:pPr>
              <w:ind w:left="380"/>
              <w:spacing w:after="0"/>
              <w:rPr>
                <w:sz w:val="20"/>
                <w:szCs w:val="20"/>
                <w:color w:val="auto"/>
              </w:rPr>
            </w:pPr>
            <w:r>
              <w:rPr>
                <w:rFonts w:ascii="Courier New" w:cs="Courier New" w:eastAsia="Courier New" w:hAnsi="Courier New"/>
                <w:sz w:val="16"/>
                <w:szCs w:val="16"/>
                <w:color w:val="auto"/>
              </w:rPr>
              <w:t>share calculation</w:t>
            </w:r>
          </w:p>
        </w:tc>
        <w:tc>
          <w:tcPr>
            <w:tcW w:w="15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$21.1</w:t>
            </w:r>
          </w:p>
        </w:tc>
        <w:tc>
          <w:tcPr>
            <w:tcW w:w="20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$ 7.6</w:t>
            </w:r>
          </w:p>
        </w:tc>
        <w:tc>
          <w:tcPr>
            <w:tcW w:w="20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$43.0</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$ 3.8</w:t>
            </w:r>
          </w:p>
        </w:tc>
      </w:tr>
      <w:tr>
        <w:trPr>
          <w:trHeight w:val="185"/>
        </w:trPr>
        <w:tc>
          <w:tcPr>
            <w:tcW w:w="3540" w:type="dxa"/>
            <w:vAlign w:val="bottom"/>
          </w:tcPr>
          <w:p>
            <w:pPr>
              <w:spacing w:after="0"/>
              <w:rPr>
                <w:sz w:val="16"/>
                <w:szCs w:val="16"/>
                <w:color w:val="auto"/>
              </w:rPr>
            </w:pPr>
          </w:p>
        </w:tc>
        <w:tc>
          <w:tcPr>
            <w:tcW w:w="15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3540" w:type="dxa"/>
            <w:vAlign w:val="bottom"/>
          </w:tcPr>
          <w:p>
            <w:pPr>
              <w:spacing w:after="0"/>
              <w:rPr>
                <w:sz w:val="20"/>
                <w:szCs w:val="20"/>
                <w:color w:val="auto"/>
              </w:rPr>
            </w:pPr>
            <w:r>
              <w:rPr>
                <w:rFonts w:ascii="Courier New" w:cs="Courier New" w:eastAsia="Courier New" w:hAnsi="Courier New"/>
                <w:sz w:val="16"/>
                <w:szCs w:val="16"/>
                <w:color w:val="auto"/>
              </w:rPr>
              <w:t>Weighted average common</w:t>
            </w:r>
          </w:p>
        </w:tc>
        <w:tc>
          <w:tcPr>
            <w:tcW w:w="1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5"/>
        </w:trPr>
        <w:tc>
          <w:tcPr>
            <w:tcW w:w="3540" w:type="dxa"/>
            <w:vAlign w:val="bottom"/>
          </w:tcPr>
          <w:p>
            <w:pPr>
              <w:ind w:left="380"/>
              <w:spacing w:after="0"/>
              <w:rPr>
                <w:sz w:val="20"/>
                <w:szCs w:val="20"/>
                <w:color w:val="auto"/>
              </w:rPr>
            </w:pPr>
            <w:r>
              <w:rPr>
                <w:rFonts w:ascii="Courier New" w:cs="Courier New" w:eastAsia="Courier New" w:hAnsi="Courier New"/>
                <w:sz w:val="16"/>
                <w:szCs w:val="16"/>
                <w:color w:val="auto"/>
              </w:rPr>
              <w:t>shares outstanding during</w:t>
            </w:r>
          </w:p>
        </w:tc>
        <w:tc>
          <w:tcPr>
            <w:tcW w:w="15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3540" w:type="dxa"/>
            <w:vAlign w:val="bottom"/>
          </w:tcPr>
          <w:p>
            <w:pPr>
              <w:ind w:left="380"/>
              <w:spacing w:after="0"/>
              <w:rPr>
                <w:sz w:val="20"/>
                <w:szCs w:val="20"/>
                <w:color w:val="auto"/>
              </w:rPr>
            </w:pPr>
            <w:r>
              <w:rPr>
                <w:rFonts w:ascii="Courier New" w:cs="Courier New" w:eastAsia="Courier New" w:hAnsi="Courier New"/>
                <w:sz w:val="16"/>
                <w:szCs w:val="16"/>
                <w:color w:val="auto"/>
              </w:rPr>
              <w:t>the period</w:t>
            </w:r>
          </w:p>
        </w:tc>
        <w:tc>
          <w:tcPr>
            <w:tcW w:w="15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18.6</w:t>
            </w:r>
          </w:p>
        </w:tc>
        <w:tc>
          <w:tcPr>
            <w:tcW w:w="20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18.9</w:t>
            </w:r>
          </w:p>
        </w:tc>
        <w:tc>
          <w:tcPr>
            <w:tcW w:w="20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18.6</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18.8</w:t>
            </w:r>
          </w:p>
        </w:tc>
      </w:tr>
      <w:tr>
        <w:trPr>
          <w:trHeight w:val="185"/>
        </w:trPr>
        <w:tc>
          <w:tcPr>
            <w:tcW w:w="3540" w:type="dxa"/>
            <w:vAlign w:val="bottom"/>
          </w:tcPr>
          <w:p>
            <w:pPr>
              <w:spacing w:after="0"/>
              <w:rPr>
                <w:sz w:val="20"/>
                <w:szCs w:val="20"/>
                <w:color w:val="auto"/>
              </w:rPr>
            </w:pPr>
            <w:r>
              <w:rPr>
                <w:rFonts w:ascii="Courier New" w:cs="Courier New" w:eastAsia="Courier New" w:hAnsi="Courier New"/>
                <w:sz w:val="16"/>
                <w:szCs w:val="16"/>
                <w:color w:val="auto"/>
              </w:rPr>
              <w:t>Assuming conversion of Class A</w:t>
            </w:r>
          </w:p>
        </w:tc>
        <w:tc>
          <w:tcPr>
            <w:tcW w:w="15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3540" w:type="dxa"/>
            <w:vAlign w:val="bottom"/>
          </w:tcPr>
          <w:p>
            <w:pPr>
              <w:ind w:left="380"/>
              <w:spacing w:after="0"/>
              <w:rPr>
                <w:sz w:val="20"/>
                <w:szCs w:val="20"/>
                <w:color w:val="auto"/>
              </w:rPr>
            </w:pPr>
            <w:r>
              <w:rPr>
                <w:rFonts w:ascii="Courier New" w:cs="Courier New" w:eastAsia="Courier New" w:hAnsi="Courier New"/>
                <w:sz w:val="16"/>
                <w:szCs w:val="16"/>
                <w:color w:val="auto"/>
              </w:rPr>
              <w:t>Convertible Preferred Stock</w:t>
            </w:r>
          </w:p>
        </w:tc>
        <w:tc>
          <w:tcPr>
            <w:tcW w:w="15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10.3</w:t>
            </w:r>
          </w:p>
        </w:tc>
        <w:tc>
          <w:tcPr>
            <w:tcW w:w="20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10.3</w:t>
            </w:r>
          </w:p>
        </w:tc>
        <w:tc>
          <w:tcPr>
            <w:tcW w:w="20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10.3</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540" w:type="dxa"/>
            <w:vAlign w:val="bottom"/>
          </w:tcPr>
          <w:p>
            <w:pPr>
              <w:spacing w:after="0"/>
              <w:rPr>
                <w:sz w:val="20"/>
                <w:szCs w:val="20"/>
                <w:color w:val="auto"/>
              </w:rPr>
            </w:pPr>
            <w:r>
              <w:rPr>
                <w:rFonts w:ascii="Courier New" w:cs="Courier New" w:eastAsia="Courier New" w:hAnsi="Courier New"/>
                <w:sz w:val="16"/>
                <w:szCs w:val="16"/>
                <w:color w:val="auto"/>
              </w:rPr>
              <w:t>Assuming exercise of warrants</w:t>
            </w:r>
          </w:p>
        </w:tc>
        <w:tc>
          <w:tcPr>
            <w:tcW w:w="15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0.2</w:t>
            </w:r>
          </w:p>
        </w:tc>
        <w:tc>
          <w:tcPr>
            <w:tcW w:w="20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0.1</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540" w:type="dxa"/>
            <w:vAlign w:val="bottom"/>
          </w:tcPr>
          <w:p>
            <w:pPr>
              <w:spacing w:after="0"/>
              <w:rPr>
                <w:sz w:val="20"/>
                <w:szCs w:val="20"/>
                <w:color w:val="auto"/>
              </w:rPr>
            </w:pPr>
            <w:r>
              <w:rPr>
                <w:rFonts w:ascii="Courier New" w:cs="Courier New" w:eastAsia="Courier New" w:hAnsi="Courier New"/>
                <w:sz w:val="16"/>
                <w:szCs w:val="16"/>
                <w:color w:val="auto"/>
              </w:rPr>
              <w:t>Assuming exercise of options</w:t>
            </w:r>
          </w:p>
        </w:tc>
        <w:tc>
          <w:tcPr>
            <w:tcW w:w="15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3540" w:type="dxa"/>
            <w:vAlign w:val="bottom"/>
          </w:tcPr>
          <w:p>
            <w:pPr>
              <w:ind w:left="380"/>
              <w:spacing w:after="0"/>
              <w:rPr>
                <w:sz w:val="20"/>
                <w:szCs w:val="20"/>
                <w:color w:val="auto"/>
              </w:rPr>
            </w:pPr>
            <w:r>
              <w:rPr>
                <w:rFonts w:ascii="Courier New" w:cs="Courier New" w:eastAsia="Courier New" w:hAnsi="Courier New"/>
                <w:sz w:val="16"/>
                <w:szCs w:val="16"/>
                <w:color w:val="auto"/>
              </w:rPr>
              <w:t>using the Treasury Stock</w:t>
            </w:r>
          </w:p>
        </w:tc>
        <w:tc>
          <w:tcPr>
            <w:tcW w:w="15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3540" w:type="dxa"/>
            <w:vAlign w:val="bottom"/>
          </w:tcPr>
          <w:p>
            <w:pPr>
              <w:ind w:left="380"/>
              <w:spacing w:after="0"/>
              <w:rPr>
                <w:sz w:val="20"/>
                <w:szCs w:val="20"/>
                <w:color w:val="auto"/>
              </w:rPr>
            </w:pPr>
            <w:r>
              <w:rPr>
                <w:rFonts w:ascii="Courier New" w:cs="Courier New" w:eastAsia="Courier New" w:hAnsi="Courier New"/>
                <w:sz w:val="16"/>
                <w:szCs w:val="16"/>
                <w:color w:val="auto"/>
              </w:rPr>
              <w:t>Method</w:t>
            </w:r>
          </w:p>
        </w:tc>
        <w:tc>
          <w:tcPr>
            <w:tcW w:w="15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0.8</w:t>
            </w:r>
          </w:p>
        </w:tc>
        <w:tc>
          <w:tcPr>
            <w:tcW w:w="20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0.2</w:t>
            </w:r>
          </w:p>
        </w:tc>
        <w:tc>
          <w:tcPr>
            <w:tcW w:w="20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0.3</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0.3</w:t>
            </w:r>
          </w:p>
        </w:tc>
      </w:tr>
      <w:tr>
        <w:trPr>
          <w:trHeight w:val="185"/>
        </w:trPr>
        <w:tc>
          <w:tcPr>
            <w:tcW w:w="3540" w:type="dxa"/>
            <w:vAlign w:val="bottom"/>
          </w:tcPr>
          <w:p>
            <w:pPr>
              <w:spacing w:after="0"/>
              <w:rPr>
                <w:sz w:val="16"/>
                <w:szCs w:val="16"/>
                <w:color w:val="auto"/>
              </w:rPr>
            </w:pPr>
          </w:p>
        </w:tc>
        <w:tc>
          <w:tcPr>
            <w:tcW w:w="15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3540" w:type="dxa"/>
            <w:vAlign w:val="bottom"/>
          </w:tcPr>
          <w:p>
            <w:pPr>
              <w:spacing w:after="0"/>
              <w:rPr>
                <w:sz w:val="20"/>
                <w:szCs w:val="20"/>
                <w:color w:val="auto"/>
              </w:rPr>
            </w:pPr>
            <w:r>
              <w:rPr>
                <w:rFonts w:ascii="Courier New" w:cs="Courier New" w:eastAsia="Courier New" w:hAnsi="Courier New"/>
                <w:sz w:val="16"/>
                <w:szCs w:val="16"/>
                <w:color w:val="auto"/>
              </w:rPr>
              <w:t>Weighted average number of</w:t>
            </w:r>
          </w:p>
        </w:tc>
        <w:tc>
          <w:tcPr>
            <w:tcW w:w="1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5"/>
        </w:trPr>
        <w:tc>
          <w:tcPr>
            <w:tcW w:w="3540" w:type="dxa"/>
            <w:vAlign w:val="bottom"/>
          </w:tcPr>
          <w:p>
            <w:pPr>
              <w:ind w:left="380"/>
              <w:spacing w:after="0"/>
              <w:rPr>
                <w:sz w:val="20"/>
                <w:szCs w:val="20"/>
                <w:color w:val="auto"/>
              </w:rPr>
            </w:pPr>
            <w:r>
              <w:rPr>
                <w:rFonts w:ascii="Courier New" w:cs="Courier New" w:eastAsia="Courier New" w:hAnsi="Courier New"/>
                <w:sz w:val="16"/>
                <w:szCs w:val="16"/>
                <w:color w:val="auto"/>
              </w:rPr>
              <w:t>common shares outstanding</w:t>
            </w:r>
          </w:p>
        </w:tc>
        <w:tc>
          <w:tcPr>
            <w:tcW w:w="15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3540" w:type="dxa"/>
            <w:vAlign w:val="bottom"/>
          </w:tcPr>
          <w:p>
            <w:pPr>
              <w:ind w:left="380"/>
              <w:spacing w:after="0"/>
              <w:rPr>
                <w:sz w:val="20"/>
                <w:szCs w:val="20"/>
                <w:color w:val="auto"/>
              </w:rPr>
            </w:pPr>
            <w:r>
              <w:rPr>
                <w:rFonts w:ascii="Courier New" w:cs="Courier New" w:eastAsia="Courier New" w:hAnsi="Courier New"/>
                <w:sz w:val="16"/>
                <w:szCs w:val="16"/>
                <w:color w:val="auto"/>
              </w:rPr>
              <w:t>as adjusted</w:t>
            </w:r>
          </w:p>
        </w:tc>
        <w:tc>
          <w:tcPr>
            <w:tcW w:w="15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29.9</w:t>
            </w:r>
          </w:p>
        </w:tc>
        <w:tc>
          <w:tcPr>
            <w:tcW w:w="20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29.4</w:t>
            </w:r>
          </w:p>
        </w:tc>
        <w:tc>
          <w:tcPr>
            <w:tcW w:w="20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29.3</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19.1</w:t>
            </w:r>
          </w:p>
        </w:tc>
      </w:tr>
      <w:tr>
        <w:trPr>
          <w:trHeight w:val="185"/>
        </w:trPr>
        <w:tc>
          <w:tcPr>
            <w:tcW w:w="3540" w:type="dxa"/>
            <w:vAlign w:val="bottom"/>
          </w:tcPr>
          <w:p>
            <w:pPr>
              <w:spacing w:after="0"/>
              <w:rPr>
                <w:sz w:val="16"/>
                <w:szCs w:val="16"/>
                <w:color w:val="auto"/>
              </w:rPr>
            </w:pPr>
          </w:p>
        </w:tc>
        <w:tc>
          <w:tcPr>
            <w:tcW w:w="15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3540" w:type="dxa"/>
            <w:vAlign w:val="bottom"/>
          </w:tcPr>
          <w:p>
            <w:pPr>
              <w:spacing w:after="0"/>
              <w:rPr>
                <w:sz w:val="20"/>
                <w:szCs w:val="20"/>
                <w:color w:val="auto"/>
              </w:rPr>
            </w:pPr>
            <w:r>
              <w:rPr>
                <w:rFonts w:ascii="Courier New" w:cs="Courier New" w:eastAsia="Courier New" w:hAnsi="Courier New"/>
                <w:sz w:val="16"/>
                <w:szCs w:val="16"/>
                <w:color w:val="auto"/>
              </w:rPr>
              <w:t>Income per common</w:t>
            </w:r>
          </w:p>
        </w:tc>
        <w:tc>
          <w:tcPr>
            <w:tcW w:w="1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5"/>
        </w:trPr>
        <w:tc>
          <w:tcPr>
            <w:tcW w:w="3540" w:type="dxa"/>
            <w:vAlign w:val="bottom"/>
          </w:tcPr>
          <w:p>
            <w:pPr>
              <w:ind w:left="380"/>
              <w:spacing w:after="0"/>
              <w:rPr>
                <w:sz w:val="20"/>
                <w:szCs w:val="20"/>
                <w:color w:val="auto"/>
              </w:rPr>
            </w:pPr>
            <w:r>
              <w:rPr>
                <w:rFonts w:ascii="Courier New" w:cs="Courier New" w:eastAsia="Courier New" w:hAnsi="Courier New"/>
                <w:sz w:val="16"/>
                <w:szCs w:val="16"/>
                <w:color w:val="auto"/>
              </w:rPr>
              <w:t>share</w:t>
            </w:r>
          </w:p>
        </w:tc>
        <w:tc>
          <w:tcPr>
            <w:tcW w:w="15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$0.71</w:t>
            </w:r>
          </w:p>
        </w:tc>
        <w:tc>
          <w:tcPr>
            <w:tcW w:w="20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$0.26</w:t>
            </w:r>
          </w:p>
        </w:tc>
        <w:tc>
          <w:tcPr>
            <w:tcW w:w="20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$1.47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$0.20</w:t>
            </w:r>
          </w:p>
        </w:tc>
      </w:tr>
      <w:tr>
        <w:trPr>
          <w:trHeight w:val="185"/>
        </w:trPr>
        <w:tc>
          <w:tcPr>
            <w:tcW w:w="3540" w:type="dxa"/>
            <w:vAlign w:val="bottom"/>
          </w:tcPr>
          <w:p>
            <w:pPr>
              <w:spacing w:after="0"/>
              <w:rPr>
                <w:sz w:val="16"/>
                <w:szCs w:val="16"/>
                <w:color w:val="auto"/>
              </w:rPr>
            </w:pPr>
          </w:p>
        </w:tc>
        <w:tc>
          <w:tcPr>
            <w:tcW w:w="15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5" w:lineRule="exact"/>
        <w:rPr>
          <w:sz w:val="20"/>
          <w:szCs w:val="20"/>
          <w:color w:val="auto"/>
        </w:rPr>
      </w:pPr>
    </w:p>
    <w:p>
      <w:pPr>
        <w:ind w:left="581" w:right="3460"/>
        <w:spacing w:after="0" w:line="242" w:lineRule="auto"/>
        <w:rPr>
          <w:sz w:val="20"/>
          <w:szCs w:val="20"/>
          <w:color w:val="auto"/>
        </w:rPr>
      </w:pPr>
      <w:r>
        <w:rPr>
          <w:rFonts w:ascii="Courier New" w:cs="Courier New" w:eastAsia="Courier New" w:hAnsi="Courier New"/>
          <w:sz w:val="16"/>
          <w:szCs w:val="16"/>
          <w:color w:val="auto"/>
        </w:rPr>
        <w:t>Fully diluted income per common share is considered to be the same as primary income per common share.</w:t>
      </w:r>
    </w:p>
    <w:p>
      <w:pPr>
        <w:spacing w:after="0" w:line="372" w:lineRule="exact"/>
        <w:rPr>
          <w:sz w:val="20"/>
          <w:szCs w:val="20"/>
          <w:color w:val="auto"/>
        </w:rPr>
      </w:pPr>
    </w:p>
    <w:p>
      <w:pPr>
        <w:ind w:left="3461"/>
        <w:spacing w:after="0"/>
        <w:rPr>
          <w:sz w:val="20"/>
          <w:szCs w:val="20"/>
          <w:color w:val="auto"/>
        </w:rPr>
      </w:pPr>
      <w:r>
        <w:rPr>
          <w:rFonts w:ascii="Courier New" w:cs="Courier New" w:eastAsia="Courier New" w:hAnsi="Courier New"/>
          <w:sz w:val="16"/>
          <w:szCs w:val="16"/>
          <w:color w:val="auto"/>
        </w:rPr>
        <w:t>Page 10</w:t>
      </w:r>
    </w:p>
    <w:p>
      <w:pPr>
        <w:sectPr>
          <w:pgSz w:w="11900" w:h="16838" w:orient="portrait"/>
          <w:cols w:equalWidth="0" w:num="1">
            <w:col w:w="10661"/>
          </w:cols>
          <w:pgMar w:left="239" w:top="300" w:right="999" w:bottom="457" w:gutter="0" w:footer="0" w:header="0"/>
        </w:sectPr>
      </w:pPr>
    </w:p>
    <w:bookmarkStart w:id="10" w:name="page11"/>
    <w:bookmarkEnd w:id="10"/>
    <w:p>
      <w:pPr>
        <w:ind w:left="281"/>
        <w:spacing w:after="0"/>
        <w:rPr>
          <w:sz w:val="20"/>
          <w:szCs w:val="20"/>
          <w:color w:val="auto"/>
        </w:rPr>
      </w:pPr>
      <w:r>
        <w:rPr>
          <w:rFonts w:ascii="Courier New" w:cs="Courier New" w:eastAsia="Courier New" w:hAnsi="Courier New"/>
          <w:sz w:val="16"/>
          <w:szCs w:val="16"/>
          <w:color w:val="auto"/>
        </w:rPr>
        <w:t>11</w:t>
      </w:r>
    </w:p>
    <w:p>
      <w:pPr>
        <w:spacing w:after="0" w:line="200" w:lineRule="exact"/>
        <w:rPr>
          <w:sz w:val="20"/>
          <w:szCs w:val="20"/>
          <w:color w:val="auto"/>
        </w:rPr>
      </w:pPr>
    </w:p>
    <w:p>
      <w:pPr>
        <w:spacing w:after="0" w:line="358" w:lineRule="exact"/>
        <w:rPr>
          <w:sz w:val="20"/>
          <w:szCs w:val="20"/>
          <w:color w:val="auto"/>
        </w:rPr>
      </w:pPr>
    </w:p>
    <w:p>
      <w:pPr>
        <w:ind w:left="2121"/>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4" w:lineRule="exact"/>
        <w:rPr>
          <w:sz w:val="20"/>
          <w:szCs w:val="20"/>
          <w:color w:val="auto"/>
        </w:rPr>
      </w:pPr>
    </w:p>
    <w:p>
      <w:pPr>
        <w:ind w:left="1821"/>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375" w:lineRule="exact"/>
        <w:rPr>
          <w:sz w:val="20"/>
          <w:szCs w:val="20"/>
          <w:color w:val="auto"/>
        </w:rPr>
      </w:pPr>
    </w:p>
    <w:p>
      <w:pPr>
        <w:ind w:left="581" w:right="2639"/>
        <w:spacing w:after="0" w:line="260" w:lineRule="auto"/>
        <w:rPr>
          <w:sz w:val="20"/>
          <w:szCs w:val="20"/>
          <w:color w:val="auto"/>
        </w:rPr>
      </w:pPr>
      <w:r>
        <w:rPr>
          <w:rFonts w:ascii="Courier New" w:cs="Courier New" w:eastAsia="Courier New" w:hAnsi="Courier New"/>
          <w:sz w:val="15"/>
          <w:szCs w:val="15"/>
          <w:color w:val="auto"/>
        </w:rPr>
        <w:t>In February 1997, the Financial Accounting Standards Board issued Statement of Financial Accounting Standards No. 128, "Earnings Per Share" ("FAS 128"). FAS 128 establishes standards for computing and presenting earnings per share ("EPS"). FAS 128 replaces the presentation of primary EPS with a presentation of basic EPS which excludes dilution and is computed by dividing income available to common shareholders by the weighted-average number of common shares outstanding during the period. This statement also requires dual presentation of basic EPS and diluted EPS on the face of the income statement for all periods presented. FAS</w:t>
      </w:r>
    </w:p>
    <w:p>
      <w:pPr>
        <w:spacing w:after="0" w:line="6" w:lineRule="exact"/>
        <w:rPr>
          <w:sz w:val="20"/>
          <w:szCs w:val="20"/>
          <w:color w:val="auto"/>
        </w:rPr>
      </w:pPr>
    </w:p>
    <w:p>
      <w:pPr>
        <w:ind w:left="581" w:right="2639"/>
        <w:spacing w:after="0" w:line="244" w:lineRule="auto"/>
        <w:rPr>
          <w:sz w:val="20"/>
          <w:szCs w:val="20"/>
          <w:color w:val="auto"/>
        </w:rPr>
      </w:pPr>
      <w:r>
        <w:rPr>
          <w:rFonts w:ascii="Courier New" w:cs="Courier New" w:eastAsia="Courier New" w:hAnsi="Courier New"/>
          <w:sz w:val="16"/>
          <w:szCs w:val="16"/>
          <w:color w:val="auto"/>
        </w:rPr>
        <w:t>128 is effective for financial statements issued for periods ending after December 15, 1997, including interim periods. The Company plans to adopt FAS 128 in the first quarter of 1998 for the year ended September 30, 1998. If FAS 128 had been adopted at June 28, 1997, basic and diluted earnings per share would be:</w:t>
      </w:r>
    </w:p>
    <w:p>
      <w:pPr>
        <w:spacing w:after="0" w:line="200" w:lineRule="exact"/>
        <w:rPr>
          <w:sz w:val="20"/>
          <w:szCs w:val="20"/>
          <w:color w:val="auto"/>
        </w:rPr>
      </w:pPr>
    </w:p>
    <w:p>
      <w:pPr>
        <w:spacing w:after="0" w:line="355" w:lineRule="exact"/>
        <w:rPr>
          <w:sz w:val="20"/>
          <w:szCs w:val="20"/>
          <w:color w:val="auto"/>
        </w:rPr>
      </w:pPr>
    </w:p>
    <w:tbl>
      <w:tblPr>
        <w:tblLayout w:type="fixed"/>
        <w:tblInd w:w="681" w:type="dxa"/>
        <w:tblCellMar>
          <w:top w:w="0" w:type="dxa"/>
          <w:left w:w="0" w:type="dxa"/>
          <w:bottom w:w="0" w:type="dxa"/>
          <w:right w:w="0" w:type="dxa"/>
        </w:tblCellMar>
      </w:tblPr>
      <w:tr>
        <w:trPr>
          <w:trHeight w:val="181"/>
        </w:trPr>
        <w:tc>
          <w:tcPr>
            <w:tcW w:w="3200" w:type="dxa"/>
            <w:vAlign w:val="bottom"/>
          </w:tcPr>
          <w:p>
            <w:pPr>
              <w:spacing w:after="0"/>
              <w:rPr>
                <w:sz w:val="15"/>
                <w:szCs w:val="15"/>
                <w:color w:val="auto"/>
              </w:rPr>
            </w:pPr>
          </w:p>
        </w:tc>
        <w:tc>
          <w:tcPr>
            <w:tcW w:w="3380" w:type="dxa"/>
            <w:vAlign w:val="bottom"/>
            <w:gridSpan w:val="2"/>
          </w:tcPr>
          <w:p>
            <w:pPr>
              <w:ind w:left="1020"/>
              <w:spacing w:after="0"/>
              <w:rPr>
                <w:sz w:val="20"/>
                <w:szCs w:val="20"/>
                <w:color w:val="auto"/>
              </w:rPr>
            </w:pPr>
            <w:r>
              <w:rPr>
                <w:rFonts w:ascii="Courier New" w:cs="Courier New" w:eastAsia="Courier New" w:hAnsi="Courier New"/>
                <w:sz w:val="16"/>
                <w:szCs w:val="16"/>
                <w:color w:val="auto"/>
              </w:rPr>
              <w:t>Three Months Ended</w:t>
            </w:r>
          </w:p>
        </w:tc>
        <w:tc>
          <w:tcPr>
            <w:tcW w:w="264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Nine Months Ended</w:t>
            </w:r>
          </w:p>
        </w:tc>
      </w:tr>
      <w:tr>
        <w:trPr>
          <w:trHeight w:val="185"/>
        </w:trPr>
        <w:tc>
          <w:tcPr>
            <w:tcW w:w="3200" w:type="dxa"/>
            <w:vAlign w:val="bottom"/>
          </w:tcPr>
          <w:p>
            <w:pPr>
              <w:spacing w:after="0"/>
              <w:rPr>
                <w:sz w:val="16"/>
                <w:szCs w:val="16"/>
                <w:color w:val="auto"/>
              </w:rPr>
            </w:pPr>
          </w:p>
        </w:tc>
        <w:tc>
          <w:tcPr>
            <w:tcW w:w="3380" w:type="dxa"/>
            <w:vAlign w:val="bottom"/>
            <w:gridSpan w:val="2"/>
          </w:tcPr>
          <w:p>
            <w:pPr>
              <w:ind w:left="740"/>
              <w:spacing w:after="0"/>
              <w:rPr>
                <w:sz w:val="20"/>
                <w:szCs w:val="20"/>
                <w:color w:val="auto"/>
              </w:rPr>
            </w:pPr>
            <w:r>
              <w:rPr>
                <w:rFonts w:ascii="Courier New" w:cs="Courier New" w:eastAsia="Courier New" w:hAnsi="Courier New"/>
                <w:sz w:val="16"/>
                <w:szCs w:val="16"/>
                <w:color w:val="auto"/>
              </w:rPr>
              <w:t>-----------------------</w:t>
            </w:r>
          </w:p>
        </w:tc>
        <w:tc>
          <w:tcPr>
            <w:tcW w:w="26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200" w:type="dxa"/>
            <w:vAlign w:val="bottom"/>
          </w:tcPr>
          <w:p>
            <w:pPr>
              <w:spacing w:after="0"/>
              <w:rPr>
                <w:sz w:val="16"/>
                <w:szCs w:val="16"/>
                <w:color w:val="auto"/>
              </w:rPr>
            </w:pPr>
          </w:p>
        </w:tc>
        <w:tc>
          <w:tcPr>
            <w:tcW w:w="2260" w:type="dxa"/>
            <w:vAlign w:val="bottom"/>
          </w:tcPr>
          <w:p>
            <w:pPr>
              <w:ind w:left="740"/>
              <w:spacing w:after="0"/>
              <w:rPr>
                <w:sz w:val="20"/>
                <w:szCs w:val="20"/>
                <w:color w:val="auto"/>
              </w:rPr>
            </w:pPr>
            <w:r>
              <w:rPr>
                <w:rFonts w:ascii="Courier New" w:cs="Courier New" w:eastAsia="Courier New" w:hAnsi="Courier New"/>
                <w:sz w:val="16"/>
                <w:szCs w:val="16"/>
                <w:color w:val="auto"/>
              </w:rPr>
              <w:t>June 28</w:t>
            </w:r>
          </w:p>
        </w:tc>
        <w:tc>
          <w:tcPr>
            <w:tcW w:w="1120" w:type="dxa"/>
            <w:vAlign w:val="bottom"/>
          </w:tcPr>
          <w:p>
            <w:pPr>
              <w:jc w:val="right"/>
              <w:ind w:right="360"/>
              <w:spacing w:after="0"/>
              <w:rPr>
                <w:sz w:val="20"/>
                <w:szCs w:val="20"/>
                <w:color w:val="auto"/>
              </w:rPr>
            </w:pPr>
            <w:r>
              <w:rPr>
                <w:rFonts w:ascii="Courier New" w:cs="Courier New" w:eastAsia="Courier New" w:hAnsi="Courier New"/>
                <w:sz w:val="16"/>
                <w:szCs w:val="16"/>
                <w:color w:val="auto"/>
                <w:w w:val="98"/>
              </w:rPr>
              <w:t>June 29</w:t>
            </w:r>
          </w:p>
        </w:tc>
        <w:tc>
          <w:tcPr>
            <w:tcW w:w="152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June 28</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June 29</w:t>
            </w:r>
          </w:p>
        </w:tc>
      </w:tr>
      <w:tr>
        <w:trPr>
          <w:trHeight w:val="185"/>
        </w:trPr>
        <w:tc>
          <w:tcPr>
            <w:tcW w:w="3200" w:type="dxa"/>
            <w:vAlign w:val="bottom"/>
          </w:tcPr>
          <w:p>
            <w:pPr>
              <w:spacing w:after="0"/>
              <w:rPr>
                <w:sz w:val="16"/>
                <w:szCs w:val="16"/>
                <w:color w:val="auto"/>
              </w:rPr>
            </w:pPr>
          </w:p>
        </w:tc>
        <w:tc>
          <w:tcPr>
            <w:tcW w:w="2260" w:type="dxa"/>
            <w:vAlign w:val="bottom"/>
          </w:tcPr>
          <w:p>
            <w:pPr>
              <w:ind w:left="920"/>
              <w:spacing w:after="0"/>
              <w:rPr>
                <w:sz w:val="20"/>
                <w:szCs w:val="20"/>
                <w:color w:val="auto"/>
              </w:rPr>
            </w:pPr>
            <w:r>
              <w:rPr>
                <w:rFonts w:ascii="Courier New" w:cs="Courier New" w:eastAsia="Courier New" w:hAnsi="Courier New"/>
                <w:sz w:val="16"/>
                <w:szCs w:val="16"/>
                <w:color w:val="auto"/>
              </w:rPr>
              <w:t>1997</w:t>
            </w:r>
          </w:p>
        </w:tc>
        <w:tc>
          <w:tcPr>
            <w:tcW w:w="112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1996</w:t>
            </w:r>
          </w:p>
        </w:tc>
        <w:tc>
          <w:tcPr>
            <w:tcW w:w="15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1997</w:t>
            </w:r>
          </w:p>
        </w:tc>
        <w:tc>
          <w:tcPr>
            <w:tcW w:w="11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1996</w:t>
            </w:r>
          </w:p>
        </w:tc>
      </w:tr>
      <w:tr>
        <w:trPr>
          <w:trHeight w:val="185"/>
        </w:trPr>
        <w:tc>
          <w:tcPr>
            <w:tcW w:w="3200" w:type="dxa"/>
            <w:vAlign w:val="bottom"/>
          </w:tcPr>
          <w:p>
            <w:pPr>
              <w:spacing w:after="0"/>
              <w:rPr>
                <w:sz w:val="16"/>
                <w:szCs w:val="16"/>
                <w:color w:val="auto"/>
              </w:rPr>
            </w:pPr>
          </w:p>
        </w:tc>
        <w:tc>
          <w:tcPr>
            <w:tcW w:w="2260" w:type="dxa"/>
            <w:vAlign w:val="bottom"/>
          </w:tcPr>
          <w:p>
            <w:pPr>
              <w:ind w:left="74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60"/>
              <w:spacing w:after="0"/>
              <w:rPr>
                <w:sz w:val="20"/>
                <w:szCs w:val="20"/>
                <w:color w:val="auto"/>
              </w:rPr>
            </w:pPr>
            <w:r>
              <w:rPr>
                <w:rFonts w:ascii="Courier New" w:cs="Courier New" w:eastAsia="Courier New" w:hAnsi="Courier New"/>
                <w:sz w:val="16"/>
                <w:szCs w:val="16"/>
                <w:color w:val="auto"/>
                <w:w w:val="98"/>
              </w:rPr>
              <w:t>-------</w:t>
            </w:r>
          </w:p>
        </w:tc>
        <w:tc>
          <w:tcPr>
            <w:tcW w:w="152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3200" w:type="dxa"/>
            <w:vAlign w:val="bottom"/>
          </w:tcPr>
          <w:p>
            <w:pPr>
              <w:spacing w:after="0"/>
              <w:rPr>
                <w:sz w:val="20"/>
                <w:szCs w:val="20"/>
                <w:color w:val="auto"/>
              </w:rPr>
            </w:pPr>
            <w:r>
              <w:rPr>
                <w:rFonts w:ascii="Courier New" w:cs="Courier New" w:eastAsia="Courier New" w:hAnsi="Courier New"/>
                <w:sz w:val="16"/>
                <w:szCs w:val="16"/>
                <w:color w:val="auto"/>
              </w:rPr>
              <w:t>Basic earnings per share</w:t>
            </w:r>
          </w:p>
        </w:tc>
        <w:tc>
          <w:tcPr>
            <w:tcW w:w="2260" w:type="dxa"/>
            <w:vAlign w:val="bottom"/>
          </w:tcPr>
          <w:p>
            <w:pPr>
              <w:ind w:left="920"/>
              <w:spacing w:after="0"/>
              <w:rPr>
                <w:sz w:val="20"/>
                <w:szCs w:val="20"/>
                <w:color w:val="auto"/>
              </w:rPr>
            </w:pPr>
            <w:r>
              <w:rPr>
                <w:rFonts w:ascii="Courier New" w:cs="Courier New" w:eastAsia="Courier New" w:hAnsi="Courier New"/>
                <w:sz w:val="16"/>
                <w:szCs w:val="16"/>
                <w:color w:val="auto"/>
              </w:rPr>
              <w:t>$1.01</w:t>
            </w:r>
          </w:p>
        </w:tc>
        <w:tc>
          <w:tcPr>
            <w:tcW w:w="112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$.27</w:t>
            </w:r>
          </w:p>
        </w:tc>
        <w:tc>
          <w:tcPr>
            <w:tcW w:w="152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$1.92</w:t>
            </w:r>
          </w:p>
        </w:tc>
        <w:tc>
          <w:tcPr>
            <w:tcW w:w="11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w:t>
            </w:r>
          </w:p>
        </w:tc>
      </w:tr>
      <w:tr>
        <w:trPr>
          <w:trHeight w:val="185"/>
        </w:trPr>
        <w:tc>
          <w:tcPr>
            <w:tcW w:w="3200" w:type="dxa"/>
            <w:vAlign w:val="bottom"/>
          </w:tcPr>
          <w:p>
            <w:pPr>
              <w:spacing w:after="0"/>
              <w:rPr>
                <w:sz w:val="16"/>
                <w:szCs w:val="16"/>
                <w:color w:val="auto"/>
              </w:rPr>
            </w:pPr>
          </w:p>
        </w:tc>
        <w:tc>
          <w:tcPr>
            <w:tcW w:w="2260" w:type="dxa"/>
            <w:vAlign w:val="bottom"/>
          </w:tcPr>
          <w:p>
            <w:pPr>
              <w:ind w:left="92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3200" w:type="dxa"/>
            <w:vAlign w:val="bottom"/>
          </w:tcPr>
          <w:p>
            <w:pPr>
              <w:spacing w:after="0"/>
              <w:rPr>
                <w:sz w:val="20"/>
                <w:szCs w:val="20"/>
                <w:color w:val="auto"/>
              </w:rPr>
            </w:pPr>
            <w:r>
              <w:rPr>
                <w:rFonts w:ascii="Courier New" w:cs="Courier New" w:eastAsia="Courier New" w:hAnsi="Courier New"/>
                <w:sz w:val="16"/>
                <w:szCs w:val="16"/>
                <w:color w:val="auto"/>
              </w:rPr>
              <w:t>Diluted earnings per share</w:t>
            </w:r>
          </w:p>
        </w:tc>
        <w:tc>
          <w:tcPr>
            <w:tcW w:w="2260" w:type="dxa"/>
            <w:vAlign w:val="bottom"/>
          </w:tcPr>
          <w:p>
            <w:pPr>
              <w:ind w:left="920"/>
              <w:spacing w:after="0"/>
              <w:rPr>
                <w:sz w:val="20"/>
                <w:szCs w:val="20"/>
                <w:color w:val="auto"/>
              </w:rPr>
            </w:pPr>
            <w:r>
              <w:rPr>
                <w:rFonts w:ascii="Courier New" w:cs="Courier New" w:eastAsia="Courier New" w:hAnsi="Courier New"/>
                <w:sz w:val="16"/>
                <w:szCs w:val="16"/>
                <w:color w:val="auto"/>
              </w:rPr>
              <w:t>$ .71</w:t>
            </w:r>
          </w:p>
        </w:tc>
        <w:tc>
          <w:tcPr>
            <w:tcW w:w="112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$.26</w:t>
            </w:r>
          </w:p>
        </w:tc>
        <w:tc>
          <w:tcPr>
            <w:tcW w:w="152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$1.47</w:t>
            </w:r>
          </w:p>
        </w:tc>
        <w:tc>
          <w:tcPr>
            <w:tcW w:w="11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w:t>
            </w:r>
          </w:p>
        </w:tc>
      </w:tr>
      <w:tr>
        <w:trPr>
          <w:trHeight w:val="185"/>
        </w:trPr>
        <w:tc>
          <w:tcPr>
            <w:tcW w:w="3200" w:type="dxa"/>
            <w:vAlign w:val="bottom"/>
          </w:tcPr>
          <w:p>
            <w:pPr>
              <w:spacing w:after="0"/>
              <w:rPr>
                <w:sz w:val="16"/>
                <w:szCs w:val="16"/>
                <w:color w:val="auto"/>
              </w:rPr>
            </w:pPr>
          </w:p>
        </w:tc>
        <w:tc>
          <w:tcPr>
            <w:tcW w:w="2260" w:type="dxa"/>
            <w:vAlign w:val="bottom"/>
          </w:tcPr>
          <w:p>
            <w:pPr>
              <w:ind w:left="92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ind w:left="581" w:hanging="581"/>
        <w:spacing w:after="0"/>
        <w:tabs>
          <w:tab w:leader="none" w:pos="5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CONTINGENCIES</w:t>
      </w:r>
    </w:p>
    <w:p>
      <w:pPr>
        <w:spacing w:after="0" w:line="190" w:lineRule="exact"/>
        <w:rPr>
          <w:rFonts w:ascii="Courier New" w:cs="Courier New" w:eastAsia="Courier New" w:hAnsi="Courier New"/>
          <w:sz w:val="16"/>
          <w:szCs w:val="16"/>
          <w:color w:val="auto"/>
        </w:rPr>
      </w:pPr>
    </w:p>
    <w:p>
      <w:pPr>
        <w:ind w:left="58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 continually evaluates the Company's contingencies, including various lawsuits and claims which arise in the normal course of business. In the opinion of management, its assessment of contingencies is reasonable and related reserves, in the aggregate, are adequate; however, there can be no assurance that future quarterly or annual operating results will not be materially affected by final resolution of these matters. The following details are the more significant of the Company's identified contingencies.</w:t>
      </w:r>
    </w:p>
    <w:p>
      <w:pPr>
        <w:spacing w:after="0" w:line="186" w:lineRule="exact"/>
        <w:rPr>
          <w:rFonts w:ascii="Courier New" w:cs="Courier New" w:eastAsia="Courier New" w:hAnsi="Courier New"/>
          <w:sz w:val="16"/>
          <w:szCs w:val="16"/>
          <w:color w:val="auto"/>
        </w:rPr>
      </w:pPr>
    </w:p>
    <w:p>
      <w:pPr>
        <w:ind w:left="5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HERSHBERGER</w:t>
      </w:r>
    </w:p>
    <w:p>
      <w:pPr>
        <w:spacing w:after="0" w:line="5" w:lineRule="exact"/>
        <w:rPr>
          <w:rFonts w:ascii="Courier New" w:cs="Courier New" w:eastAsia="Courier New" w:hAnsi="Courier New"/>
          <w:sz w:val="16"/>
          <w:szCs w:val="16"/>
          <w:color w:val="auto"/>
        </w:rPr>
      </w:pPr>
    </w:p>
    <w:p>
      <w:pPr>
        <w:ind w:left="58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September 1991, the Company was identified by the Ohio Environmental Protection Agency (the "Ohio EPA") as a Potentially Responsible Party ("PRP") with respect to a site in Union County, Ohio (the "Hershberger site") that has allegedly been contaminated by hazardous substances whose transportation, treatment or disposal the Company allegedly arranged. Pursuant to a consent order with the Ohio EPA, the Company, together with four other PRP's identified to date, investigated the extent of contamination in the Hershberger site. The results of the investigation were that the site presents a low degree of risk and that the chemical compounds which contribute to the risk are not compounds used by the Company. However, as a result of the joint and several liability of PRP's, the Company may choose to participate in voluntary remediation efforts which might occur at the site. Management does not believe any such obligations would have a material adverse effect on the Company's results of operations or financial condition.</w:t>
      </w:r>
    </w:p>
    <w:p>
      <w:pPr>
        <w:spacing w:after="0" w:line="190" w:lineRule="exact"/>
        <w:rPr>
          <w:rFonts w:ascii="Courier New" w:cs="Courier New" w:eastAsia="Courier New" w:hAnsi="Courier New"/>
          <w:sz w:val="16"/>
          <w:szCs w:val="16"/>
          <w:color w:val="auto"/>
        </w:rPr>
      </w:pPr>
    </w:p>
    <w:p>
      <w:pPr>
        <w:ind w:left="5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LAFAYETTE</w:t>
      </w:r>
    </w:p>
    <w:p>
      <w:pPr>
        <w:spacing w:after="0" w:line="5" w:lineRule="exact"/>
        <w:rPr>
          <w:rFonts w:ascii="Courier New" w:cs="Courier New" w:eastAsia="Courier New" w:hAnsi="Courier New"/>
          <w:sz w:val="16"/>
          <w:szCs w:val="16"/>
          <w:color w:val="auto"/>
        </w:rPr>
      </w:pPr>
    </w:p>
    <w:p>
      <w:pPr>
        <w:ind w:left="581" w:right="2639"/>
        <w:spacing w:after="0" w:line="261"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In July 1990, the Philadelphia District of the U.S. Army Corps of Engineers directed that peat harvesting operations be discontinued at Hyponex's Lafayette, NJ facility, based on its contention that peat harvesting and related activities result in the "discharge of dredged or fill material into waters of the United States" and therefore require a permit under Section 404 of the Clean Water Act. In May 1992, the United States filed suit in the U.S. District Court for the District of New Jersey seeking a permanent injunction against such harvesting, and civil penalties in an unspecified amount. If the Corps' position is upheld, it is possible that further harvesting of peat from this facility would be prohibited; however, based on other market considerations, the Company might not resume harvesting from this facility in any event. The Company is defending this suit and is asserting a right to recover its economic losses resulting from the government's actions. The suit was placed in administrative suspense during 1996 in order to allow the Company and the government an opportunity to negotiate a settlement, and it remains suspended while the parties develop, exchange, and evaluate technical data. Management does not believe that the outcome of this case will have a material adverse effect on the Company's operations or its financial condition. Furthermore, management believes the Company has sufficient raw material supplied available such that service to customers will not be adversely affected by continued closure of this peat harvesting</w:t>
      </w:r>
    </w:p>
    <w:p>
      <w:pPr>
        <w:sectPr>
          <w:pgSz w:w="11900" w:h="16838" w:orient="portrait"/>
          <w:cols w:equalWidth="0" w:num="1">
            <w:col w:w="10221"/>
          </w:cols>
          <w:pgMar w:left="239" w:top="300" w:right="1440" w:bottom="0" w:gutter="0" w:footer="0" w:header="0"/>
        </w:sectPr>
      </w:pPr>
    </w:p>
    <w:bookmarkStart w:id="11" w:name="page12"/>
    <w:bookmarkEnd w:id="11"/>
    <w:p>
      <w:pPr>
        <w:spacing w:after="0"/>
        <w:rPr>
          <w:sz w:val="20"/>
          <w:szCs w:val="20"/>
          <w:color w:val="auto"/>
        </w:rPr>
      </w:pPr>
      <w:r>
        <w:rPr>
          <w:rFonts w:ascii="Courier New" w:cs="Courier New" w:eastAsia="Courier New" w:hAnsi="Courier New"/>
          <w:sz w:val="16"/>
          <w:szCs w:val="16"/>
          <w:color w:val="auto"/>
        </w:rPr>
        <w:t>operation.</w:t>
      </w:r>
    </w:p>
    <w:p>
      <w:pPr>
        <w:spacing w:after="0" w:line="188" w:lineRule="exact"/>
        <w:rPr>
          <w:sz w:val="20"/>
          <w:szCs w:val="20"/>
          <w:color w:val="auto"/>
        </w:rPr>
      </w:pPr>
    </w:p>
    <w:p>
      <w:pPr>
        <w:jc w:val="right"/>
        <w:ind w:right="6079"/>
        <w:spacing w:after="0"/>
        <w:rPr>
          <w:sz w:val="20"/>
          <w:szCs w:val="20"/>
          <w:color w:val="auto"/>
        </w:rPr>
      </w:pPr>
      <w:r>
        <w:rPr>
          <w:rFonts w:ascii="Courier New" w:cs="Courier New" w:eastAsia="Courier New" w:hAnsi="Courier New"/>
          <w:sz w:val="16"/>
          <w:szCs w:val="16"/>
          <w:color w:val="auto"/>
        </w:rPr>
        <w:t>Page 11</w:t>
      </w:r>
    </w:p>
    <w:p>
      <w:pPr>
        <w:sectPr>
          <w:pgSz w:w="11900" w:h="16838" w:orient="portrait"/>
          <w:cols w:equalWidth="0" w:num="1">
            <w:col w:w="9639"/>
          </w:cols>
          <w:pgMar w:left="820" w:top="140"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6"/>
          <w:szCs w:val="16"/>
          <w:color w:val="auto"/>
        </w:rPr>
        <w:t>12</w:t>
      </w:r>
    </w:p>
    <w:p>
      <w:pPr>
        <w:spacing w:after="0" w:line="200" w:lineRule="exact"/>
        <w:rPr>
          <w:sz w:val="20"/>
          <w:szCs w:val="20"/>
          <w:color w:val="auto"/>
        </w:rPr>
      </w:pPr>
    </w:p>
    <w:p>
      <w:pPr>
        <w:spacing w:after="0" w:line="358"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4"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373"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FIFRA</w:t>
      </w:r>
    </w:p>
    <w:p>
      <w:pPr>
        <w:spacing w:after="0" w:line="5" w:lineRule="exact"/>
        <w:rPr>
          <w:sz w:val="20"/>
          <w:szCs w:val="20"/>
          <w:color w:val="auto"/>
        </w:rPr>
      </w:pPr>
    </w:p>
    <w:p>
      <w:pPr>
        <w:ind w:left="300" w:right="2639"/>
        <w:spacing w:after="0" w:line="244" w:lineRule="auto"/>
        <w:rPr>
          <w:sz w:val="20"/>
          <w:szCs w:val="20"/>
          <w:color w:val="auto"/>
        </w:rPr>
      </w:pPr>
      <w:r>
        <w:rPr>
          <w:rFonts w:ascii="Courier New" w:cs="Courier New" w:eastAsia="Courier New" w:hAnsi="Courier New"/>
          <w:sz w:val="16"/>
          <w:szCs w:val="16"/>
          <w:color w:val="auto"/>
        </w:rPr>
        <w:t>In January 1996, the United States Environmental Protection Agency (the "U.S. EPA") served a Complaint and Notice of Opportunity for Hearing upon Sierra's wholly-owned subsidiary, Scotts-Sierra Crop Protection Company ("Crop Protection"). The Complaint alleged labeling violations under the Federal Insecticide, Fungicide and Rodenticide Act ("FIFRA") during 1992 and 1993 and proposed penalties totaling $785,000, the maximum allowable under FIFRA according to management's calculations. In February 1997, the U.S. EPA's Motion for Accelerated Decision was granted on the issue of liability, with the amount of the civil penalty to be resolved at hearing. Based upon Crop Protection's good faith compliance actions and U.S. EPA's policies regarding penalty reductions, management believes Crop Protection's liability in this action is substantially less than the maximum. The Company does not believe that the outcome of this proceeding will have a material adverse effect on its financial condition or results of operations.</w:t>
      </w:r>
    </w:p>
    <w:p>
      <w:pPr>
        <w:spacing w:after="0" w:line="190"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OHIO EPA</w:t>
      </w:r>
    </w:p>
    <w:p>
      <w:pPr>
        <w:spacing w:after="0" w:line="5" w:lineRule="exact"/>
        <w:rPr>
          <w:sz w:val="20"/>
          <w:szCs w:val="20"/>
          <w:color w:val="auto"/>
        </w:rPr>
      </w:pPr>
    </w:p>
    <w:p>
      <w:pPr>
        <w:ind w:left="300" w:right="2639"/>
        <w:spacing w:after="0" w:line="262" w:lineRule="auto"/>
        <w:rPr>
          <w:sz w:val="20"/>
          <w:szCs w:val="20"/>
          <w:color w:val="auto"/>
        </w:rPr>
      </w:pPr>
      <w:r>
        <w:rPr>
          <w:rFonts w:ascii="Courier New" w:cs="Courier New" w:eastAsia="Courier New" w:hAnsi="Courier New"/>
          <w:sz w:val="15"/>
          <w:szCs w:val="15"/>
          <w:color w:val="auto"/>
        </w:rPr>
        <w:t>The Company has been assessing and, as required, addressing certain environmental issues regarding the wastewater treatment plants currently operating at the Marysville facility. Specifically, it has been considering whether to upgrade the existing treatment plants or to undertake to tie the facility's wastewater system into the City of Marysville's municipal treatment system. Additionally, the Company has been assessing, under Ohio's new Voluntary Action Program ("VAP"), the possible remediation of several discontinued on-site waste disposal areas dating back to the early operations of its Marysville facility. To this end, in early July 1997, the Company submitted written documentation to the Ohio EPA, to demonstrate VAP eligibility compliance.</w:t>
      </w:r>
    </w:p>
    <w:p>
      <w:pPr>
        <w:spacing w:after="0" w:line="177" w:lineRule="exact"/>
        <w:rPr>
          <w:sz w:val="20"/>
          <w:szCs w:val="20"/>
          <w:color w:val="auto"/>
        </w:rPr>
      </w:pPr>
    </w:p>
    <w:p>
      <w:pPr>
        <w:ind w:left="300" w:right="2639"/>
        <w:spacing w:after="0" w:line="244" w:lineRule="auto"/>
        <w:rPr>
          <w:sz w:val="20"/>
          <w:szCs w:val="20"/>
          <w:color w:val="auto"/>
        </w:rPr>
      </w:pPr>
      <w:r>
        <w:rPr>
          <w:rFonts w:ascii="Courier New" w:cs="Courier New" w:eastAsia="Courier New" w:hAnsi="Courier New"/>
          <w:sz w:val="16"/>
          <w:szCs w:val="16"/>
          <w:color w:val="auto"/>
        </w:rPr>
        <w:t>In February 1997, the Company learned that the Ohio EPA was referring certain environmental matters relating to the Company's wastewater treatment plants and on-site disposal areas to the Ohio Attorney General's Office for possible enforcement action. Representatives from the Ohio EPA, the Ohio Attorney General's Office and the Company have subsequently met on several occasions to discuss resolution of these issues. As part of these ongoing discussions, in June 1997, the Company received draft Findings and Orders ("F&amp;O") and communications from the Ohio EPA which elaborated on the subject of the referral to include, among other items: potential surface water violations relating to sediment contamination possibly impacting water quality; and potential contamination relating to the existence of former underground storage tanks. In addition, the draft F&amp;O would require that the Company's Marysville site be subject to corrective action under the Resource Conservation Recovery Act ("RCRA"). The Company received a draft Consent Order from the Ohio Attorney General's Office in late July 1997 which reflects most of the issues contained in the draft F&amp;O, including corrective action. The Company continues its discussions and is undertaking to negotiate an amicable resolution of these issues with the Ohio EPA and Attorney General over the course of the next several months. The Company also continues its ongoing efforts to address many of these issues under VAP.</w:t>
      </w:r>
    </w:p>
    <w:p>
      <w:pPr>
        <w:spacing w:after="0" w:line="196" w:lineRule="exact"/>
        <w:rPr>
          <w:sz w:val="20"/>
          <w:szCs w:val="20"/>
          <w:color w:val="auto"/>
        </w:rPr>
      </w:pPr>
    </w:p>
    <w:p>
      <w:pPr>
        <w:ind w:left="300" w:right="2819"/>
        <w:spacing w:after="0" w:line="244" w:lineRule="auto"/>
        <w:rPr>
          <w:sz w:val="20"/>
          <w:szCs w:val="20"/>
          <w:color w:val="auto"/>
        </w:rPr>
      </w:pPr>
      <w:r>
        <w:rPr>
          <w:rFonts w:ascii="Courier New" w:cs="Courier New" w:eastAsia="Courier New" w:hAnsi="Courier New"/>
          <w:sz w:val="16"/>
          <w:szCs w:val="16"/>
          <w:color w:val="auto"/>
        </w:rPr>
        <w:t>The Company does not believe that any proceedings which may result from the Ohio EPA's referral of these matters to the Ohio Attorney General will be material to the business or financial condition of the Company but is unable, at this early stage, to predict the outcome of these issues.</w:t>
      </w:r>
    </w:p>
    <w:p>
      <w:pPr>
        <w:spacing w:after="0" w:line="370"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Page 12</w:t>
      </w:r>
    </w:p>
    <w:p>
      <w:pPr>
        <w:sectPr>
          <w:pgSz w:w="11900" w:h="16838" w:orient="portrait"/>
          <w:cols w:equalWidth="0" w:num="1">
            <w:col w:w="9939"/>
          </w:cols>
          <w:pgMar w:left="520" w:top="300" w:right="1440" w:bottom="1440" w:gutter="0" w:footer="0" w:header="0"/>
        </w:sectPr>
      </w:pPr>
    </w:p>
    <w:bookmarkStart w:id="13" w:name="page14"/>
    <w:bookmarkEnd w:id="13"/>
    <w:p>
      <w:pPr>
        <w:ind w:left="281"/>
        <w:spacing w:after="0"/>
        <w:rPr>
          <w:sz w:val="20"/>
          <w:szCs w:val="20"/>
          <w:color w:val="auto"/>
        </w:rPr>
      </w:pPr>
      <w:r>
        <w:rPr>
          <w:rFonts w:ascii="Courier New" w:cs="Courier New" w:eastAsia="Courier New" w:hAnsi="Courier New"/>
          <w:sz w:val="16"/>
          <w:szCs w:val="16"/>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ITEM 2. MANAGEMENT'S DISCUSSION AND ANALYSIS OF</w:t>
      </w:r>
    </w:p>
    <w:p>
      <w:pPr>
        <w:spacing w:after="0" w:line="4"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FINANCIAL CONDITION AND RESULTS OF OPERATIONS</w:t>
      </w:r>
    </w:p>
    <w:p>
      <w:pPr>
        <w:spacing w:after="0" w:line="375" w:lineRule="exact"/>
        <w:rPr>
          <w:sz w:val="20"/>
          <w:szCs w:val="20"/>
          <w:color w:val="auto"/>
        </w:rPr>
      </w:pPr>
    </w:p>
    <w:p>
      <w:pPr>
        <w:ind w:left="1" w:right="2719"/>
        <w:spacing w:after="0" w:line="244" w:lineRule="auto"/>
        <w:rPr>
          <w:sz w:val="20"/>
          <w:szCs w:val="20"/>
          <w:color w:val="auto"/>
        </w:rPr>
      </w:pPr>
      <w:r>
        <w:rPr>
          <w:rFonts w:ascii="Courier New" w:cs="Courier New" w:eastAsia="Courier New" w:hAnsi="Courier New"/>
          <w:sz w:val="16"/>
          <w:szCs w:val="16"/>
          <w:color w:val="auto"/>
        </w:rPr>
        <w:t>The following discussion and analysis of the consolidated results of operations, cash flows and financial position of the Company should be read in conjunction with the Consolidated Financial Statements of the Company included elsewhere in this report. The Company's Annual Report on Form 10-K for the fiscal year ended September 30, 1996 includes additional information about the Company, its operations, and its financial position, and should be read in conjunction with this quarterly report on Form 10-Q.</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RESULTS OF OPERATIONS</w:t>
      </w:r>
    </w:p>
    <w:p>
      <w:pPr>
        <w:spacing w:after="0" w:line="190" w:lineRule="exact"/>
        <w:rPr>
          <w:sz w:val="20"/>
          <w:szCs w:val="20"/>
          <w:color w:val="auto"/>
        </w:rPr>
      </w:pPr>
    </w:p>
    <w:p>
      <w:pPr>
        <w:ind w:left="1" w:right="3119"/>
        <w:spacing w:after="0" w:line="242" w:lineRule="auto"/>
        <w:rPr>
          <w:sz w:val="20"/>
          <w:szCs w:val="20"/>
          <w:color w:val="auto"/>
        </w:rPr>
      </w:pPr>
      <w:r>
        <w:rPr>
          <w:rFonts w:ascii="Courier New" w:cs="Courier New" w:eastAsia="Courier New" w:hAnsi="Courier New"/>
          <w:sz w:val="16"/>
          <w:szCs w:val="16"/>
          <w:color w:val="auto"/>
        </w:rPr>
        <w:t>Before reviewing the details of the Company's third quarter and nine month results, the reader should keep in mind the following matters.</w:t>
      </w:r>
    </w:p>
    <w:p>
      <w:pPr>
        <w:spacing w:after="0" w:line="189" w:lineRule="exact"/>
        <w:rPr>
          <w:sz w:val="20"/>
          <w:szCs w:val="20"/>
          <w:color w:val="auto"/>
        </w:rPr>
      </w:pPr>
    </w:p>
    <w:p>
      <w:pPr>
        <w:ind w:left="1" w:right="2819"/>
        <w:spacing w:after="0" w:line="244" w:lineRule="auto"/>
        <w:rPr>
          <w:sz w:val="20"/>
          <w:szCs w:val="20"/>
          <w:color w:val="auto"/>
        </w:rPr>
      </w:pPr>
      <w:r>
        <w:rPr>
          <w:rFonts w:ascii="Courier New" w:cs="Courier New" w:eastAsia="Courier New" w:hAnsi="Courier New"/>
          <w:sz w:val="16"/>
          <w:szCs w:val="16"/>
          <w:color w:val="auto"/>
        </w:rPr>
        <w:t>In the quarter ended March 29, 1997, the Company changed its method of accounting for advertising expenses in interim periods. The newly adopted method assigns anticipated advertising costs to interim periods based on projected sales of advertised product categories and has been applied retroactive to the beginning of fiscal 1997 (October 1, 1996). This change impacts interim periods only; all current year advertising costs will be expensed within the fiscal year. Management believes this method of interim accounting for advertising costs provides better matching of revenues and expenses in interim periods, and is consistent with companies in the consumer packaged goods industry.</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This change in interim accounting had the effect of increasing advertising</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expense for the first and second quarters of fiscal 1997 by $3.3 million and</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$4.6 million, respectively. Third quarter 1997 advertising expense decreased by</w:t>
      </w:r>
    </w:p>
    <w:p>
      <w:pPr>
        <w:spacing w:after="0" w:line="1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$8.4 million. Net income for the first and second quarters of fiscal 1997</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decreased by $1.9 million or $0.10 per share and $2.6 million or $0.09 per</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share, respectively. Net income for the third quarter increased $4.8 million or</w:t>
      </w:r>
    </w:p>
    <w:p>
      <w:pPr>
        <w:spacing w:after="0" w:line="1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$0.16 per share. For the nine months ended June 28, 1997, advertising expense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decreased by $0.5 million, resulting in an increase in net income of $0.3</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million or $0.01 per share.</w:t>
      </w:r>
    </w:p>
    <w:p>
      <w:pPr>
        <w:spacing w:after="0" w:line="190"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On a pro forma basis, assuming the new method of accounting for interim advertising had been applied to fiscal 1996, first and second quarter 1996 advertising expense would have increased $3.9 million and $2.0 million, respectively. Third quarter 1996 advertising expense would have decreased $7.4 million. Net income for the first and second quarters of fiscal 1996 would have decreased by $2.2 million or $0.12 per share and $1.2 million or $0.04 per share. Net income for the third quarter of 1996 would have increased $4.2 million or $0.14 per share. For the nine months ended June 29, 1996, advertising expense would have decreased by $1.5 million, resulting in an increase in net income of $0.8 million or $0.03 per share.</w:t>
      </w:r>
    </w:p>
    <w:p>
      <w:pPr>
        <w:spacing w:after="0" w:line="190" w:lineRule="exact"/>
        <w:rPr>
          <w:sz w:val="20"/>
          <w:szCs w:val="20"/>
          <w:color w:val="auto"/>
        </w:rPr>
      </w:pPr>
    </w:p>
    <w:p>
      <w:pPr>
        <w:ind w:left="1" w:right="2819"/>
        <w:spacing w:after="0" w:line="243" w:lineRule="auto"/>
        <w:rPr>
          <w:sz w:val="20"/>
          <w:szCs w:val="20"/>
          <w:color w:val="auto"/>
        </w:rPr>
      </w:pPr>
      <w:r>
        <w:rPr>
          <w:rFonts w:ascii="Courier New" w:cs="Courier New" w:eastAsia="Courier New" w:hAnsi="Courier New"/>
          <w:sz w:val="16"/>
          <w:szCs w:val="16"/>
          <w:color w:val="auto"/>
        </w:rPr>
        <w:t>Effective with the second quarter of fiscal 1997, the Company has made the following changes in its financial statement presentation. First, the Company reclassified its statement of operations as follows:</w:t>
      </w:r>
    </w:p>
    <w:p>
      <w:pPr>
        <w:spacing w:after="0" w:line="187" w:lineRule="exact"/>
        <w:rPr>
          <w:sz w:val="20"/>
          <w:szCs w:val="20"/>
          <w:color w:val="auto"/>
        </w:rPr>
      </w:pPr>
    </w:p>
    <w:p>
      <w:pPr>
        <w:ind w:left="381" w:hanging="381"/>
        <w:spacing w:after="0"/>
        <w:tabs>
          <w:tab w:leader="none" w:pos="3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 expense is included in cost of sales;</w:t>
      </w:r>
    </w:p>
    <w:p>
      <w:pPr>
        <w:spacing w:after="0" w:line="5" w:lineRule="exact"/>
        <w:rPr>
          <w:rFonts w:ascii="Courier New" w:cs="Courier New" w:eastAsia="Courier New" w:hAnsi="Courier New"/>
          <w:sz w:val="16"/>
          <w:szCs w:val="16"/>
          <w:color w:val="auto"/>
        </w:rPr>
      </w:pPr>
    </w:p>
    <w:p>
      <w:pPr>
        <w:ind w:left="381" w:right="3299" w:hanging="381"/>
        <w:spacing w:after="0" w:line="242" w:lineRule="auto"/>
        <w:tabs>
          <w:tab w:leader="none" w:pos="3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Selling, general and administrative expenses are combined (including research and development); and</w:t>
      </w:r>
    </w:p>
    <w:p>
      <w:pPr>
        <w:spacing w:after="0" w:line="2"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Advertising and promotion expenses are shown separately.</w:t>
      </w:r>
    </w:p>
    <w:p>
      <w:pPr>
        <w:spacing w:after="0" w:line="190" w:lineRule="exact"/>
        <w:rPr>
          <w:sz w:val="20"/>
          <w:szCs w:val="20"/>
          <w:color w:val="auto"/>
        </w:rPr>
      </w:pPr>
    </w:p>
    <w:p>
      <w:pPr>
        <w:ind w:left="1" w:right="2719"/>
        <w:spacing w:after="0" w:line="244" w:lineRule="auto"/>
        <w:rPr>
          <w:sz w:val="20"/>
          <w:szCs w:val="20"/>
          <w:color w:val="auto"/>
        </w:rPr>
      </w:pPr>
      <w:r>
        <w:rPr>
          <w:rFonts w:ascii="Courier New" w:cs="Courier New" w:eastAsia="Courier New" w:hAnsi="Courier New"/>
          <w:sz w:val="16"/>
          <w:szCs w:val="16"/>
          <w:color w:val="auto"/>
        </w:rPr>
        <w:t>Second, the business unit net sales breakdowns have been updated to include Canadian net sales as part of the North American business units in which they are managed. Canadian net sales had previously been disclosed as part of International. Annual Canadian net sales have been approximately $10.0 million or less historically.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461"/>
        <w:spacing w:after="0"/>
        <w:rPr>
          <w:sz w:val="20"/>
          <w:szCs w:val="20"/>
          <w:color w:val="auto"/>
        </w:rPr>
      </w:pPr>
      <w:r>
        <w:rPr>
          <w:rFonts w:ascii="Courier New" w:cs="Courier New" w:eastAsia="Courier New" w:hAnsi="Courier New"/>
          <w:sz w:val="16"/>
          <w:szCs w:val="16"/>
          <w:color w:val="auto"/>
        </w:rPr>
        <w:t>Page 13</w:t>
      </w:r>
    </w:p>
    <w:p>
      <w:pPr>
        <w:sectPr>
          <w:pgSz w:w="11900" w:h="16838" w:orient="portrait"/>
          <w:cols w:equalWidth="0" w:num="1">
            <w:col w:w="10221"/>
          </w:cols>
          <w:pgMar w:left="239" w:top="300" w:right="1440" w:bottom="1440" w:gutter="0" w:footer="0" w:header="0"/>
        </w:sectPr>
      </w:pPr>
    </w:p>
    <w:bookmarkStart w:id="14" w:name="page15"/>
    <w:bookmarkEnd w:id="14"/>
    <w:p>
      <w:pPr>
        <w:ind w:left="281"/>
        <w:spacing w:after="0"/>
        <w:rPr>
          <w:sz w:val="20"/>
          <w:szCs w:val="20"/>
          <w:color w:val="auto"/>
        </w:rPr>
      </w:pPr>
      <w:r>
        <w:rPr>
          <w:rFonts w:ascii="Courier New" w:cs="Courier New" w:eastAsia="Courier New" w:hAnsi="Courier New"/>
          <w:sz w:val="16"/>
          <w:szCs w:val="16"/>
          <w:color w:val="auto"/>
        </w:rPr>
        <w:t>14</w:t>
      </w:r>
    </w:p>
    <w:p>
      <w:pPr>
        <w:spacing w:after="0" w:line="200" w:lineRule="exact"/>
        <w:rPr>
          <w:sz w:val="20"/>
          <w:szCs w:val="20"/>
          <w:color w:val="auto"/>
        </w:rPr>
      </w:pPr>
    </w:p>
    <w:p>
      <w:pPr>
        <w:spacing w:after="0" w:line="360" w:lineRule="exact"/>
        <w:rPr>
          <w:sz w:val="20"/>
          <w:szCs w:val="20"/>
          <w:color w:val="auto"/>
        </w:rPr>
      </w:pPr>
    </w:p>
    <w:p>
      <w:pPr>
        <w:ind w:left="1" w:right="4240"/>
        <w:spacing w:after="0" w:line="243" w:lineRule="auto"/>
        <w:rPr>
          <w:sz w:val="20"/>
          <w:szCs w:val="20"/>
          <w:color w:val="auto"/>
        </w:rPr>
      </w:pPr>
      <w:r>
        <w:rPr>
          <w:rFonts w:ascii="Courier New" w:cs="Courier New" w:eastAsia="Courier New" w:hAnsi="Courier New"/>
          <w:sz w:val="16"/>
          <w:szCs w:val="16"/>
          <w:color w:val="auto"/>
        </w:rPr>
        <w:t>The following table sets forth the components of income and expense for the third quarter and first nine months of fiscal 1997 and 1996 on a percentage-of-net sales basis: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2680" w:type="dxa"/>
            <w:vAlign w:val="bottom"/>
          </w:tcPr>
          <w:p>
            <w:pPr>
              <w:spacing w:after="0"/>
              <w:rPr>
                <w:sz w:val="15"/>
                <w:szCs w:val="15"/>
                <w:color w:val="auto"/>
              </w:rPr>
            </w:pPr>
          </w:p>
        </w:tc>
        <w:tc>
          <w:tcPr>
            <w:tcW w:w="250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Three Months Ended</w:t>
            </w:r>
          </w:p>
        </w:tc>
        <w:tc>
          <w:tcPr>
            <w:tcW w:w="1440" w:type="dxa"/>
            <w:vAlign w:val="bottom"/>
          </w:tcPr>
          <w:p>
            <w:pPr>
              <w:spacing w:after="0"/>
              <w:rPr>
                <w:sz w:val="15"/>
                <w:szCs w:val="15"/>
                <w:color w:val="auto"/>
              </w:rPr>
            </w:pPr>
          </w:p>
        </w:tc>
        <w:tc>
          <w:tcPr>
            <w:tcW w:w="2460" w:type="dxa"/>
            <w:vAlign w:val="bottom"/>
            <w:gridSpan w:val="2"/>
          </w:tcPr>
          <w:p>
            <w:pPr>
              <w:jc w:val="right"/>
              <w:ind w:right="360"/>
              <w:spacing w:after="0"/>
              <w:rPr>
                <w:sz w:val="20"/>
                <w:szCs w:val="20"/>
                <w:color w:val="auto"/>
              </w:rPr>
            </w:pPr>
            <w:r>
              <w:rPr>
                <w:rFonts w:ascii="Courier New" w:cs="Courier New" w:eastAsia="Courier New" w:hAnsi="Courier New"/>
                <w:sz w:val="16"/>
                <w:szCs w:val="16"/>
                <w:color w:val="auto"/>
              </w:rPr>
              <w:t>Nine Months Ended</w:t>
            </w:r>
          </w:p>
        </w:tc>
        <w:tc>
          <w:tcPr>
            <w:tcW w:w="1100" w:type="dxa"/>
            <w:vAlign w:val="bottom"/>
          </w:tcPr>
          <w:p>
            <w:pPr>
              <w:spacing w:after="0"/>
              <w:rPr>
                <w:sz w:val="15"/>
                <w:szCs w:val="15"/>
                <w:color w:val="auto"/>
              </w:rPr>
            </w:pPr>
          </w:p>
        </w:tc>
      </w:tr>
      <w:tr>
        <w:trPr>
          <w:trHeight w:val="185"/>
        </w:trPr>
        <w:tc>
          <w:tcPr>
            <w:tcW w:w="2680" w:type="dxa"/>
            <w:vAlign w:val="bottom"/>
          </w:tcPr>
          <w:p>
            <w:pPr>
              <w:spacing w:after="0"/>
              <w:rPr>
                <w:sz w:val="16"/>
                <w:szCs w:val="16"/>
                <w:color w:val="auto"/>
              </w:rPr>
            </w:pPr>
          </w:p>
        </w:tc>
        <w:tc>
          <w:tcPr>
            <w:tcW w:w="250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ind w:left="300"/>
              <w:spacing w:after="0"/>
              <w:rPr>
                <w:sz w:val="20"/>
                <w:szCs w:val="20"/>
                <w:color w:val="auto"/>
              </w:rPr>
            </w:pPr>
            <w:r>
              <w:rPr>
                <w:rFonts w:ascii="Courier New" w:cs="Courier New" w:eastAsia="Courier New" w:hAnsi="Courier New"/>
                <w:sz w:val="16"/>
                <w:szCs w:val="16"/>
                <w:color w:val="auto"/>
              </w:rPr>
              <w:t>Period to</w:t>
            </w:r>
          </w:p>
        </w:tc>
        <w:tc>
          <w:tcPr>
            <w:tcW w:w="246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ind w:left="240"/>
              <w:spacing w:after="0"/>
              <w:rPr>
                <w:sz w:val="20"/>
                <w:szCs w:val="20"/>
                <w:color w:val="auto"/>
              </w:rPr>
            </w:pPr>
            <w:r>
              <w:rPr>
                <w:rFonts w:ascii="Courier New" w:cs="Courier New" w:eastAsia="Courier New" w:hAnsi="Courier New"/>
                <w:sz w:val="16"/>
                <w:szCs w:val="16"/>
                <w:color w:val="auto"/>
                <w:w w:val="97"/>
              </w:rPr>
              <w:t>Period to</w:t>
            </w:r>
          </w:p>
        </w:tc>
      </w:tr>
      <w:tr>
        <w:trPr>
          <w:trHeight w:val="185"/>
        </w:trPr>
        <w:tc>
          <w:tcPr>
            <w:tcW w:w="2680" w:type="dxa"/>
            <w:vAlign w:val="bottom"/>
          </w:tcPr>
          <w:p>
            <w:pPr>
              <w:spacing w:after="0"/>
              <w:rPr>
                <w:sz w:val="16"/>
                <w:szCs w:val="16"/>
                <w:color w:val="auto"/>
              </w:rPr>
            </w:pP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June 28</w:t>
            </w:r>
          </w:p>
        </w:tc>
        <w:tc>
          <w:tcPr>
            <w:tcW w:w="12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June 29</w:t>
            </w: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Period</w:t>
            </w: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June 28</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June 29</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Period</w:t>
            </w:r>
          </w:p>
        </w:tc>
      </w:tr>
      <w:tr>
        <w:trPr>
          <w:trHeight w:val="185"/>
        </w:trPr>
        <w:tc>
          <w:tcPr>
            <w:tcW w:w="2680" w:type="dxa"/>
            <w:vAlign w:val="bottom"/>
          </w:tcPr>
          <w:p>
            <w:pPr>
              <w:spacing w:after="0"/>
              <w:rPr>
                <w:sz w:val="16"/>
                <w:szCs w:val="16"/>
                <w:color w:val="auto"/>
              </w:rPr>
            </w:pPr>
          </w:p>
        </w:tc>
        <w:tc>
          <w:tcPr>
            <w:tcW w:w="1260" w:type="dxa"/>
            <w:vAlign w:val="bottom"/>
          </w:tcPr>
          <w:p>
            <w:pPr>
              <w:ind w:left="400"/>
              <w:spacing w:after="0"/>
              <w:rPr>
                <w:sz w:val="20"/>
                <w:szCs w:val="20"/>
                <w:color w:val="auto"/>
              </w:rPr>
            </w:pPr>
            <w:r>
              <w:rPr>
                <w:rFonts w:ascii="Courier New" w:cs="Courier New" w:eastAsia="Courier New" w:hAnsi="Courier New"/>
                <w:sz w:val="16"/>
                <w:szCs w:val="16"/>
                <w:color w:val="auto"/>
              </w:rPr>
              <w:t>1997</w:t>
            </w: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1996</w:t>
            </w:r>
          </w:p>
        </w:tc>
        <w:tc>
          <w:tcPr>
            <w:tcW w:w="1440" w:type="dxa"/>
            <w:vAlign w:val="bottom"/>
          </w:tcPr>
          <w:p>
            <w:pPr>
              <w:ind w:left="300"/>
              <w:spacing w:after="0"/>
              <w:rPr>
                <w:sz w:val="20"/>
                <w:szCs w:val="20"/>
                <w:color w:val="auto"/>
              </w:rPr>
            </w:pPr>
            <w:r>
              <w:rPr>
                <w:rFonts w:ascii="Courier New" w:cs="Courier New" w:eastAsia="Courier New" w:hAnsi="Courier New"/>
                <w:sz w:val="16"/>
                <w:szCs w:val="16"/>
                <w:color w:val="auto"/>
              </w:rPr>
              <w:t>% Change</w:t>
            </w:r>
          </w:p>
        </w:tc>
        <w:tc>
          <w:tcPr>
            <w:tcW w:w="1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1997</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1996</w:t>
            </w:r>
          </w:p>
        </w:tc>
        <w:tc>
          <w:tcPr>
            <w:tcW w:w="1100" w:type="dxa"/>
            <w:vAlign w:val="bottom"/>
          </w:tcPr>
          <w:p>
            <w:pPr>
              <w:ind w:left="240"/>
              <w:spacing w:after="0"/>
              <w:rPr>
                <w:sz w:val="20"/>
                <w:szCs w:val="20"/>
                <w:color w:val="auto"/>
              </w:rPr>
            </w:pPr>
            <w:r>
              <w:rPr>
                <w:rFonts w:ascii="Courier New" w:cs="Courier New" w:eastAsia="Courier New" w:hAnsi="Courier New"/>
                <w:sz w:val="16"/>
                <w:szCs w:val="16"/>
                <w:color w:val="auto"/>
              </w:rPr>
              <w:t>% Change</w:t>
            </w:r>
          </w:p>
        </w:tc>
      </w:tr>
      <w:tr>
        <w:trPr>
          <w:trHeight w:val="185"/>
        </w:trPr>
        <w:tc>
          <w:tcPr>
            <w:tcW w:w="2680" w:type="dxa"/>
            <w:vAlign w:val="bottom"/>
          </w:tcPr>
          <w:p>
            <w:pPr>
              <w:spacing w:after="0"/>
              <w:rPr>
                <w:sz w:val="16"/>
                <w:szCs w:val="16"/>
                <w:color w:val="auto"/>
              </w:rPr>
            </w:pPr>
          </w:p>
        </w:tc>
        <w:tc>
          <w:tcPr>
            <w:tcW w:w="1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ind w:left="240"/>
              <w:spacing w:after="0"/>
              <w:rPr>
                <w:sz w:val="20"/>
                <w:szCs w:val="20"/>
                <w:color w:val="auto"/>
              </w:rPr>
            </w:pPr>
            <w:r>
              <w:rPr>
                <w:rFonts w:ascii="Courier New" w:cs="Courier New" w:eastAsia="Courier New" w:hAnsi="Courier New"/>
                <w:sz w:val="16"/>
                <w:szCs w:val="16"/>
                <w:color w:val="auto"/>
                <w:w w:val="97"/>
              </w:rPr>
              <w:t>---------</w:t>
            </w:r>
          </w:p>
        </w:tc>
      </w:tr>
      <w:tr>
        <w:trPr>
          <w:trHeight w:val="370"/>
        </w:trPr>
        <w:tc>
          <w:tcPr>
            <w:tcW w:w="268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100.0%</w:t>
            </w:r>
          </w:p>
        </w:tc>
        <w:tc>
          <w:tcPr>
            <w:tcW w:w="12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100.0%</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20.6%</w:t>
            </w: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100.0%</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100.0%</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20.8%</w:t>
            </w:r>
          </w:p>
        </w:tc>
      </w:tr>
      <w:tr>
        <w:trPr>
          <w:trHeight w:val="185"/>
        </w:trPr>
        <w:tc>
          <w:tcPr>
            <w:tcW w:w="268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1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63.0</w:t>
            </w: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66.9</w:t>
            </w: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13.5</w:t>
            </w:r>
          </w:p>
        </w:tc>
        <w:tc>
          <w:tcPr>
            <w:tcW w:w="1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62.2</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66.5</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12.9</w:t>
            </w:r>
          </w:p>
        </w:tc>
      </w:tr>
      <w:tr>
        <w:trPr>
          <w:trHeight w:val="185"/>
        </w:trPr>
        <w:tc>
          <w:tcPr>
            <w:tcW w:w="2680" w:type="dxa"/>
            <w:vAlign w:val="bottom"/>
          </w:tcPr>
          <w:p>
            <w:pPr>
              <w:spacing w:after="0"/>
              <w:rPr>
                <w:sz w:val="16"/>
                <w:szCs w:val="16"/>
                <w:color w:val="auto"/>
              </w:rPr>
            </w:pPr>
          </w:p>
        </w:tc>
        <w:tc>
          <w:tcPr>
            <w:tcW w:w="1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spacing w:after="0"/>
              <w:rPr>
                <w:sz w:val="16"/>
                <w:szCs w:val="16"/>
                <w:color w:val="auto"/>
              </w:rPr>
            </w:pPr>
          </w:p>
        </w:tc>
        <w:tc>
          <w:tcPr>
            <w:tcW w:w="1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spacing w:after="0"/>
              <w:rPr>
                <w:sz w:val="16"/>
                <w:szCs w:val="16"/>
                <w:color w:val="auto"/>
              </w:rPr>
            </w:pPr>
          </w:p>
        </w:tc>
      </w:tr>
      <w:tr>
        <w:trPr>
          <w:trHeight w:val="370"/>
        </w:trPr>
        <w:tc>
          <w:tcPr>
            <w:tcW w:w="268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1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37.0</w:t>
            </w: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33.1</w:t>
            </w: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35.0</w:t>
            </w:r>
          </w:p>
        </w:tc>
        <w:tc>
          <w:tcPr>
            <w:tcW w:w="1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37.8</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33.5</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36.4</w:t>
            </w:r>
          </w:p>
        </w:tc>
      </w:tr>
      <w:tr>
        <w:trPr>
          <w:trHeight w:val="185"/>
        </w:trPr>
        <w:tc>
          <w:tcPr>
            <w:tcW w:w="2680" w:type="dxa"/>
            <w:vAlign w:val="bottom"/>
          </w:tcPr>
          <w:p>
            <w:pPr>
              <w:spacing w:after="0"/>
              <w:rPr>
                <w:sz w:val="20"/>
                <w:szCs w:val="20"/>
                <w:color w:val="auto"/>
              </w:rPr>
            </w:pPr>
            <w:r>
              <w:rPr>
                <w:rFonts w:ascii="Courier New" w:cs="Courier New" w:eastAsia="Courier New" w:hAnsi="Courier New"/>
                <w:sz w:val="16"/>
                <w:szCs w:val="16"/>
                <w:color w:val="auto"/>
              </w:rPr>
              <w:t>Selling, general and</w:t>
            </w: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2680" w:type="dxa"/>
            <w:vAlign w:val="bottom"/>
          </w:tcPr>
          <w:p>
            <w:pPr>
              <w:ind w:left="380"/>
              <w:spacing w:after="0"/>
              <w:rPr>
                <w:sz w:val="20"/>
                <w:szCs w:val="20"/>
                <w:color w:val="auto"/>
              </w:rPr>
            </w:pPr>
            <w:r>
              <w:rPr>
                <w:rFonts w:ascii="Courier New" w:cs="Courier New" w:eastAsia="Courier New" w:hAnsi="Courier New"/>
                <w:sz w:val="16"/>
                <w:szCs w:val="16"/>
                <w:color w:val="auto"/>
              </w:rPr>
              <w:t>administrative</w:t>
            </w:r>
          </w:p>
        </w:tc>
        <w:tc>
          <w:tcPr>
            <w:tcW w:w="1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12.4</w:t>
            </w: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11.2</w:t>
            </w: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33.5</w:t>
            </w:r>
          </w:p>
        </w:tc>
        <w:tc>
          <w:tcPr>
            <w:tcW w:w="1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12.9</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14.1</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10.4</w:t>
            </w:r>
          </w:p>
        </w:tc>
      </w:tr>
      <w:tr>
        <w:trPr>
          <w:trHeight w:val="185"/>
        </w:trPr>
        <w:tc>
          <w:tcPr>
            <w:tcW w:w="2680" w:type="dxa"/>
            <w:vAlign w:val="bottom"/>
          </w:tcPr>
          <w:p>
            <w:pPr>
              <w:spacing w:after="0"/>
              <w:rPr>
                <w:sz w:val="20"/>
                <w:szCs w:val="20"/>
                <w:color w:val="auto"/>
              </w:rPr>
            </w:pPr>
            <w:r>
              <w:rPr>
                <w:rFonts w:ascii="Courier New" w:cs="Courier New" w:eastAsia="Courier New" w:hAnsi="Courier New"/>
                <w:sz w:val="16"/>
                <w:szCs w:val="16"/>
                <w:color w:val="auto"/>
              </w:rPr>
              <w:t>Advertising and promotion</w:t>
            </w:r>
          </w:p>
        </w:tc>
        <w:tc>
          <w:tcPr>
            <w:tcW w:w="1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8.9</w:t>
            </w: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10.9</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(2.2)</w:t>
            </w:r>
          </w:p>
        </w:tc>
        <w:tc>
          <w:tcPr>
            <w:tcW w:w="1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10.5</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10.1</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24.8</w:t>
            </w:r>
          </w:p>
        </w:tc>
      </w:tr>
      <w:tr>
        <w:trPr>
          <w:trHeight w:val="185"/>
        </w:trPr>
        <w:tc>
          <w:tcPr>
            <w:tcW w:w="2680" w:type="dxa"/>
            <w:vAlign w:val="bottom"/>
          </w:tcPr>
          <w:p>
            <w:pPr>
              <w:spacing w:after="0"/>
              <w:rPr>
                <w:sz w:val="20"/>
                <w:szCs w:val="20"/>
                <w:color w:val="auto"/>
              </w:rPr>
            </w:pPr>
            <w:r>
              <w:rPr>
                <w:rFonts w:ascii="Courier New" w:cs="Courier New" w:eastAsia="Courier New" w:hAnsi="Courier New"/>
                <w:sz w:val="16"/>
                <w:szCs w:val="16"/>
                <w:color w:val="auto"/>
              </w:rPr>
              <w:t>Amortization of goodwill</w:t>
            </w: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2680" w:type="dxa"/>
            <w:vAlign w:val="bottom"/>
          </w:tcPr>
          <w:p>
            <w:pPr>
              <w:ind w:left="380"/>
              <w:spacing w:after="0"/>
              <w:rPr>
                <w:sz w:val="20"/>
                <w:szCs w:val="20"/>
                <w:color w:val="auto"/>
              </w:rPr>
            </w:pPr>
            <w:r>
              <w:rPr>
                <w:rFonts w:ascii="Courier New" w:cs="Courier New" w:eastAsia="Courier New" w:hAnsi="Courier New"/>
                <w:sz w:val="16"/>
                <w:szCs w:val="16"/>
                <w:color w:val="auto"/>
              </w:rPr>
              <w:t>and other intangibles</w:t>
            </w:r>
          </w:p>
        </w:tc>
        <w:tc>
          <w:tcPr>
            <w:tcW w:w="1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0.9</w:t>
            </w: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0.9</w:t>
            </w: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22.7</w:t>
            </w:r>
          </w:p>
        </w:tc>
        <w:tc>
          <w:tcPr>
            <w:tcW w:w="1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1.0</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1.1</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15.2</w:t>
            </w:r>
          </w:p>
        </w:tc>
      </w:tr>
      <w:tr>
        <w:trPr>
          <w:trHeight w:val="185"/>
        </w:trPr>
        <w:tc>
          <w:tcPr>
            <w:tcW w:w="268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(0.3)</w:t>
            </w: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1.3</w:t>
            </w: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nm</w:t>
            </w:r>
          </w:p>
        </w:tc>
        <w:tc>
          <w:tcPr>
            <w:tcW w:w="1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0.3</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1.3</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nm</w:t>
            </w:r>
          </w:p>
        </w:tc>
      </w:tr>
      <w:tr>
        <w:trPr>
          <w:trHeight w:val="185"/>
        </w:trPr>
        <w:tc>
          <w:tcPr>
            <w:tcW w:w="2680" w:type="dxa"/>
            <w:vAlign w:val="bottom"/>
          </w:tcPr>
          <w:p>
            <w:pPr>
              <w:spacing w:after="0"/>
              <w:rPr>
                <w:sz w:val="16"/>
                <w:szCs w:val="16"/>
                <w:color w:val="auto"/>
              </w:rPr>
            </w:pPr>
          </w:p>
        </w:tc>
        <w:tc>
          <w:tcPr>
            <w:tcW w:w="1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spacing w:after="0"/>
              <w:rPr>
                <w:sz w:val="16"/>
                <w:szCs w:val="16"/>
                <w:color w:val="auto"/>
              </w:rPr>
            </w:pPr>
          </w:p>
        </w:tc>
        <w:tc>
          <w:tcPr>
            <w:tcW w:w="1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spacing w:after="0"/>
              <w:rPr>
                <w:sz w:val="16"/>
                <w:szCs w:val="16"/>
                <w:color w:val="auto"/>
              </w:rPr>
            </w:pPr>
          </w:p>
        </w:tc>
      </w:tr>
      <w:tr>
        <w:trPr>
          <w:trHeight w:val="185"/>
        </w:trPr>
        <w:tc>
          <w:tcPr>
            <w:tcW w:w="268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1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15.1</w:t>
            </w: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8.8</w:t>
            </w: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106.9</w:t>
            </w:r>
          </w:p>
        </w:tc>
        <w:tc>
          <w:tcPr>
            <w:tcW w:w="1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13.1</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6.9</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127.3</w:t>
            </w:r>
          </w:p>
        </w:tc>
      </w:tr>
      <w:tr>
        <w:trPr>
          <w:trHeight w:val="185"/>
        </w:trPr>
        <w:tc>
          <w:tcPr>
            <w:tcW w:w="268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2.6</w:t>
            </w: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2.8</w:t>
            </w: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10.1</w:t>
            </w:r>
          </w:p>
        </w:tc>
        <w:tc>
          <w:tcPr>
            <w:tcW w:w="1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2.9</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3.5</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(0.5)</w:t>
            </w:r>
          </w:p>
        </w:tc>
      </w:tr>
      <w:tr>
        <w:trPr>
          <w:trHeight w:val="185"/>
        </w:trPr>
        <w:tc>
          <w:tcPr>
            <w:tcW w:w="2680" w:type="dxa"/>
            <w:vAlign w:val="bottom"/>
          </w:tcPr>
          <w:p>
            <w:pPr>
              <w:spacing w:after="0"/>
              <w:rPr>
                <w:sz w:val="16"/>
                <w:szCs w:val="16"/>
                <w:color w:val="auto"/>
              </w:rPr>
            </w:pPr>
          </w:p>
        </w:tc>
        <w:tc>
          <w:tcPr>
            <w:tcW w:w="1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spacing w:after="0"/>
              <w:rPr>
                <w:sz w:val="16"/>
                <w:szCs w:val="16"/>
                <w:color w:val="auto"/>
              </w:rPr>
            </w:pPr>
          </w:p>
        </w:tc>
        <w:tc>
          <w:tcPr>
            <w:tcW w:w="1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spacing w:after="0"/>
              <w:rPr>
                <w:sz w:val="16"/>
                <w:szCs w:val="16"/>
                <w:color w:val="auto"/>
              </w:rPr>
            </w:pPr>
          </w:p>
        </w:tc>
      </w:tr>
      <w:tr>
        <w:trPr>
          <w:trHeight w:val="185"/>
        </w:trPr>
        <w:tc>
          <w:tcPr>
            <w:tcW w:w="2680" w:type="dxa"/>
            <w:vAlign w:val="bottom"/>
          </w:tcPr>
          <w:p>
            <w:pPr>
              <w:spacing w:after="0"/>
              <w:rPr>
                <w:sz w:val="20"/>
                <w:szCs w:val="20"/>
                <w:color w:val="auto"/>
              </w:rPr>
            </w:pPr>
            <w:r>
              <w:rPr>
                <w:rFonts w:ascii="Courier New" w:cs="Courier New" w:eastAsia="Courier New" w:hAnsi="Courier New"/>
                <w:sz w:val="16"/>
                <w:szCs w:val="16"/>
                <w:color w:val="auto"/>
              </w:rPr>
              <w:t>Income before taxes</w:t>
            </w:r>
          </w:p>
        </w:tc>
        <w:tc>
          <w:tcPr>
            <w:tcW w:w="1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12.5</w:t>
            </w: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6.0</w:t>
            </w: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151.7</w:t>
            </w:r>
          </w:p>
        </w:tc>
        <w:tc>
          <w:tcPr>
            <w:tcW w:w="1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10.2</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3.4</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256.8</w:t>
            </w:r>
          </w:p>
        </w:tc>
      </w:tr>
      <w:tr>
        <w:trPr>
          <w:trHeight w:val="185"/>
        </w:trPr>
        <w:tc>
          <w:tcPr>
            <w:tcW w:w="268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1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5.4</w:t>
            </w: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2.9</w:t>
            </w: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124.7</w:t>
            </w:r>
          </w:p>
        </w:tc>
        <w:tc>
          <w:tcPr>
            <w:tcW w:w="1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4.4</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1.6</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223.5</w:t>
            </w:r>
          </w:p>
        </w:tc>
      </w:tr>
      <w:tr>
        <w:trPr>
          <w:trHeight w:val="185"/>
        </w:trPr>
        <w:tc>
          <w:tcPr>
            <w:tcW w:w="2680" w:type="dxa"/>
            <w:vAlign w:val="bottom"/>
          </w:tcPr>
          <w:p>
            <w:pPr>
              <w:spacing w:after="0"/>
              <w:rPr>
                <w:sz w:val="16"/>
                <w:szCs w:val="16"/>
                <w:color w:val="auto"/>
              </w:rPr>
            </w:pPr>
          </w:p>
        </w:tc>
        <w:tc>
          <w:tcPr>
            <w:tcW w:w="1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spacing w:after="0"/>
              <w:rPr>
                <w:sz w:val="16"/>
                <w:szCs w:val="16"/>
                <w:color w:val="auto"/>
              </w:rPr>
            </w:pPr>
          </w:p>
        </w:tc>
        <w:tc>
          <w:tcPr>
            <w:tcW w:w="1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spacing w:after="0"/>
              <w:rPr>
                <w:sz w:val="16"/>
                <w:szCs w:val="16"/>
                <w:color w:val="auto"/>
              </w:rPr>
            </w:pPr>
          </w:p>
        </w:tc>
      </w:tr>
      <w:tr>
        <w:trPr>
          <w:trHeight w:val="185"/>
        </w:trPr>
        <w:tc>
          <w:tcPr>
            <w:tcW w:w="268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7.1</w:t>
            </w: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3.1</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177.6%</w:t>
            </w:r>
          </w:p>
        </w:tc>
        <w:tc>
          <w:tcPr>
            <w:tcW w:w="1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5.8</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1.8</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287.4%</w:t>
            </w:r>
          </w:p>
        </w:tc>
      </w:tr>
      <w:tr>
        <w:trPr>
          <w:trHeight w:val="185"/>
        </w:trPr>
        <w:tc>
          <w:tcPr>
            <w:tcW w:w="2680" w:type="dxa"/>
            <w:vAlign w:val="bottom"/>
          </w:tcPr>
          <w:p>
            <w:pPr>
              <w:spacing w:after="0"/>
              <w:rPr>
                <w:sz w:val="20"/>
                <w:szCs w:val="20"/>
                <w:color w:val="auto"/>
              </w:rPr>
            </w:pPr>
            <w:r>
              <w:rPr>
                <w:rFonts w:ascii="Courier New" w:cs="Courier New" w:eastAsia="Courier New" w:hAnsi="Courier New"/>
                <w:sz w:val="16"/>
                <w:szCs w:val="16"/>
                <w:color w:val="auto"/>
              </w:rPr>
              <w:t>Preferred stock dividends</w:t>
            </w:r>
          </w:p>
        </w:tc>
        <w:tc>
          <w:tcPr>
            <w:tcW w:w="1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0.8</w:t>
            </w: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1.0</w:t>
            </w: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nm</w:t>
            </w:r>
          </w:p>
        </w:tc>
        <w:tc>
          <w:tcPr>
            <w:tcW w:w="1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1.0</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1.2</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nm</w:t>
            </w:r>
          </w:p>
        </w:tc>
      </w:tr>
      <w:tr>
        <w:trPr>
          <w:trHeight w:val="185"/>
        </w:trPr>
        <w:tc>
          <w:tcPr>
            <w:tcW w:w="2680" w:type="dxa"/>
            <w:vAlign w:val="bottom"/>
          </w:tcPr>
          <w:p>
            <w:pPr>
              <w:spacing w:after="0"/>
              <w:rPr>
                <w:sz w:val="16"/>
                <w:szCs w:val="16"/>
                <w:color w:val="auto"/>
              </w:rPr>
            </w:pPr>
          </w:p>
        </w:tc>
        <w:tc>
          <w:tcPr>
            <w:tcW w:w="1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spacing w:after="0"/>
              <w:rPr>
                <w:sz w:val="16"/>
                <w:szCs w:val="16"/>
                <w:color w:val="auto"/>
              </w:rPr>
            </w:pPr>
          </w:p>
        </w:tc>
        <w:tc>
          <w:tcPr>
            <w:tcW w:w="1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spacing w:after="0"/>
              <w:rPr>
                <w:sz w:val="16"/>
                <w:szCs w:val="16"/>
                <w:color w:val="auto"/>
              </w:rPr>
            </w:pPr>
          </w:p>
        </w:tc>
      </w:tr>
      <w:tr>
        <w:trPr>
          <w:trHeight w:val="185"/>
        </w:trPr>
        <w:tc>
          <w:tcPr>
            <w:tcW w:w="2680" w:type="dxa"/>
            <w:vAlign w:val="bottom"/>
          </w:tcPr>
          <w:p>
            <w:pPr>
              <w:spacing w:after="0"/>
              <w:rPr>
                <w:sz w:val="20"/>
                <w:szCs w:val="20"/>
                <w:color w:val="auto"/>
              </w:rPr>
            </w:pPr>
            <w:r>
              <w:rPr>
                <w:rFonts w:ascii="Courier New" w:cs="Courier New" w:eastAsia="Courier New" w:hAnsi="Courier New"/>
                <w:sz w:val="16"/>
                <w:szCs w:val="16"/>
                <w:color w:val="auto"/>
              </w:rPr>
              <w:t>Income applicable to</w:t>
            </w: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2680" w:type="dxa"/>
            <w:vAlign w:val="bottom"/>
          </w:tcPr>
          <w:p>
            <w:pPr>
              <w:ind w:left="380"/>
              <w:spacing w:after="0"/>
              <w:rPr>
                <w:sz w:val="20"/>
                <w:szCs w:val="20"/>
                <w:color w:val="auto"/>
              </w:rPr>
            </w:pPr>
            <w:r>
              <w:rPr>
                <w:rFonts w:ascii="Courier New" w:cs="Courier New" w:eastAsia="Courier New" w:hAnsi="Courier New"/>
                <w:sz w:val="16"/>
                <w:szCs w:val="16"/>
                <w:color w:val="auto"/>
              </w:rPr>
              <w:t>common shareholders</w:t>
            </w: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6.3%</w:t>
            </w:r>
          </w:p>
        </w:tc>
        <w:tc>
          <w:tcPr>
            <w:tcW w:w="12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2.1%</w:t>
            </w: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nm</w:t>
            </w: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4.8%</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0.6%</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nm</w:t>
            </w:r>
          </w:p>
        </w:tc>
      </w:tr>
      <w:tr>
        <w:trPr>
          <w:trHeight w:val="185"/>
        </w:trPr>
        <w:tc>
          <w:tcPr>
            <w:tcW w:w="2680" w:type="dxa"/>
            <w:vAlign w:val="bottom"/>
          </w:tcPr>
          <w:p>
            <w:pPr>
              <w:spacing w:after="0"/>
              <w:rPr>
                <w:sz w:val="16"/>
                <w:szCs w:val="16"/>
                <w:color w:val="auto"/>
              </w:rPr>
            </w:pPr>
          </w:p>
        </w:tc>
        <w:tc>
          <w:tcPr>
            <w:tcW w:w="1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spacing w:after="0"/>
              <w:rPr>
                <w:sz w:val="16"/>
                <w:szCs w:val="16"/>
                <w:color w:val="auto"/>
              </w:rPr>
            </w:pPr>
          </w:p>
        </w:tc>
        <w:tc>
          <w:tcPr>
            <w:tcW w:w="1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spacing w:after="0"/>
              <w:rPr>
                <w:sz w:val="16"/>
                <w:szCs w:val="16"/>
                <w:color w:val="auto"/>
              </w:rPr>
            </w:pPr>
          </w:p>
        </w:tc>
      </w:tr>
    </w:tbl>
    <w:p>
      <w:pPr>
        <w:spacing w:after="0" w:line="375" w:lineRule="exact"/>
        <w:rPr>
          <w:sz w:val="20"/>
          <w:szCs w:val="20"/>
          <w:color w:val="auto"/>
        </w:rPr>
      </w:pPr>
    </w:p>
    <w:p>
      <w:pPr>
        <w:ind w:left="1" w:right="3860"/>
        <w:spacing w:after="0" w:line="242" w:lineRule="auto"/>
        <w:rPr>
          <w:sz w:val="20"/>
          <w:szCs w:val="20"/>
          <w:color w:val="auto"/>
        </w:rPr>
      </w:pPr>
      <w:r>
        <w:rPr>
          <w:rFonts w:ascii="Courier New" w:cs="Courier New" w:eastAsia="Courier New" w:hAnsi="Courier New"/>
          <w:sz w:val="16"/>
          <w:szCs w:val="16"/>
          <w:color w:val="auto"/>
        </w:rPr>
        <w:t>The following table sets forth the sales by business unit for the third quarter and first nine months of fiscal 1997 and 1996 (in millions).</w:t>
      </w:r>
    </w:p>
    <w:p>
      <w:pPr>
        <w:spacing w:after="0" w:line="200" w:lineRule="exact"/>
        <w:rPr>
          <w:sz w:val="20"/>
          <w:szCs w:val="20"/>
          <w:color w:val="auto"/>
        </w:rPr>
      </w:pPr>
    </w:p>
    <w:p>
      <w:pPr>
        <w:spacing w:after="0" w:line="356"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2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960" w:type="dxa"/>
            <w:vAlign w:val="bottom"/>
          </w:tcPr>
          <w:p>
            <w:pPr>
              <w:ind w:left="380"/>
              <w:spacing w:after="0"/>
              <w:rPr>
                <w:sz w:val="20"/>
                <w:szCs w:val="20"/>
                <w:color w:val="auto"/>
              </w:rPr>
            </w:pPr>
            <w:r>
              <w:rPr>
                <w:rFonts w:ascii="Courier New" w:cs="Courier New" w:eastAsia="Courier New" w:hAnsi="Courier New"/>
                <w:sz w:val="16"/>
                <w:szCs w:val="16"/>
                <w:color w:val="auto"/>
              </w:rPr>
              <w:t>% Change v.</w:t>
            </w:r>
          </w:p>
        </w:tc>
        <w:tc>
          <w:tcPr>
            <w:tcW w:w="1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40" w:type="dxa"/>
            <w:vAlign w:val="bottom"/>
          </w:tcPr>
          <w:p>
            <w:pPr>
              <w:spacing w:after="0"/>
              <w:rPr>
                <w:sz w:val="20"/>
                <w:szCs w:val="20"/>
                <w:color w:val="auto"/>
              </w:rPr>
            </w:pPr>
            <w:r>
              <w:rPr>
                <w:rFonts w:ascii="Courier New" w:cs="Courier New" w:eastAsia="Courier New" w:hAnsi="Courier New"/>
                <w:sz w:val="16"/>
                <w:szCs w:val="16"/>
                <w:color w:val="auto"/>
              </w:rPr>
              <w:t>% Change v.</w:t>
            </w:r>
          </w:p>
        </w:tc>
      </w:tr>
      <w:tr>
        <w:trPr>
          <w:trHeight w:val="185"/>
        </w:trPr>
        <w:tc>
          <w:tcPr>
            <w:tcW w:w="2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9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First Nine</w:t>
            </w:r>
          </w:p>
        </w:tc>
        <w:tc>
          <w:tcPr>
            <w:tcW w:w="2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2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jc w:val="center"/>
              <w:ind w:right="360"/>
              <w:spacing w:after="0"/>
              <w:rPr>
                <w:sz w:val="20"/>
                <w:szCs w:val="20"/>
                <w:color w:val="auto"/>
              </w:rPr>
            </w:pPr>
            <w:r>
              <w:rPr>
                <w:rFonts w:ascii="Courier New" w:cs="Courier New" w:eastAsia="Courier New" w:hAnsi="Courier New"/>
                <w:sz w:val="16"/>
                <w:szCs w:val="16"/>
                <w:color w:val="auto"/>
              </w:rPr>
              <w:t>Q3</w:t>
            </w:r>
          </w:p>
        </w:tc>
        <w:tc>
          <w:tcPr>
            <w:tcW w:w="122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1996</w:t>
            </w:r>
          </w:p>
        </w:tc>
        <w:tc>
          <w:tcPr>
            <w:tcW w:w="1960" w:type="dxa"/>
            <w:vAlign w:val="bottom"/>
          </w:tcPr>
          <w:p>
            <w:pPr>
              <w:ind w:left="760"/>
              <w:spacing w:after="0"/>
              <w:rPr>
                <w:sz w:val="20"/>
                <w:szCs w:val="20"/>
                <w:color w:val="auto"/>
              </w:rPr>
            </w:pPr>
            <w:r>
              <w:rPr>
                <w:rFonts w:ascii="Courier New" w:cs="Courier New" w:eastAsia="Courier New" w:hAnsi="Courier New"/>
                <w:sz w:val="16"/>
                <w:szCs w:val="16"/>
                <w:color w:val="auto"/>
              </w:rPr>
              <w:t>1996</w:t>
            </w:r>
          </w:p>
        </w:tc>
        <w:tc>
          <w:tcPr>
            <w:tcW w:w="17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Months Fiscal</w:t>
            </w:r>
          </w:p>
        </w:tc>
        <w:tc>
          <w:tcPr>
            <w:tcW w:w="10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1996</w:t>
            </w:r>
          </w:p>
        </w:tc>
        <w:tc>
          <w:tcPr>
            <w:tcW w:w="1640" w:type="dxa"/>
            <w:vAlign w:val="bottom"/>
          </w:tcPr>
          <w:p>
            <w:pPr>
              <w:ind w:left="680"/>
              <w:spacing w:after="0"/>
              <w:rPr>
                <w:sz w:val="20"/>
                <w:szCs w:val="20"/>
                <w:color w:val="auto"/>
              </w:rPr>
            </w:pPr>
            <w:r>
              <w:rPr>
                <w:rFonts w:ascii="Courier New" w:cs="Courier New" w:eastAsia="Courier New" w:hAnsi="Courier New"/>
                <w:sz w:val="16"/>
                <w:szCs w:val="16"/>
                <w:color w:val="auto"/>
              </w:rPr>
              <w:t>1996</w:t>
            </w:r>
          </w:p>
        </w:tc>
      </w:tr>
      <w:tr>
        <w:trPr>
          <w:trHeight w:val="185"/>
        </w:trPr>
        <w:tc>
          <w:tcPr>
            <w:tcW w:w="2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jc w:val="center"/>
              <w:ind w:right="340"/>
              <w:spacing w:after="0"/>
              <w:rPr>
                <w:sz w:val="20"/>
                <w:szCs w:val="20"/>
                <w:color w:val="auto"/>
              </w:rPr>
            </w:pPr>
            <w:r>
              <w:rPr>
                <w:rFonts w:ascii="Courier New" w:cs="Courier New" w:eastAsia="Courier New" w:hAnsi="Courier New"/>
                <w:sz w:val="16"/>
                <w:szCs w:val="16"/>
                <w:color w:val="auto"/>
                <w:w w:val="98"/>
              </w:rPr>
              <w:t>1997</w:t>
            </w:r>
          </w:p>
        </w:tc>
        <w:tc>
          <w:tcPr>
            <w:tcW w:w="12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Actual</w:t>
            </w:r>
          </w:p>
        </w:tc>
        <w:tc>
          <w:tcPr>
            <w:tcW w:w="1960" w:type="dxa"/>
            <w:vAlign w:val="bottom"/>
          </w:tcPr>
          <w:p>
            <w:pPr>
              <w:ind w:left="280"/>
              <w:spacing w:after="0"/>
              <w:rPr>
                <w:sz w:val="20"/>
                <w:szCs w:val="20"/>
                <w:color w:val="auto"/>
              </w:rPr>
            </w:pPr>
            <w:r>
              <w:rPr>
                <w:rFonts w:ascii="Courier New" w:cs="Courier New" w:eastAsia="Courier New" w:hAnsi="Courier New"/>
                <w:sz w:val="16"/>
                <w:szCs w:val="16"/>
                <w:color w:val="auto"/>
              </w:rPr>
              <w:t>As Adjusted(1)</w:t>
            </w:r>
          </w:p>
        </w:tc>
        <w:tc>
          <w:tcPr>
            <w:tcW w:w="172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1997</w:t>
            </w:r>
          </w:p>
        </w:tc>
        <w:tc>
          <w:tcPr>
            <w:tcW w:w="10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Actual</w:t>
            </w:r>
          </w:p>
        </w:tc>
        <w:tc>
          <w:tcPr>
            <w:tcW w:w="1640" w:type="dxa"/>
            <w:vAlign w:val="bottom"/>
          </w:tcPr>
          <w:p>
            <w:pPr>
              <w:ind w:left="280"/>
              <w:spacing w:after="0"/>
              <w:rPr>
                <w:sz w:val="20"/>
                <w:szCs w:val="20"/>
                <w:color w:val="auto"/>
              </w:rPr>
            </w:pPr>
            <w:r>
              <w:rPr>
                <w:rFonts w:ascii="Courier New" w:cs="Courier New" w:eastAsia="Courier New" w:hAnsi="Courier New"/>
                <w:sz w:val="16"/>
                <w:szCs w:val="16"/>
                <w:color w:val="auto"/>
                <w:w w:val="99"/>
              </w:rPr>
              <w:t>As Adjusted(1)</w:t>
            </w:r>
          </w:p>
        </w:tc>
      </w:tr>
      <w:tr>
        <w:trPr>
          <w:trHeight w:val="185"/>
        </w:trPr>
        <w:tc>
          <w:tcPr>
            <w:tcW w:w="2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jc w:val="center"/>
              <w:ind w:right="340"/>
              <w:spacing w:after="0"/>
              <w:rPr>
                <w:sz w:val="20"/>
                <w:szCs w:val="20"/>
                <w:color w:val="auto"/>
              </w:rPr>
            </w:pPr>
            <w:r>
              <w:rPr>
                <w:rFonts w:ascii="Courier New" w:cs="Courier New" w:eastAsia="Courier New" w:hAnsi="Courier New"/>
                <w:sz w:val="16"/>
                <w:szCs w:val="16"/>
                <w:color w:val="auto"/>
                <w:w w:val="98"/>
              </w:rPr>
              <w:t>----</w:t>
            </w:r>
          </w:p>
        </w:tc>
        <w:tc>
          <w:tcPr>
            <w:tcW w:w="12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9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2300" w:type="dxa"/>
            <w:vAlign w:val="bottom"/>
          </w:tcPr>
          <w:p>
            <w:pPr>
              <w:spacing w:after="0"/>
              <w:rPr>
                <w:sz w:val="20"/>
                <w:szCs w:val="20"/>
                <w:color w:val="auto"/>
              </w:rPr>
            </w:pPr>
            <w:r>
              <w:rPr>
                <w:rFonts w:ascii="Courier New" w:cs="Courier New" w:eastAsia="Courier New" w:hAnsi="Courier New"/>
                <w:sz w:val="16"/>
                <w:szCs w:val="16"/>
                <w:color w:val="auto"/>
              </w:rPr>
              <w:t>Consumer Lawns</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77.3</w:t>
            </w:r>
          </w:p>
        </w:tc>
        <w:tc>
          <w:tcPr>
            <w:tcW w:w="12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33.5%</w:t>
            </w:r>
          </w:p>
        </w:tc>
        <w:tc>
          <w:tcPr>
            <w:tcW w:w="1960" w:type="dxa"/>
            <w:vAlign w:val="bottom"/>
          </w:tcPr>
          <w:p>
            <w:pPr>
              <w:ind w:left="760"/>
              <w:spacing w:after="0"/>
              <w:rPr>
                <w:sz w:val="20"/>
                <w:szCs w:val="20"/>
                <w:color w:val="auto"/>
              </w:rPr>
            </w:pPr>
            <w:r>
              <w:rPr>
                <w:rFonts w:ascii="Courier New" w:cs="Courier New" w:eastAsia="Courier New" w:hAnsi="Courier New"/>
                <w:sz w:val="16"/>
                <w:szCs w:val="16"/>
                <w:color w:val="auto"/>
              </w:rPr>
              <w:t>3.8%</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$263.4</w:t>
            </w:r>
          </w:p>
        </w:tc>
        <w:tc>
          <w:tcPr>
            <w:tcW w:w="10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31.5%</w:t>
            </w:r>
          </w:p>
        </w:tc>
        <w:tc>
          <w:tcPr>
            <w:tcW w:w="1640" w:type="dxa"/>
            <w:vAlign w:val="bottom"/>
          </w:tcPr>
          <w:p>
            <w:pPr>
              <w:ind w:left="680"/>
              <w:spacing w:after="0"/>
              <w:rPr>
                <w:sz w:val="20"/>
                <w:szCs w:val="20"/>
                <w:color w:val="auto"/>
              </w:rPr>
            </w:pPr>
            <w:r>
              <w:rPr>
                <w:rFonts w:ascii="Courier New" w:cs="Courier New" w:eastAsia="Courier New" w:hAnsi="Courier New"/>
                <w:sz w:val="16"/>
                <w:szCs w:val="16"/>
                <w:color w:val="auto"/>
              </w:rPr>
              <w:t>6.3%</w:t>
            </w:r>
          </w:p>
        </w:tc>
      </w:tr>
      <w:tr>
        <w:trPr>
          <w:trHeight w:val="185"/>
        </w:trPr>
        <w:tc>
          <w:tcPr>
            <w:tcW w:w="2300" w:type="dxa"/>
            <w:vAlign w:val="bottom"/>
          </w:tcPr>
          <w:p>
            <w:pPr>
              <w:spacing w:after="0"/>
              <w:rPr>
                <w:sz w:val="20"/>
                <w:szCs w:val="20"/>
                <w:color w:val="auto"/>
              </w:rPr>
            </w:pPr>
            <w:r>
              <w:rPr>
                <w:rFonts w:ascii="Courier New" w:cs="Courier New" w:eastAsia="Courier New" w:hAnsi="Courier New"/>
                <w:sz w:val="16"/>
                <w:szCs w:val="16"/>
                <w:color w:val="auto"/>
              </w:rPr>
              <w:t>Consumer Gardens</w:t>
            </w:r>
          </w:p>
        </w:tc>
        <w:tc>
          <w:tcPr>
            <w:tcW w:w="780" w:type="dxa"/>
            <w:vAlign w:val="bottom"/>
          </w:tcPr>
          <w:p>
            <w:pPr>
              <w:spacing w:after="0"/>
              <w:rPr>
                <w:sz w:val="16"/>
                <w:szCs w:val="16"/>
                <w:color w:val="auto"/>
              </w:rPr>
            </w:pPr>
          </w:p>
        </w:tc>
        <w:tc>
          <w:tcPr>
            <w:tcW w:w="8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54.0</w:t>
            </w:r>
          </w:p>
        </w:tc>
        <w:tc>
          <w:tcPr>
            <w:tcW w:w="122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13.0</w:t>
            </w:r>
          </w:p>
        </w:tc>
        <w:tc>
          <w:tcPr>
            <w:tcW w:w="1960" w:type="dxa"/>
            <w:vAlign w:val="bottom"/>
          </w:tcPr>
          <w:p>
            <w:pPr>
              <w:spacing w:after="0"/>
              <w:rPr>
                <w:sz w:val="16"/>
                <w:szCs w:val="16"/>
                <w:color w:val="auto"/>
              </w:rPr>
            </w:pP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120.3</w:t>
            </w:r>
          </w:p>
        </w:tc>
        <w:tc>
          <w:tcPr>
            <w:tcW w:w="10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12.3</w:t>
            </w:r>
          </w:p>
        </w:tc>
        <w:tc>
          <w:tcPr>
            <w:tcW w:w="1640" w:type="dxa"/>
            <w:vAlign w:val="bottom"/>
          </w:tcPr>
          <w:p>
            <w:pPr>
              <w:spacing w:after="0"/>
              <w:rPr>
                <w:sz w:val="16"/>
                <w:szCs w:val="16"/>
                <w:color w:val="auto"/>
              </w:rPr>
            </w:pPr>
          </w:p>
        </w:tc>
      </w:tr>
      <w:tr>
        <w:trPr>
          <w:trHeight w:val="185"/>
        </w:trPr>
        <w:tc>
          <w:tcPr>
            <w:tcW w:w="2300" w:type="dxa"/>
            <w:vAlign w:val="bottom"/>
          </w:tcPr>
          <w:p>
            <w:pPr>
              <w:spacing w:after="0"/>
              <w:rPr>
                <w:sz w:val="20"/>
                <w:szCs w:val="20"/>
                <w:color w:val="auto"/>
              </w:rPr>
            </w:pPr>
            <w:r>
              <w:rPr>
                <w:rFonts w:ascii="Courier New" w:cs="Courier New" w:eastAsia="Courier New" w:hAnsi="Courier New"/>
                <w:sz w:val="16"/>
                <w:szCs w:val="16"/>
                <w:color w:val="auto"/>
              </w:rPr>
              <w:t>Organics</w:t>
            </w:r>
          </w:p>
        </w:tc>
        <w:tc>
          <w:tcPr>
            <w:tcW w:w="780" w:type="dxa"/>
            <w:vAlign w:val="bottom"/>
          </w:tcPr>
          <w:p>
            <w:pPr>
              <w:spacing w:after="0"/>
              <w:rPr>
                <w:sz w:val="16"/>
                <w:szCs w:val="16"/>
                <w:color w:val="auto"/>
              </w:rPr>
            </w:pPr>
          </w:p>
        </w:tc>
        <w:tc>
          <w:tcPr>
            <w:tcW w:w="8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88.7</w:t>
            </w:r>
          </w:p>
        </w:tc>
        <w:tc>
          <w:tcPr>
            <w:tcW w:w="122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2.4</w:t>
            </w:r>
          </w:p>
        </w:tc>
        <w:tc>
          <w:tcPr>
            <w:tcW w:w="1960" w:type="dxa"/>
            <w:vAlign w:val="bottom"/>
          </w:tcPr>
          <w:p>
            <w:pPr>
              <w:spacing w:after="0"/>
              <w:rPr>
                <w:sz w:val="16"/>
                <w:szCs w:val="16"/>
                <w:color w:val="auto"/>
              </w:rPr>
            </w:pP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159.2</w:t>
            </w:r>
          </w:p>
        </w:tc>
        <w:tc>
          <w:tcPr>
            <w:tcW w:w="10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0.9</w:t>
            </w:r>
          </w:p>
        </w:tc>
        <w:tc>
          <w:tcPr>
            <w:tcW w:w="1640" w:type="dxa"/>
            <w:vAlign w:val="bottom"/>
          </w:tcPr>
          <w:p>
            <w:pPr>
              <w:spacing w:after="0"/>
              <w:rPr>
                <w:sz w:val="16"/>
                <w:szCs w:val="16"/>
                <w:color w:val="auto"/>
              </w:rPr>
            </w:pPr>
          </w:p>
        </w:tc>
      </w:tr>
      <w:tr>
        <w:trPr>
          <w:trHeight w:val="185"/>
        </w:trPr>
        <w:tc>
          <w:tcPr>
            <w:tcW w:w="2300" w:type="dxa"/>
            <w:vAlign w:val="bottom"/>
          </w:tcPr>
          <w:p>
            <w:pPr>
              <w:spacing w:after="0"/>
              <w:rPr>
                <w:sz w:val="16"/>
                <w:szCs w:val="16"/>
                <w:color w:val="auto"/>
              </w:rPr>
            </w:pPr>
          </w:p>
        </w:tc>
        <w:tc>
          <w:tcPr>
            <w:tcW w:w="1580" w:type="dxa"/>
            <w:vAlign w:val="bottom"/>
            <w:gridSpan w:val="2"/>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85"/>
        </w:trPr>
        <w:tc>
          <w:tcPr>
            <w:tcW w:w="2300" w:type="dxa"/>
            <w:vAlign w:val="bottom"/>
          </w:tcPr>
          <w:p>
            <w:pPr>
              <w:spacing w:after="0"/>
              <w:rPr>
                <w:sz w:val="20"/>
                <w:szCs w:val="20"/>
                <w:color w:val="auto"/>
              </w:rPr>
            </w:pPr>
            <w:r>
              <w:rPr>
                <w:rFonts w:ascii="Courier New" w:cs="Courier New" w:eastAsia="Courier New" w:hAnsi="Courier New"/>
                <w:sz w:val="16"/>
                <w:szCs w:val="16"/>
                <w:color w:val="auto"/>
              </w:rPr>
              <w:t>Domestic Consumer</w:t>
            </w:r>
          </w:p>
        </w:tc>
        <w:tc>
          <w:tcPr>
            <w:tcW w:w="780" w:type="dxa"/>
            <w:vAlign w:val="bottom"/>
          </w:tcPr>
          <w:p>
            <w:pPr>
              <w:spacing w:after="0"/>
              <w:rPr>
                <w:sz w:val="16"/>
                <w:szCs w:val="16"/>
                <w:color w:val="auto"/>
              </w:rPr>
            </w:pPr>
          </w:p>
        </w:tc>
        <w:tc>
          <w:tcPr>
            <w:tcW w:w="800" w:type="dxa"/>
            <w:vAlign w:val="bottom"/>
          </w:tcPr>
          <w:p>
            <w:pPr>
              <w:jc w:val="right"/>
              <w:ind w:right="240"/>
              <w:spacing w:after="0"/>
              <w:rPr>
                <w:sz w:val="20"/>
                <w:szCs w:val="20"/>
                <w:color w:val="auto"/>
              </w:rPr>
            </w:pPr>
            <w:r>
              <w:rPr>
                <w:rFonts w:ascii="Courier New" w:cs="Courier New" w:eastAsia="Courier New" w:hAnsi="Courier New"/>
                <w:sz w:val="16"/>
                <w:szCs w:val="16"/>
                <w:color w:val="auto"/>
                <w:w w:val="95"/>
              </w:rPr>
              <w:t>220.0</w:t>
            </w:r>
          </w:p>
        </w:tc>
        <w:tc>
          <w:tcPr>
            <w:tcW w:w="122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14.4</w:t>
            </w:r>
          </w:p>
        </w:tc>
        <w:tc>
          <w:tcPr>
            <w:tcW w:w="1960" w:type="dxa"/>
            <w:vAlign w:val="bottom"/>
          </w:tcPr>
          <w:p>
            <w:pPr>
              <w:ind w:left="760"/>
              <w:spacing w:after="0"/>
              <w:rPr>
                <w:sz w:val="20"/>
                <w:szCs w:val="20"/>
                <w:color w:val="auto"/>
              </w:rPr>
            </w:pPr>
            <w:r>
              <w:rPr>
                <w:rFonts w:ascii="Courier New" w:cs="Courier New" w:eastAsia="Courier New" w:hAnsi="Courier New"/>
                <w:sz w:val="16"/>
                <w:szCs w:val="16"/>
                <w:color w:val="auto"/>
              </w:rPr>
              <w:t>5.2</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542.9</w:t>
            </w:r>
          </w:p>
        </w:tc>
        <w:tc>
          <w:tcPr>
            <w:tcW w:w="10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16.7</w:t>
            </w:r>
          </w:p>
        </w:tc>
        <w:tc>
          <w:tcPr>
            <w:tcW w:w="1640" w:type="dxa"/>
            <w:vAlign w:val="bottom"/>
          </w:tcPr>
          <w:p>
            <w:pPr>
              <w:ind w:left="680"/>
              <w:spacing w:after="0"/>
              <w:rPr>
                <w:sz w:val="20"/>
                <w:szCs w:val="20"/>
                <w:color w:val="auto"/>
              </w:rPr>
            </w:pPr>
            <w:r>
              <w:rPr>
                <w:rFonts w:ascii="Courier New" w:cs="Courier New" w:eastAsia="Courier New" w:hAnsi="Courier New"/>
                <w:sz w:val="16"/>
                <w:szCs w:val="16"/>
                <w:color w:val="auto"/>
              </w:rPr>
              <w:t>5.9</w:t>
            </w:r>
          </w:p>
        </w:tc>
      </w:tr>
      <w:tr>
        <w:trPr>
          <w:trHeight w:val="370"/>
        </w:trPr>
        <w:tc>
          <w:tcPr>
            <w:tcW w:w="2300" w:type="dxa"/>
            <w:vAlign w:val="bottom"/>
          </w:tcPr>
          <w:p>
            <w:pPr>
              <w:spacing w:after="0"/>
              <w:rPr>
                <w:sz w:val="20"/>
                <w:szCs w:val="20"/>
                <w:color w:val="auto"/>
              </w:rPr>
            </w:pPr>
            <w:r>
              <w:rPr>
                <w:rFonts w:ascii="Courier New" w:cs="Courier New" w:eastAsia="Courier New" w:hAnsi="Courier New"/>
                <w:sz w:val="16"/>
                <w:szCs w:val="16"/>
                <w:color w:val="auto"/>
              </w:rPr>
              <w:t>Professional</w:t>
            </w:r>
          </w:p>
        </w:tc>
        <w:tc>
          <w:tcPr>
            <w:tcW w:w="780" w:type="dxa"/>
            <w:vAlign w:val="bottom"/>
          </w:tcPr>
          <w:p>
            <w:pPr>
              <w:spacing w:after="0"/>
              <w:rPr>
                <w:sz w:val="24"/>
                <w:szCs w:val="24"/>
                <w:color w:val="auto"/>
              </w:rPr>
            </w:pPr>
          </w:p>
        </w:tc>
        <w:tc>
          <w:tcPr>
            <w:tcW w:w="8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41.9</w:t>
            </w:r>
          </w:p>
        </w:tc>
        <w:tc>
          <w:tcPr>
            <w:tcW w:w="122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7.7</w:t>
            </w:r>
          </w:p>
        </w:tc>
        <w:tc>
          <w:tcPr>
            <w:tcW w:w="1960" w:type="dxa"/>
            <w:vAlign w:val="bottom"/>
          </w:tcPr>
          <w:p>
            <w:pPr>
              <w:spacing w:after="0"/>
              <w:rPr>
                <w:sz w:val="24"/>
                <w:szCs w:val="24"/>
                <w:color w:val="auto"/>
              </w:rPr>
            </w:pP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110.1</w:t>
            </w:r>
          </w:p>
        </w:tc>
        <w:tc>
          <w:tcPr>
            <w:tcW w:w="10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6.9</w:t>
            </w:r>
          </w:p>
        </w:tc>
        <w:tc>
          <w:tcPr>
            <w:tcW w:w="1640" w:type="dxa"/>
            <w:vAlign w:val="bottom"/>
          </w:tcPr>
          <w:p>
            <w:pPr>
              <w:spacing w:after="0"/>
              <w:rPr>
                <w:sz w:val="24"/>
                <w:szCs w:val="24"/>
                <w:color w:val="auto"/>
              </w:rPr>
            </w:pPr>
          </w:p>
        </w:tc>
      </w:tr>
      <w:tr>
        <w:trPr>
          <w:trHeight w:val="185"/>
        </w:trPr>
        <w:tc>
          <w:tcPr>
            <w:tcW w:w="2300" w:type="dxa"/>
            <w:vAlign w:val="bottom"/>
          </w:tcPr>
          <w:p>
            <w:pPr>
              <w:spacing w:after="0"/>
              <w:rPr>
                <w:sz w:val="20"/>
                <w:szCs w:val="20"/>
                <w:color w:val="auto"/>
              </w:rPr>
            </w:pPr>
            <w:r>
              <w:rPr>
                <w:rFonts w:ascii="Courier New" w:cs="Courier New" w:eastAsia="Courier New" w:hAnsi="Courier New"/>
                <w:sz w:val="16"/>
                <w:szCs w:val="16"/>
                <w:color w:val="auto"/>
              </w:rPr>
              <w:t>International</w:t>
            </w:r>
          </w:p>
        </w:tc>
        <w:tc>
          <w:tcPr>
            <w:tcW w:w="780" w:type="dxa"/>
            <w:vAlign w:val="bottom"/>
          </w:tcPr>
          <w:p>
            <w:pPr>
              <w:spacing w:after="0"/>
              <w:rPr>
                <w:sz w:val="16"/>
                <w:szCs w:val="16"/>
                <w:color w:val="auto"/>
              </w:rPr>
            </w:pPr>
          </w:p>
        </w:tc>
        <w:tc>
          <w:tcPr>
            <w:tcW w:w="8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37.1</w:t>
            </w:r>
          </w:p>
        </w:tc>
        <w:tc>
          <w:tcPr>
            <w:tcW w:w="122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122.2</w:t>
            </w:r>
          </w:p>
        </w:tc>
        <w:tc>
          <w:tcPr>
            <w:tcW w:w="1960" w:type="dxa"/>
            <w:vAlign w:val="bottom"/>
          </w:tcPr>
          <w:p>
            <w:pPr>
              <w:ind w:left="760"/>
              <w:spacing w:after="0"/>
              <w:rPr>
                <w:sz w:val="20"/>
                <w:szCs w:val="20"/>
                <w:color w:val="auto"/>
              </w:rPr>
            </w:pPr>
            <w:r>
              <w:rPr>
                <w:rFonts w:ascii="Courier New" w:cs="Courier New" w:eastAsia="Courier New" w:hAnsi="Courier New"/>
                <w:sz w:val="16"/>
                <w:szCs w:val="16"/>
                <w:color w:val="auto"/>
              </w:rPr>
              <w:t>9.5</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92.4</w:t>
            </w:r>
          </w:p>
        </w:tc>
        <w:tc>
          <w:tcPr>
            <w:tcW w:w="10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89.0</w:t>
            </w:r>
          </w:p>
        </w:tc>
        <w:tc>
          <w:tcPr>
            <w:tcW w:w="1640" w:type="dxa"/>
            <w:vAlign w:val="bottom"/>
          </w:tcPr>
          <w:p>
            <w:pPr>
              <w:ind w:left="680"/>
              <w:spacing w:after="0"/>
              <w:rPr>
                <w:sz w:val="20"/>
                <w:szCs w:val="20"/>
                <w:color w:val="auto"/>
              </w:rPr>
            </w:pPr>
            <w:r>
              <w:rPr>
                <w:rFonts w:ascii="Courier New" w:cs="Courier New" w:eastAsia="Courier New" w:hAnsi="Courier New"/>
                <w:sz w:val="16"/>
                <w:szCs w:val="16"/>
                <w:color w:val="auto"/>
              </w:rPr>
              <w:t>7.7</w:t>
            </w:r>
          </w:p>
        </w:tc>
      </w:tr>
      <w:tr>
        <w:trPr>
          <w:trHeight w:val="185"/>
        </w:trPr>
        <w:tc>
          <w:tcPr>
            <w:tcW w:w="2300" w:type="dxa"/>
            <w:vAlign w:val="bottom"/>
          </w:tcPr>
          <w:p>
            <w:pPr>
              <w:spacing w:after="0"/>
              <w:rPr>
                <w:sz w:val="16"/>
                <w:szCs w:val="16"/>
                <w:color w:val="auto"/>
              </w:rPr>
            </w:pPr>
          </w:p>
        </w:tc>
        <w:tc>
          <w:tcPr>
            <w:tcW w:w="1580" w:type="dxa"/>
            <w:vAlign w:val="bottom"/>
            <w:gridSpan w:val="2"/>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370"/>
        </w:trPr>
        <w:tc>
          <w:tcPr>
            <w:tcW w:w="2300" w:type="dxa"/>
            <w:vAlign w:val="bottom"/>
          </w:tcPr>
          <w:p>
            <w:pPr>
              <w:spacing w:after="0"/>
              <w:rPr>
                <w:sz w:val="20"/>
                <w:szCs w:val="20"/>
                <w:color w:val="auto"/>
              </w:rPr>
            </w:pPr>
            <w:r>
              <w:rPr>
                <w:rFonts w:ascii="Courier New" w:cs="Courier New" w:eastAsia="Courier New" w:hAnsi="Courier New"/>
                <w:sz w:val="16"/>
                <w:szCs w:val="16"/>
                <w:color w:val="auto"/>
              </w:rPr>
              <w:t>Consolidated</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40"/>
              <w:spacing w:after="0"/>
              <w:rPr>
                <w:sz w:val="20"/>
                <w:szCs w:val="20"/>
                <w:color w:val="auto"/>
              </w:rPr>
            </w:pPr>
            <w:r>
              <w:rPr>
                <w:rFonts w:ascii="Courier New" w:cs="Courier New" w:eastAsia="Courier New" w:hAnsi="Courier New"/>
                <w:sz w:val="16"/>
                <w:szCs w:val="16"/>
                <w:color w:val="auto"/>
                <w:w w:val="95"/>
              </w:rPr>
              <w:t>299.0</w:t>
            </w:r>
          </w:p>
        </w:tc>
        <w:tc>
          <w:tcPr>
            <w:tcW w:w="12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20.6%</w:t>
            </w:r>
          </w:p>
        </w:tc>
        <w:tc>
          <w:tcPr>
            <w:tcW w:w="1960" w:type="dxa"/>
            <w:vAlign w:val="bottom"/>
          </w:tcPr>
          <w:p>
            <w:pPr>
              <w:ind w:left="760"/>
              <w:spacing w:after="0"/>
              <w:rPr>
                <w:sz w:val="20"/>
                <w:szCs w:val="20"/>
                <w:color w:val="auto"/>
              </w:rPr>
            </w:pPr>
            <w:r>
              <w:rPr>
                <w:rFonts w:ascii="Courier New" w:cs="Courier New" w:eastAsia="Courier New" w:hAnsi="Courier New"/>
                <w:sz w:val="16"/>
                <w:szCs w:val="16"/>
                <w:color w:val="auto"/>
              </w:rPr>
              <w:t>6.1%</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$745.4</w:t>
            </w:r>
          </w:p>
        </w:tc>
        <w:tc>
          <w:tcPr>
            <w:tcW w:w="10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20.8%</w:t>
            </w:r>
          </w:p>
        </w:tc>
        <w:tc>
          <w:tcPr>
            <w:tcW w:w="1640" w:type="dxa"/>
            <w:vAlign w:val="bottom"/>
          </w:tcPr>
          <w:p>
            <w:pPr>
              <w:ind w:left="680"/>
              <w:spacing w:after="0"/>
              <w:rPr>
                <w:sz w:val="20"/>
                <w:szCs w:val="20"/>
                <w:color w:val="auto"/>
              </w:rPr>
            </w:pPr>
            <w:r>
              <w:rPr>
                <w:rFonts w:ascii="Courier New" w:cs="Courier New" w:eastAsia="Courier New" w:hAnsi="Courier New"/>
                <w:sz w:val="16"/>
                <w:szCs w:val="16"/>
                <w:color w:val="auto"/>
              </w:rPr>
              <w:t>6.3%</w:t>
            </w:r>
          </w:p>
        </w:tc>
      </w:tr>
      <w:tr>
        <w:trPr>
          <w:trHeight w:val="185"/>
        </w:trPr>
        <w:tc>
          <w:tcPr>
            <w:tcW w:w="2300" w:type="dxa"/>
            <w:vAlign w:val="bottom"/>
          </w:tcPr>
          <w:p>
            <w:pPr>
              <w:spacing w:after="0"/>
              <w:rPr>
                <w:sz w:val="16"/>
                <w:szCs w:val="16"/>
                <w:color w:val="auto"/>
              </w:rPr>
            </w:pPr>
          </w:p>
        </w:tc>
        <w:tc>
          <w:tcPr>
            <w:tcW w:w="1580" w:type="dxa"/>
            <w:vAlign w:val="bottom"/>
            <w:gridSpan w:val="2"/>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6"/>
                <w:szCs w:val="16"/>
                <w:color w:val="auto"/>
              </w:rPr>
            </w:pPr>
          </w:p>
        </w:tc>
        <w:tc>
          <w:tcPr>
            <w:tcW w:w="1640" w:type="dxa"/>
            <w:vAlign w:val="bottom"/>
          </w:tcPr>
          <w:p>
            <w:pPr>
              <w:spacing w:after="0"/>
              <w:rPr>
                <w:sz w:val="16"/>
                <w:szCs w:val="16"/>
                <w:color w:val="auto"/>
              </w:rPr>
            </w:pPr>
          </w:p>
        </w:tc>
      </w:tr>
    </w:tbl>
    <w:p>
      <w:pPr>
        <w:spacing w:after="0" w:line="375" w:lineRule="exact"/>
        <w:rPr>
          <w:sz w:val="20"/>
          <w:szCs w:val="20"/>
          <w:color w:val="auto"/>
        </w:rPr>
      </w:pPr>
    </w:p>
    <w:p>
      <w:pPr>
        <w:ind w:left="381" w:right="3760" w:hanging="381"/>
        <w:spacing w:after="0" w:line="244" w:lineRule="auto"/>
        <w:tabs>
          <w:tab w:leader="none" w:pos="3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period-to-period sales change for Consumer Lawns is presented on an "adjusted" basis to give effect to management's estimate of the impact that the fiscal 1995 retailer "early purchase" incentives had on fiscal 1996 sales. This estimate is based on management's judgment as to how fiscal 1996 Consumer Lawns sales would have occurred if programs similar to the 1997 retailer selling programs had been in effect during fiscal 1996.</w:t>
      </w:r>
    </w:p>
    <w:p>
      <w:pPr>
        <w:spacing w:after="0" w:line="187" w:lineRule="exact"/>
        <w:rPr>
          <w:rFonts w:ascii="Courier New" w:cs="Courier New" w:eastAsia="Courier New" w:hAnsi="Courier New"/>
          <w:sz w:val="16"/>
          <w:szCs w:val="16"/>
          <w:color w:val="auto"/>
        </w:rPr>
      </w:pPr>
    </w:p>
    <w:p>
      <w:pPr>
        <w:ind w:left="381" w:right="3760"/>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period-to-period sales change for International presented in the "1996 adjusted" column reflects the change in International Business Group sales if Miracle Holdings had been fully consolidated since October 1, 1995. Under this assumption, exchange rates had an immaterial net impact on year-to-year sales comparisons.</w:t>
      </w:r>
    </w:p>
    <w:p>
      <w:pPr>
        <w:spacing w:after="0" w:line="370" w:lineRule="exact"/>
        <w:rPr>
          <w:sz w:val="20"/>
          <w:szCs w:val="20"/>
          <w:color w:val="auto"/>
        </w:rPr>
      </w:pPr>
    </w:p>
    <w:p>
      <w:pPr>
        <w:ind w:left="3461"/>
        <w:spacing w:after="0"/>
        <w:rPr>
          <w:sz w:val="20"/>
          <w:szCs w:val="20"/>
          <w:color w:val="auto"/>
        </w:rPr>
      </w:pPr>
      <w:r>
        <w:rPr>
          <w:rFonts w:ascii="Courier New" w:cs="Courier New" w:eastAsia="Courier New" w:hAnsi="Courier New"/>
          <w:sz w:val="16"/>
          <w:szCs w:val="16"/>
          <w:color w:val="auto"/>
        </w:rPr>
        <w:t>Page 14</w:t>
      </w:r>
    </w:p>
    <w:p>
      <w:pPr>
        <w:sectPr>
          <w:pgSz w:w="11900" w:h="16838" w:orient="portrait"/>
          <w:cols w:equalWidth="0" w:num="1">
            <w:col w:w="11441"/>
          </w:cols>
          <w:pgMar w:left="239" w:top="300" w:right="219" w:bottom="641"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6"/>
          <w:szCs w:val="16"/>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 MONTHS ENDED JUNE 28, 1997 VERSUS THE THREE MONTHS ENDED JUNE 29, 1996</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Net sales for the three months ended June 28, 1997 totaled $299.0 million, an increase of $51.1 million or 20.6%. Management estimates that approximately $16.7 million (7.6%) of this increase was due to the 1995 Consumer Lawns retailer early purchase program that had the effect of depressing sales in the second and third quarters of fiscal 1996. The January 3, 1997 acquisition of the remaining two-thirds interest in Miracle Holdings (which owns Miracle Garden Care Limited, a manufacturer and distributor of lawn and garden products in the United Kingdom, herein after referred to as "MGC") increased third quarter sales by $20.0 million or 7.6%. The remaining 5.4% increase in third quarter 1997 sales was primarily attributable to aggregate business unit sales volume increases of 6.0%, partially offset by unfavorable exchange rate impacts. Including MGC sales on a pro forma basis from October 1, 1995 and adjusting for the Consumer Lawns 1995 early purchase program, management estimates the fiscal 1997 third quarter sales increase was approximately 6.1%.</w:t>
      </w:r>
    </w:p>
    <w:p>
      <w:pPr>
        <w:spacing w:after="0" w:line="192" w:lineRule="exact"/>
        <w:rPr>
          <w:sz w:val="20"/>
          <w:szCs w:val="20"/>
          <w:color w:val="auto"/>
        </w:rPr>
      </w:pPr>
    </w:p>
    <w:p>
      <w:pPr>
        <w:ind w:right="2639"/>
        <w:spacing w:after="0" w:line="261" w:lineRule="auto"/>
        <w:rPr>
          <w:sz w:val="20"/>
          <w:szCs w:val="20"/>
          <w:color w:val="auto"/>
        </w:rPr>
      </w:pPr>
      <w:r>
        <w:rPr>
          <w:rFonts w:ascii="Courier New" w:cs="Courier New" w:eastAsia="Courier New" w:hAnsi="Courier New"/>
          <w:sz w:val="15"/>
          <w:szCs w:val="15"/>
          <w:color w:val="auto"/>
        </w:rPr>
        <w:t>Consumer Lawns Group net sales increased $19.4 million or 33.5% to $77.3 million, primarily as a result of volume increases. Management estimates that approximately $16.7 million (29.7%) of this quarterly sales increase is attributable to the discontinuance of the 1995 early purchase program that encouraged retailers to build their inventories well in advance of the second and third quarters of 1996. After adjusting for this program change, management estimates that the Consumer Lawns Group quarterly net sales increase was 3.8%. Consumer Gardens Group net sales increased $6.2 million or 13.0% to $54.0 million. Consumer Gardens Group net sales increased primarily as a result of volume, including the inclusion of grass seed into the Group's distribution network starting in fiscal 1997. Organics Business Group net sales increased $2.1 million or 2.4% to $88.7 million, in line with this group's focus on profitability, not revenues. Professional Business Group net sales increased $3.0 million or 7.7% to $41.9 million, as this Group's customers move more to just-in-time inventory management. International Business Group net sales increased $20.4 million or 122.2% to $37.1 million. MGC contributed $20.0 million of this net sales increase. Excluding the impact of MGC, International Business Group net sales increased $0.4 million or 2.5%, with a volume increase of approximately 9.6% largely offset by unfavorable exchange rate movements that resulted in a 7.1% quarter-to-quarter reduction in International net sales after translation to U.S. dollars. Including MGC on a pro forma basis from October 1, 1995, International group net sales for the third quarter of fiscal 1997 would have increased $3.2 million or 9.5%, and exchange rate fluctuations would have had an immaterial impact on year-to-year comparisons.</w:t>
      </w:r>
    </w:p>
    <w:p>
      <w:pPr>
        <w:spacing w:after="0" w:line="369"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Cost of sales were 63.0% of net sales for the three months ended June 28, 1997, a 3.9 percentage point improvement compared to 66.9% in the same period of the prior year. This improvement is attributable to the discontinuance of promotional programs to drive out-of-season sales, the discontinuance of lower margin professional and consumer products, and manufacturing and distribution efficiencies.</w:t>
      </w:r>
    </w:p>
    <w:p>
      <w:pPr>
        <w:spacing w:after="0" w:line="188" w:lineRule="exact"/>
        <w:rPr>
          <w:sz w:val="20"/>
          <w:szCs w:val="20"/>
          <w:color w:val="auto"/>
        </w:rPr>
      </w:pPr>
    </w:p>
    <w:p>
      <w:pPr>
        <w:ind w:right="2719"/>
        <w:spacing w:after="0" w:line="242" w:lineRule="auto"/>
        <w:rPr>
          <w:sz w:val="20"/>
          <w:szCs w:val="20"/>
          <w:color w:val="auto"/>
        </w:rPr>
      </w:pPr>
      <w:r>
        <w:rPr>
          <w:rFonts w:ascii="Courier New" w:cs="Courier New" w:eastAsia="Courier New" w:hAnsi="Courier New"/>
          <w:sz w:val="16"/>
          <w:szCs w:val="16"/>
          <w:color w:val="auto"/>
        </w:rPr>
        <w:t>Operating expenses increased $5.4 million or 9.0% to $65.6 million. Operating expenses were 21.9% of net sales compared to 24.3% in the prior year.</w:t>
      </w:r>
    </w:p>
    <w:p>
      <w:pPr>
        <w:spacing w:after="0" w:line="189" w:lineRule="exact"/>
        <w:rPr>
          <w:sz w:val="20"/>
          <w:szCs w:val="20"/>
          <w:color w:val="auto"/>
        </w:rPr>
      </w:pPr>
    </w:p>
    <w:p>
      <w:pPr>
        <w:ind w:right="2639"/>
        <w:spacing w:after="0" w:line="263" w:lineRule="auto"/>
        <w:rPr>
          <w:sz w:val="20"/>
          <w:szCs w:val="20"/>
          <w:color w:val="auto"/>
        </w:rPr>
      </w:pPr>
      <w:r>
        <w:rPr>
          <w:rFonts w:ascii="Courier New" w:cs="Courier New" w:eastAsia="Courier New" w:hAnsi="Courier New"/>
          <w:sz w:val="15"/>
          <w:szCs w:val="15"/>
          <w:color w:val="auto"/>
        </w:rPr>
        <w:t>Selling, general and administrative expenses increased $9.3 million or 33.5% to $37.1 million. This increase reflects the inclusion of MGC ($3.2 million) for the first time, increased salesforce and general management incentives, and increased emphasis on in-store merchandising, partially offset by cost savings generated by restructuring efforts in 1996. As a percentage of net sales, selling, general and administrative expenses increased from 11.2% to 12.4%.</w:t>
      </w:r>
    </w:p>
    <w:p>
      <w:pPr>
        <w:spacing w:after="0" w:line="176"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Advertising and promotion expenses decreased by $0.6 million or 2.2% to $26.5 million. As a percentage of net sales, advertising and promotion expenses decreased to 8.9% from 10.9%. Adjusting advertising and promotion in the third quarter of 1996 for the change in interim accounting for advertising previously discussed, third quarter 1997 advertising and promotion expense increased $6.8 million or 34.5%. After adjusting for the change in accounting for advertising in interim periods, third quarter 1997 advertising and promotion expenses increased due to higher media advertising ($2.6 million), higher trade promotions and cooperative advertising ($1.6 million) and the inclusion of MGC in 1997 ($2.6 million).</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Page 15</w:t>
      </w:r>
    </w:p>
    <w:p>
      <w:pPr>
        <w:sectPr>
          <w:pgSz w:w="11900" w:h="16838" w:orient="portrait"/>
          <w:cols w:equalWidth="0" w:num="1">
            <w:col w:w="10219"/>
          </w:cols>
          <w:pgMar w:left="240" w:top="300"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6"/>
          <w:szCs w:val="16"/>
          <w:color w:val="auto"/>
        </w:rPr>
        <w:t>16</w:t>
      </w:r>
    </w:p>
    <w:p>
      <w:pPr>
        <w:spacing w:after="0" w:line="200" w:lineRule="exact"/>
        <w:rPr>
          <w:sz w:val="20"/>
          <w:szCs w:val="20"/>
          <w:color w:val="auto"/>
        </w:rPr>
      </w:pPr>
    </w:p>
    <w:p>
      <w:pPr>
        <w:spacing w:after="0" w:line="360" w:lineRule="exact"/>
        <w:rPr>
          <w:sz w:val="20"/>
          <w:szCs w:val="20"/>
          <w:color w:val="auto"/>
        </w:rPr>
      </w:pPr>
    </w:p>
    <w:p>
      <w:pPr>
        <w:ind w:right="3019"/>
        <w:spacing w:after="0" w:line="242" w:lineRule="auto"/>
        <w:rPr>
          <w:sz w:val="20"/>
          <w:szCs w:val="20"/>
          <w:color w:val="auto"/>
        </w:rPr>
      </w:pPr>
      <w:r>
        <w:rPr>
          <w:rFonts w:ascii="Courier New" w:cs="Courier New" w:eastAsia="Courier New" w:hAnsi="Courier New"/>
          <w:sz w:val="16"/>
          <w:szCs w:val="16"/>
          <w:color w:val="auto"/>
        </w:rPr>
        <w:t>Amortization of goodwill and other intangibles increased as a result of the inclusion of MGC.</w:t>
      </w:r>
    </w:p>
    <w:p>
      <w:pPr>
        <w:spacing w:after="0" w:line="189" w:lineRule="exact"/>
        <w:rPr>
          <w:sz w:val="20"/>
          <w:szCs w:val="20"/>
          <w:color w:val="auto"/>
        </w:rPr>
      </w:pPr>
    </w:p>
    <w:p>
      <w:pPr>
        <w:ind w:right="2919"/>
        <w:spacing w:after="0" w:line="243" w:lineRule="auto"/>
        <w:rPr>
          <w:sz w:val="20"/>
          <w:szCs w:val="20"/>
          <w:color w:val="auto"/>
        </w:rPr>
      </w:pPr>
      <w:r>
        <w:rPr>
          <w:rFonts w:ascii="Courier New" w:cs="Courier New" w:eastAsia="Courier New" w:hAnsi="Courier New"/>
          <w:sz w:val="16"/>
          <w:szCs w:val="16"/>
          <w:color w:val="auto"/>
        </w:rPr>
        <w:t>Other (income) expense, net for the third quarter of 1997 is principally comprised of royalty income from new and ongoing agreements that license the use of the Scotts(R) logo. The third quarter of 1996 included $3.3 million asset valuation adjustments.</w:t>
      </w:r>
    </w:p>
    <w:p>
      <w:pPr>
        <w:spacing w:after="0" w:line="190"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Primarily as a result of higher sales volumes, improved manufacturing and distribution efficiencies, other cost improvements and a quarterly expense shift resulting from the change in accounting for advertising in interim periods, income from operations increased by $23.3 million or 106.9% to $45.1 million. Income from operations increased to 15.1% from 8.8% on a percentage of sales basis.</w:t>
      </w:r>
    </w:p>
    <w:p>
      <w:pPr>
        <w:spacing w:after="0" w:line="188"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Interest expense increased $0.7 million or 10.1%. Excluding the impact of MGC related borrowings, interest expense decreased by approximately $0.8 million or 11.6%, principally due to a $74.6 million reduction in average borrowings for the third quarter compared to the same period last year. MGC related interest expense was approximately $1.5 million for the quarter, reflecting both acquisition debt and seasonal working capital requirements.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Company's effective tax rate was 43.7% compared to 49.0% in the prior year.</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During the third quarter of fiscal 1997, the Company reported net income of</w:t>
      </w:r>
    </w:p>
    <w:p>
      <w:pPr>
        <w:spacing w:after="0" w:line="5"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$21.1 million or $0.71 per common share compared with prior year net income of $7.6 million or $0.26 per common share. The quarterly improvement reflects the positive impact of the change in retailer selling programs for the Consumer Lawns group. Other favorable factors influencing this quarter's results of operations include sales volume increases, improved manufacturing and distribution efficiencies, ongoing cost control efforts, lower average borrowings and the full consolidation of MGC's results.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NINE MONTHS ENDED JUNE 28, 1997 VERSUS NINE MONTHS ENDED JUNE 29, 1996</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Net sales for the nine months ended June 28, 1997 totaled $745.4 million, an increase of $128.3 million or 20.8%. Management estimates that approximately $47.5 million (8.6%) of this increase was due to the 1995 Consumer Lawns retailer early purchase program that had the effect of depressing sales in the second and third quarters of 1996. The January 3, 1997 acquisition of the remaining two-thirds interest in MGC increased net sales of the nine months by $41.3 million or 6.7%. The remaining 5.5% increase in net sales for the first nine months of fiscal 1997 was primarily attributable to aggregate business unit sales volume increases of 5.9%, partially offset by unfavorable exchange rate movements. Including MGC sales on a pro forma basis from October 1, 1995 and adjusting for the Consumer Lawns 1995 early purchase program, management estimates sales for the nine months ended June 28, 1997 increased approximately 6.3%.</w:t>
      </w:r>
    </w:p>
    <w:p>
      <w:pPr>
        <w:spacing w:after="0" w:line="191"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Consumer Lawns Group net sales increased $63.1 million or 31.5% to $263.4 million, primarily as a result of volume increases. Management estimates that approximately $47.5 million (25.2%) of this nine month sales increase is attributable to the discontinuance of the 1995 early purchase program. After adjusting for this program change, management estimates that the Consumer Lawns Group nine month net sales increase was 6.3%. Consumer Gardens Group net sales increased $13.2 million or 12.3% to $120.3 million. Consumer Gardens Group net sales increased primarily as a result of volume, including the inclusion of grass seed into their distribution network starting in fiscal 1997. Organics Business Group net sales increased $1.4 million or 0.9% to $159.2 million, in line with this Group's focus on profitability, not revenues. Professional Business Group net sales increased $7.1 million or 6.9% to $110.1 million, as this Group's customers move more to just-in-time inventory management. International Business Group net sales increased $43.5 million or 89.0% to $92.4 million. MGC contributed $41.3 million of this net sales increase. Excluding the impact of MGC, International Business Group net sales increased $2.2 million or 4.5%, with volumes up approximately 9.8%, largely offset by unfavorable exchange rate movements that resulted in a 5.3% year-to-date reduction in International group net sales after translation to U.S. dollars. Including MGC on a pro forma basis, from October 1, 1995,</w:t>
      </w:r>
    </w:p>
    <w:p>
      <w:pPr>
        <w:spacing w:after="0" w:line="37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Page 16</w:t>
      </w:r>
    </w:p>
    <w:p>
      <w:pPr>
        <w:sectPr>
          <w:pgSz w:w="11900" w:h="16838" w:orient="portrait"/>
          <w:cols w:equalWidth="0" w:num="1">
            <w:col w:w="10219"/>
          </w:cols>
          <w:pgMar w:left="240" w:top="300"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6"/>
          <w:szCs w:val="16"/>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819"/>
        <w:spacing w:after="0" w:line="243" w:lineRule="auto"/>
        <w:rPr>
          <w:sz w:val="20"/>
          <w:szCs w:val="20"/>
          <w:color w:val="auto"/>
        </w:rPr>
      </w:pPr>
      <w:r>
        <w:rPr>
          <w:rFonts w:ascii="Courier New" w:cs="Courier New" w:eastAsia="Courier New" w:hAnsi="Courier New"/>
          <w:sz w:val="16"/>
          <w:szCs w:val="16"/>
          <w:color w:val="auto"/>
        </w:rPr>
        <w:t>International sales for the first nine months of fiscal 1997 would have increased $7.4 million or 7.7%, and exchange rate fluctuations would have had an immaterial impact on year-to-date comparisons.</w:t>
      </w:r>
    </w:p>
    <w:p>
      <w:pPr>
        <w:spacing w:after="0" w:line="189"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Cost of sales were 62.2% of net sales for the nine months ended June 28, 1997, a 4.3 percentage point improvement compared to 66.5% in the same period of the prior year. This improvement is attributable to the discontinuance of promotional programs to drive out-of-season sales, the discontinuance of lower margin professional and consumer products, and manufacturing and distribution efficiencies.</w:t>
      </w:r>
    </w:p>
    <w:p>
      <w:pPr>
        <w:spacing w:after="0" w:line="188" w:lineRule="exact"/>
        <w:rPr>
          <w:sz w:val="20"/>
          <w:szCs w:val="20"/>
          <w:color w:val="auto"/>
        </w:rPr>
      </w:pPr>
    </w:p>
    <w:p>
      <w:pPr>
        <w:ind w:right="2539"/>
        <w:spacing w:after="0" w:line="242" w:lineRule="auto"/>
        <w:rPr>
          <w:sz w:val="20"/>
          <w:szCs w:val="20"/>
          <w:color w:val="auto"/>
        </w:rPr>
      </w:pPr>
      <w:r>
        <w:rPr>
          <w:rFonts w:ascii="Courier New" w:cs="Courier New" w:eastAsia="Courier New" w:hAnsi="Courier New"/>
          <w:sz w:val="16"/>
          <w:szCs w:val="16"/>
          <w:color w:val="auto"/>
        </w:rPr>
        <w:t>Operating expenses increased $20.6 million or 12.6% to $184.2 million. Operating expenses were 24.7% of net sales compared to 26.6% in the prior year.</w:t>
      </w:r>
    </w:p>
    <w:p>
      <w:pPr>
        <w:spacing w:after="0" w:line="189"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Selling, general and administrative expenses increased $9.0 million or 10.4% to $95.9 million. This increase reflects the inclusion of MGC ($5.0 million) for the first time, increased salesforce and general management incentives, and increased emphasis on in-store merchandising, partially offset by cost savings generated by restructuring efforts in 1996. As a percentage of sales, selling, general and administrative expenses decreased from 14.1% to 12.9%.</w:t>
      </w:r>
    </w:p>
    <w:p>
      <w:pPr>
        <w:spacing w:after="0" w:line="188"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Advertising and promotion expenses increased by $15.5 million or 24.8% to $77.9 million. As a percentage of net sales, advertising and promotion expenses increased to 10.5% from 10.1%. Adjusting the first nine months of fiscal 1996 for the change in accounting for advertising in interim periods, advertising and promotion costs for the first nine months of 1997 increased $17.0 million or 27.9%. After adjusting for this change in interim period accounting, advertising and promotion expenses for the first nine months of fiscal 1997 increased due to higher media advertising ($7.1 million), higher trade promotions and cooperative advertising ($4.1 million) and the inclusion of MGC in 1997 ($5.7 million). The Company believes retailer promotions and cooperative advertising are an integral part of the consumer lawn and garden business, but to a lesser extent than that practiced in prior years.</w:t>
      </w:r>
    </w:p>
    <w:p>
      <w:pPr>
        <w:spacing w:after="0" w:line="191" w:lineRule="exact"/>
        <w:rPr>
          <w:sz w:val="20"/>
          <w:szCs w:val="20"/>
          <w:color w:val="auto"/>
        </w:rPr>
      </w:pPr>
    </w:p>
    <w:p>
      <w:pPr>
        <w:ind w:right="3019"/>
        <w:spacing w:after="0" w:line="242" w:lineRule="auto"/>
        <w:rPr>
          <w:sz w:val="20"/>
          <w:szCs w:val="20"/>
          <w:color w:val="auto"/>
        </w:rPr>
      </w:pPr>
      <w:r>
        <w:rPr>
          <w:rFonts w:ascii="Courier New" w:cs="Courier New" w:eastAsia="Courier New" w:hAnsi="Courier New"/>
          <w:sz w:val="16"/>
          <w:szCs w:val="16"/>
          <w:color w:val="auto"/>
        </w:rPr>
        <w:t>Amortization of goodwill and other intangibles increased as a result of the inclusion of MGC.</w:t>
      </w:r>
    </w:p>
    <w:p>
      <w:pPr>
        <w:spacing w:after="0" w:line="189"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Other (income) expense, net for the first nine months of 1997 includes approximately $4.3 million of charges related to various productive assets which are pending sale or whose values are impaired as a result of changes in management plans and business conditions. These charges were partially offset by royalty income from new and ongoing agreements that license the use of the Scotts(R) logo. The first nine months of fiscal 1996 included $4.5 million of severance charges and $0.8 million of asset valuation adjustments.</w:t>
      </w:r>
    </w:p>
    <w:p>
      <w:pPr>
        <w:spacing w:after="0" w:line="188" w:lineRule="exact"/>
        <w:rPr>
          <w:sz w:val="20"/>
          <w:szCs w:val="20"/>
          <w:color w:val="auto"/>
        </w:rPr>
      </w:pPr>
    </w:p>
    <w:p>
      <w:pPr>
        <w:ind w:right="2719"/>
        <w:spacing w:after="0" w:line="243" w:lineRule="auto"/>
        <w:rPr>
          <w:sz w:val="20"/>
          <w:szCs w:val="20"/>
          <w:color w:val="auto"/>
        </w:rPr>
      </w:pPr>
      <w:r>
        <w:rPr>
          <w:rFonts w:ascii="Courier New" w:cs="Courier New" w:eastAsia="Courier New" w:hAnsi="Courier New"/>
          <w:sz w:val="16"/>
          <w:szCs w:val="16"/>
          <w:color w:val="auto"/>
        </w:rPr>
        <w:t>Primarily as a result of higher sales volumes, improved manufacturing and distribution efficiencies, and other cost improvements, income from operations increased by $54.6 million or 127.3% to $97.5 million. Income from operations increased to 13.1% from 6.9% on a percentage of sales basis.</w:t>
      </w:r>
    </w:p>
    <w:p>
      <w:pPr>
        <w:spacing w:after="0" w:line="190"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Interest expense decreased $0.1 million or 0.5% for the nine months ended June 28, 1997. Excluding MGC related borrowings, interest expense decreased by approximately $3.1 million or 14.8%, principally due to a $69.9 million reduction in average borrowings for the first nine months compared to the same period last year. MGC related interest expense was approximately $3.0 million, reflecting both acquisition debt and seasonal working capital requirements.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Company's effective tax rate was 43.4% compared to 47.9% in the prior year.</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During the first nine months of fiscal 1997, the Company reported net income of $43.0 million or $1.47 per common share compared with prior year net income of $11.1 million or $0.20 per common share. The year-to-date improvement reflects the positive impact of the change in retailer selling programs for the Consumer Lawns Group. Other favorable factors influencing year-to-date results of operations include sales volume increases, improved manufacturing and distribution efficiencies, ongoing cost control efforts, lower average borrowings and full consolidation of MGC's results.</w:t>
      </w:r>
    </w:p>
    <w:p>
      <w:pPr>
        <w:spacing w:after="0" w:line="187"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Page 17</w:t>
      </w:r>
    </w:p>
    <w:p>
      <w:pPr>
        <w:sectPr>
          <w:pgSz w:w="11900" w:h="16838" w:orient="portrait"/>
          <w:cols w:equalWidth="0" w:num="1">
            <w:col w:w="10219"/>
          </w:cols>
          <w:pgMar w:left="240" w:top="300"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6"/>
          <w:szCs w:val="16"/>
          <w:color w:val="auto"/>
        </w:rPr>
        <w:t>18</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Cash provided by operating activities totaled $98.4 million for the nine month period ended June 28, 1997 compared to $76.3 million in the prior year. The seasonal nature of the Company's operations results in a significant increase in working capital (primarily inventory and accounts receivable) during the first and second fiscal quarters. The third fiscal quarter is a significant period for collecting accounts receivable. The higher level of cash generated by operating activities for the first nine months of 1997 is principally due to higher net income and improved working capital management.</w:t>
      </w:r>
    </w:p>
    <w:p>
      <w:pPr>
        <w:spacing w:after="0" w:line="189"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Cash used in investing activities totaled $56.5 million compared to $11.0 million in the prior year. This increase is attributable to the acquisition of the remaining two-thirds interest in MGC for approximately $47.1 million effective January 3, 1997. The Company estimates that fiscal 1997 capital investments will be $25.0 million to $28.0 million compared to $18.2 million in fiscal 1996. These capital investments will be financed with cash provided by operations and utilization of available credit facilities. The largest project will be an approximately $9.0 million expansion of the Company's Marysville distribution facility, estimated to generate annual distribution expense savings of at least $1.5 million beginning in fiscal 1998. The Company's Fourth Amended and Restated Credit Agreement (the "Credit Agreement") restricts annual capital investments to $50.0 million.</w:t>
      </w:r>
    </w:p>
    <w:p>
      <w:pPr>
        <w:spacing w:after="0" w:line="191"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Financing activities used $18.3 million for the nine month period ended June 28, 1997 compared to $54.0 million in the prior year. Financing activities are principally supported by the Company's Credit Agreement. The lower level of debt repayment in the first nine months of fiscal 1997 compared to the prior year is primarily a result of the MGC transaction, partially offset by lower capital investment.</w:t>
      </w:r>
    </w:p>
    <w:p>
      <w:pPr>
        <w:spacing w:after="0" w:line="188" w:lineRule="exact"/>
        <w:rPr>
          <w:sz w:val="20"/>
          <w:szCs w:val="20"/>
          <w:color w:val="auto"/>
        </w:rPr>
      </w:pPr>
    </w:p>
    <w:p>
      <w:pPr>
        <w:jc w:val="both"/>
        <w:ind w:right="2719"/>
        <w:spacing w:after="0" w:line="243" w:lineRule="auto"/>
        <w:rPr>
          <w:sz w:val="20"/>
          <w:szCs w:val="20"/>
          <w:color w:val="auto"/>
        </w:rPr>
      </w:pPr>
      <w:r>
        <w:rPr>
          <w:rFonts w:ascii="Courier New" w:cs="Courier New" w:eastAsia="Courier New" w:hAnsi="Courier New"/>
          <w:sz w:val="16"/>
          <w:szCs w:val="16"/>
          <w:color w:val="auto"/>
        </w:rPr>
        <w:t>Total debt increased by $16.1 million compared with debt at September 30, 1996 and increased by $18.8 million compared with total debt at June 29, 1996. The increase in both comparisons is attributable to borrowings associated with the MGC acquisition, offset by cash provided by operating activities.</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Shareholders' equity as of June 28, 1997 was $396.4 million, a $32.1 million increase compared to September 30, 1996 and a $10.6 million increase compared to June 29, 1996. The increase compared to September 30, 1996 was due to the net income of $43.0 million, Convertible Preferred Stock dividends of $7.3 million, an unfavorable change in the cumulative foreign currency adjustment of $4.5 million and net treasury stock activity of $0.9 million. The increase compared to June 29, 1996 was due to the net income for the twelve month period ended June 28, 1997 of $29.5 million offset by Convertible Preferred Stock dividends of $9.8 million, net treasury stock purchases of $4.7 million and an unfavorable change in the cumulative foreign currency adjustment of $4.4 million.</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The primary sources of liquidity for the Company are funds generated by operations and borrowings under the Company's Credit Agreement. The Credit Agreement was last amended in December 1996. The most recent amendment provides for an increase in the available line-of-credit from $375 million to $425 million, and provides that up to the equivalent of $100 million of the available credit may be borrowed in U.K. Pounds Sterling.</w:t>
      </w:r>
    </w:p>
    <w:p>
      <w:pPr>
        <w:spacing w:after="0" w:line="188"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The Company has foreign exchange rate risk related to international operations and cash flows. The Company enters into forward foreign exchange contracts and purchases currency options to hedge its exposure to fluctuations in foreign currency exchange rates. These contracts generally involve the exchange of one currency for a second currency at some future date. Counterparties to these contracts are major financial institutions. Gains and losses on these contracts generally offset gains and losses on the assets, liabilities and transactions being hedged. Effective in the second quarter of 1997, the Company significantly reduced this program.</w:t>
      </w:r>
    </w:p>
    <w:p>
      <w:pPr>
        <w:spacing w:after="0" w:line="189"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Realized and unrealized foreign exchange gains and losses are recognized and offset foreign exchange gains or losses on the underlying exposures. Unrealized gains and losses that are designated and effective as hedges on such transactions are deferred and recognized in income in the same period as the hedged transactions.</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Page 18</w:t>
      </w:r>
    </w:p>
    <w:p>
      <w:pPr>
        <w:sectPr>
          <w:pgSz w:w="11900" w:h="16838" w:orient="portrait"/>
          <w:cols w:equalWidth="0" w:num="1">
            <w:col w:w="10219"/>
          </w:cols>
          <w:pgMar w:left="240" w:top="300"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6"/>
          <w:szCs w:val="16"/>
          <w:color w:val="auto"/>
        </w:rPr>
        <w:t>19</w:t>
      </w:r>
    </w:p>
    <w:p>
      <w:pPr>
        <w:spacing w:after="0" w:line="200" w:lineRule="exact"/>
        <w:rPr>
          <w:sz w:val="20"/>
          <w:szCs w:val="20"/>
          <w:color w:val="auto"/>
        </w:rPr>
      </w:pPr>
    </w:p>
    <w:p>
      <w:pPr>
        <w:spacing w:after="0" w:line="36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As of June 28, 1997, the Company's European operations had foreign exchange risk in various European currencies tied to the Dutch Guilder. These currencies include the Belgian Franc, German Mark, Spanish Peseta, French Franc, British Pound, Italian Lire, and the Australian Dollar and U.S. Dollar. The Company's U.S. operations had foreign exchange rate risk in the Canadian Dollar, Dutch Guilder and the British Pound which are tied to the U.S. Dollar.</w:t>
      </w:r>
    </w:p>
    <w:p>
      <w:pPr>
        <w:spacing w:after="0" w:line="188" w:lineRule="exact"/>
        <w:rPr>
          <w:sz w:val="20"/>
          <w:szCs w:val="20"/>
          <w:color w:val="auto"/>
        </w:rPr>
      </w:pPr>
    </w:p>
    <w:p>
      <w:pPr>
        <w:ind w:right="2819"/>
        <w:spacing w:after="0" w:line="243" w:lineRule="auto"/>
        <w:rPr>
          <w:sz w:val="20"/>
          <w:szCs w:val="20"/>
          <w:color w:val="auto"/>
        </w:rPr>
      </w:pPr>
      <w:r>
        <w:rPr>
          <w:rFonts w:ascii="Courier New" w:cs="Courier New" w:eastAsia="Courier New" w:hAnsi="Courier New"/>
          <w:sz w:val="16"/>
          <w:szCs w:val="16"/>
          <w:color w:val="auto"/>
        </w:rPr>
        <w:t>In the opinion of the Company's management, cash flows from operations and capital resources will be sufficient to meet debt service and working capital needs during the remainder of fiscal 1997.</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INFLATION</w:t>
      </w:r>
    </w:p>
    <w:p>
      <w:pPr>
        <w:spacing w:after="0" w:line="190" w:lineRule="exact"/>
        <w:rPr>
          <w:sz w:val="20"/>
          <w:szCs w:val="20"/>
          <w:color w:val="auto"/>
        </w:rPr>
      </w:pPr>
    </w:p>
    <w:p>
      <w:pPr>
        <w:ind w:right="2719"/>
        <w:spacing w:after="0" w:line="243" w:lineRule="auto"/>
        <w:rPr>
          <w:sz w:val="20"/>
          <w:szCs w:val="20"/>
          <w:color w:val="auto"/>
        </w:rPr>
      </w:pPr>
      <w:r>
        <w:rPr>
          <w:rFonts w:ascii="Courier New" w:cs="Courier New" w:eastAsia="Courier New" w:hAnsi="Courier New"/>
          <w:sz w:val="16"/>
          <w:szCs w:val="16"/>
          <w:color w:val="auto"/>
        </w:rPr>
        <w:t>The Company is subject to the effect of changing prices. The Company has, however, generally been able to pass along inflationary increases in its costs by increasing the prices of its products.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ENVIRONMENTAL MATTERS</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The Company is subject to local, state, federal and foreign environmental protection laws and regulations with respect to its business operations and believes it is operating in substantial compliance with, or taking action aimed at ensuring compliance with, such laws and regulations. The Company is involved in several environmental related legal actions with various governmental agencies.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the Company's financial position; however, there can be no assurance that future quarterly or annual operating results will not be materially affected by the resolution of these matters. Additional information on environmental matters affecting the Company is provided in Note 9 to the Company's Consolidated Financial Statements and in the Annual Report on Form 10-K to the Securities and Exchange Commission for the year ended September 30, 1996 under the "Business" and "Legal Proceedings" sections.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ACCOUNTING ISSUES</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In October 1995, the Financial Accounting Standards Board issued SFAS No. 123, "Accounting for Stock-Based Compensation", effective for financial statements for fiscal years beginning after December 15, 1995. SFAS No. 123 provides for, but does not require, a fair value method of accounting for stock-based compensation arrangements rather than the intrinsic value method previously required. Alternatively, entities that retain the intrinsic value method are required to disclose in the notes to the financial statements pro forma net income and earnings per share information as if the fair value method had been applied. The Company does not intend to adopt the fair value method of SFAS No. 123; therefore, this standard will not have a material effect on the Company's consolidated financial statements.</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In February 1997, the Financial Accounting Standards Board issued Statement of Financial Accounting Standards No. 128, "Earnings Per Share" ("FAS 128"). FAS 128 establishes standards for computing and presenting earnings per share ("EPS"). FAS 128 replaces the presentation of primary EPS with a presentation of basic EPS which excludes dilution and is computed by dividing income available to common shareholders by the weighted-average number of common shares outstanding during the period. This statement also requires dual presentation of basic EPS and diluted EPS on the face of the income statement for all periods presented. FAS 128 is effective for financial statements issued for periods ending after December 15, 1997, including interim periods. The Company plans to adopt FAS 128 in the first quarter of 1998 for the year ended September 30, 1998. If FAS 128 had been adopted at June 28, 1997, basic and diluted earnings per share would be:</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60" w:type="dxa"/>
            <w:vAlign w:val="bottom"/>
          </w:tcPr>
          <w:p>
            <w:pPr>
              <w:spacing w:after="0"/>
              <w:rPr>
                <w:sz w:val="15"/>
                <w:szCs w:val="15"/>
                <w:color w:val="auto"/>
              </w:rPr>
            </w:pPr>
          </w:p>
        </w:tc>
        <w:tc>
          <w:tcPr>
            <w:tcW w:w="3740" w:type="dxa"/>
            <w:vAlign w:val="bottom"/>
            <w:gridSpan w:val="2"/>
          </w:tcPr>
          <w:p>
            <w:pPr>
              <w:jc w:val="right"/>
              <w:ind w:right="680"/>
              <w:spacing w:after="0"/>
              <w:rPr>
                <w:sz w:val="20"/>
                <w:szCs w:val="20"/>
                <w:color w:val="auto"/>
              </w:rPr>
            </w:pPr>
            <w:r>
              <w:rPr>
                <w:rFonts w:ascii="Courier New" w:cs="Courier New" w:eastAsia="Courier New" w:hAnsi="Courier New"/>
                <w:sz w:val="16"/>
                <w:szCs w:val="16"/>
                <w:color w:val="auto"/>
              </w:rPr>
              <w:t>Three Months Ended</w:t>
            </w:r>
          </w:p>
        </w:tc>
        <w:tc>
          <w:tcPr>
            <w:tcW w:w="270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Nine Months Ended</w:t>
            </w:r>
          </w:p>
        </w:tc>
      </w:tr>
      <w:tr>
        <w:trPr>
          <w:trHeight w:val="185"/>
        </w:trPr>
        <w:tc>
          <w:tcPr>
            <w:tcW w:w="3460" w:type="dxa"/>
            <w:vAlign w:val="bottom"/>
          </w:tcPr>
          <w:p>
            <w:pPr>
              <w:spacing w:after="0"/>
              <w:rPr>
                <w:sz w:val="16"/>
                <w:szCs w:val="16"/>
                <w:color w:val="auto"/>
              </w:rPr>
            </w:pPr>
          </w:p>
        </w:tc>
        <w:tc>
          <w:tcPr>
            <w:tcW w:w="3740" w:type="dxa"/>
            <w:vAlign w:val="bottom"/>
            <w:gridSpan w:val="2"/>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270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w:t>
            </w:r>
          </w:p>
        </w:tc>
      </w:tr>
      <w:tr>
        <w:trPr>
          <w:trHeight w:val="185"/>
        </w:trPr>
        <w:tc>
          <w:tcPr>
            <w:tcW w:w="3460" w:type="dxa"/>
            <w:vAlign w:val="bottom"/>
          </w:tcPr>
          <w:p>
            <w:pPr>
              <w:spacing w:after="0"/>
              <w:rPr>
                <w:sz w:val="16"/>
                <w:szCs w:val="16"/>
                <w:color w:val="auto"/>
              </w:rPr>
            </w:pPr>
          </w:p>
        </w:tc>
        <w:tc>
          <w:tcPr>
            <w:tcW w:w="2600" w:type="dxa"/>
            <w:vAlign w:val="bottom"/>
          </w:tcPr>
          <w:p>
            <w:pPr>
              <w:jc w:val="right"/>
              <w:ind w:right="800"/>
              <w:spacing w:after="0"/>
              <w:rPr>
                <w:sz w:val="20"/>
                <w:szCs w:val="20"/>
                <w:color w:val="auto"/>
              </w:rPr>
            </w:pPr>
            <w:r>
              <w:rPr>
                <w:rFonts w:ascii="Courier New" w:cs="Courier New" w:eastAsia="Courier New" w:hAnsi="Courier New"/>
                <w:sz w:val="16"/>
                <w:szCs w:val="16"/>
                <w:color w:val="auto"/>
              </w:rPr>
              <w:t>June 28</w:t>
            </w:r>
          </w:p>
        </w:tc>
        <w:tc>
          <w:tcPr>
            <w:tcW w:w="1140" w:type="dxa"/>
            <w:vAlign w:val="bottom"/>
          </w:tcPr>
          <w:p>
            <w:pPr>
              <w:spacing w:after="0"/>
              <w:rPr>
                <w:sz w:val="20"/>
                <w:szCs w:val="20"/>
                <w:color w:val="auto"/>
              </w:rPr>
            </w:pPr>
            <w:r>
              <w:rPr>
                <w:rFonts w:ascii="Courier New" w:cs="Courier New" w:eastAsia="Courier New" w:hAnsi="Courier New"/>
                <w:sz w:val="16"/>
                <w:szCs w:val="16"/>
                <w:color w:val="auto"/>
              </w:rPr>
              <w:t>June 29</w:t>
            </w:r>
          </w:p>
        </w:tc>
        <w:tc>
          <w:tcPr>
            <w:tcW w:w="158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June 28</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June 29</w:t>
            </w:r>
          </w:p>
        </w:tc>
      </w:tr>
      <w:tr>
        <w:trPr>
          <w:trHeight w:val="185"/>
        </w:trPr>
        <w:tc>
          <w:tcPr>
            <w:tcW w:w="3460" w:type="dxa"/>
            <w:vAlign w:val="bottom"/>
          </w:tcPr>
          <w:p>
            <w:pPr>
              <w:spacing w:after="0"/>
              <w:rPr>
                <w:sz w:val="16"/>
                <w:szCs w:val="16"/>
                <w:color w:val="auto"/>
              </w:rPr>
            </w:pPr>
          </w:p>
        </w:tc>
        <w:tc>
          <w:tcPr>
            <w:tcW w:w="2600" w:type="dxa"/>
            <w:vAlign w:val="bottom"/>
          </w:tcPr>
          <w:p>
            <w:pPr>
              <w:ind w:left="1160"/>
              <w:spacing w:after="0"/>
              <w:rPr>
                <w:sz w:val="20"/>
                <w:szCs w:val="20"/>
                <w:color w:val="auto"/>
              </w:rPr>
            </w:pPr>
            <w:r>
              <w:rPr>
                <w:rFonts w:ascii="Courier New" w:cs="Courier New" w:eastAsia="Courier New" w:hAnsi="Courier New"/>
                <w:sz w:val="16"/>
                <w:szCs w:val="16"/>
                <w:color w:val="auto"/>
              </w:rPr>
              <w:t>1997</w:t>
            </w:r>
          </w:p>
        </w:tc>
        <w:tc>
          <w:tcPr>
            <w:tcW w:w="11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1996</w:t>
            </w:r>
          </w:p>
        </w:tc>
        <w:tc>
          <w:tcPr>
            <w:tcW w:w="1580" w:type="dxa"/>
            <w:vAlign w:val="bottom"/>
          </w:tcPr>
          <w:p>
            <w:pPr>
              <w:ind w:left="580"/>
              <w:spacing w:after="0"/>
              <w:rPr>
                <w:sz w:val="20"/>
                <w:szCs w:val="20"/>
                <w:color w:val="auto"/>
              </w:rPr>
            </w:pPr>
            <w:r>
              <w:rPr>
                <w:rFonts w:ascii="Courier New" w:cs="Courier New" w:eastAsia="Courier New" w:hAnsi="Courier New"/>
                <w:sz w:val="16"/>
                <w:szCs w:val="16"/>
                <w:color w:val="auto"/>
              </w:rPr>
              <w:t>1997</w:t>
            </w:r>
          </w:p>
        </w:tc>
        <w:tc>
          <w:tcPr>
            <w:tcW w:w="11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1996</w:t>
            </w:r>
          </w:p>
        </w:tc>
      </w:tr>
      <w:tr>
        <w:trPr>
          <w:trHeight w:val="185"/>
        </w:trPr>
        <w:tc>
          <w:tcPr>
            <w:tcW w:w="3460" w:type="dxa"/>
            <w:vAlign w:val="bottom"/>
          </w:tcPr>
          <w:p>
            <w:pPr>
              <w:spacing w:after="0"/>
              <w:rPr>
                <w:sz w:val="16"/>
                <w:szCs w:val="16"/>
                <w:color w:val="auto"/>
              </w:rPr>
            </w:pPr>
          </w:p>
        </w:tc>
        <w:tc>
          <w:tcPr>
            <w:tcW w:w="2600" w:type="dxa"/>
            <w:vAlign w:val="bottom"/>
          </w:tcPr>
          <w:p>
            <w:pPr>
              <w:jc w:val="right"/>
              <w:ind w:right="80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center"/>
              <w:ind w:left="260"/>
              <w:spacing w:after="0"/>
              <w:rPr>
                <w:sz w:val="20"/>
                <w:szCs w:val="20"/>
                <w:color w:val="auto"/>
              </w:rPr>
            </w:pPr>
            <w:r>
              <w:rPr>
                <w:rFonts w:ascii="Courier New" w:cs="Courier New" w:eastAsia="Courier New" w:hAnsi="Courier New"/>
                <w:sz w:val="16"/>
                <w:szCs w:val="16"/>
                <w:color w:val="auto"/>
              </w:rPr>
              <w:t>------</w:t>
            </w:r>
          </w:p>
        </w:tc>
      </w:tr>
      <w:tr>
        <w:trPr>
          <w:trHeight w:val="370"/>
        </w:trPr>
        <w:tc>
          <w:tcPr>
            <w:tcW w:w="3460" w:type="dxa"/>
            <w:vAlign w:val="bottom"/>
          </w:tcPr>
          <w:p>
            <w:pPr>
              <w:spacing w:after="0"/>
              <w:rPr>
                <w:sz w:val="20"/>
                <w:szCs w:val="20"/>
                <w:color w:val="auto"/>
              </w:rPr>
            </w:pPr>
            <w:r>
              <w:rPr>
                <w:rFonts w:ascii="Courier New" w:cs="Courier New" w:eastAsia="Courier New" w:hAnsi="Courier New"/>
                <w:sz w:val="16"/>
                <w:szCs w:val="16"/>
                <w:color w:val="auto"/>
              </w:rPr>
              <w:t>Basic earnings per share</w:t>
            </w:r>
          </w:p>
        </w:tc>
        <w:tc>
          <w:tcPr>
            <w:tcW w:w="2600" w:type="dxa"/>
            <w:vAlign w:val="bottom"/>
          </w:tcPr>
          <w:p>
            <w:pPr>
              <w:ind w:left="1160"/>
              <w:spacing w:after="0"/>
              <w:rPr>
                <w:sz w:val="20"/>
                <w:szCs w:val="20"/>
                <w:color w:val="auto"/>
              </w:rPr>
            </w:pPr>
            <w:r>
              <w:rPr>
                <w:rFonts w:ascii="Courier New" w:cs="Courier New" w:eastAsia="Courier New" w:hAnsi="Courier New"/>
                <w:sz w:val="16"/>
                <w:szCs w:val="16"/>
                <w:color w:val="auto"/>
              </w:rPr>
              <w:t>$1.01</w:t>
            </w:r>
          </w:p>
        </w:tc>
        <w:tc>
          <w:tcPr>
            <w:tcW w:w="11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$.27</w:t>
            </w:r>
          </w:p>
        </w:tc>
        <w:tc>
          <w:tcPr>
            <w:tcW w:w="1580" w:type="dxa"/>
            <w:vAlign w:val="bottom"/>
          </w:tcPr>
          <w:p>
            <w:pPr>
              <w:ind w:left="580"/>
              <w:spacing w:after="0"/>
              <w:rPr>
                <w:sz w:val="20"/>
                <w:szCs w:val="20"/>
                <w:color w:val="auto"/>
              </w:rPr>
            </w:pPr>
            <w:r>
              <w:rPr>
                <w:rFonts w:ascii="Courier New" w:cs="Courier New" w:eastAsia="Courier New" w:hAnsi="Courier New"/>
                <w:sz w:val="16"/>
                <w:szCs w:val="16"/>
                <w:color w:val="auto"/>
              </w:rPr>
              <w:t>$1.92</w:t>
            </w:r>
          </w:p>
        </w:tc>
        <w:tc>
          <w:tcPr>
            <w:tcW w:w="1120" w:type="dxa"/>
            <w:vAlign w:val="bottom"/>
          </w:tcPr>
          <w:p>
            <w:pPr>
              <w:jc w:val="center"/>
              <w:ind w:left="260"/>
              <w:spacing w:after="0"/>
              <w:rPr>
                <w:sz w:val="20"/>
                <w:szCs w:val="20"/>
                <w:color w:val="auto"/>
              </w:rPr>
            </w:pPr>
            <w:r>
              <w:rPr>
                <w:rFonts w:ascii="Courier New" w:cs="Courier New" w:eastAsia="Courier New" w:hAnsi="Courier New"/>
                <w:sz w:val="16"/>
                <w:szCs w:val="16"/>
                <w:color w:val="auto"/>
                <w:w w:val="98"/>
              </w:rPr>
              <w:t>$.20</w:t>
            </w:r>
          </w:p>
        </w:tc>
      </w:tr>
      <w:tr>
        <w:trPr>
          <w:trHeight w:val="185"/>
        </w:trPr>
        <w:tc>
          <w:tcPr>
            <w:tcW w:w="3460" w:type="dxa"/>
            <w:vAlign w:val="bottom"/>
          </w:tcPr>
          <w:p>
            <w:pPr>
              <w:spacing w:after="0"/>
              <w:rPr>
                <w:sz w:val="16"/>
                <w:szCs w:val="16"/>
                <w:color w:val="auto"/>
              </w:rPr>
            </w:pPr>
          </w:p>
        </w:tc>
        <w:tc>
          <w:tcPr>
            <w:tcW w:w="2600" w:type="dxa"/>
            <w:vAlign w:val="bottom"/>
          </w:tcPr>
          <w:p>
            <w:pPr>
              <w:ind w:left="116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ind w:left="58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center"/>
              <w:ind w:left="26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Diluted earnings per share</w:t>
            </w:r>
          </w:p>
        </w:tc>
        <w:tc>
          <w:tcPr>
            <w:tcW w:w="2600" w:type="dxa"/>
            <w:vAlign w:val="bottom"/>
          </w:tcPr>
          <w:p>
            <w:pPr>
              <w:ind w:left="1160"/>
              <w:spacing w:after="0"/>
              <w:rPr>
                <w:sz w:val="20"/>
                <w:szCs w:val="20"/>
                <w:color w:val="auto"/>
              </w:rPr>
            </w:pPr>
            <w:r>
              <w:rPr>
                <w:rFonts w:ascii="Courier New" w:cs="Courier New" w:eastAsia="Courier New" w:hAnsi="Courier New"/>
                <w:sz w:val="16"/>
                <w:szCs w:val="16"/>
                <w:color w:val="auto"/>
              </w:rPr>
              <w:t>$ .71</w:t>
            </w:r>
          </w:p>
        </w:tc>
        <w:tc>
          <w:tcPr>
            <w:tcW w:w="11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$.26</w:t>
            </w:r>
          </w:p>
        </w:tc>
        <w:tc>
          <w:tcPr>
            <w:tcW w:w="1580" w:type="dxa"/>
            <w:vAlign w:val="bottom"/>
          </w:tcPr>
          <w:p>
            <w:pPr>
              <w:ind w:left="580"/>
              <w:spacing w:after="0"/>
              <w:rPr>
                <w:sz w:val="20"/>
                <w:szCs w:val="20"/>
                <w:color w:val="auto"/>
              </w:rPr>
            </w:pPr>
            <w:r>
              <w:rPr>
                <w:rFonts w:ascii="Courier New" w:cs="Courier New" w:eastAsia="Courier New" w:hAnsi="Courier New"/>
                <w:sz w:val="16"/>
                <w:szCs w:val="16"/>
                <w:color w:val="auto"/>
              </w:rPr>
              <w:t>$1.47</w:t>
            </w:r>
          </w:p>
        </w:tc>
        <w:tc>
          <w:tcPr>
            <w:tcW w:w="1120" w:type="dxa"/>
            <w:vAlign w:val="bottom"/>
          </w:tcPr>
          <w:p>
            <w:pPr>
              <w:jc w:val="center"/>
              <w:ind w:left="260"/>
              <w:spacing w:after="0"/>
              <w:rPr>
                <w:sz w:val="20"/>
                <w:szCs w:val="20"/>
                <w:color w:val="auto"/>
              </w:rPr>
            </w:pPr>
            <w:r>
              <w:rPr>
                <w:rFonts w:ascii="Courier New" w:cs="Courier New" w:eastAsia="Courier New" w:hAnsi="Courier New"/>
                <w:sz w:val="16"/>
                <w:szCs w:val="16"/>
                <w:color w:val="auto"/>
                <w:w w:val="98"/>
              </w:rPr>
              <w:t>$.20</w:t>
            </w:r>
          </w:p>
        </w:tc>
      </w:tr>
      <w:tr>
        <w:trPr>
          <w:trHeight w:val="185"/>
        </w:trPr>
        <w:tc>
          <w:tcPr>
            <w:tcW w:w="3460" w:type="dxa"/>
            <w:vAlign w:val="bottom"/>
          </w:tcPr>
          <w:p>
            <w:pPr>
              <w:spacing w:after="0"/>
              <w:rPr>
                <w:sz w:val="16"/>
                <w:szCs w:val="16"/>
                <w:color w:val="auto"/>
              </w:rPr>
            </w:pPr>
          </w:p>
        </w:tc>
        <w:tc>
          <w:tcPr>
            <w:tcW w:w="2600" w:type="dxa"/>
            <w:vAlign w:val="bottom"/>
          </w:tcPr>
          <w:p>
            <w:pPr>
              <w:ind w:left="116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ind w:left="58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center"/>
              <w:ind w:left="260"/>
              <w:spacing w:after="0"/>
              <w:rPr>
                <w:sz w:val="20"/>
                <w:szCs w:val="20"/>
                <w:color w:val="auto"/>
              </w:rPr>
            </w:pPr>
            <w:r>
              <w:rPr>
                <w:rFonts w:ascii="Courier New" w:cs="Courier New" w:eastAsia="Courier New" w:hAnsi="Courier New"/>
                <w:sz w:val="16"/>
                <w:szCs w:val="16"/>
                <w:color w:val="auto"/>
                <w:w w:val="98"/>
              </w:rPr>
              <w:t>====</w:t>
            </w:r>
          </w:p>
        </w:tc>
      </w:tr>
    </w:tbl>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Page 19</w:t>
      </w:r>
    </w:p>
    <w:p>
      <w:pPr>
        <w:sectPr>
          <w:pgSz w:w="11900" w:h="16838" w:orient="portrait"/>
          <w:cols w:equalWidth="0" w:num="1">
            <w:col w:w="10219"/>
          </w:cols>
          <w:pgMar w:left="240" w:top="300" w:right="1440" w:bottom="641"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6"/>
          <w:szCs w:val="16"/>
          <w:color w:val="auto"/>
        </w:rPr>
        <w:t>20</w:t>
      </w:r>
    </w:p>
    <w:p>
      <w:pPr>
        <w:spacing w:after="0" w:line="200" w:lineRule="exact"/>
        <w:rPr>
          <w:sz w:val="20"/>
          <w:szCs w:val="20"/>
          <w:color w:val="auto"/>
        </w:rPr>
      </w:pPr>
    </w:p>
    <w:p>
      <w:pPr>
        <w:spacing w:after="0" w:line="360" w:lineRule="exact"/>
        <w:rPr>
          <w:sz w:val="20"/>
          <w:szCs w:val="20"/>
          <w:color w:val="auto"/>
        </w:rPr>
      </w:pPr>
    </w:p>
    <w:p>
      <w:pPr>
        <w:ind w:right="2919"/>
        <w:spacing w:after="0" w:line="243" w:lineRule="auto"/>
        <w:rPr>
          <w:sz w:val="20"/>
          <w:szCs w:val="20"/>
          <w:color w:val="auto"/>
        </w:rPr>
      </w:pPr>
      <w:r>
        <w:rPr>
          <w:rFonts w:ascii="Courier New" w:cs="Courier New" w:eastAsia="Courier New" w:hAnsi="Courier New"/>
          <w:sz w:val="16"/>
          <w:szCs w:val="16"/>
          <w:color w:val="auto"/>
        </w:rPr>
        <w:t>In June 1997, the FASB issued SFAS No. 130, "Reporting Comprehensive Income" and SFAS No. 131, "Disclosures About Segments of an Enterprise and Related Information", each standard is effective for financial statements for fiscal years beginning after December 15, 1997.</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SFAS No. 130 establishes standards for reporting and display of comprehensive income and its components (revenues, expenses, gains and losses). SFAS No. 130 requires that all items that are required to be recognized under accounting standards as components of comprehensive income be reported in a financial statement that is displayed with the same prominence as other financial statements. Comprehensive income is defined as the change in equity of a business enterprise during a period from transactions and other events and circumstances from non-owners sources; it includes all changes in equity during a period except those resulting from investments by owners and distributions to owners.</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SFAS No. 131 establishes standards for the way that public business enterprises report information about operating segments in annual financial statements and requires that those enterprises report selected information about operating segments in interim financial reports issued to shareholders. This statement defines business segments as components of an enterprise about which separate financial information is available and used internally for evaluating segment performance and decision making on resource allocations. SFAS No. 131 requires reporting a measure of segment profit or loss, certain specific revenue and expense items, and segment assets; and other reporting about geographic and customer matters.</w:t>
      </w:r>
    </w:p>
    <w:p>
      <w:pPr>
        <w:spacing w:after="0" w:line="190" w:lineRule="exact"/>
        <w:rPr>
          <w:sz w:val="20"/>
          <w:szCs w:val="20"/>
          <w:color w:val="auto"/>
        </w:rPr>
      </w:pPr>
    </w:p>
    <w:p>
      <w:pPr>
        <w:jc w:val="both"/>
        <w:ind w:right="2719"/>
        <w:spacing w:after="0" w:line="243" w:lineRule="auto"/>
        <w:rPr>
          <w:sz w:val="20"/>
          <w:szCs w:val="20"/>
          <w:color w:val="auto"/>
        </w:rPr>
      </w:pPr>
      <w:r>
        <w:rPr>
          <w:rFonts w:ascii="Courier New" w:cs="Courier New" w:eastAsia="Courier New" w:hAnsi="Courier New"/>
          <w:sz w:val="16"/>
          <w:szCs w:val="16"/>
          <w:color w:val="auto"/>
        </w:rPr>
        <w:t>The Company is evaluating each of these recent pronouncements and has not yet determined the ultimate impact of these pronouncements on its future financial statements.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OUTLOOK FOR THE REMAINDER OF 1997</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Looking forward to the final three months of fiscal 1997, management expects to maintain the return to profitability demonstrated in the first nine months of the year, although the fourth quarter is anticipated to generate a small net loss. The primary factors contributing to 1997's improvement over 1996 include the discontinuance of the Consumer Lawns Group's retailer early purchase program; alignment of the business groups to provide better focus on, and accountability for performance; the positive impacts of fiscal 1996 restructuring efforts; and positive cash flow from operations, which has reduced average borrowings and interest expense (before the impact on borrowings related to the MGC transaction).</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As noted in previous reports, the Consumer Lawns Group's marketing strategy has been refocused on consumer directed, "pull" advertising and less on retailer directed, "push" promotional programs heavily relied upon in recent years. Management believes results for the first nine months of fiscal 1997 indicate general marketplace acceptance of this strategy. However, weather conditions in North America and in Northern Europe have a significant impact on the quarterly timing of sales of the Company's products, especially in the spring selling season. After adjustment for the 1995 early purchase program, the Company has historically generated 66% to 68% of its annual revenues in its second and third fiscal quarters. Management expects this relationship to be in the range of 70% to 75% for 1997 reflecting the change in the Consumer Lawns marketing and promotional programs, and the trend in both its consumer and professional markets toward "just-in-time" product purchasing.</w:t>
      </w:r>
    </w:p>
    <w:p>
      <w:pPr>
        <w:spacing w:after="0" w:line="191"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Management expects to maintain the improvement in gross profit margins over 1996 as a result of the recovery of the relatively higher margin consumer lawns business, higher volumes increasing manufacturing and distribution efficiencies, and the discontinuance of certain lower margin products. In the last quarter of 1997, the Company plans to change over to plastic packaging for its key consumer lawns products and update the technology of one of its key manufacturing lines. These planned changes, along with the general direction toward simplifying its product lines, may put temporary downward pressure on gross profit margins during the transition period as new processes start up and old products are phased out.</w:t>
      </w:r>
    </w:p>
    <w:p>
      <w:pPr>
        <w:spacing w:after="0" w:line="373"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Page 20</w:t>
      </w:r>
    </w:p>
    <w:p>
      <w:pPr>
        <w:sectPr>
          <w:pgSz w:w="11900" w:h="16838" w:orient="portrait"/>
          <w:cols w:equalWidth="0" w:num="1">
            <w:col w:w="10219"/>
          </w:cols>
          <w:pgMar w:left="240" w:top="300"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6"/>
          <w:szCs w:val="16"/>
          <w:color w:val="auto"/>
        </w:rPr>
        <w:t>21</w:t>
      </w:r>
    </w:p>
    <w:p>
      <w:pPr>
        <w:spacing w:after="0" w:line="200" w:lineRule="exact"/>
        <w:rPr>
          <w:sz w:val="20"/>
          <w:szCs w:val="20"/>
          <w:color w:val="auto"/>
        </w:rPr>
      </w:pPr>
    </w:p>
    <w:p>
      <w:pPr>
        <w:spacing w:after="0" w:line="360" w:lineRule="exact"/>
        <w:rPr>
          <w:sz w:val="20"/>
          <w:szCs w:val="20"/>
          <w:color w:val="auto"/>
        </w:rPr>
      </w:pPr>
    </w:p>
    <w:p>
      <w:pPr>
        <w:ind w:right="3019"/>
        <w:spacing w:after="0" w:line="274" w:lineRule="auto"/>
        <w:rPr>
          <w:sz w:val="20"/>
          <w:szCs w:val="20"/>
          <w:color w:val="auto"/>
        </w:rPr>
      </w:pPr>
      <w:r>
        <w:rPr>
          <w:rFonts w:ascii="Courier New" w:cs="Courier New" w:eastAsia="Courier New" w:hAnsi="Courier New"/>
          <w:sz w:val="15"/>
          <w:szCs w:val="15"/>
          <w:color w:val="auto"/>
        </w:rPr>
        <w:t>The Company expects a lower effective tax rate in 1997 in the range of 43% to 44%, principally as a result of the anticipated return to profitability.</w:t>
      </w:r>
    </w:p>
    <w:p>
      <w:pPr>
        <w:spacing w:after="0" w:line="166"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The Company has made and will make certain forward-looking statements in this quarterly report and in other contexts regarding future economic performance and finances, plans and objectives of management, among others. In some cases, information regarding certain important factors that could cause actual results to differ materially from any such forward-looking statement appear together with such statements. The following factors, however, in addition to other possible factors not listed, could affect the Company's actual results and cause such results to differ materially from those expressed in forward-looking statements. These factors include weather conditions in North America and in Northern Europe which have a significant impact on timing of sales in the spring selling season and overall annual sales; continued marketplace acceptance of the Company's Consumer Lawns and Consumer Gardens Groups' "pull" advertising marketing strategies, especially in the Consumer Lawn's Group which refocused its general marketing strategy beginning in fiscal 1996; competition among lawn and garden product producers supplying the consumer and professional markets, both domestically and internationally; competition between retail outlets selling lawn and garden products produced by the Company; public perceptions regarding the safety of products produced and supplied by the Company; continued changes in economic conditions; risks inherent in international development; and other factors set forth in the Company's letters to shareholders and analysts, press releases and filings with the Securities and Exchange Commission.</w:t>
      </w:r>
    </w:p>
    <w:p>
      <w:pPr>
        <w:spacing w:after="0" w:line="379"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Page 21</w:t>
      </w:r>
    </w:p>
    <w:p>
      <w:pPr>
        <w:sectPr>
          <w:pgSz w:w="11900" w:h="16838" w:orient="portrait"/>
          <w:cols w:equalWidth="0" w:num="1">
            <w:col w:w="10219"/>
          </w:cols>
          <w:pgMar w:left="240" w:top="300"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6"/>
          <w:szCs w:val="16"/>
          <w:color w:val="auto"/>
        </w:rPr>
        <w:t>22</w:t>
      </w:r>
    </w:p>
    <w:p>
      <w:pPr>
        <w:spacing w:after="0" w:line="200" w:lineRule="exact"/>
        <w:rPr>
          <w:sz w:val="20"/>
          <w:szCs w:val="20"/>
          <w:color w:val="auto"/>
        </w:rPr>
      </w:pPr>
    </w:p>
    <w:p>
      <w:pPr>
        <w:spacing w:after="0" w:line="358"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Part II - OTHER INFORMATION</w:t>
      </w:r>
    </w:p>
    <w:p>
      <w:pPr>
        <w:spacing w:after="0" w:line="3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1.</w:t>
        <w:tab/>
        <w:t>Legal Proceedings</w:t>
      </w:r>
    </w:p>
    <w:p>
      <w:pPr>
        <w:spacing w:after="0" w:line="190" w:lineRule="exact"/>
        <w:rPr>
          <w:sz w:val="20"/>
          <w:szCs w:val="20"/>
          <w:color w:val="auto"/>
        </w:rPr>
      </w:pPr>
    </w:p>
    <w:p>
      <w:pPr>
        <w:ind w:left="580" w:right="2639"/>
        <w:spacing w:after="0" w:line="262" w:lineRule="auto"/>
        <w:rPr>
          <w:sz w:val="20"/>
          <w:szCs w:val="20"/>
          <w:color w:val="auto"/>
        </w:rPr>
      </w:pPr>
      <w:r>
        <w:rPr>
          <w:rFonts w:ascii="Courier New" w:cs="Courier New" w:eastAsia="Courier New" w:hAnsi="Courier New"/>
          <w:sz w:val="15"/>
          <w:szCs w:val="15"/>
          <w:color w:val="auto"/>
        </w:rPr>
        <w:t>The Company has been assessing and, as required, addressing certain environmental issues regarding the wastewater treatment plants currently operating at the Marysville facility. Specifically, it has been considering whether to upgrade the existing treatment plants or to undertake to tie the facility's wastewater system into the City of Marysville's municipal treatment system. Additionally, the Company has been assessing, under Ohio's new Voluntary Action Program ("VAP"), the possible remediation of several discontinued on-site waste disposal areas dating back to the early operations of its Marysville facility. To this end, in early July 1997, the Company submitted written documentation to the Ohio EPA, to demonstrate VAP eligibility compliance.</w:t>
      </w:r>
    </w:p>
    <w:p>
      <w:pPr>
        <w:spacing w:after="0" w:line="177" w:lineRule="exact"/>
        <w:rPr>
          <w:sz w:val="20"/>
          <w:szCs w:val="20"/>
          <w:color w:val="auto"/>
        </w:rPr>
      </w:pPr>
    </w:p>
    <w:p>
      <w:pPr>
        <w:ind w:left="580" w:right="2639"/>
        <w:spacing w:after="0" w:line="244" w:lineRule="auto"/>
        <w:rPr>
          <w:sz w:val="20"/>
          <w:szCs w:val="20"/>
          <w:color w:val="auto"/>
        </w:rPr>
      </w:pPr>
      <w:r>
        <w:rPr>
          <w:rFonts w:ascii="Courier New" w:cs="Courier New" w:eastAsia="Courier New" w:hAnsi="Courier New"/>
          <w:sz w:val="16"/>
          <w:szCs w:val="16"/>
          <w:color w:val="auto"/>
        </w:rPr>
        <w:t>In February 1997, the Company learned that the Ohio EPA was referring certain environmental matters relating to the Company's wastewater treatment plants and on-site disposal areas to the Ohio Attorney General's Office for possible enforcement action. Representatives from the Ohio EPA, the Ohio Attorney General's Office and the Company have subsequently met on several occasions to discuss resolution of these issues. As part of these ongoing discussions, in June 1997, the Company received draft Findings and Orders ("F&amp;O") and communications from the Ohio EPA which elaborated on the subject of the referral to include, among other items: potential surface water violations relating to sediment contamination possibly impacting water quality; and potential contamination relating to the existence of former underground storage tanks. In addition, the draft F&amp;O would require that the Company's Marysville site be subject to corrective action under the Resource Conservation Recovery Act ("RCRA"). The Company received a draft Consent Order from the Ohio Attorney General's Office in late July 1997 which reflects most of the issues contained in the draft F&amp;O, including corrective action. The Company continues its discussions and is undertaking to negotiate an amicable resolution of these issues with the Ohio EPA and Attorney General over the course of the next several months. The Company also continues its ongoing efforts to address many of these issues under VAP.</w:t>
      </w:r>
    </w:p>
    <w:p>
      <w:pPr>
        <w:spacing w:after="0" w:line="196" w:lineRule="exact"/>
        <w:rPr>
          <w:sz w:val="20"/>
          <w:szCs w:val="20"/>
          <w:color w:val="auto"/>
        </w:rPr>
      </w:pPr>
    </w:p>
    <w:p>
      <w:pPr>
        <w:ind w:left="580" w:right="2819"/>
        <w:spacing w:after="0" w:line="244" w:lineRule="auto"/>
        <w:rPr>
          <w:sz w:val="20"/>
          <w:szCs w:val="20"/>
          <w:color w:val="auto"/>
        </w:rPr>
      </w:pPr>
      <w:r>
        <w:rPr>
          <w:rFonts w:ascii="Courier New" w:cs="Courier New" w:eastAsia="Courier New" w:hAnsi="Courier New"/>
          <w:sz w:val="16"/>
          <w:szCs w:val="16"/>
          <w:color w:val="auto"/>
        </w:rPr>
        <w:t>The Company does not believe that any proceedings which may result from the Ohio EPA's referral of these matters to the Ohio Attorney General will be material to the business or financial condition of the Company but is unable, at this early stage, to predict the outcome of these issues.</w:t>
      </w:r>
    </w:p>
    <w:p>
      <w:pPr>
        <w:spacing w:after="0" w:line="37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6.</w:t>
        <w:tab/>
        <w:t>Exhibits and Reports on Form 8-K</w:t>
      </w:r>
    </w:p>
    <w:p>
      <w:pPr>
        <w:spacing w:after="0" w:line="190" w:lineRule="exact"/>
        <w:rPr>
          <w:sz w:val="20"/>
          <w:szCs w:val="20"/>
          <w:color w:val="auto"/>
        </w:rPr>
      </w:pPr>
    </w:p>
    <w:p>
      <w:pPr>
        <w:ind w:left="960" w:right="3119" w:hanging="385"/>
        <w:spacing w:after="0" w:line="242"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Exhibit Index at page 23 for a list of the exhibits included herewith.</w:t>
      </w:r>
    </w:p>
    <w:p>
      <w:pPr>
        <w:spacing w:after="0" w:line="188" w:lineRule="exact"/>
        <w:rPr>
          <w:rFonts w:ascii="Courier New" w:cs="Courier New" w:eastAsia="Courier New" w:hAnsi="Courier New"/>
          <w:sz w:val="16"/>
          <w:szCs w:val="16"/>
          <w:color w:val="auto"/>
        </w:rPr>
      </w:pPr>
    </w:p>
    <w:p>
      <w:pPr>
        <w:ind w:left="960" w:right="3019" w:hanging="385"/>
        <w:spacing w:after="0" w:line="242"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reports on Form 8-K were filed during the fiscal quarter ended June 28, 1997.</w:t>
      </w:r>
    </w:p>
    <w:p>
      <w:pPr>
        <w:spacing w:after="0" w:line="372"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Page 22</w:t>
      </w:r>
    </w:p>
    <w:p>
      <w:pPr>
        <w:sectPr>
          <w:pgSz w:w="11900" w:h="16838" w:orient="portrait"/>
          <w:cols w:equalWidth="0" w:num="1">
            <w:col w:w="10219"/>
          </w:cols>
          <w:pgMar w:left="240" w:top="300"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6"/>
          <w:szCs w:val="16"/>
          <w:color w:val="auto"/>
        </w:rPr>
        <w:t>23</w:t>
      </w:r>
    </w:p>
    <w:p>
      <w:pPr>
        <w:spacing w:after="0" w:line="200" w:lineRule="exact"/>
        <w:rPr>
          <w:sz w:val="20"/>
          <w:szCs w:val="20"/>
          <w:color w:val="auto"/>
        </w:rPr>
      </w:pPr>
    </w:p>
    <w:p>
      <w:pPr>
        <w:spacing w:after="0" w:line="35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SIGNATURES</w:t>
      </w:r>
    </w:p>
    <w:p>
      <w:pPr>
        <w:spacing w:after="0" w:line="375" w:lineRule="exact"/>
        <w:rPr>
          <w:sz w:val="20"/>
          <w:szCs w:val="20"/>
          <w:color w:val="auto"/>
        </w:rPr>
      </w:pPr>
    </w:p>
    <w:p>
      <w:pPr>
        <w:jc w:val="both"/>
        <w:ind w:right="3299"/>
        <w:spacing w:after="0" w:line="243"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371" w:lineRule="exact"/>
        <w:rPr>
          <w:sz w:val="20"/>
          <w:szCs w:val="20"/>
          <w:color w:val="auto"/>
        </w:rPr>
      </w:pPr>
    </w:p>
    <w:p>
      <w:pPr>
        <w:ind w:left="4620"/>
        <w:spacing w:after="0"/>
        <w:rPr>
          <w:sz w:val="20"/>
          <w:szCs w:val="20"/>
          <w:color w:val="auto"/>
        </w:rPr>
      </w:pPr>
      <w:r>
        <w:rPr>
          <w:rFonts w:ascii="Courier New" w:cs="Courier New" w:eastAsia="Courier New" w:hAnsi="Courier New"/>
          <w:sz w:val="16"/>
          <w:szCs w:val="16"/>
          <w:color w:val="auto"/>
        </w:rPr>
        <w:t>THE SCOTTS COMPANY</w:t>
      </w:r>
    </w:p>
    <w:p>
      <w:pPr>
        <w:sectPr>
          <w:pgSz w:w="11900" w:h="16838" w:orient="portrait"/>
          <w:cols w:equalWidth="0" w:num="1">
            <w:col w:w="10219"/>
          </w:cols>
          <w:pgMar w:left="240" w:top="300" w:right="1440" w:bottom="1440" w:gutter="0" w:footer="0" w:header="0"/>
        </w:sect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6"/>
          <w:szCs w:val="16"/>
          <w:color w:val="auto"/>
        </w:rPr>
        <w:t>/s/ Jean H.</w:t>
        <w:tab/>
        <w:t>Mordo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Financial Officer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Accounting Officer</w:t>
      </w:r>
    </w:p>
    <w:p>
      <w:pPr>
        <w:spacing w:after="0" w:line="200" w:lineRule="exact"/>
        <w:rPr>
          <w:sz w:val="20"/>
          <w:szCs w:val="20"/>
          <w:color w:val="auto"/>
        </w:rPr>
      </w:pPr>
    </w:p>
    <w:p>
      <w:pPr>
        <w:sectPr>
          <w:pgSz w:w="11900" w:h="16838" w:orient="portrait"/>
          <w:cols w:equalWidth="0" w:num="3">
            <w:col w:w="380" w:space="0"/>
            <w:col w:w="3520" w:space="720"/>
            <w:col w:w="5599"/>
          </w:cols>
          <w:pgMar w:left="240" w:top="300" w:right="1440" w:bottom="1440" w:gutter="0" w:footer="0" w:header="0"/>
          <w:type w:val="continuous"/>
        </w:sectPr>
      </w:pP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Page 23</w:t>
      </w:r>
    </w:p>
    <w:p>
      <w:pPr>
        <w:sectPr>
          <w:pgSz w:w="11900" w:h="16838" w:orient="portrait"/>
          <w:cols w:equalWidth="0" w:num="1">
            <w:col w:w="10219"/>
          </w:cols>
          <w:pgMar w:left="240" w:top="300" w:right="1440" w:bottom="1440" w:gutter="0" w:footer="0" w:header="0"/>
          <w:type w:val="continuous"/>
        </w:sectPr>
      </w:pPr>
    </w:p>
    <w:bookmarkStart w:id="24" w:name="page25"/>
    <w:bookmarkEnd w:id="24"/>
    <w:p>
      <w:pPr>
        <w:ind w:left="80"/>
        <w:spacing w:after="0"/>
        <w:rPr>
          <w:sz w:val="20"/>
          <w:szCs w:val="20"/>
          <w:color w:val="auto"/>
        </w:rPr>
      </w:pPr>
      <w:r>
        <w:rPr>
          <w:rFonts w:ascii="Courier New" w:cs="Courier New" w:eastAsia="Courier New" w:hAnsi="Courier New"/>
          <w:sz w:val="16"/>
          <w:szCs w:val="16"/>
          <w:color w:val="auto"/>
        </w:rPr>
        <w:t>24</w:t>
      </w:r>
    </w:p>
    <w:p>
      <w:pPr>
        <w:spacing w:after="0" w:line="200" w:lineRule="exact"/>
        <w:rPr>
          <w:sz w:val="20"/>
          <w:szCs w:val="20"/>
          <w:color w:val="auto"/>
        </w:rPr>
      </w:pPr>
    </w:p>
    <w:p>
      <w:pPr>
        <w:spacing w:after="0" w:line="358"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THE SCOTTS COMPANY</w:t>
      </w:r>
    </w:p>
    <w:p>
      <w:pPr>
        <w:spacing w:after="0" w:line="188"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QUARTERLY REPORT ON FORM 10-Q FOR</w:t>
      </w:r>
    </w:p>
    <w:p>
      <w:pPr>
        <w:spacing w:after="0" w:line="4"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FISCAL QUARTER ENDED June 28, 1997</w:t>
      </w:r>
    </w:p>
    <w:p>
      <w:pPr>
        <w:spacing w:after="0" w:line="373"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019"/>
          </w:cols>
          <w:pgMar w:left="440" w:top="30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line="13"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479"/>
        <w:spacing w:after="0"/>
        <w:rPr>
          <w:sz w:val="20"/>
          <w:szCs w:val="20"/>
          <w:color w:val="auto"/>
        </w:rPr>
      </w:pPr>
      <w:r>
        <w:rPr>
          <w:rFonts w:ascii="Courier New" w:cs="Courier New" w:eastAsia="Courier New" w:hAnsi="Courier New"/>
          <w:sz w:val="16"/>
          <w:szCs w:val="16"/>
          <w:color w:val="auto"/>
        </w:rPr>
        <w:t>Page</w:t>
      </w:r>
    </w:p>
    <w:p>
      <w:pPr>
        <w:spacing w:after="0" w:line="4" w:lineRule="exact"/>
        <w:rPr>
          <w:sz w:val="20"/>
          <w:szCs w:val="20"/>
          <w:color w:val="auto"/>
        </w:rPr>
      </w:pPr>
    </w:p>
    <w:p>
      <w:pPr>
        <w:jc w:val="center"/>
        <w:ind w:right="1479"/>
        <w:spacing w:after="0"/>
        <w:rPr>
          <w:sz w:val="20"/>
          <w:szCs w:val="20"/>
          <w:color w:val="auto"/>
        </w:rPr>
      </w:pPr>
      <w:r>
        <w:rPr>
          <w:rFonts w:ascii="Courier New" w:cs="Courier New" w:eastAsia="Courier New" w:hAnsi="Courier New"/>
          <w:sz w:val="16"/>
          <w:szCs w:val="16"/>
          <w:color w:val="auto"/>
        </w:rPr>
        <w:t>Number</w:t>
      </w:r>
    </w:p>
    <w:p>
      <w:pPr>
        <w:spacing w:after="0" w:line="4" w:lineRule="exact"/>
        <w:rPr>
          <w:sz w:val="20"/>
          <w:szCs w:val="20"/>
          <w:color w:val="auto"/>
        </w:rPr>
      </w:pPr>
    </w:p>
    <w:p>
      <w:pPr>
        <w:jc w:val="center"/>
        <w:ind w:right="1479"/>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sectPr>
          <w:pgSz w:w="11900" w:h="16838" w:orient="portrait"/>
          <w:cols w:equalWidth="0" w:num="3">
            <w:col w:w="2340" w:space="720"/>
            <w:col w:w="4180" w:space="720"/>
            <w:col w:w="2059"/>
          </w:cols>
          <w:pgMar w:left="440" w:top="300" w:right="1440" w:bottom="1440" w:gutter="0" w:footer="0" w:header="0"/>
          <w:type w:val="continuous"/>
        </w:sectPr>
      </w:pPr>
    </w:p>
    <w:p>
      <w:pPr>
        <w:ind w:left="280"/>
        <w:spacing w:after="0"/>
        <w:rPr>
          <w:sz w:val="20"/>
          <w:szCs w:val="20"/>
          <w:color w:val="auto"/>
        </w:rPr>
      </w:pPr>
      <w:r>
        <w:rPr>
          <w:rFonts w:ascii="Courier New" w:cs="Courier New" w:eastAsia="Courier New" w:hAnsi="Courier New"/>
          <w:sz w:val="16"/>
          <w:szCs w:val="16"/>
          <w:color w:val="auto"/>
        </w:rPr>
        <w:t>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Financial Data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24</w:t>
      </w:r>
    </w:p>
    <w:p>
      <w:pPr>
        <w:spacing w:after="0" w:line="209" w:lineRule="exact"/>
        <w:rPr>
          <w:sz w:val="20"/>
          <w:szCs w:val="20"/>
          <w:color w:val="auto"/>
        </w:rPr>
      </w:pPr>
    </w:p>
    <w:p>
      <w:pPr>
        <w:sectPr>
          <w:pgSz w:w="11900" w:h="16838" w:orient="portrait"/>
          <w:cols w:equalWidth="0" w:num="3">
            <w:col w:w="1860" w:space="720"/>
            <w:col w:w="4860" w:space="720"/>
            <w:col w:w="1859"/>
          </w:cols>
          <w:pgMar w:left="440" w:top="300" w:right="1440" w:bottom="1440" w:gutter="0" w:footer="0" w:header="0"/>
          <w:type w:val="continuous"/>
        </w:sectPr>
      </w:pPr>
    </w:p>
    <w:p>
      <w:pPr>
        <w:spacing w:after="0" w:line="35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Page 24</w:t>
      </w:r>
    </w:p>
    <w:p>
      <w:pPr>
        <w:sectPr>
          <w:pgSz w:w="11900" w:h="16838" w:orient="portrait"/>
          <w:cols w:equalWidth="0" w:num="1">
            <w:col w:w="10019"/>
          </w:cols>
          <w:pgMar w:left="440" w:top="300" w:right="1440" w:bottom="1440" w:gutter="0" w:footer="0" w:header="0"/>
          <w:type w:val="continuous"/>
        </w:sectPr>
      </w:pPr>
    </w:p>
    <w:bookmarkStart w:id="25" w:name="page26"/>
    <w:bookmarkEnd w:id="25"/>
    <w:p>
      <w:pPr>
        <w:ind w:left="80"/>
        <w:spacing w:after="0"/>
        <w:rPr>
          <w:sz w:val="20"/>
          <w:szCs w:val="20"/>
          <w:color w:val="auto"/>
        </w:rPr>
      </w:pPr>
      <w:r>
        <w:rPr>
          <w:rFonts w:ascii="Courier New" w:cs="Courier New" w:eastAsia="Courier New" w:hAnsi="Courier New"/>
          <w:sz w:val="16"/>
          <w:szCs w:val="16"/>
          <w:color w:val="auto"/>
        </w:rPr>
        <w:t>5</w:t>
      </w:r>
    </w:p>
    <w:p>
      <w:pPr>
        <w:spacing w:after="0" w:line="190" w:lineRule="exact"/>
        <w:rPr>
          <w:sz w:val="20"/>
          <w:szCs w:val="20"/>
          <w:color w:val="auto"/>
        </w:rPr>
      </w:pPr>
    </w:p>
    <w:p>
      <w:pPr>
        <w:ind w:right="2799"/>
        <w:spacing w:after="0" w:line="243"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CONSOLIDATED BALANCE SHEET AND CONSOLIDATED STATEMENT OF OPERATIONS OF THE SCOTTS COMPANY AND IS QUALIFIED IN ITS ENTIRETY BY REFERENCE TO THE FORM 10-Q FOR THE QUARTER ENDED JUNE 28, 1997.</w:t>
      </w:r>
    </w:p>
    <w:p>
      <w:pPr>
        <w:spacing w:after="0" w:line="188"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1000000</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U.S DOLLARS</w:t>
      </w:r>
    </w:p>
    <w:p>
      <w:pPr>
        <w:spacing w:after="0" w:line="373"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9-MOS</w:t>
      </w:r>
    </w:p>
    <w:p>
      <w:pPr>
        <w:spacing w:after="0" w:line="4"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SEP-30-1997</w:t>
      </w:r>
    </w:p>
    <w:p>
      <w:pPr>
        <w:spacing w:after="0" w:line="4"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OCT-01-1996</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JUN-28-1997</w:t>
      </w:r>
    </w:p>
    <w:p>
      <w:pPr>
        <w:spacing w:after="0" w:line="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28</w:t>
      </w:r>
    </w:p>
    <w:p>
      <w:pPr>
        <w:spacing w:after="0" w:line="4"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147</w:t>
      </w:r>
    </w:p>
    <w:p>
      <w:pPr>
        <w:spacing w:after="0" w:line="4"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6"/>
          <w:szCs w:val="16"/>
          <w:color w:val="auto"/>
        </w:rPr>
        <w:t>6</w:t>
      </w:r>
    </w:p>
    <w:p>
      <w:pPr>
        <w:spacing w:after="0" w:line="4"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6"/>
          <w:szCs w:val="16"/>
          <w:color w:val="auto"/>
        </w:rPr>
        <w:t>152</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344</w:t>
      </w:r>
    </w:p>
    <w:p>
      <w:pPr>
        <w:spacing w:after="0" w:line="4"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239</w:t>
      </w: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103</w:t>
      </w: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832</w:t>
      </w:r>
    </w:p>
    <w:p>
      <w:pPr>
        <w:spacing w:after="0" w:line="4"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163</w:t>
      </w:r>
    </w:p>
    <w:p>
      <w:pPr>
        <w:spacing w:after="0" w:line="4"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177</w:t>
      </w:r>
    </w:p>
    <w:p>
      <w:pPr>
        <w:spacing w:after="0" w:line="4"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218</w:t>
      </w:r>
    </w:p>
    <w:p>
      <w:pPr>
        <w:spacing w:after="0" w:line="4"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832</w:t>
      </w:r>
    </w:p>
    <w:p>
      <w:pPr>
        <w:spacing w:after="0" w:line="4"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745</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747</w:t>
      </w:r>
    </w:p>
    <w:p>
      <w:pPr>
        <w:spacing w:after="0" w:line="4"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463</w:t>
      </w:r>
    </w:p>
    <w:p>
      <w:pPr>
        <w:spacing w:after="0" w:line="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647</w:t>
      </w: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4</w:t>
      </w: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21</w:t>
      </w: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76</w:t>
      </w:r>
    </w:p>
    <w:p>
      <w:pPr>
        <w:spacing w:after="0" w:line="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33</w:t>
      </w:r>
    </w:p>
    <w:p>
      <w:pPr>
        <w:spacing w:after="0" w:line="4"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43</w:t>
      </w:r>
    </w:p>
    <w:p>
      <w:pPr>
        <w:spacing w:after="0" w:line="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43</w:t>
      </w: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1.47</w:t>
      </w: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1.47</w:t>
      </w:r>
    </w:p>
    <w:sectPr>
      <w:pgSz w:w="11900" w:h="16838" w:orient="portrait"/>
      <w:cols w:equalWidth="0" w:num="1">
        <w:col w:w="10199"/>
      </w:cols>
      <w:pgMar w:left="260" w:top="5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abstractNum>
  <w:abstractNum w:abstractNumId="5">
    <w:nsid w:val="4DB127F8"/>
    <w:multiLevelType w:val="hybridMultilevel"/>
    <w:lvl w:ilvl="0">
      <w:lvlJc w:val="left"/>
      <w:lvlText w:val="%1."/>
      <w:numFmt w:val="decimal"/>
      <w:start w:val="3"/>
    </w:lvl>
  </w:abstractNum>
  <w:abstractNum w:abstractNumId="6">
    <w:nsid w:val="216231B"/>
    <w:multiLevelType w:val="hybridMultilevel"/>
    <w:lvl w:ilvl="0">
      <w:lvlJc w:val="left"/>
      <w:lvlText w:val="%1."/>
      <w:numFmt w:val="decimal"/>
      <w:start w:val="5"/>
    </w:lvl>
  </w:abstractNum>
  <w:abstractNum w:abstractNumId="7">
    <w:nsid w:val="1F16E9E8"/>
    <w:multiLevelType w:val="hybridMultilevel"/>
    <w:lvl w:ilvl="0">
      <w:lvlJc w:val="left"/>
      <w:lvlText w:val="%1."/>
      <w:numFmt w:val="decimal"/>
      <w:start w:val="6"/>
    </w:lvl>
  </w:abstractNum>
  <w:abstractNum w:abstractNumId="8">
    <w:nsid w:val="1190CDE7"/>
    <w:multiLevelType w:val="hybridMultilevel"/>
    <w:lvl w:ilvl="0">
      <w:lvlJc w:val="left"/>
      <w:lvlText w:val="%1."/>
      <w:numFmt w:val="decimal"/>
      <w:start w:val="7"/>
    </w:lvl>
  </w:abstractNum>
  <w:abstractNum w:abstractNumId="9">
    <w:nsid w:val="66EF438D"/>
    <w:multiLevelType w:val="hybridMultilevel"/>
    <w:lvl w:ilvl="0">
      <w:lvlJc w:val="left"/>
      <w:lvlText w:val="%1."/>
      <w:numFmt w:val="decimal"/>
      <w:start w:val="8"/>
    </w:lvl>
  </w:abstractNum>
  <w:abstractNum w:abstractNumId="10">
    <w:nsid w:val="140E0F76"/>
    <w:multiLevelType w:val="hybridMultilevel"/>
    <w:lvl w:ilvl="0">
      <w:lvlJc w:val="left"/>
      <w:lvlText w:val="%1."/>
      <w:numFmt w:val="decimal"/>
      <w:start w:val="9"/>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2019-12-20T06:35:09Z</dcterms:created>
  <dcterms:modified xsi:type="dcterms:W3CDTF">2019-12-20T06:35:09Z</dcterms:modified>
</cp:coreProperties>
</file>