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BARRY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President and COO</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03/08/2013</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03/08/2013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3"/>
              </w:rPr>
              <w:t>137.875</w:t>
            </w:r>
            <w:r>
              <w:rPr>
                <w:rFonts w:ascii="Arial" w:cs="Arial" w:eastAsia="Arial" w:hAnsi="Arial"/>
                <w:sz w:val="22"/>
                <w:szCs w:val="22"/>
                <w:color w:val="008000"/>
                <w:w w:val="93"/>
                <w:vertAlign w:val="superscript"/>
              </w:rPr>
              <w:t>(1)</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46.636</w:t>
            </w:r>
          </w:p>
        </w:tc>
        <w:tc>
          <w:tcPr>
            <w:tcW w:w="122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19,922.461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03/08/2013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jc w:val="center"/>
              <w:ind w:right="298"/>
              <w:spacing w:after="0"/>
              <w:rPr>
                <w:sz w:val="20"/>
                <w:szCs w:val="20"/>
                <w:color w:val="auto"/>
              </w:rPr>
            </w:pPr>
            <w:r>
              <w:rPr>
                <w:rFonts w:ascii="Arial" w:cs="Arial" w:eastAsia="Arial" w:hAnsi="Arial"/>
                <w:sz w:val="14"/>
                <w:szCs w:val="14"/>
                <w:color w:val="0000FF"/>
              </w:rPr>
              <w:t>A</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0000FF"/>
              </w:rPr>
              <w:t>3.3588</w:t>
            </w: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46.9024</w:t>
            </w:r>
          </w:p>
        </w:tc>
        <w:tc>
          <w:tcPr>
            <w:tcW w:w="122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0000FF"/>
              </w:rPr>
              <w:t>494.3513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common shares of the Issuer ("Common Shares") represented by amount credited to the benchmark Company stock fund within the reporting person's bookkeeping account under The Scotts Company LLC Executive Retirement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were acquired pursuant to the dividend reinvestment feature of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03/12/2013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2019-12-23T22:39:17Z</dcterms:created>
  <dcterms:modified xsi:type="dcterms:W3CDTF">2019-12-23T22:39:17Z</dcterms:modified>
</cp:coreProperties>
</file>