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79"/>
        <w:spacing w:after="0"/>
        <w:rPr>
          <w:sz w:val="20"/>
          <w:szCs w:val="20"/>
          <w:color w:val="auto"/>
        </w:rPr>
      </w:pPr>
      <w:r>
        <w:rPr>
          <w:rFonts w:ascii="Courier New" w:cs="Courier New" w:eastAsia="Courier New" w:hAnsi="Courier New"/>
          <w:sz w:val="17"/>
          <w:szCs w:val="17"/>
          <w:color w:val="auto"/>
        </w:rPr>
        <w:t>UNITED STATES</w:t>
      </w:r>
    </w:p>
    <w:p>
      <w:pPr>
        <w:spacing w:after="0" w:line="5"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5"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7"/>
          <w:szCs w:val="17"/>
          <w:color w:val="auto"/>
        </w:rPr>
        <w:t>WASHINGTON, D.C. 20549</w:t>
      </w:r>
    </w:p>
    <w:p>
      <w:pPr>
        <w:spacing w:after="0" w:line="203" w:lineRule="exact"/>
        <w:rPr>
          <w:sz w:val="24"/>
          <w:szCs w:val="24"/>
          <w:color w:val="auto"/>
        </w:rPr>
      </w:pPr>
    </w:p>
    <w:p>
      <w:pPr>
        <w:ind w:left="3600"/>
        <w:spacing w:after="0"/>
        <w:rPr>
          <w:sz w:val="20"/>
          <w:szCs w:val="20"/>
          <w:color w:val="auto"/>
        </w:rPr>
      </w:pPr>
      <w:r>
        <w:rPr>
          <w:rFonts w:ascii="Courier New" w:cs="Courier New" w:eastAsia="Courier New" w:hAnsi="Courier New"/>
          <w:sz w:val="17"/>
          <w:szCs w:val="17"/>
          <w:color w:val="auto"/>
        </w:rPr>
        <w:t>FORM 10-K</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(Mark One)</w:t>
      </w:r>
    </w:p>
    <w:p>
      <w:pPr>
        <w:spacing w:after="0" w:line="203" w:lineRule="exact"/>
        <w:rPr>
          <w:sz w:val="24"/>
          <w:szCs w:val="24"/>
          <w:color w:val="auto"/>
        </w:rPr>
      </w:pPr>
    </w:p>
    <w:p>
      <w:pPr>
        <w:ind w:left="620" w:right="2179" w:hanging="614"/>
        <w:spacing w:after="0" w:line="247" w:lineRule="auto"/>
        <w:tabs>
          <w:tab w:leader="none" w:pos="208"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X ) ANNUAL REPORT PURSUANT TO SECTION 13 or 15(d) OF THE SECURITIES EXCHANGE ACT OF 1934</w:t>
      </w:r>
    </w:p>
    <w:p>
      <w:pPr>
        <w:spacing w:after="0" w:line="198" w:lineRule="exact"/>
        <w:rPr>
          <w:sz w:val="24"/>
          <w:szCs w:val="24"/>
          <w:color w:val="auto"/>
        </w:rPr>
      </w:pPr>
    </w:p>
    <w:p>
      <w:pPr>
        <w:ind w:left="620"/>
        <w:spacing w:after="0"/>
        <w:rPr>
          <w:sz w:val="20"/>
          <w:szCs w:val="20"/>
          <w:color w:val="auto"/>
        </w:rPr>
      </w:pPr>
      <w:r>
        <w:rPr>
          <w:rFonts w:ascii="Courier New" w:cs="Courier New" w:eastAsia="Courier New" w:hAnsi="Courier New"/>
          <w:sz w:val="17"/>
          <w:szCs w:val="17"/>
          <w:color w:val="auto"/>
        </w:rPr>
        <w:t>For the fiscal year ended September 30, 2001</w:t>
      </w:r>
    </w:p>
    <w:p>
      <w:pPr>
        <w:spacing w:after="0" w:line="203" w:lineRule="exact"/>
        <w:rPr>
          <w:sz w:val="24"/>
          <w:szCs w:val="24"/>
          <w:color w:val="auto"/>
        </w:rPr>
      </w:pPr>
    </w:p>
    <w:p>
      <w:pPr>
        <w:ind w:left="4020"/>
        <w:spacing w:after="0"/>
        <w:rPr>
          <w:sz w:val="20"/>
          <w:szCs w:val="20"/>
          <w:color w:val="auto"/>
        </w:rPr>
      </w:pPr>
      <w:r>
        <w:rPr>
          <w:rFonts w:ascii="Courier New" w:cs="Courier New" w:eastAsia="Courier New" w:hAnsi="Courier New"/>
          <w:sz w:val="17"/>
          <w:szCs w:val="17"/>
          <w:color w:val="auto"/>
        </w:rPr>
        <w:t>OR</w:t>
      </w:r>
    </w:p>
    <w:p>
      <w:pPr>
        <w:spacing w:after="0" w:line="203" w:lineRule="exact"/>
        <w:rPr>
          <w:sz w:val="24"/>
          <w:szCs w:val="24"/>
          <w:color w:val="auto"/>
        </w:rPr>
      </w:pPr>
    </w:p>
    <w:p>
      <w:pPr>
        <w:ind w:left="620" w:right="2699" w:hanging="614"/>
        <w:spacing w:after="0" w:line="247" w:lineRule="auto"/>
        <w:tabs>
          <w:tab w:leader="none" w:pos="414"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TRANSITION REPORT PURSUANT TO SECTION 13 or 15(d) OF THE SECURITIES EXCHANGE ACT OF 1934</w:t>
      </w:r>
    </w:p>
    <w:p>
      <w:pPr>
        <w:spacing w:after="0" w:line="198" w:lineRule="exact"/>
        <w:rPr>
          <w:sz w:val="24"/>
          <w:szCs w:val="24"/>
          <w:color w:val="auto"/>
        </w:rPr>
      </w:pPr>
    </w:p>
    <w:p>
      <w:pPr>
        <w:ind w:left="620"/>
        <w:spacing w:after="0"/>
        <w:tabs>
          <w:tab w:leader="none" w:pos="3900" w:val="left"/>
          <w:tab w:leader="none" w:pos="5440" w:val="left"/>
        </w:tabs>
        <w:rPr>
          <w:sz w:val="20"/>
          <w:szCs w:val="20"/>
          <w:color w:val="auto"/>
        </w:rPr>
      </w:pPr>
      <w:r>
        <w:rPr>
          <w:rFonts w:ascii="Courier New" w:cs="Courier New" w:eastAsia="Courier New" w:hAnsi="Courier New"/>
          <w:sz w:val="17"/>
          <w:szCs w:val="17"/>
          <w:color w:val="auto"/>
        </w:rPr>
        <w:t>For the transition period from</w:t>
        <w:tab/>
        <w:t>__________ to</w:t>
        <w:tab/>
        <w:t>__________</w:t>
      </w:r>
    </w:p>
    <w:p>
      <w:pPr>
        <w:spacing w:after="0" w:line="203" w:lineRule="exact"/>
        <w:rPr>
          <w:sz w:val="24"/>
          <w:szCs w:val="24"/>
          <w:color w:val="auto"/>
        </w:rPr>
      </w:pPr>
    </w:p>
    <w:p>
      <w:pPr>
        <w:ind w:left="620"/>
        <w:spacing w:after="0"/>
        <w:rPr>
          <w:sz w:val="20"/>
          <w:szCs w:val="20"/>
          <w:color w:val="auto"/>
        </w:rPr>
      </w:pPr>
      <w:r>
        <w:rPr>
          <w:rFonts w:ascii="Courier New" w:cs="Courier New" w:eastAsia="Courier New" w:hAnsi="Courier New"/>
          <w:sz w:val="17"/>
          <w:szCs w:val="17"/>
          <w:color w:val="auto"/>
        </w:rPr>
        <w:t>Commission file number 1-13292</w:t>
      </w:r>
    </w:p>
    <w:p>
      <w:pPr>
        <w:spacing w:after="0" w:line="5" w:lineRule="exact"/>
        <w:rPr>
          <w:sz w:val="24"/>
          <w:szCs w:val="24"/>
          <w:color w:val="auto"/>
        </w:rPr>
      </w:pPr>
    </w:p>
    <w:p>
      <w:pPr>
        <w:ind w:left="300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4"/>
          <w:szCs w:val="24"/>
          <w:color w:val="auto"/>
        </w:rPr>
      </w:pPr>
    </w:p>
    <w:p>
      <w:pPr>
        <w:ind w:left="3200"/>
        <w:spacing w:after="0"/>
        <w:rPr>
          <w:sz w:val="20"/>
          <w:szCs w:val="20"/>
          <w:color w:val="auto"/>
        </w:rPr>
      </w:pPr>
      <w:r>
        <w:rPr>
          <w:rFonts w:ascii="Courier New" w:cs="Courier New" w:eastAsia="Courier New" w:hAnsi="Courier New"/>
          <w:sz w:val="17"/>
          <w:szCs w:val="17"/>
          <w:color w:val="auto"/>
        </w:rPr>
        <w:t>THE SCOTTS COMPANY</w:t>
      </w:r>
    </w:p>
    <w:p>
      <w:pPr>
        <w:spacing w:after="0" w:line="5" w:lineRule="exact"/>
        <w:rPr>
          <w:sz w:val="24"/>
          <w:szCs w:val="24"/>
          <w:color w:val="auto"/>
        </w:rPr>
      </w:pPr>
    </w:p>
    <w:p>
      <w:pPr>
        <w:ind w:left="220" w:hanging="214"/>
        <w:spacing w:after="0"/>
        <w:tabs>
          <w:tab w:leader="none" w:pos="2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3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(Exact Name of Registrant as Specified in Its Charter)</w:t>
      </w:r>
    </w:p>
    <w:p>
      <w:pPr>
        <w:spacing w:after="0" w:line="200" w:lineRule="exact"/>
        <w:rPr>
          <w:sz w:val="24"/>
          <w:szCs w:val="24"/>
          <w:color w:val="auto"/>
        </w:rPr>
      </w:pPr>
    </w:p>
    <w:p>
      <w:pPr>
        <w:spacing w:after="0" w:line="399" w:lineRule="exact"/>
        <w:rPr>
          <w:sz w:val="24"/>
          <w:szCs w:val="24"/>
          <w:color w:val="auto"/>
        </w:rPr>
      </w:pPr>
    </w:p>
    <w:tbl>
      <w:tblPr>
        <w:tblLayout w:type="fixed"/>
        <w:tblInd w:w="2880" w:type="dxa"/>
        <w:tblCellMar>
          <w:top w:w="0" w:type="dxa"/>
          <w:left w:w="0" w:type="dxa"/>
          <w:bottom w:w="0" w:type="dxa"/>
          <w:right w:w="0" w:type="dxa"/>
        </w:tblCellMar>
      </w:tblPr>
      <w:tr>
        <w:trPr>
          <w:trHeight w:val="193"/>
        </w:trPr>
        <w:tc>
          <w:tcPr>
            <w:tcW w:w="2480" w:type="dxa"/>
            <w:vAlign w:val="bottom"/>
          </w:tcPr>
          <w:p>
            <w:pPr>
              <w:spacing w:after="0"/>
              <w:rPr>
                <w:sz w:val="20"/>
                <w:szCs w:val="20"/>
                <w:color w:val="auto"/>
              </w:rPr>
            </w:pPr>
            <w:r>
              <w:rPr>
                <w:rFonts w:ascii="Courier New" w:cs="Courier New" w:eastAsia="Courier New" w:hAnsi="Courier New"/>
                <w:sz w:val="17"/>
                <w:szCs w:val="17"/>
                <w:color w:val="auto"/>
              </w:rPr>
              <w:t>OHIO</w:t>
            </w:r>
          </w:p>
        </w:tc>
        <w:tc>
          <w:tcPr>
            <w:tcW w:w="3080" w:type="dxa"/>
            <w:vAlign w:val="bottom"/>
          </w:tcPr>
          <w:p>
            <w:pPr>
              <w:jc w:val="right"/>
              <w:spacing w:after="0"/>
              <w:rPr>
                <w:sz w:val="20"/>
                <w:szCs w:val="20"/>
                <w:color w:val="auto"/>
              </w:rPr>
            </w:pPr>
            <w:r>
              <w:rPr>
                <w:rFonts w:ascii="Courier New" w:cs="Courier New" w:eastAsia="Courier New" w:hAnsi="Courier New"/>
                <w:sz w:val="17"/>
                <w:szCs w:val="17"/>
                <w:color w:val="auto"/>
              </w:rPr>
              <w:t>31-1414921</w:t>
            </w:r>
          </w:p>
        </w:tc>
      </w:tr>
    </w:tbl>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4"/>
          <w:szCs w:val="24"/>
          <w:color w:val="auto"/>
        </w:rPr>
      </w:pPr>
    </w:p>
    <w:p>
      <w:pPr>
        <w:ind w:left="620"/>
        <w:spacing w:after="0"/>
        <w:tabs>
          <w:tab w:leader="none" w:pos="6360" w:val="left"/>
        </w:tabs>
        <w:rPr>
          <w:sz w:val="20"/>
          <w:szCs w:val="20"/>
          <w:color w:val="auto"/>
        </w:rPr>
      </w:pPr>
      <w:r>
        <w:rPr>
          <w:rFonts w:ascii="Courier New" w:cs="Courier New" w:eastAsia="Courier New" w:hAnsi="Courier New"/>
          <w:sz w:val="17"/>
          <w:szCs w:val="17"/>
          <w:color w:val="auto"/>
        </w:rPr>
        <w:t>(State or Other Jurisdiction of Incorporation or</w:t>
      </w:r>
      <w:r>
        <w:rPr>
          <w:sz w:val="20"/>
          <w:szCs w:val="20"/>
          <w:color w:val="auto"/>
        </w:rPr>
        <w:tab/>
      </w:r>
      <w:r>
        <w:rPr>
          <w:rFonts w:ascii="Courier New" w:cs="Courier New" w:eastAsia="Courier New" w:hAnsi="Courier New"/>
          <w:sz w:val="17"/>
          <w:szCs w:val="17"/>
          <w:color w:val="auto"/>
        </w:rPr>
        <w:t>(I.R.S. Employer Identification</w:t>
      </w:r>
    </w:p>
    <w:p>
      <w:pPr>
        <w:spacing w:after="0" w:line="5" w:lineRule="exact"/>
        <w:rPr>
          <w:sz w:val="24"/>
          <w:szCs w:val="24"/>
          <w:color w:val="auto"/>
        </w:rPr>
      </w:pPr>
    </w:p>
    <w:p>
      <w:pPr>
        <w:ind w:left="2480"/>
        <w:spacing w:after="0"/>
        <w:tabs>
          <w:tab w:leader="none" w:pos="7700" w:val="left"/>
        </w:tabs>
        <w:rPr>
          <w:sz w:val="20"/>
          <w:szCs w:val="20"/>
          <w:color w:val="auto"/>
        </w:rPr>
      </w:pPr>
      <w:r>
        <w:rPr>
          <w:rFonts w:ascii="Courier New" w:cs="Courier New" w:eastAsia="Courier New" w:hAnsi="Courier New"/>
          <w:sz w:val="17"/>
          <w:szCs w:val="17"/>
          <w:color w:val="auto"/>
        </w:rPr>
        <w:t>Organization)</w:t>
      </w:r>
      <w:r>
        <w:rPr>
          <w:sz w:val="20"/>
          <w:szCs w:val="20"/>
          <w:color w:val="auto"/>
        </w:rPr>
        <w:tab/>
      </w:r>
      <w:r>
        <w:rPr>
          <w:rFonts w:ascii="Courier New" w:cs="Courier New" w:eastAsia="Courier New" w:hAnsi="Courier New"/>
          <w:sz w:val="17"/>
          <w:szCs w:val="17"/>
          <w:color w:val="auto"/>
        </w:rPr>
        <w:t>No.)</w:t>
      </w:r>
    </w:p>
    <w:p>
      <w:pPr>
        <w:spacing w:after="0" w:line="203" w:lineRule="exact"/>
        <w:rPr>
          <w:sz w:val="24"/>
          <w:szCs w:val="24"/>
          <w:color w:val="auto"/>
        </w:rPr>
      </w:pPr>
    </w:p>
    <w:p>
      <w:pPr>
        <w:ind w:left="1040"/>
        <w:spacing w:after="0"/>
        <w:tabs>
          <w:tab w:leader="none" w:pos="7700" w:val="left"/>
        </w:tabs>
        <w:rPr>
          <w:sz w:val="20"/>
          <w:szCs w:val="20"/>
          <w:color w:val="auto"/>
        </w:rPr>
      </w:pPr>
      <w:r>
        <w:rPr>
          <w:rFonts w:ascii="Courier New" w:cs="Courier New" w:eastAsia="Courier New" w:hAnsi="Courier New"/>
          <w:sz w:val="17"/>
          <w:szCs w:val="17"/>
          <w:color w:val="auto"/>
        </w:rPr>
        <w:t>14111 SCOTTSLAWN ROAD, MARYSVILLE, OHIO</w:t>
      </w:r>
      <w:r>
        <w:rPr>
          <w:sz w:val="20"/>
          <w:szCs w:val="20"/>
          <w:color w:val="auto"/>
        </w:rPr>
        <w:tab/>
      </w:r>
      <w:r>
        <w:rPr>
          <w:rFonts w:ascii="Courier New" w:cs="Courier New" w:eastAsia="Courier New" w:hAnsi="Courier New"/>
          <w:sz w:val="17"/>
          <w:szCs w:val="17"/>
          <w:color w:val="auto"/>
        </w:rPr>
        <w:t>43041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391" w:lineRule="exact"/>
        <w:rPr>
          <w:sz w:val="24"/>
          <w:szCs w:val="24"/>
          <w:color w:val="auto"/>
        </w:rPr>
      </w:pPr>
    </w:p>
    <w:p>
      <w:pPr>
        <w:ind w:left="1040"/>
        <w:spacing w:after="0"/>
        <w:tabs>
          <w:tab w:leader="none" w:pos="7400" w:val="left"/>
        </w:tabs>
        <w:rPr>
          <w:sz w:val="20"/>
          <w:szCs w:val="20"/>
          <w:color w:val="auto"/>
        </w:rPr>
      </w:pPr>
      <w:r>
        <w:rPr>
          <w:rFonts w:ascii="Courier New" w:cs="Courier New" w:eastAsia="Courier New" w:hAnsi="Courier New"/>
          <w:sz w:val="17"/>
          <w:szCs w:val="17"/>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219"/>
          </w:cols>
          <w:pgMar w:left="240" w:top="643" w:right="1440" w:bottom="0" w:gutter="0" w:footer="0" w:header="0"/>
        </w:sect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381"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937-644-0011</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4"/>
          <w:szCs w:val="24"/>
          <w:color w:val="auto"/>
        </w:rPr>
      </w:pPr>
    </w:p>
    <w:p>
      <w:pPr>
        <w:sectPr>
          <w:pgSz w:w="11900" w:h="16838" w:orient="portrait"/>
          <w:cols w:equalWidth="0" w:num="2">
            <w:col w:w="5260" w:space="300"/>
            <w:col w:w="4659"/>
          </w:cols>
          <w:pgMar w:left="240" w:top="643" w:right="1440" w:bottom="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Securities registered pursuant to Section 12(b) of the Act:</w:t>
      </w:r>
    </w:p>
    <w:p>
      <w:pPr>
        <w:spacing w:after="0" w:line="203" w:lineRule="exact"/>
        <w:rPr>
          <w:sz w:val="24"/>
          <w:szCs w:val="24"/>
          <w:color w:val="auto"/>
        </w:rPr>
      </w:pPr>
    </w:p>
    <w:p>
      <w:pPr>
        <w:jc w:val="center"/>
        <w:ind w:right="9179"/>
        <w:spacing w:after="0"/>
        <w:rPr>
          <w:sz w:val="20"/>
          <w:szCs w:val="20"/>
          <w:color w:val="auto"/>
        </w:rPr>
      </w:pPr>
      <w:r>
        <w:rPr>
          <w:rFonts w:ascii="Courier New" w:cs="Courier New" w:eastAsia="Courier New" w:hAnsi="Courier New"/>
          <w:sz w:val="17"/>
          <w:szCs w:val="17"/>
          <w:color w:val="auto"/>
        </w:rPr>
        <w:t>TITLE OF</w:t>
      </w:r>
    </w:p>
    <w:p>
      <w:pPr>
        <w:spacing w:after="0" w:line="5" w:lineRule="exact"/>
        <w:rPr>
          <w:sz w:val="24"/>
          <w:szCs w:val="24"/>
          <w:color w:val="auto"/>
        </w:rPr>
      </w:pPr>
    </w:p>
    <w:p>
      <w:pPr>
        <w:jc w:val="center"/>
        <w:ind w:right="9179"/>
        <w:spacing w:after="0"/>
        <w:rPr>
          <w:sz w:val="20"/>
          <w:szCs w:val="20"/>
          <w:color w:val="auto"/>
        </w:rPr>
      </w:pPr>
      <w:r>
        <w:rPr>
          <w:rFonts w:ascii="Courier New" w:cs="Courier New" w:eastAsia="Courier New" w:hAnsi="Courier New"/>
          <w:sz w:val="17"/>
          <w:szCs w:val="17"/>
          <w:color w:val="auto"/>
        </w:rPr>
        <w:t>EACH CLASS</w:t>
      </w:r>
    </w:p>
    <w:p>
      <w:pPr>
        <w:spacing w:after="0" w:line="5" w:lineRule="exact"/>
        <w:rPr>
          <w:sz w:val="24"/>
          <w:szCs w:val="24"/>
          <w:color w:val="auto"/>
        </w:rPr>
      </w:pPr>
    </w:p>
    <w:p>
      <w:pPr>
        <w:jc w:val="center"/>
        <w:ind w:right="9179"/>
        <w:spacing w:after="0"/>
        <w:rPr>
          <w:sz w:val="20"/>
          <w:szCs w:val="20"/>
          <w:color w:val="auto"/>
        </w:rPr>
      </w:pPr>
      <w:r>
        <w:rPr>
          <w:rFonts w:ascii="Courier New" w:cs="Courier New" w:eastAsia="Courier New" w:hAnsi="Courier New"/>
          <w:sz w:val="17"/>
          <w:szCs w:val="17"/>
          <w:color w:val="auto"/>
        </w:rPr>
        <w:t>NAME OF</w:t>
      </w:r>
    </w:p>
    <w:p>
      <w:pPr>
        <w:spacing w:after="0" w:line="5" w:lineRule="exact"/>
        <w:rPr>
          <w:sz w:val="24"/>
          <w:szCs w:val="24"/>
          <w:color w:val="auto"/>
        </w:rPr>
      </w:pPr>
    </w:p>
    <w:p>
      <w:pPr>
        <w:jc w:val="center"/>
        <w:ind w:right="9179"/>
        <w:spacing w:after="0"/>
        <w:rPr>
          <w:sz w:val="20"/>
          <w:szCs w:val="20"/>
          <w:color w:val="auto"/>
        </w:rPr>
      </w:pPr>
      <w:r>
        <w:rPr>
          <w:rFonts w:ascii="Courier New" w:cs="Courier New" w:eastAsia="Courier New" w:hAnsi="Courier New"/>
          <w:sz w:val="17"/>
          <w:szCs w:val="17"/>
          <w:color w:val="auto"/>
        </w:rPr>
        <w:t>EACH</w:t>
      </w:r>
    </w:p>
    <w:p>
      <w:pPr>
        <w:spacing w:after="0" w:line="5" w:lineRule="exact"/>
        <w:rPr>
          <w:sz w:val="24"/>
          <w:szCs w:val="24"/>
          <w:color w:val="auto"/>
        </w:rPr>
      </w:pPr>
    </w:p>
    <w:p>
      <w:pPr>
        <w:jc w:val="center"/>
        <w:ind w:right="9179"/>
        <w:spacing w:after="0"/>
        <w:rPr>
          <w:sz w:val="20"/>
          <w:szCs w:val="20"/>
          <w:color w:val="auto"/>
        </w:rPr>
      </w:pPr>
      <w:r>
        <w:rPr>
          <w:rFonts w:ascii="Courier New" w:cs="Courier New" w:eastAsia="Courier New" w:hAnsi="Courier New"/>
          <w:sz w:val="17"/>
          <w:szCs w:val="17"/>
          <w:color w:val="auto"/>
        </w:rPr>
        <w:t>EXCHANGE</w:t>
      </w:r>
    </w:p>
    <w:p>
      <w:pPr>
        <w:spacing w:after="0" w:line="5" w:lineRule="exact"/>
        <w:rPr>
          <w:sz w:val="24"/>
          <w:szCs w:val="24"/>
          <w:color w:val="auto"/>
        </w:rPr>
      </w:pPr>
    </w:p>
    <w:p>
      <w:pPr>
        <w:jc w:val="center"/>
        <w:ind w:right="9179"/>
        <w:spacing w:after="0"/>
        <w:rPr>
          <w:sz w:val="20"/>
          <w:szCs w:val="20"/>
          <w:color w:val="auto"/>
        </w:rPr>
      </w:pPr>
      <w:r>
        <w:rPr>
          <w:rFonts w:ascii="Courier New" w:cs="Courier New" w:eastAsia="Courier New" w:hAnsi="Courier New"/>
          <w:sz w:val="17"/>
          <w:szCs w:val="17"/>
          <w:color w:val="auto"/>
        </w:rPr>
        <w:t>ON WHICH</w:t>
      </w:r>
    </w:p>
    <w:p>
      <w:pPr>
        <w:spacing w:after="0" w:line="5" w:lineRule="exact"/>
        <w:rPr>
          <w:sz w:val="24"/>
          <w:szCs w:val="24"/>
          <w:color w:val="auto"/>
        </w:rPr>
      </w:pPr>
    </w:p>
    <w:p>
      <w:pPr>
        <w:jc w:val="center"/>
        <w:ind w:right="9179"/>
        <w:spacing w:after="0"/>
        <w:rPr>
          <w:sz w:val="20"/>
          <w:szCs w:val="20"/>
          <w:color w:val="auto"/>
        </w:rPr>
      </w:pPr>
      <w:r>
        <w:rPr>
          <w:rFonts w:ascii="Courier New" w:cs="Courier New" w:eastAsia="Courier New" w:hAnsi="Courier New"/>
          <w:sz w:val="17"/>
          <w:szCs w:val="17"/>
          <w:color w:val="auto"/>
        </w:rPr>
        <w:t>REGISTERED</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4"/>
          <w:szCs w:val="24"/>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4"/>
          <w:szCs w:val="24"/>
          <w:color w:val="auto"/>
        </w:rPr>
      </w:pPr>
    </w:p>
    <w:p>
      <w:pPr>
        <w:ind w:left="100"/>
        <w:spacing w:after="0"/>
        <w:rPr>
          <w:sz w:val="20"/>
          <w:szCs w:val="20"/>
          <w:color w:val="auto"/>
        </w:rPr>
      </w:pPr>
      <w:r>
        <w:rPr>
          <w:rFonts w:ascii="Courier New" w:cs="Courier New" w:eastAsia="Courier New" w:hAnsi="Courier New"/>
          <w:sz w:val="17"/>
          <w:szCs w:val="17"/>
          <w:color w:val="auto"/>
        </w:rPr>
        <w:t>- Common</w:t>
      </w:r>
    </w:p>
    <w:p>
      <w:pPr>
        <w:spacing w:after="0" w:line="5" w:lineRule="exact"/>
        <w:rPr>
          <w:sz w:val="24"/>
          <w:szCs w:val="24"/>
          <w:color w:val="auto"/>
        </w:rPr>
      </w:pPr>
    </w:p>
    <w:p>
      <w:pPr>
        <w:jc w:val="center"/>
        <w:ind w:right="9179"/>
        <w:spacing w:after="0"/>
        <w:rPr>
          <w:sz w:val="20"/>
          <w:szCs w:val="20"/>
          <w:color w:val="auto"/>
        </w:rPr>
      </w:pPr>
      <w:r>
        <w:rPr>
          <w:rFonts w:ascii="Courier New" w:cs="Courier New" w:eastAsia="Courier New" w:hAnsi="Courier New"/>
          <w:sz w:val="17"/>
          <w:szCs w:val="17"/>
          <w:color w:val="auto"/>
        </w:rPr>
        <w:t>Shares,</w:t>
      </w:r>
    </w:p>
    <w:p>
      <w:pPr>
        <w:spacing w:after="0" w:line="5" w:lineRule="exact"/>
        <w:rPr>
          <w:sz w:val="24"/>
          <w:szCs w:val="24"/>
          <w:color w:val="auto"/>
        </w:rPr>
      </w:pPr>
    </w:p>
    <w:p>
      <w:pPr>
        <w:jc w:val="center"/>
        <w:ind w:right="9179"/>
        <w:spacing w:after="0"/>
        <w:rPr>
          <w:sz w:val="20"/>
          <w:szCs w:val="20"/>
          <w:color w:val="auto"/>
        </w:rPr>
      </w:pPr>
      <w:r>
        <w:rPr>
          <w:rFonts w:ascii="Courier New" w:cs="Courier New" w:eastAsia="Courier New" w:hAnsi="Courier New"/>
          <w:sz w:val="17"/>
          <w:szCs w:val="17"/>
          <w:color w:val="auto"/>
        </w:rPr>
        <w:t>without</w:t>
      </w:r>
    </w:p>
    <w:p>
      <w:pPr>
        <w:spacing w:after="0" w:line="5" w:lineRule="exact"/>
        <w:rPr>
          <w:sz w:val="24"/>
          <w:szCs w:val="24"/>
          <w:color w:val="auto"/>
        </w:rPr>
      </w:pPr>
    </w:p>
    <w:p>
      <w:pPr>
        <w:jc w:val="center"/>
        <w:ind w:right="9179"/>
        <w:spacing w:after="0"/>
        <w:rPr>
          <w:sz w:val="20"/>
          <w:szCs w:val="20"/>
          <w:color w:val="auto"/>
        </w:rPr>
      </w:pPr>
      <w:r>
        <w:rPr>
          <w:rFonts w:ascii="Courier New" w:cs="Courier New" w:eastAsia="Courier New" w:hAnsi="Courier New"/>
          <w:sz w:val="17"/>
          <w:szCs w:val="17"/>
          <w:color w:val="auto"/>
        </w:rPr>
        <w:t>par value</w:t>
      </w:r>
    </w:p>
    <w:p>
      <w:pPr>
        <w:spacing w:after="0" w:line="5" w:lineRule="exact"/>
        <w:rPr>
          <w:sz w:val="24"/>
          <w:szCs w:val="24"/>
          <w:color w:val="auto"/>
        </w:rPr>
      </w:pPr>
    </w:p>
    <w:p>
      <w:pPr>
        <w:jc w:val="center"/>
        <w:ind w:right="9179"/>
        <w:spacing w:after="0"/>
        <w:rPr>
          <w:sz w:val="20"/>
          <w:szCs w:val="20"/>
          <w:color w:val="auto"/>
        </w:rPr>
      </w:pPr>
      <w:r>
        <w:rPr>
          <w:rFonts w:ascii="Courier New" w:cs="Courier New" w:eastAsia="Courier New" w:hAnsi="Courier New"/>
          <w:sz w:val="17"/>
          <w:szCs w:val="17"/>
          <w:color w:val="auto"/>
        </w:rPr>
        <w:t>New York</w:t>
      </w:r>
    </w:p>
    <w:p>
      <w:pPr>
        <w:spacing w:after="0" w:line="5" w:lineRule="exact"/>
        <w:rPr>
          <w:sz w:val="24"/>
          <w:szCs w:val="24"/>
          <w:color w:val="auto"/>
        </w:rPr>
      </w:pPr>
    </w:p>
    <w:p>
      <w:pPr>
        <w:jc w:val="center"/>
        <w:ind w:right="9179"/>
        <w:spacing w:after="0"/>
        <w:rPr>
          <w:sz w:val="20"/>
          <w:szCs w:val="20"/>
          <w:color w:val="auto"/>
        </w:rPr>
      </w:pPr>
      <w:r>
        <w:rPr>
          <w:rFonts w:ascii="Courier New" w:cs="Courier New" w:eastAsia="Courier New" w:hAnsi="Courier New"/>
          <w:sz w:val="17"/>
          <w:szCs w:val="17"/>
          <w:color w:val="auto"/>
        </w:rPr>
        <w:t>Stock</w:t>
      </w:r>
    </w:p>
    <w:p>
      <w:pPr>
        <w:spacing w:after="0" w:line="5" w:lineRule="exact"/>
        <w:rPr>
          <w:sz w:val="24"/>
          <w:szCs w:val="24"/>
          <w:color w:val="auto"/>
        </w:rPr>
      </w:pPr>
    </w:p>
    <w:p>
      <w:pPr>
        <w:jc w:val="center"/>
        <w:ind w:right="9179"/>
        <w:spacing w:after="0"/>
        <w:rPr>
          <w:sz w:val="20"/>
          <w:szCs w:val="20"/>
          <w:color w:val="auto"/>
        </w:rPr>
      </w:pPr>
      <w:r>
        <w:rPr>
          <w:rFonts w:ascii="Courier New" w:cs="Courier New" w:eastAsia="Courier New" w:hAnsi="Courier New"/>
          <w:sz w:val="17"/>
          <w:szCs w:val="17"/>
          <w:color w:val="auto"/>
        </w:rPr>
        <w:t>Exchange</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Securities registered pursuant to Section 12(g) of the Act: NONE</w:t>
      </w:r>
    </w:p>
    <w:p>
      <w:pPr>
        <w:spacing w:after="0" w:line="203" w:lineRule="exact"/>
        <w:rPr>
          <w:sz w:val="24"/>
          <w:szCs w:val="24"/>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_ .</w:t>
      </w:r>
    </w:p>
    <w:p>
      <w:pPr>
        <w:spacing w:after="0" w:line="201" w:lineRule="exact"/>
        <w:rPr>
          <w:sz w:val="24"/>
          <w:szCs w:val="24"/>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201" w:lineRule="exact"/>
        <w:rPr>
          <w:sz w:val="24"/>
          <w:szCs w:val="24"/>
          <w:color w:val="auto"/>
        </w:rPr>
      </w:pPr>
    </w:p>
    <w:p>
      <w:pPr>
        <w:ind w:right="2699"/>
        <w:spacing w:after="0" w:line="247" w:lineRule="auto"/>
        <w:rPr>
          <w:sz w:val="20"/>
          <w:szCs w:val="20"/>
          <w:color w:val="auto"/>
        </w:rPr>
      </w:pPr>
      <w:r>
        <w:rPr>
          <w:rFonts w:ascii="Courier New" w:cs="Courier New" w:eastAsia="Courier New" w:hAnsi="Courier New"/>
          <w:sz w:val="17"/>
          <w:szCs w:val="17"/>
          <w:color w:val="auto"/>
        </w:rPr>
        <w:t>The aggregate market value of Common Shares held by non-affiliates of the registrant at November 27, 2001 was $844,217,245.</w:t>
      </w:r>
    </w:p>
    <w:p>
      <w:pPr>
        <w:sectPr>
          <w:pgSz w:w="11900" w:h="16838" w:orient="portrait"/>
          <w:cols w:equalWidth="0" w:num="1">
            <w:col w:w="10219"/>
          </w:cols>
          <w:pgMar w:left="240" w:top="643" w:right="1440" w:bottom="0" w:gutter="0" w:footer="0" w:header="0"/>
          <w:type w:val="continuous"/>
        </w:sectPr>
      </w:pPr>
    </w:p>
    <w:bookmarkStart w:id="1" w:name="page2"/>
    <w:bookmarkEnd w:id="1"/>
    <w:p>
      <w:pPr>
        <w:ind w:right="2399"/>
        <w:spacing w:after="0" w:line="247" w:lineRule="auto"/>
        <w:rPr>
          <w:sz w:val="20"/>
          <w:szCs w:val="20"/>
          <w:color w:val="auto"/>
        </w:rPr>
      </w:pPr>
      <w:r>
        <w:rPr>
          <w:rFonts w:ascii="Courier New" w:cs="Courier New" w:eastAsia="Courier New" w:hAnsi="Courier New"/>
          <w:sz w:val="17"/>
          <w:szCs w:val="17"/>
          <w:color w:val="auto"/>
        </w:rPr>
        <w:t>The number of Common Shares of the registrant outstanding as of November 27, 2001 was 28,999,727.</w:t>
      </w:r>
    </w:p>
    <w:p>
      <w:pPr>
        <w:spacing w:after="0" w:line="198"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DOCUMENTS INCORPORATED BY REFERENCE:</w:t>
      </w:r>
    </w:p>
    <w:p>
      <w:pPr>
        <w:spacing w:after="0" w:line="203"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PORTIONS OF THE PROXY STATEMENT FOR REGISTRANT'S 2002 ANNUAL MEETING OF SHAREHOLDERS TO BE HELD JANUARY 25, 2002, ARE INCORPORATED BY REFERENCE INTO PART III HEREOF.</w:t>
      </w:r>
    </w:p>
    <w:p>
      <w:pPr>
        <w:sectPr>
          <w:pgSz w:w="11900" w:h="16838" w:orient="portrait"/>
          <w:cols w:equalWidth="0" w:num="1">
            <w:col w:w="10219"/>
          </w:cols>
          <w:pgMar w:left="240" w:top="142" w:right="1440" w:bottom="1440" w:gutter="0" w:footer="0" w:header="0"/>
        </w:sectPr>
      </w:pPr>
    </w:p>
    <w:bookmarkStart w:id="2" w:name="page3"/>
    <w:bookmarkEnd w:id="2"/>
    <w:p>
      <w:pPr>
        <w:ind w:left="3820"/>
        <w:spacing w:after="0"/>
        <w:rPr>
          <w:sz w:val="20"/>
          <w:szCs w:val="20"/>
          <w:color w:val="auto"/>
        </w:rPr>
      </w:pPr>
      <w:r>
        <w:rPr>
          <w:rFonts w:ascii="Courier New" w:cs="Courier New" w:eastAsia="Courier New" w:hAnsi="Courier New"/>
          <w:sz w:val="17"/>
          <w:szCs w:val="17"/>
          <w:color w:val="auto"/>
        </w:rPr>
        <w:t>PART I</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 BUSINESS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Scotts Company, an Ohio corporation, traces its heritage back to a company founded by O.M. Scott in Marysville, Ohio in 1868. In the mid 1900's, we became widely known for the development of quality lawn fertilizers and grass seeds that led to the creation of a new industry -- consumer lawn care. Today, the Turf Builder(R) line of fertilizers, control products, grass seeds and related products makes Scotts(R) the most widely recognized name in lawn care in the United States.</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the 1990's, we significantly expanded our product offering by acquiring two powerful leading brands in the home lawn and garden industry. In 1995, through a merger, we acquired the Miracle-Gro(R) brand, the industry leader in water-soluble garden plant foods. In 1999, we acquired the Ortho(R) brand and added industry-leading pesticides and herbicides to our portfolio. Through other acquisitions, we added soils, growing media, barks and mulches for both the residential and professional markets.</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1997, our presence in Europe expanded with the acquisition of several established brands. We now have a strong presence in the consumer garden business in the United Kingdom, France and Germany, and expect to increase our share in these markets through consumer-focused marketing, a model we have successfully followed in the United States. We also have a strong presence in the professional horticulture market in Europe and intend to aggressively expand our consumer and professional businesses throughout Europe. We also sell consumer lawn and garden products in Latin America, Australia and Japan.</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We are among the most widely recognized marketers and manufacturers of products for lawns, gardens, professional turf and horticulture. We believe that our market leadership is driven by our leading brands, consumer-focused marketing, product performance and extensive relationships with major U.S. retailers. Our portfolio of consumer brands that we believe hold a top one or two leading market share position in their respective U.S. markets includes the following:</w:t>
      </w:r>
    </w:p>
    <w:p>
      <w:pPr>
        <w:spacing w:after="0" w:line="202" w:lineRule="exact"/>
        <w:rPr>
          <w:sz w:val="20"/>
          <w:szCs w:val="20"/>
          <w:color w:val="auto"/>
        </w:rPr>
      </w:pPr>
    </w:p>
    <w:p>
      <w:pPr>
        <w:ind w:left="720" w:hanging="200"/>
        <w:spacing w:after="0"/>
        <w:tabs>
          <w:tab w:leader="none" w:pos="7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Hyponex(R)</w:t>
      </w:r>
    </w:p>
    <w:p>
      <w:pPr>
        <w:spacing w:after="0" w:line="5" w:lineRule="exact"/>
        <w:rPr>
          <w:rFonts w:ascii="Courier New" w:cs="Courier New" w:eastAsia="Courier New" w:hAnsi="Courier New"/>
          <w:sz w:val="17"/>
          <w:szCs w:val="17"/>
          <w:color w:val="auto"/>
        </w:rPr>
      </w:pPr>
    </w:p>
    <w:p>
      <w:pPr>
        <w:ind w:left="720" w:hanging="200"/>
        <w:spacing w:after="0"/>
        <w:tabs>
          <w:tab w:leader="none" w:pos="7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Miracle-Gro(R)</w:t>
      </w:r>
    </w:p>
    <w:p>
      <w:pPr>
        <w:spacing w:after="0" w:line="5" w:lineRule="exact"/>
        <w:rPr>
          <w:rFonts w:ascii="Courier New" w:cs="Courier New" w:eastAsia="Courier New" w:hAnsi="Courier New"/>
          <w:sz w:val="17"/>
          <w:szCs w:val="17"/>
          <w:color w:val="auto"/>
        </w:rPr>
      </w:pPr>
    </w:p>
    <w:p>
      <w:pPr>
        <w:ind w:left="720" w:hanging="200"/>
        <w:spacing w:after="0"/>
        <w:tabs>
          <w:tab w:leader="none" w:pos="7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Ortho(R)</w:t>
      </w:r>
    </w:p>
    <w:p>
      <w:pPr>
        <w:spacing w:after="0" w:line="5" w:lineRule="exact"/>
        <w:rPr>
          <w:rFonts w:ascii="Courier New" w:cs="Courier New" w:eastAsia="Courier New" w:hAnsi="Courier New"/>
          <w:sz w:val="17"/>
          <w:szCs w:val="17"/>
          <w:color w:val="auto"/>
        </w:rPr>
      </w:pPr>
    </w:p>
    <w:p>
      <w:pPr>
        <w:ind w:left="720" w:hanging="200"/>
        <w:spacing w:after="0"/>
        <w:tabs>
          <w:tab w:leader="none" w:pos="7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Osmocote(R)</w:t>
      </w:r>
    </w:p>
    <w:p>
      <w:pPr>
        <w:spacing w:after="0" w:line="5" w:lineRule="exact"/>
        <w:rPr>
          <w:rFonts w:ascii="Courier New" w:cs="Courier New" w:eastAsia="Courier New" w:hAnsi="Courier New"/>
          <w:sz w:val="17"/>
          <w:szCs w:val="17"/>
          <w:color w:val="auto"/>
        </w:rPr>
      </w:pPr>
    </w:p>
    <w:p>
      <w:pPr>
        <w:ind w:left="720" w:hanging="200"/>
        <w:spacing w:after="0"/>
        <w:tabs>
          <w:tab w:leader="none" w:pos="7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Roundup(R)*</w:t>
      </w:r>
    </w:p>
    <w:p>
      <w:pPr>
        <w:spacing w:after="0" w:line="5" w:lineRule="exact"/>
        <w:rPr>
          <w:rFonts w:ascii="Courier New" w:cs="Courier New" w:eastAsia="Courier New" w:hAnsi="Courier New"/>
          <w:sz w:val="17"/>
          <w:szCs w:val="17"/>
          <w:color w:val="auto"/>
        </w:rPr>
      </w:pPr>
    </w:p>
    <w:p>
      <w:pPr>
        <w:ind w:left="720" w:hanging="200"/>
        <w:spacing w:after="0"/>
        <w:tabs>
          <w:tab w:leader="none" w:pos="7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Scotts(R)</w:t>
      </w:r>
    </w:p>
    <w:p>
      <w:pPr>
        <w:spacing w:after="0" w:line="5" w:lineRule="exact"/>
        <w:rPr>
          <w:rFonts w:ascii="Courier New" w:cs="Courier New" w:eastAsia="Courier New" w:hAnsi="Courier New"/>
          <w:sz w:val="17"/>
          <w:szCs w:val="17"/>
          <w:color w:val="auto"/>
        </w:rPr>
      </w:pPr>
    </w:p>
    <w:p>
      <w:pPr>
        <w:ind w:left="720" w:hanging="200"/>
        <w:spacing w:after="0"/>
        <w:tabs>
          <w:tab w:leader="none" w:pos="7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Turf Builder(R)</w:t>
      </w: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Our portfolio of European Union brands includes the following:</w:t>
      </w:r>
    </w:p>
    <w:p>
      <w:pPr>
        <w:spacing w:after="0" w:line="203" w:lineRule="exact"/>
        <w:rPr>
          <w:sz w:val="20"/>
          <w:szCs w:val="20"/>
          <w:color w:val="auto"/>
        </w:rPr>
      </w:pPr>
    </w:p>
    <w:p>
      <w:pPr>
        <w:ind w:left="720" w:hanging="200"/>
        <w:spacing w:after="0"/>
        <w:tabs>
          <w:tab w:leader="none" w:pos="72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Celaflor(R)</w:t>
      </w:r>
    </w:p>
    <w:p>
      <w:pPr>
        <w:spacing w:after="0" w:line="5" w:lineRule="exact"/>
        <w:rPr>
          <w:rFonts w:ascii="Courier New" w:cs="Courier New" w:eastAsia="Courier New" w:hAnsi="Courier New"/>
          <w:sz w:val="17"/>
          <w:szCs w:val="17"/>
          <w:color w:val="auto"/>
        </w:rPr>
      </w:pPr>
    </w:p>
    <w:p>
      <w:pPr>
        <w:ind w:left="720" w:hanging="200"/>
        <w:spacing w:after="0"/>
        <w:tabs>
          <w:tab w:leader="none" w:pos="72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Fertiligene(R)</w:t>
      </w:r>
    </w:p>
    <w:p>
      <w:pPr>
        <w:spacing w:after="0" w:line="5" w:lineRule="exact"/>
        <w:rPr>
          <w:rFonts w:ascii="Courier New" w:cs="Courier New" w:eastAsia="Courier New" w:hAnsi="Courier New"/>
          <w:sz w:val="17"/>
          <w:szCs w:val="17"/>
          <w:color w:val="auto"/>
        </w:rPr>
      </w:pPr>
    </w:p>
    <w:p>
      <w:pPr>
        <w:ind w:left="720" w:hanging="200"/>
        <w:spacing w:after="0"/>
        <w:tabs>
          <w:tab w:leader="none" w:pos="72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KB(R)</w:t>
      </w:r>
    </w:p>
    <w:p>
      <w:pPr>
        <w:spacing w:after="0" w:line="5" w:lineRule="exact"/>
        <w:rPr>
          <w:rFonts w:ascii="Courier New" w:cs="Courier New" w:eastAsia="Courier New" w:hAnsi="Courier New"/>
          <w:sz w:val="17"/>
          <w:szCs w:val="17"/>
          <w:color w:val="auto"/>
        </w:rPr>
      </w:pPr>
    </w:p>
    <w:p>
      <w:pPr>
        <w:ind w:left="720" w:hanging="200"/>
        <w:spacing w:after="0"/>
        <w:tabs>
          <w:tab w:leader="none" w:pos="72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Levington(R)</w:t>
      </w:r>
    </w:p>
    <w:p>
      <w:pPr>
        <w:spacing w:after="0" w:line="5" w:lineRule="exact"/>
        <w:rPr>
          <w:rFonts w:ascii="Courier New" w:cs="Courier New" w:eastAsia="Courier New" w:hAnsi="Courier New"/>
          <w:sz w:val="17"/>
          <w:szCs w:val="17"/>
          <w:color w:val="auto"/>
        </w:rPr>
      </w:pPr>
    </w:p>
    <w:p>
      <w:pPr>
        <w:ind w:left="720" w:hanging="200"/>
        <w:spacing w:after="0"/>
        <w:tabs>
          <w:tab w:leader="none" w:pos="72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Miracle-Gro(R)</w:t>
      </w:r>
    </w:p>
    <w:p>
      <w:pPr>
        <w:spacing w:after="0" w:line="5" w:lineRule="exact"/>
        <w:rPr>
          <w:rFonts w:ascii="Courier New" w:cs="Courier New" w:eastAsia="Courier New" w:hAnsi="Courier New"/>
          <w:sz w:val="17"/>
          <w:szCs w:val="17"/>
          <w:color w:val="auto"/>
        </w:rPr>
      </w:pPr>
    </w:p>
    <w:p>
      <w:pPr>
        <w:ind w:left="720" w:hanging="200"/>
        <w:spacing w:after="0"/>
        <w:tabs>
          <w:tab w:leader="none" w:pos="72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Nexa-Lotte(R)</w:t>
      </w:r>
    </w:p>
    <w:p>
      <w:pPr>
        <w:spacing w:after="0" w:line="5" w:lineRule="exact"/>
        <w:rPr>
          <w:rFonts w:ascii="Courier New" w:cs="Courier New" w:eastAsia="Courier New" w:hAnsi="Courier New"/>
          <w:sz w:val="17"/>
          <w:szCs w:val="17"/>
          <w:color w:val="auto"/>
        </w:rPr>
      </w:pPr>
    </w:p>
    <w:p>
      <w:pPr>
        <w:ind w:left="720" w:hanging="200"/>
        <w:spacing w:after="0"/>
        <w:tabs>
          <w:tab w:leader="none" w:pos="72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Shamrock(R)</w:t>
      </w:r>
    </w:p>
    <w:p>
      <w:pPr>
        <w:spacing w:after="0" w:line="5" w:lineRule="exact"/>
        <w:rPr>
          <w:rFonts w:ascii="Courier New" w:cs="Courier New" w:eastAsia="Courier New" w:hAnsi="Courier New"/>
          <w:sz w:val="17"/>
          <w:szCs w:val="17"/>
          <w:color w:val="auto"/>
        </w:rPr>
      </w:pPr>
    </w:p>
    <w:p>
      <w:pPr>
        <w:ind w:left="720" w:hanging="200"/>
        <w:spacing w:after="0"/>
        <w:tabs>
          <w:tab w:leader="none" w:pos="72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Substral(R)</w:t>
      </w:r>
    </w:p>
    <w:p>
      <w:pPr>
        <w:spacing w:after="0" w:line="5" w:lineRule="exact"/>
        <w:rPr>
          <w:rFonts w:ascii="Courier New" w:cs="Courier New" w:eastAsia="Courier New" w:hAnsi="Courier New"/>
          <w:sz w:val="17"/>
          <w:szCs w:val="17"/>
          <w:color w:val="auto"/>
        </w:rPr>
      </w:pPr>
    </w:p>
    <w:p>
      <w:pPr>
        <w:ind w:left="720" w:hanging="200"/>
        <w:spacing w:after="0"/>
        <w:tabs>
          <w:tab w:leader="none" w:pos="72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Weedol(R)</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ind w:left="220" w:right="2079" w:hanging="214"/>
        <w:spacing w:after="0" w:line="246" w:lineRule="auto"/>
        <w:tabs>
          <w:tab w:leader="none" w:pos="2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Roundup(R) is a registered trademark of Monsanto Technology LLC (an affiliate of Monsanto Company (now known as Pharmacia Corporation)). We market and distribute consumer Roundup(R) products for Monsanto under a long-term marketing agreement. For additional information, please see the discussion under the heading "-- Roundup(R) Marketing Agreement".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BUSINESS SEGMENTS</w:t>
      </w: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We divide our business into three reporting segments:</w:t>
      </w:r>
    </w:p>
    <w:p>
      <w:pPr>
        <w:spacing w:after="0" w:line="203" w:lineRule="exact"/>
        <w:rPr>
          <w:sz w:val="20"/>
          <w:szCs w:val="20"/>
          <w:color w:val="auto"/>
        </w:rPr>
      </w:pPr>
    </w:p>
    <w:p>
      <w:pPr>
        <w:ind w:left="720" w:hanging="200"/>
        <w:spacing w:after="0"/>
        <w:tabs>
          <w:tab w:leader="none" w:pos="7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North American Consumer;</w:t>
      </w:r>
    </w:p>
    <w:p>
      <w:pPr>
        <w:spacing w:after="0" w:line="5" w:lineRule="exact"/>
        <w:rPr>
          <w:rFonts w:ascii="Courier New" w:cs="Courier New" w:eastAsia="Courier New" w:hAnsi="Courier New"/>
          <w:sz w:val="17"/>
          <w:szCs w:val="17"/>
          <w:color w:val="auto"/>
        </w:rPr>
      </w:pPr>
    </w:p>
    <w:p>
      <w:pPr>
        <w:ind w:left="720" w:hanging="200"/>
        <w:spacing w:after="0"/>
        <w:tabs>
          <w:tab w:leader="none" w:pos="7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Global Professional; and</w:t>
      </w:r>
    </w:p>
    <w:p>
      <w:pPr>
        <w:spacing w:after="0" w:line="5" w:lineRule="exact"/>
        <w:rPr>
          <w:rFonts w:ascii="Courier New" w:cs="Courier New" w:eastAsia="Courier New" w:hAnsi="Courier New"/>
          <w:sz w:val="17"/>
          <w:szCs w:val="17"/>
          <w:color w:val="auto"/>
        </w:rPr>
      </w:pPr>
    </w:p>
    <w:p>
      <w:pPr>
        <w:ind w:left="720" w:hanging="200"/>
        <w:spacing w:after="0"/>
        <w:tabs>
          <w:tab w:leader="none" w:pos="7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International Consumer.</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709" w:right="1440" w:bottom="523" w:gutter="0" w:footer="0" w:header="0"/>
        </w:sectPr>
      </w:pPr>
    </w:p>
    <w:bookmarkStart w:id="3" w:name="page4"/>
    <w:bookmarkEnd w:id="3"/>
    <w:p>
      <w:pPr>
        <w:ind w:right="2179"/>
        <w:spacing w:after="0" w:line="246" w:lineRule="auto"/>
        <w:rPr>
          <w:sz w:val="20"/>
          <w:szCs w:val="20"/>
          <w:color w:val="auto"/>
        </w:rPr>
      </w:pPr>
      <w:r>
        <w:rPr>
          <w:rFonts w:ascii="Courier New" w:cs="Courier New" w:eastAsia="Courier New" w:hAnsi="Courier New"/>
          <w:sz w:val="17"/>
          <w:szCs w:val="17"/>
          <w:color w:val="auto"/>
        </w:rPr>
        <w:t>Financial information about these segments for the three years ended September 30, 2001 is presented in Note 20 of the Notes to Consolidated Financial Statements, which are included under Item 8 of this Form 10-K.</w:t>
      </w:r>
    </w:p>
    <w:p>
      <w:pPr>
        <w:spacing w:after="0" w:line="20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NORTH AMERICAN CONSUMER</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In our North American Consumer segment, we manufacture and market products and offer services that provide fast, easy and effective assistance to homeowners who seek to nurture beautiful and weed and pest-free lawns, gardens and indoor plants. These products and services are sold under brand names that people know and trust, and that incorporate many of the best technologies available to us. These products and services include:</w:t>
      </w:r>
    </w:p>
    <w:p>
      <w:pPr>
        <w:spacing w:after="0" w:line="202" w:lineRule="exact"/>
        <w:rPr>
          <w:sz w:val="20"/>
          <w:szCs w:val="20"/>
          <w:color w:val="auto"/>
        </w:rPr>
      </w:pPr>
    </w:p>
    <w:p>
      <w:pPr>
        <w:ind w:right="1979" w:firstLine="412"/>
        <w:spacing w:after="0" w:line="246" w:lineRule="auto"/>
        <w:rPr>
          <w:sz w:val="20"/>
          <w:szCs w:val="20"/>
          <w:color w:val="auto"/>
        </w:rPr>
      </w:pPr>
      <w:r>
        <w:rPr>
          <w:rFonts w:ascii="Courier New" w:cs="Courier New" w:eastAsia="Courier New" w:hAnsi="Courier New"/>
          <w:sz w:val="17"/>
          <w:szCs w:val="17"/>
          <w:color w:val="auto"/>
        </w:rPr>
        <w:t>TURF BUILDER(R). We sell a complete line of granular lawn fertilizer, weed control, pest control and combination products under the Scotts Turf Builder(R) brand name. The Turf Builder(R) line of products is designed to make it easy for do-it-yourself consumers to select and properly apply the right product in the right quantity for their lawns.</w:t>
      </w:r>
    </w:p>
    <w:p>
      <w:pPr>
        <w:spacing w:after="0" w:line="201" w:lineRule="exact"/>
        <w:rPr>
          <w:sz w:val="20"/>
          <w:szCs w:val="20"/>
          <w:color w:val="auto"/>
        </w:rPr>
      </w:pPr>
    </w:p>
    <w:p>
      <w:pPr>
        <w:ind w:right="2179" w:firstLine="412"/>
        <w:spacing w:after="0" w:line="246" w:lineRule="auto"/>
        <w:rPr>
          <w:sz w:val="20"/>
          <w:szCs w:val="20"/>
          <w:color w:val="auto"/>
        </w:rPr>
      </w:pPr>
      <w:r>
        <w:rPr>
          <w:rFonts w:ascii="Courier New" w:cs="Courier New" w:eastAsia="Courier New" w:hAnsi="Courier New"/>
          <w:sz w:val="17"/>
          <w:szCs w:val="17"/>
          <w:color w:val="auto"/>
        </w:rPr>
        <w:t>MIRACLE-GRO(R). We sell a complete line of water-soluble plant foods under the Miracle-Gro(R) brand name. These products are designed to be dissolved in water, creating a diluted nutrient solution which is poured over plants or sprayed through an applicator and rapidly absorbed by a plant's roots and leaves.</w:t>
      </w:r>
    </w:p>
    <w:p>
      <w:pPr>
        <w:spacing w:after="0" w:line="201"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Miracle-Gro(R) products are specially formulated to give different kinds of plants the right kind of nutrition. While Miracle-Gro(R) All-Purpose Water-Soluble Plant food is the leading product in the Miracle-Gro(R) line by market share, the Miracle-Gro(R) line includes other products such as Miracle-Gro(R) Rose Plant Food, Miracle-Gro(R) Tomato Plant Food, Miracle-Gro(R) Lawn Food and Miracle-Gro Bloom Booster(R). Miracle-Gro continues to look for ways to improve the convenience of its products for the consumer. The Miracle-Gro(R) Garden Feeder provides consumers with an easy, fast and effective way to feed all the plants in their garden. We are also introducing a high quality, slow release line of Miracle-Gro(R) plant foods for extended feeding convenience.</w:t>
      </w:r>
    </w:p>
    <w:p>
      <w:pPr>
        <w:spacing w:after="0" w:line="200" w:lineRule="exact"/>
        <w:rPr>
          <w:sz w:val="20"/>
          <w:szCs w:val="20"/>
          <w:color w:val="auto"/>
        </w:rPr>
      </w:pPr>
    </w:p>
    <w:p>
      <w:pPr>
        <w:spacing w:after="0" w:line="202" w:lineRule="exact"/>
        <w:rPr>
          <w:sz w:val="20"/>
          <w:szCs w:val="20"/>
          <w:color w:val="auto"/>
        </w:rPr>
      </w:pPr>
    </w:p>
    <w:p>
      <w:pPr>
        <w:ind w:right="2179" w:firstLine="412"/>
        <w:spacing w:after="0" w:line="246" w:lineRule="auto"/>
        <w:rPr>
          <w:sz w:val="20"/>
          <w:szCs w:val="20"/>
          <w:color w:val="auto"/>
        </w:rPr>
      </w:pPr>
      <w:r>
        <w:rPr>
          <w:rFonts w:ascii="Courier New" w:cs="Courier New" w:eastAsia="Courier New" w:hAnsi="Courier New"/>
          <w:sz w:val="17"/>
          <w:szCs w:val="17"/>
          <w:color w:val="auto"/>
        </w:rPr>
        <w:t>ORTHO(R). We sell a broad line of weed control, indoor and outdoor pest control and plant disease control products under the Ortho(R) brand name. Ortho(R) products are available in aerosol, liquid ready-to-use, concentrated, granular and dust forms.</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Ortho(R) products include Weed-B-Gon(R) to control weeds, Brush-B-Gon(R) to control brush, and Bug-B-Gon(R), RosePride(R), Ortho-Klor(R), Ant-Stop(R), Orthene(R) Fire Ant control, Ortho(R) Home Defense(R) and Flea-B-Gon(R) to control pests.</w:t>
      </w:r>
    </w:p>
    <w:p>
      <w:pPr>
        <w:spacing w:after="0" w:line="200" w:lineRule="exact"/>
        <w:rPr>
          <w:sz w:val="20"/>
          <w:szCs w:val="20"/>
          <w:color w:val="auto"/>
        </w:rPr>
      </w:pPr>
    </w:p>
    <w:p>
      <w:pPr>
        <w:ind w:right="1979" w:firstLine="412"/>
        <w:spacing w:after="0" w:line="246" w:lineRule="auto"/>
        <w:rPr>
          <w:sz w:val="20"/>
          <w:szCs w:val="20"/>
          <w:color w:val="auto"/>
        </w:rPr>
      </w:pPr>
      <w:r>
        <w:rPr>
          <w:rFonts w:ascii="Courier New" w:cs="Courier New" w:eastAsia="Courier New" w:hAnsi="Courier New"/>
          <w:sz w:val="17"/>
          <w:szCs w:val="17"/>
          <w:color w:val="auto"/>
        </w:rPr>
        <w:t>GROWING MEDIA. We sell a complete line of growing media products for indoor and outdoor uses under the Miracle-Gro(R), Scotts(R), Hyponex(R) and EarthGro(R) brand names, as well as other labels. These products include retail potting soils, garden soils, topsoil, manures, sphagnum peat and decorative barks and mulches. The addition of Miracle-Gro(R) fertilizers to potting soils and garden soils have turned low-margin commodity products into value-added brand leaders.</w:t>
      </w:r>
    </w:p>
    <w:p>
      <w:pPr>
        <w:spacing w:after="0" w:line="202" w:lineRule="exact"/>
        <w:rPr>
          <w:sz w:val="20"/>
          <w:szCs w:val="20"/>
          <w:color w:val="auto"/>
        </w:rPr>
      </w:pPr>
    </w:p>
    <w:p>
      <w:pPr>
        <w:ind w:right="2079" w:firstLine="412"/>
        <w:spacing w:after="0" w:line="246" w:lineRule="auto"/>
        <w:rPr>
          <w:sz w:val="20"/>
          <w:szCs w:val="20"/>
          <w:color w:val="auto"/>
        </w:rPr>
      </w:pPr>
      <w:r>
        <w:rPr>
          <w:rFonts w:ascii="Courier New" w:cs="Courier New" w:eastAsia="Courier New" w:hAnsi="Courier New"/>
          <w:sz w:val="17"/>
          <w:szCs w:val="17"/>
          <w:color w:val="auto"/>
        </w:rPr>
        <w:t>SCOTTS LAWNSERVICE(R). In addition to our products, we provide residential lawn care, tree and shrub care and external pest control services through our Scotts LawnService(R) business. These services consist primarily of fertilizer, weed control, pest control and disease control applications.</w:t>
      </w:r>
    </w:p>
    <w:p>
      <w:pPr>
        <w:spacing w:after="0" w:line="200" w:lineRule="exact"/>
        <w:rPr>
          <w:sz w:val="20"/>
          <w:szCs w:val="20"/>
          <w:color w:val="auto"/>
        </w:rPr>
      </w:pPr>
    </w:p>
    <w:p>
      <w:pPr>
        <w:ind w:right="2079" w:firstLine="412"/>
        <w:spacing w:after="0" w:line="246" w:lineRule="auto"/>
        <w:rPr>
          <w:sz w:val="20"/>
          <w:szCs w:val="20"/>
          <w:color w:val="auto"/>
        </w:rPr>
      </w:pPr>
      <w:r>
        <w:rPr>
          <w:rFonts w:ascii="Courier New" w:cs="Courier New" w:eastAsia="Courier New" w:hAnsi="Courier New"/>
          <w:sz w:val="17"/>
          <w:szCs w:val="17"/>
          <w:color w:val="auto"/>
        </w:rPr>
        <w:t>ROUNDUP(R). In 1998, we entered into a long-term marketing agreement with Monsanto and became Monsanto's exclusive agent for the marketing and distribution of consumer Roundup(R) non-selective herbicide products in the consumer lawn and garden market within the United States and certain other specified countries, including Australia, Austria, Canada, France, Germany and the United Kingdom. For additional information, please see the discussion under the heading "-- Roundup(R) Marketing Agreement".</w:t>
      </w:r>
    </w:p>
    <w:p>
      <w:pPr>
        <w:spacing w:after="0" w:line="202" w:lineRule="exact"/>
        <w:rPr>
          <w:sz w:val="20"/>
          <w:szCs w:val="20"/>
          <w:color w:val="auto"/>
        </w:rPr>
      </w:pPr>
    </w:p>
    <w:p>
      <w:pPr>
        <w:ind w:right="1979" w:firstLine="412"/>
        <w:spacing w:after="0" w:line="246" w:lineRule="auto"/>
        <w:rPr>
          <w:sz w:val="20"/>
          <w:szCs w:val="20"/>
          <w:color w:val="auto"/>
        </w:rPr>
      </w:pPr>
      <w:r>
        <w:rPr>
          <w:rFonts w:ascii="Courier New" w:cs="Courier New" w:eastAsia="Courier New" w:hAnsi="Courier New"/>
          <w:sz w:val="17"/>
          <w:szCs w:val="17"/>
          <w:color w:val="auto"/>
        </w:rPr>
        <w:t>OTHER PRODUCTS. We manufacture and market three lines of high quality lawn spreaders under the Scotts(R) brand name: SpeedyGreen(R) rotary spreaders, AccuGreen(R) drop spreaders and Handy Green(R) II lawn spreaders. We sell a line of hose-end applicators for water-soluble plant foods like Miracle-Gro(R) products, and lines of applicators under the Ortho(R), Dial 'n Spray(R), Whirlybird(R) and Pull 'N Spray(R) trademarks for the application of certain insect control products. We also sell numerous varieties and blends of high quality grass seed, many of them proprietary, designed for different conditions and</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709" w:right="1440" w:bottom="0" w:gutter="0" w:footer="0" w:header="0"/>
        </w:sectPr>
      </w:pPr>
    </w:p>
    <w:bookmarkStart w:id="4" w:name="page5"/>
    <w:bookmarkEnd w:id="4"/>
    <w:p>
      <w:pPr>
        <w:ind w:right="2179"/>
        <w:spacing w:after="0" w:line="247" w:lineRule="auto"/>
        <w:rPr>
          <w:sz w:val="20"/>
          <w:szCs w:val="20"/>
          <w:color w:val="auto"/>
        </w:rPr>
      </w:pPr>
      <w:r>
        <w:rPr>
          <w:rFonts w:ascii="Courier New" w:cs="Courier New" w:eastAsia="Courier New" w:hAnsi="Courier New"/>
          <w:sz w:val="17"/>
          <w:szCs w:val="17"/>
          <w:color w:val="auto"/>
        </w:rPr>
        <w:t>geographies. These consumer grass seed products are sold under the Scotts Pure Premium(R), Scotts Turf Builder(R), Scotts(R) and PatchMaster(R) brands.</w:t>
      </w:r>
    </w:p>
    <w:p>
      <w:pPr>
        <w:spacing w:after="0" w:line="198" w:lineRule="exact"/>
        <w:rPr>
          <w:sz w:val="20"/>
          <w:szCs w:val="20"/>
          <w:color w:val="auto"/>
        </w:rPr>
      </w:pPr>
    </w:p>
    <w:p>
      <w:pPr>
        <w:ind w:right="2079" w:firstLine="412"/>
        <w:spacing w:after="0" w:line="246" w:lineRule="auto"/>
        <w:rPr>
          <w:sz w:val="20"/>
          <w:szCs w:val="20"/>
          <w:color w:val="auto"/>
        </w:rPr>
      </w:pPr>
      <w:r>
        <w:rPr>
          <w:rFonts w:ascii="Courier New" w:cs="Courier New" w:eastAsia="Courier New" w:hAnsi="Courier New"/>
          <w:sz w:val="17"/>
          <w:szCs w:val="17"/>
          <w:color w:val="auto"/>
        </w:rPr>
        <w:t>LICENSED PRODUCTS. We have granted several royalty-bearing licenses to use the Scotts(R) trademark, including: a license to Union Tools, Inc. for use on garden tools; a license to Home Depot U.S.A., Inc. under which Home Depot markets a line of motorized, walk-behind lawn mowers and tillers; and a license under which Home Depot markets a line of high quality, riding/tractor lawn mowers currently manufactured by Deere &amp; Company.</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GLOBAL PROFESSIONAL</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Through our Global Professional segment, we sell professional products to commercial nurseries, greenhouses, landscape service providers and specialty crop growers in North America and internationally in many locations including Africa, Australia, the Caribbean, the European Union, Japan, Latin America, the Middle East, New Zealand and Southeast Asia.</w:t>
      </w:r>
    </w:p>
    <w:p>
      <w:pPr>
        <w:spacing w:after="0" w:line="201"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We also sell a broad line of sophisticated controlled-release fertilizers, water-soluble fertilizers, pesticide products, wetting agents and growing media products to international professional customers under brand names that include Banrot(R), Metro-Mix(R), Miracle-Gro(R), Osmocote(R), Peters(R), Poly-S(R), Rout(R), ScottKote(R), Shamrock(R) and Sierra(R).</w:t>
      </w:r>
    </w:p>
    <w:p>
      <w:pPr>
        <w:spacing w:after="0" w:line="201"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For information concerning risks attendant to our foreign operations, please see "ITEM 7. MANAGEMENT'S DISCUSSION AND ANALYSIS OF FINANCIAL CONDITION AND RESULTS OF OPERATIONS -- Forward-Looking Statements."</w:t>
      </w:r>
    </w:p>
    <w:p>
      <w:pPr>
        <w:spacing w:after="0" w:line="20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INTERNATIONAL CONSUMER</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In our International Consumer segment, we sell consumer lawn and garden products in over 25 countries outside of North America. Our International Consumer segment also manages and markets the consumer Roundup(R) business with Monsanto outside of North America under a long-term marketing agreement. For additional information, please see the discussion under the heading "-- Roundup(R) Marketing Agreement".</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Our international consumer products and brand names vary from country to country depending upon the market conditions, brand name strength and the nature of our strategic relationships in a given country. In the United Kingdom, we sell Miracle-Gro(R) plant fertilizers, Weedol(R) and Pathclear(R) herbicides, EverGreen(R) lawn fertilizer and Levington(R) growing media. Our other international brands include KB(R) and Fertiligene(R) in France, Celaflor(R), Nexa-Lotte(R) and Substral(R) in Germany and Austria, and ASEF(R), KB(R) and Substral(R) in the Benelux countries.</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For information concerning risks attendant to our foreign operations, please see "ITEM 7. MANAGEMENT'S DISCUSSION AND ANALYSIS OF FINANCIAL CONDITION AND RESULTS OF OPERATIONS -- Forward-Looking Statements."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RESEARCH AND DEVELOPMENT</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We believe strongly in the benefits of research and development, and we continually invest in research and development to improve our existing products, manufacturing processes, and packaging and delivery systems, and to develop new products, manufacturing processes, and packaging and product delivery systems. In fiscal years 2001, 2000 and 1999, we spent nearly $24.7 million (1.4% of our net sales), $24.1 million (1.4% of our net sales) and $21.7 million (1.3% of our net sales), respectively, on research and development including environmental and regulatory expenses. We believe that our long-standing commitment to innovation has benefited us, as evidenced by a portfolio of patents worldwide which support most of our fertilizers and many of our grass seeds and application devices. In addition to the benefits of our own research and development, we benefit from the research and development activities of our suppliers.</w:t>
      </w:r>
    </w:p>
    <w:p>
      <w:pPr>
        <w:spacing w:after="0" w:line="206"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Our research and development headquarters for North America are located at the Dwight G. Scott Research Center in Marysville, Ohio. We also have research and development facilities in Levington, the United Kingdom; Ecully, France; Ingelheim, Germany; Heerlen, the Netherlands and Sydney, Australia, as well as several research field stations located throughout the United States.</w:t>
      </w:r>
    </w:p>
    <w:p>
      <w:pPr>
        <w:spacing w:after="0" w:line="201"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709" w:right="1440" w:bottom="919" w:gutter="0" w:footer="0" w:header="0"/>
        </w:sectPr>
      </w:pPr>
    </w:p>
    <w:bookmarkStart w:id="5" w:name="page6"/>
    <w:bookmarkEnd w:id="5"/>
    <w:p>
      <w:pPr>
        <w:spacing w:after="0"/>
        <w:rPr>
          <w:sz w:val="20"/>
          <w:szCs w:val="20"/>
          <w:color w:val="auto"/>
        </w:rPr>
      </w:pPr>
      <w:r>
        <w:rPr>
          <w:rFonts w:ascii="Courier New" w:cs="Courier New" w:eastAsia="Courier New" w:hAnsi="Courier New"/>
          <w:sz w:val="17"/>
          <w:szCs w:val="17"/>
          <w:color w:val="auto"/>
        </w:rPr>
        <w:t>BIOTECHNOLOGY</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In addition to our traditional research and development activities, we are currently conducting biotechnology research with the goal of developing turfgrass varieties and plants that consumers could find more desirable than conventionally developed varieties. Before a product enhanced by biotechnology may be sold in the United States, it must be "deregulated" by appropriate governmental agencies. We have not submitted a petition for deregulation with regard to any such product; however, we intend to submit a petition for deregulation of a creeping bentgrass product enhanced by biotechnology in the near future. There can be no assurance that if we submit a petition for deregulation of this bentgrass product or any other product enhanced by biotechnology, the petition will be approved, or that if approved and commercially introduced by us, any such product will generate any revenues for us or contribute to our earnings. As with all products commercially introduced by us, any product enhanced by biotechnology will meet and may exceed all legally required testing and safety standards prior to introduction.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TRADEMARKS, PATENTS AND LICENSES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Scotts(R), Miracle-Gro(R), Hyponex(R) and Ortho(R) brand names and logos, as well as a number of product trademarks, including Turf Builder(R), Osmocote(R) and Peters(R), are federally and/or internationally registered and are considered material to our business. We regularly monitor our trademark registrations, which are generally effective for ten years, so that we can renew those nearing expiration.</w:t>
      </w:r>
    </w:p>
    <w:p>
      <w:pPr>
        <w:spacing w:after="0" w:line="202"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As of September 30, 2001, we held over 90 issued patents in the United States covering fertilizer, chemical and growing media compositions and processes, grasses and application devices. Many of these patents have also issued in numerous countries around the world, bringing our total worldwide patents to more than 300. International patents are subject to annual renewal, with patent protection generally extending to 20 years from the date of filing. Many of our patents extend well into the next decade. In addition, we continue to file new patent applications each year. Currently, we have over 190 pending patent applications worldwide. We also hold exclusive and non-exclusive patent licenses from various raw material suppliers, permitting the use and sale of additional patented fertilizers and pesticides.</w:t>
      </w:r>
    </w:p>
    <w:p>
      <w:pPr>
        <w:spacing w:after="0" w:line="204" w:lineRule="exact"/>
        <w:rPr>
          <w:sz w:val="20"/>
          <w:szCs w:val="20"/>
          <w:color w:val="auto"/>
        </w:rPr>
      </w:pPr>
    </w:p>
    <w:p>
      <w:pPr>
        <w:ind w:right="2399" w:firstLine="515"/>
        <w:spacing w:after="0" w:line="246" w:lineRule="auto"/>
        <w:rPr>
          <w:sz w:val="20"/>
          <w:szCs w:val="20"/>
          <w:color w:val="auto"/>
        </w:rPr>
      </w:pPr>
      <w:r>
        <w:rPr>
          <w:rFonts w:ascii="Courier New" w:cs="Courier New" w:eastAsia="Courier New" w:hAnsi="Courier New"/>
          <w:sz w:val="17"/>
          <w:szCs w:val="17"/>
          <w:color w:val="auto"/>
        </w:rPr>
        <w:t>During fiscal year 2001, we were granted a number of new U.S. patents covering methylene-urea and coated fertilizers, as well as novel application devices and growing media compositions.</w:t>
      </w:r>
    </w:p>
    <w:p>
      <w:pPr>
        <w:spacing w:after="0" w:line="200"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One of our material methylene-urea patents expired in July 2001. This product composition patent covered Scotts Turf Builder(R), Scotts Turf Builder(R) with Plus 2(R) Weed Control and Scotts Turf Builder(R) with Halts(R) Crabgrass Control, among other products. These products are also the subject of a separate patent extending to 2010, which covers the current and preferred manufacturing method for producing these products. Although these products possibly could be manufactured by an alternative method, we believe that the higher manufacturing costs to replicate these products and the strength of the Scotts(R) brand should lessen the likelihood of product duplication by any competitor.</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ROUNDUP(R) MARKETING AGREEMENT</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On September 30, 1998, we entered into a marketing agreement with Monsanto and became Monsanto's exclusive agent for the marketing and distribution of consumer Roundup(R) products in the consumer lawn and garden market within the United States and other specified countries, including Australia, Austria, Canada, France, Germany and the United Kingdom. In addition, if Monsanto develops new products containing glyphosate, the active ingredient in Roundup(R), or other non-selective herbicides, we have specified rights to market these products in the consumer lawn and garden market. Glyphosate is no longer subject to patent in the United States or elsewhere.</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Under the marketing agreement, we and Monsanto jointly develop global consumer and trade marketing programs for Roundup(R). We have assumed responsibility for sales support, merchandising, distribution and logistics. Monsanto continues to own the consumer Roundup(R) business and provides significant oversight of its brand. In addition, Monsanto continues to own and operate the agricultural Roundup(R) business. A Steering Committee comprised of two Scotts designees and two Monsanto designees has ultimate oversight over the consumer Roundup(R) business. In the event of a deadlock, the president of Monsanto's agricultural division is entitled to the tie-breaking vote.</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709" w:right="1440" w:bottom="127" w:gutter="0" w:footer="0" w:header="0"/>
        </w:sectPr>
      </w:pPr>
    </w:p>
    <w:bookmarkStart w:id="6" w:name="page7"/>
    <w:bookmarkEnd w:id="6"/>
    <w:p>
      <w:pPr>
        <w:ind w:right="1979" w:firstLine="515"/>
        <w:spacing w:after="0" w:line="246" w:lineRule="auto"/>
        <w:rPr>
          <w:sz w:val="20"/>
          <w:szCs w:val="20"/>
          <w:color w:val="auto"/>
        </w:rPr>
      </w:pPr>
      <w:r>
        <w:rPr>
          <w:rFonts w:ascii="Courier New" w:cs="Courier New" w:eastAsia="Courier New" w:hAnsi="Courier New"/>
          <w:sz w:val="17"/>
          <w:szCs w:val="17"/>
          <w:color w:val="auto"/>
        </w:rPr>
        <w:t>We are compensated under the marketing agreement based on the success of the consumer Roundup(R) business in the markets covered by the agreement. In addition to recovering out-of-pocket costs on a fully burdened basis, we receive a graduated commission to the extent that the earnings before interest and taxes of the consumer Roundup(R) business in the included markets exceed specified thresholds. Regardless of these earnings, we are required to make an annual contribution payment against the overall expenses of the Roundup(R) business. For fiscal year 2001, this contribution payment was $15 million and for fiscal year 2002, it will be $20 million. Beginning in fiscal year 2003 until 2018 or the earlier termination of the agreement, the contribution payment will be $25 million and may be higher if certain significant earnings targets are achieved.</w:t>
      </w:r>
    </w:p>
    <w:p>
      <w:pPr>
        <w:spacing w:after="0" w:line="204"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Our net commission under the marketing agreement is equal to the graduated commission amount described above less the applicable contribution payment and amortization of the marketing rights advance payment. The net commission is the amount that we actually recognize on our consolidated statements of operations. For fiscal year 2001, the net commission was $20.8 million. See Note 3 of the Notes to Consolidated Financial Statements, which are included under Item 8 of this Form 10-K.</w:t>
      </w:r>
    </w:p>
    <w:p>
      <w:pPr>
        <w:spacing w:after="0" w:line="202"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The marketing agreement has no definite term, except as it relates to the European Union countries. With respect to the European Union countries, the initial term of the marketing agreement extends through September 30, 2005. After September 30, 2005, the parties may agree to renew the agreement with respect to the European Union countries for three successive terms ending on September 30, 2008, 2015 and 2018, respectively. However, if Monsanto does not agree to any of the extension periods with respect to the European Union countries, the commission structure will be recalculated in a manner likely to be favorable to us.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Monsanto has the right to terminate the marketing agreement upon certain specified events of default by Scotts, including uncured material breach, material fraud, material misconduct or egregious injury to the Roundup(R) brand. Monsanto also has the right to terminate the agreement upon a change of control of Monsanto or the sale of the consumer Roundup(R) business, so long as the termination occurs later than September 30, 2003. In addition, Monsanto may terminate the agreement within specified regions, including North America, for specified declines in the consumer Roundup(R) business.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We have rights similar to Monsanto's to terminate the marketing agreement upon an uncured material breach, material fraud or material willful misconduct by Monsanto. In addition, we may terminate the agreement upon Monsanto's sale of the consumer Roundup(R) business or in certain other circumstances, although we would then lose the termination fee described below.</w:t>
      </w:r>
    </w:p>
    <w:p>
      <w:pPr>
        <w:spacing w:after="0" w:line="201"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If Monsanto terminates the marketing agreement upon a change of control of Monsanto or the sale of the consumer Roundup(R) business, or if we terminate the agreement upon an uncured material breach, material fraud or material willful misconduct by Monsanto, we will be entitled to receive a termination fee of up to $185 million if the termination occurs prior to September 30, 2003, with the termination fee declining over time to $100 million if the termination occurs prior to September 30, 2008.</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Monsanto has agreed to provide us with notice of any proposed sale of the consumer Roundup(R) business, allow us to participate in the sale process and negotiate in good faith with us with respect to a sale. If the sale is run as an auction, we would be entitled to a 15-day exclusive negotiation period following the submission of all bids to Monsanto. In the event that we acquire the consumer Roundup(R) business in such a sale, we would receive credit against the purchase price in the amount of the termination fee that would otherwise have been paid to us upon termination by Monsanto of the marketing agreement upon the sale. If Monsanto decides to sell the consumer Roundup(R) business to another party, we must let Monsanto know whether we intend to terminate the marketing agreement and forfeit any right to a termination fee or whether we will agree to continue to perform under the agreement on behalf of the purchaser, unless and until the purchaser terminates our services and pays the applicable termination fee.</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COMPETITION</w:t>
      </w:r>
    </w:p>
    <w:p>
      <w:pPr>
        <w:spacing w:after="0" w:line="203"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Each of our segments participates in markets that are highly competitive. Many of our competitors sell their products at prices lower than ours, and we compete primarily on the basis of product quality, product performance, value, brand strength and advertising.</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709" w:right="1440" w:bottom="325" w:gutter="0" w:footer="0" w:header="0"/>
        </w:sectPr>
      </w:pPr>
    </w:p>
    <w:bookmarkStart w:id="7" w:name="page8"/>
    <w:bookmarkEnd w:id="7"/>
    <w:p>
      <w:pPr>
        <w:ind w:right="1979" w:firstLine="515"/>
        <w:spacing w:after="0" w:line="246" w:lineRule="auto"/>
        <w:rPr>
          <w:sz w:val="20"/>
          <w:szCs w:val="20"/>
          <w:color w:val="auto"/>
        </w:rPr>
      </w:pPr>
      <w:r>
        <w:rPr>
          <w:rFonts w:ascii="Courier New" w:cs="Courier New" w:eastAsia="Courier New" w:hAnsi="Courier New"/>
          <w:sz w:val="17"/>
          <w:szCs w:val="17"/>
          <w:color w:val="auto"/>
        </w:rPr>
        <w:t>In the North American consumer do-it-yourself lawn and garden markets and pest control market, we compete against "control label" products as well as branded products. "Control label" products are those sold under a retailer-owned label or a supplier-owned label, which are sold exclusively at a specific retail chain. The control label products that we compete with include Vigoro(R) products sold at Home Depot, Sta-Green(R) products sold at Lowe's, Sam's American Choice(R) products sold at Wal*Mart and KGRO(R) products sold at Kmart. Our competitors in branded lawn and garden products and the consumer pest control market include United Industries Corporation, Pursell Industries, Inc., Bayer AG, Central Garden &amp; Pet Company, Lesco, Inc., Schultz Co., Garden Tech, Enforcer Products, Inc., Green Light Company and Lebanon Chemical Corp. TruGreen-ChemLawn, a division of ServiceMaster, has a majority of the market share in the U.S. lawn care service market and has a substantially larger share of this market than our Scotts LawnService(R). With respect to growing media products, in addition to nationally distributed, branded competitive products, we face competition from regional competitors who are able to compete effectively on the basis of price.</w:t>
      </w:r>
    </w:p>
    <w:p>
      <w:pPr>
        <w:spacing w:after="0" w:line="208"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the North American professional horticulture markets, we face a broad range of competition from numerous companies ranging in size from multi-national chemical and fertilizer companies such as Dow AgroSciences Company, Uniroyal Chemical Corporation and Chisso-Asahi Fertilizer Co. Ltd., to smaller, specialized companies such as Pursell Technologies, Inc., Sun Gro-U.S. (a Division of Hines Horticulture, Inc.) and Fafard, Inc. Some of these competitors have significant financial resources and research departments.</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international professional horticulture markets in which we compete are also very competitive, particularly the markets for controlled-release and water-soluble fertilizer products. We have numerous U.S. and European competitors in these international markets, including Pursell Industries, Inc., Lesco, Inc., Compo GmbH, Norsk Hydro ASA, Haifa Chemicals Ltd. and Kemira Oyj. We also face competition from control label products.</w:t>
      </w:r>
    </w:p>
    <w:p>
      <w:pPr>
        <w:spacing w:after="0" w:line="202" w:lineRule="exact"/>
        <w:rPr>
          <w:sz w:val="20"/>
          <w:szCs w:val="20"/>
          <w:color w:val="auto"/>
        </w:rPr>
      </w:pPr>
    </w:p>
    <w:p>
      <w:pPr>
        <w:jc w:val="both"/>
        <w:ind w:right="2079" w:firstLine="515"/>
        <w:spacing w:after="0" w:line="246" w:lineRule="auto"/>
        <w:rPr>
          <w:sz w:val="20"/>
          <w:szCs w:val="20"/>
          <w:color w:val="auto"/>
        </w:rPr>
      </w:pPr>
      <w:r>
        <w:rPr>
          <w:rFonts w:ascii="Courier New" w:cs="Courier New" w:eastAsia="Courier New" w:hAnsi="Courier New"/>
          <w:sz w:val="17"/>
          <w:szCs w:val="17"/>
          <w:color w:val="auto"/>
        </w:rPr>
        <w:t>Internationally, we face strong competition in the lawn and garden market, particularly in Europe. Our competitors in the European Union include Bayer AG, Kali &amp; Salz (Compo, Algoflash brands) and a variety of local companies.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SIGNIFICANT CUSTOMERS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Seventy-five percent of our worldwide net sales in fiscal year 2001 were made by our North American Consumer segment. Within the North American Consumer segment, 37% of our net sales in fiscal year 2001 were made to Home Depot, 20% to Wal*Mart, 11% to Lowe's and 12% to Kmart. We face strong competition for the business of these significant customers. The loss of any of these significant customers or a substantial decrease in the volume or profitability of our business with any of these customers could have a material adverse affect on our earnings and profits.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STRATEGIC INITIATIVES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SINGLE SALES FORCE/SUPPLY CHAIN</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Prior to fiscal year 2001, our North American operations were aligned in Business Units (e.g. Lawns, Ortho, Gardens, Growing Media) that operated semi-autonomously from each other. Each Business Unit had a separate sales force that contacted a largely common customer base and each Business Unit directed separate marketing campaigns. Supply chain (manufacturing and distribution) activities were also partly autonomous. In order to meet the needs of a changed marketplace, where a few companies comprise a major portion of the retail home and garden market, we redesigned, in fiscal year 2001, the manner in which the Lawns, Ortho and Gardens Business Units go to market with their customers. The Growing Media Business Unit, due to its production and sale of locally produced products, was unaffected by this change.</w:t>
      </w:r>
    </w:p>
    <w:p>
      <w:pPr>
        <w:spacing w:after="0" w:line="204"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 major changes initiated in fiscal year 2001 were the creation of a single sales force aligned around our key customers, a reduction in the use of distributors and agents to service customers, coordination of product warehousing and delivery of ordered products to our customers, and coordination of marketing programs. Further refinement of this process continues in fiscal year 2002 and has led to restructuring charges, as described in more detail under the heading "Strategic Initiatives -- Reduction in</w:t>
      </w:r>
    </w:p>
    <w:p>
      <w:pPr>
        <w:spacing w:after="0" w:line="20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709" w:right="1440" w:bottom="919" w:gutter="0" w:footer="0" w:header="0"/>
        </w:sectPr>
      </w:pPr>
    </w:p>
    <w:bookmarkStart w:id="8" w:name="page9"/>
    <w:bookmarkEnd w:id="8"/>
    <w:p>
      <w:pPr>
        <w:ind w:right="2079"/>
        <w:spacing w:after="0" w:line="247" w:lineRule="auto"/>
        <w:rPr>
          <w:sz w:val="20"/>
          <w:szCs w:val="20"/>
          <w:color w:val="auto"/>
        </w:rPr>
      </w:pPr>
      <w:r>
        <w:rPr>
          <w:rFonts w:ascii="Courier New" w:cs="Courier New" w:eastAsia="Courier New" w:hAnsi="Courier New"/>
          <w:sz w:val="17"/>
          <w:szCs w:val="17"/>
          <w:color w:val="auto"/>
        </w:rPr>
        <w:t>Force/Restructuring" below and in Note 4 of the Notes to Consolidated Financial Statements, which are included under Item 8 of this Form 10-K.</w:t>
      </w:r>
    </w:p>
    <w:p>
      <w:pPr>
        <w:spacing w:after="0" w:line="198"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ENTERPRISE RESOURCE PLANNING ("ERP") SYSTEM</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 consolidation of the sales force and the rationalization of our supply chain could not have been achieved without a robust ERP system. We spent $55 million to acquire and implement SAP software. SAP is intended to enable the smooth coordination of a centralized order entry system, allowing production scheduling through company-owned and outsourced manufacturing facilities, efficient distribution through a network of warehouses around the country, real-time access to our transaction information and a data warehouse to track our business activity. For further information about the implementation of the ERP system, see "ITEM 7. MANAGEMENT'S DISCUSSION AND ANALYSIS OF FINANCIAL CONDITION AND RESULTS OF OPERATIONS."</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REDUCTION IN FORCE/RESTRUCTURING</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During fiscal year 2001, in an effort to improve our profitability and increase our return on invested capital, we decided to close several facilities in the United States and Europe, limit headcount, eliminate redundancy in the North American sales force and supply chain, consolidate the world headquarters and North American headquarters at our main facility in Marysville, Ohio, eliminate certain product lines and reevaluate or exit certain contractual relationships. In the third and fourth quarters of fiscal year 2001, as these decisions were being finalized or, in the case of the headcount limitation, communicated to the affected associates, we recorded restructuring and other charges that totaled $75.7 million. Of these costs, approximately $48 million will require cash outlay and approximately $27 million will be in the form of asset write-downs. Additional costs, estimated at approximately $4.5 million, related to the relocation of employees and equipment and inventory, are expected to be incurred and recorded as expense in fiscal year 2002. Under generally accepted accounting principles, these costs cannot be accrued in advance of when they actually occur. Additional restructuring costs or other charges may be incurred in fiscal year 2002 as our evaluation of operations, profitability and return on invested capital continues.</w:t>
      </w:r>
    </w:p>
    <w:p>
      <w:pPr>
        <w:spacing w:after="0" w:line="209" w:lineRule="exact"/>
        <w:rPr>
          <w:sz w:val="20"/>
          <w:szCs w:val="20"/>
          <w:color w:val="auto"/>
        </w:rPr>
      </w:pPr>
    </w:p>
    <w:p>
      <w:pPr>
        <w:ind w:right="2399" w:firstLine="515"/>
        <w:spacing w:after="0" w:line="246" w:lineRule="auto"/>
        <w:rPr>
          <w:sz w:val="20"/>
          <w:szCs w:val="20"/>
          <w:color w:val="auto"/>
        </w:rPr>
      </w:pPr>
      <w:r>
        <w:rPr>
          <w:rFonts w:ascii="Courier New" w:cs="Courier New" w:eastAsia="Courier New" w:hAnsi="Courier New"/>
          <w:sz w:val="17"/>
          <w:szCs w:val="17"/>
          <w:color w:val="auto"/>
        </w:rPr>
        <w:t>For further information on the restructuring charges recorded in fiscal year 2001, see "ITEM 7. MANAGEMENT'S DISCUSSION AND ANALYSIS OF FINANCIAL CONDITION AND RESULTS OF OPERATIONS" and Note 4 of the Notes to Consolidated Financial Statements, which are included under Item 8 of this Form 10-K.</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SEASONALITY AND BACKLOG</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Our business is highly seasonal with approximately 77% and 75% of our net sales occurring in our second and third fiscal quarters of fiscal years 2001 and 2000, respectively, excluding Roundup(R) product sales. Consistent with prior years, we anticipate that significant orders for the upcoming Spring season will start to be received late in the first fiscal quarter and continue through the Spring season. Historically, substantially all orders are received and shipped within the same fiscal year with minimal carryover of open orders at the end of the fiscal year.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RAW MATERIALS</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We purchase raw materials for our products from various sources that we presently consider to be adequate, and no one source is considered essential to any of our segments or to our business as a whole.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DISTRIBUTION</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primary distribution centers for our North American Consumer businesses are located at or near our manufacturing plants in Marysville, Ohio and Fort Madison, Iowa and contract packaging facilities in Sullivan, Missouri for Ortho(R) and Roundup(R) products and three other contract packaging facilities located throughout the United States for Miracle-Gro(R) products. In addition, we also utilize nine regional distribution centers located in strategic areas across the United States for direct service to customers during problem periods. While the majority of truck shipments are made by contract carriers, a portion is made by our own fleet of leased trucks.</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709" w:right="1440" w:bottom="1117" w:gutter="0" w:footer="0" w:header="0"/>
        </w:sectPr>
      </w:pPr>
    </w:p>
    <w:bookmarkStart w:id="9" w:name="page10"/>
    <w:bookmarkEnd w:id="9"/>
    <w:p>
      <w:pPr>
        <w:ind w:right="1979" w:firstLine="515"/>
        <w:spacing w:after="0" w:line="246" w:lineRule="auto"/>
        <w:rPr>
          <w:sz w:val="20"/>
          <w:szCs w:val="20"/>
          <w:color w:val="auto"/>
        </w:rPr>
      </w:pPr>
      <w:r>
        <w:rPr>
          <w:rFonts w:ascii="Courier New" w:cs="Courier New" w:eastAsia="Courier New" w:hAnsi="Courier New"/>
          <w:sz w:val="17"/>
          <w:szCs w:val="17"/>
          <w:color w:val="auto"/>
        </w:rPr>
        <w:t>Our Global Professional business produces horticultural products at two fertilizer and one growing media manufacturing facilities located in the United States and one fertilizer manufacturing facility located in Heerlen, the Netherlands. The majority of shipments is made via common carriers through distributors in the United States and a network of public warehouses in Europe. Professional products for the United Kingdom market are warehoused and shipped from warehouses in Daventry (Northamptonshire) and Chasetown (Staffordshire), in the United Kingdom.</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Our International Consumer business utilizes production facilities in Howden (East Yorkshire) and Bramford (Suffolk), in the United Kingdom and distributes products for the U.K. markets through the Daventry warehouse. Fertilizers and pesticide products manufactured in Bourth, France are shipped to customers via a central distribution center located in Savigny, France. Growing media products are packaged at Hatfield in the United Kingdom for local delivery and are also produced in Hautmont, France for continental European customers.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EMPLOYEES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As of September 30, 2001, we employed 3,251 full-time workers in the United States and an additional 1,234 full-time employees located outside the United States. During peak production periods, we engage as many as 1,212 temporary workers in the United States and 50 temporary workers internationally.</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None of our U.S. employees are members of a union, with the exception of 26 employees at our Milpitas, California facility, who are represented by the International Chemical Workers Union Council/ United Food and Commercial Workers Union. Approximately 120 of our full-time U.K. employees are members of the Transport and General Workers Union and have full collective bargaining rights. An undisclosed number of our full-time employees at our international headquarters office in Ecully, France are members of the Confederation Generale des Cadres, Confederation Francaise Democratique du Travail and Confederation Generale du Travail, participation in which is confidential under French law. In addition, a number of union and non-union full-time employees are members of works councils at three sites in Bourth, Hautmont and Ecully, France, and a number of non-union employees are members of works councils in Ingelheim, Germany. Works councils represent employees on labor and employment matters and manage social benefits. We consider our current relationships with our employees, both unionized and non-unionized, U.S. and international, to be good.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ENVIRONMENTAL AND REGULATORY CONSIDERATIONS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Local, state, federal and foreign laws and regulations relating to environmental matters affect us in several ways. In the United States, all products containing pesticides must be registered with the United States Environmental Protection Agency ("U.S. EPA") (and similar state agencies) before they can be sold. The inability to obtain or the cancellation of any such registration could have an adverse effect on our business, the severity of which would depend on the products involved, whether another product could be substituted and whether our competitors were similarly affected. We attempt to anticipate regulatory developments and maintain registrations of, and access to, substitute chemicals, but there can be no assurance that we will continue to be able to avoid or minimize these risks. Fertilizer and growing media products are also subject to state and foreign labeling regulations. Our manufacturing operations are subject to waste, water and air quality permitting and other regulatory requirements of federal and state agencies.</w:t>
      </w:r>
    </w:p>
    <w:p>
      <w:pPr>
        <w:spacing w:after="0" w:line="206"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Food Quality Protection Act, enacted by the U.S. Congress in August 1996, establishes a standard for food-use pesticides, which is a reasonable certainty that no harm will result from the cumulative effect of pesticide exposures. Under this act, the U.S. EPA is evaluating the cumulative risks from dietary and non-dietary exposures to pesticides. The pesticides in our products, certain of which may be used on crops processed into various food products, are typically manufactured by independent third parties and continue to be evaluated by the U.S. EPA as part of this exposure risk assessment. The U.S. EPA or the third party registrant may decide that a pesticide we use in our products will be limited or made unavailable to us, such as has occurred in past years with regard to diazinon and chlorpyrifos. We cannot predict the outcome or the severity of the effect of these continuing evaluations.</w:t>
      </w:r>
    </w:p>
    <w:p>
      <w:pPr>
        <w:spacing w:after="0" w:line="20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709" w:right="1440" w:bottom="1440" w:gutter="0" w:footer="0" w:header="0"/>
        </w:sectPr>
      </w:pPr>
    </w:p>
    <w:bookmarkStart w:id="10" w:name="page11"/>
    <w:bookmarkEnd w:id="10"/>
    <w:p>
      <w:pPr>
        <w:ind w:right="1979" w:firstLine="515"/>
        <w:spacing w:after="0" w:line="246" w:lineRule="auto"/>
        <w:rPr>
          <w:sz w:val="20"/>
          <w:szCs w:val="20"/>
          <w:color w:val="auto"/>
        </w:rPr>
      </w:pPr>
      <w:r>
        <w:rPr>
          <w:rFonts w:ascii="Courier New" w:cs="Courier New" w:eastAsia="Courier New" w:hAnsi="Courier New"/>
          <w:sz w:val="17"/>
          <w:szCs w:val="17"/>
          <w:color w:val="auto"/>
        </w:rPr>
        <w:t>In addition, the use of certain pesticide and fertilizer products is regulated by various local, state, federal and foreign environmental and public health agencies. These regulations may include requirements that only certified or professional users apply the product or that certain products be used only on certain types of locations (such as "not for use on sod farms or golf courses"), may require users to post notices on properties to which products have been or will be applied, may require notification of individuals in the vicinity that products will be applied in the future or may ban the use of certain ingredients. We believe we are operating in substantial compliance with, or taking action aimed at ensuring compliance with, these laws and regulations. Compliance with these regulations and the obtaining of registrations does not assure, however, that our products will not cause injury to the environment or to people under all circumstances.</w:t>
      </w:r>
    </w:p>
    <w:p>
      <w:pPr>
        <w:spacing w:after="0" w:line="206"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State and federal authorities generally require growing media facilities to obtain permits (sometimes on an annual basis) in order to harvest peat and to discharge storm water run-off or water pumped from peat deposits. The state permits typically specify the condition in which the property must be left after the peat is fully harvested, with the residual use typically being natural wetland habitats combined with open water areas. We are generally required by these permits to limit our harvesting and to restore the property consistent with the intended residual use. In some locations, these facilities have been required to create water retention ponds to control the sediment content of discharged water.</w:t>
      </w:r>
    </w:p>
    <w:p>
      <w:pPr>
        <w:spacing w:after="0" w:line="204"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Regulations and environmental concerns also exist surrounding peat extraction in the United Kingdom and the European Union. In August 2000, the nature conservation advisory body to the U.K. government notified us that three of our peat harvesting sites in the United Kingdom were under consideration as possible "Special Areas of Conservation" under European Union law. We are currently challenging this consideration. If we are unsuccessful, local planning authorities in the United Kingdom will be required to review the impact of activities likely to affect these areas and it is possible that these authorities could modify or revoke the applicable consents, in which case we believe we should be entitled to compensation and we believe we would have sufficient raw material supplies available to replace the peat produced in such areas.</w:t>
      </w:r>
    </w:p>
    <w:p>
      <w:pPr>
        <w:spacing w:after="0" w:line="205"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During fiscal year 2001, we spent approximately $1.3 million in environmental capital expenditures and $2.1 million in other environmental expenses, compared with approximately $1.2 million in environmental capital expenditures and $1.8 million in other environmental expenses in fiscal year 2000. We anticipate that our environmental capital expenditures and other environmental expenses for fiscal year 2002 will not differ significantly from those incurred in fiscal year 2001.</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REGULATORY ACTIONS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June 1997, the Ohio Environmental Protection Agency ("Ohio EPA") initiated an enforcement action against us with respect to alleged surface water violations and inadequate treatment capabilities at our Marysville facility and seeking corrective action under the federal Resource Conservation Recovery Act. The action relates to several discontinued on-site disposal areas which date back to the early operations of the Marysville facility that we had already been assessing under a voluntary action program of the state. Since initiation of the action, we have continued to meet with the Ohio Attorney General and the Ohio EPA in an effort to complete negotiations of an amicable resolution of these issues. On December 3, 2001, an agreed judicial Consent Order was submitted to the Union County Common Pleas Court. Although this Consent Order is subject to public comment and both parties may withdraw their consent to entry of the Order, we anticipate the Consent Order will be entered by the court in January 2002.</w:t>
      </w:r>
    </w:p>
    <w:p>
      <w:pPr>
        <w:spacing w:after="0" w:line="206"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Once the Consent Order is entered, we will be required to pay a $275,000 fine and satisfactorily remediate the Marysville site. Although a final remediation plan has not yet been fully developed, we have already initiated remediation activities with the knowledge and oversight of the Ohio EPA. We estimate that the possible total cost that could be incurred in connection with this matter is approximately $10 million. We have accrued for the amount we consider to be the most probable and believe the outcome will not differ materially from the amount reserved.</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addition to the dispute with the Ohio EPA, we are negotiating with the Philadelphia District of the U.S. Army Corps of Engineers regarding the possible discontinuation of our peat harvesting operations at our Lafayette, New Jersey facility. We are also addressing remediation concerns raised by the Environment Agency of the United Kingdom with respect to emissions to air and groundwater at our Bramford (Suffolk),</w:t>
      </w:r>
    </w:p>
    <w:p>
      <w:pPr>
        <w:sectPr>
          <w:pgSz w:w="11900" w:h="16838" w:orient="portrait"/>
          <w:cols w:equalWidth="0" w:num="1">
            <w:col w:w="10219"/>
          </w:cols>
          <w:pgMar w:left="240" w:top="709" w:right="1440" w:bottom="125" w:gutter="0" w:footer="0" w:header="0"/>
        </w:sectPr>
      </w:pPr>
    </w:p>
    <w:bookmarkStart w:id="11" w:name="page12"/>
    <w:bookmarkEnd w:id="11"/>
    <w:p>
      <w:pPr>
        <w:ind w:left="2720"/>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ind w:left="282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9019"/>
          </w:cols>
          <w:pgMar w:left="1440" w:top="142" w:right="1440" w:bottom="1440" w:gutter="0" w:footer="0" w:header="0"/>
        </w:sectPr>
      </w:pPr>
    </w:p>
    <w:bookmarkStart w:id="12" w:name="page13"/>
    <w:bookmarkEnd w:id="12"/>
    <w:p>
      <w:pPr>
        <w:ind w:right="2179"/>
        <w:spacing w:after="0" w:line="246" w:lineRule="auto"/>
        <w:rPr>
          <w:sz w:val="20"/>
          <w:szCs w:val="20"/>
          <w:color w:val="auto"/>
        </w:rPr>
      </w:pPr>
      <w:r>
        <w:rPr>
          <w:rFonts w:ascii="Courier New" w:cs="Courier New" w:eastAsia="Courier New" w:hAnsi="Courier New"/>
          <w:sz w:val="17"/>
          <w:szCs w:val="17"/>
          <w:color w:val="auto"/>
        </w:rPr>
        <w:t>United Kingdom facility. We have reserved for our estimates of probable losses to be incurred in connection with each of these matters as of September 30, 2001, but we do not believe that either issue is material.</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We have accrued $7.0 million at September 30, 2001 in connection with the regulatory actions described above and other remediation and similar issues. The significant components of this accrual are:</w:t>
      </w:r>
    </w:p>
    <w:p>
      <w:pPr>
        <w:spacing w:after="0" w:line="200" w:lineRule="exact"/>
        <w:rPr>
          <w:sz w:val="20"/>
          <w:szCs w:val="20"/>
          <w:color w:val="auto"/>
        </w:rPr>
      </w:pPr>
    </w:p>
    <w:p>
      <w:pPr>
        <w:ind w:left="720" w:hanging="200"/>
        <w:spacing w:after="0"/>
        <w:tabs>
          <w:tab w:leader="none" w:pos="7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costs for site remediation of $4.7 million;</w:t>
      </w:r>
    </w:p>
    <w:p>
      <w:pPr>
        <w:spacing w:after="0" w:line="5" w:lineRule="exact"/>
        <w:rPr>
          <w:rFonts w:ascii="Courier New" w:cs="Courier New" w:eastAsia="Courier New" w:hAnsi="Courier New"/>
          <w:sz w:val="17"/>
          <w:szCs w:val="17"/>
          <w:color w:val="auto"/>
        </w:rPr>
      </w:pPr>
    </w:p>
    <w:p>
      <w:pPr>
        <w:ind w:left="720" w:hanging="200"/>
        <w:spacing w:after="0"/>
        <w:tabs>
          <w:tab w:leader="none" w:pos="7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costs for asbestos abatement of $1.8 million; and</w:t>
      </w:r>
    </w:p>
    <w:p>
      <w:pPr>
        <w:spacing w:after="0" w:line="5" w:lineRule="exact"/>
        <w:rPr>
          <w:rFonts w:ascii="Courier New" w:cs="Courier New" w:eastAsia="Courier New" w:hAnsi="Courier New"/>
          <w:sz w:val="17"/>
          <w:szCs w:val="17"/>
          <w:color w:val="auto"/>
        </w:rPr>
      </w:pPr>
    </w:p>
    <w:p>
      <w:pPr>
        <w:ind w:left="720" w:hanging="200"/>
        <w:spacing w:after="0"/>
        <w:tabs>
          <w:tab w:leader="none" w:pos="7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fines and penalties of $0.5 million.</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Most of the costs accrued as of September 30, 2001 are expected to be paid in fiscal year 2002; however, payments are expected to be made through fiscal year 2003 and possibly for a period thereafter. We believe that the amounts accrued as of September 30, 2001 are adequate to cover our known environmental exposures based on current facts and estimates of likely outcome. However, the adequacy of these accruals is based on several significant assumptions:</w:t>
      </w:r>
    </w:p>
    <w:p>
      <w:pPr>
        <w:spacing w:after="0" w:line="202" w:lineRule="exact"/>
        <w:rPr>
          <w:sz w:val="20"/>
          <w:szCs w:val="20"/>
          <w:color w:val="auto"/>
        </w:rPr>
      </w:pPr>
    </w:p>
    <w:p>
      <w:pPr>
        <w:ind w:left="720" w:right="2799" w:hanging="200"/>
        <w:spacing w:after="0" w:line="246" w:lineRule="auto"/>
        <w:tabs>
          <w:tab w:leader="none" w:pos="7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we have identified all of the significant sites that must be remediated;</w:t>
      </w:r>
    </w:p>
    <w:p>
      <w:pPr>
        <w:spacing w:after="0" w:line="1" w:lineRule="exact"/>
        <w:rPr>
          <w:rFonts w:ascii="Courier New" w:cs="Courier New" w:eastAsia="Courier New" w:hAnsi="Courier New"/>
          <w:sz w:val="17"/>
          <w:szCs w:val="17"/>
          <w:color w:val="auto"/>
        </w:rPr>
      </w:pPr>
    </w:p>
    <w:p>
      <w:pPr>
        <w:ind w:left="720" w:right="2079" w:hanging="200"/>
        <w:spacing w:after="0" w:line="246" w:lineRule="auto"/>
        <w:tabs>
          <w:tab w:leader="none" w:pos="7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there are no significant conditions of potential contamination that are unknown to us; and</w:t>
      </w:r>
    </w:p>
    <w:p>
      <w:pPr>
        <w:spacing w:after="0" w:line="1" w:lineRule="exact"/>
        <w:rPr>
          <w:rFonts w:ascii="Courier New" w:cs="Courier New" w:eastAsia="Courier New" w:hAnsi="Courier New"/>
          <w:sz w:val="17"/>
          <w:szCs w:val="17"/>
          <w:color w:val="auto"/>
        </w:rPr>
      </w:pPr>
    </w:p>
    <w:p>
      <w:pPr>
        <w:ind w:left="720" w:right="2499" w:hanging="200"/>
        <w:spacing w:after="0" w:line="246" w:lineRule="auto"/>
        <w:tabs>
          <w:tab w:leader="none" w:pos="7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with respect to the agreed judicial Consent Order in Ohio, that potentially contaminated soil can be remediated in place rather than having to be removed and only specific stream segments will require remediation as opposed to the entire stream.</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If there is a significant change in the facts and circumstances surrounding these assumptions, it could have a material impact on the ultimate outcome of these matters and our results of operations, financial position and cash flows.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FINANCIAL INFORMATION ABOUT GEOGRAPHIC AREAS</w:t>
      </w:r>
    </w:p>
    <w:p>
      <w:pPr>
        <w:spacing w:after="0" w:line="203" w:lineRule="exact"/>
        <w:rPr>
          <w:sz w:val="20"/>
          <w:szCs w:val="20"/>
          <w:color w:val="auto"/>
        </w:rPr>
      </w:pPr>
    </w:p>
    <w:p>
      <w:pPr>
        <w:ind w:right="2079" w:firstLine="515"/>
        <w:spacing w:after="0" w:line="247" w:lineRule="auto"/>
        <w:rPr>
          <w:sz w:val="20"/>
          <w:szCs w:val="20"/>
          <w:color w:val="auto"/>
        </w:rPr>
      </w:pPr>
      <w:r>
        <w:rPr>
          <w:rFonts w:ascii="Courier New" w:cs="Courier New" w:eastAsia="Courier New" w:hAnsi="Courier New"/>
          <w:sz w:val="17"/>
          <w:szCs w:val="17"/>
          <w:color w:val="auto"/>
        </w:rPr>
        <w:t>For certain information concerning our international revenues and long-lived assets, see "ITEM 7. MANAGEMENT'S DISCUSSION AND ANALYSIS OF FINANCIAL CONDITION AND RESULTS OF OPERATIONS" and Note 20 of the Notes to Consolidated Financial Statements, which are included under Item 8 of this Form 10-K.</w:t>
      </w: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2. PROPERTIES</w:t>
      </w: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We have fee or leasehold interests in approximately 120 properties.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We lease land from the Union County Community Improvement Corporation in Marysville, Ohio for our headquarters and the Dwight G. Scott Research Center for our research and development functions. We own property in Marysville, Ohio for our manufacturing and distribution facilities. Combined, these facilities are situated on approximately 875 acres of land. During fiscal year 2001, we leased space in downtown Columbus, Ohio for our World Headquarters office, which we closed in September 2001 and relocated to the Marysville, Ohio facility.</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North American Consumer business utilizes three research facilities. We own one in Apopka, Florida, another in Gervais, Oregon, and lease the third in Waterloo, New York. We also own a production facility which encompasses 27 acres in Fort Madison, Iowa and lease a spreader and other durable components manufacturing facility in Temecula, California. We operate 24 growing media facilities in 21 states; 20 of which are owned by us and four of which are leased. Most of our growing media facilities include production lines, warehouses, offices and field processing areas. As of October 1, 2001, we had one compost facility, located at a bagging facility in Lebanon, Connecticut. We lease property for 38 lawn care service centers in Connecticut, Georgia, Illinois, Indiana, Kansas, Kentucky, Maryland, Michigan, Missouri, Nebraska, New Jersey, Ohio, Pennsylvania and Rhode Island. We also lease sales offices in Atlanta, Georgia; Troy, Michigan; Wilkesboro, North Carolina; Rolling Meadows, Illinois; and Bentonville, Arkansas.</w:t>
      </w:r>
    </w:p>
    <w:p>
      <w:pPr>
        <w:spacing w:after="0" w:line="206" w:lineRule="exact"/>
        <w:rPr>
          <w:sz w:val="20"/>
          <w:szCs w:val="20"/>
          <w:color w:val="auto"/>
        </w:rPr>
      </w:pPr>
    </w:p>
    <w:p>
      <w:pPr>
        <w:ind w:right="2599" w:firstLine="515"/>
        <w:spacing w:after="0" w:line="246" w:lineRule="auto"/>
        <w:rPr>
          <w:sz w:val="20"/>
          <w:szCs w:val="20"/>
          <w:color w:val="auto"/>
        </w:rPr>
      </w:pPr>
      <w:r>
        <w:rPr>
          <w:rFonts w:ascii="Courier New" w:cs="Courier New" w:eastAsia="Courier New" w:hAnsi="Courier New"/>
          <w:sz w:val="17"/>
          <w:szCs w:val="17"/>
          <w:color w:val="auto"/>
        </w:rPr>
        <w:t>The Global Professional business has offices in Marysville, Ohio; and Waardenburg, the Netherlands and a manufacturing facility in Heerlen, the Netherlands. We also lease three manufacturing facilities for professional horticultural products in Milpitas, California; North Charleston, South Carolina; and Travelers Rest, South Carolina.</w:t>
      </w:r>
    </w:p>
    <w:p>
      <w:pPr>
        <w:spacing w:after="0" w:line="201"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709" w:right="1440" w:bottom="721" w:gutter="0" w:footer="0" w:header="0"/>
        </w:sectPr>
      </w:pPr>
    </w:p>
    <w:bookmarkStart w:id="13" w:name="page14"/>
    <w:bookmarkEnd w:id="13"/>
    <w:p>
      <w:pPr>
        <w:ind w:right="1979" w:firstLine="515"/>
        <w:spacing w:after="0" w:line="246" w:lineRule="auto"/>
        <w:rPr>
          <w:sz w:val="20"/>
          <w:szCs w:val="20"/>
          <w:color w:val="auto"/>
        </w:rPr>
      </w:pPr>
      <w:r>
        <w:rPr>
          <w:rFonts w:ascii="Courier New" w:cs="Courier New" w:eastAsia="Courier New" w:hAnsi="Courier New"/>
          <w:sz w:val="17"/>
          <w:szCs w:val="17"/>
          <w:color w:val="auto"/>
        </w:rPr>
        <w:t>The International Consumer business leases its U.K. office, located in Godalming (Surrey); French headquarters and local operations office, located in Ecully; and German office, located in Ingelheim. We own manufacturing facilities in Howden, Hatfield and Swinefleet (East Yorkshire) and Bramford (Suffolk) in the United Kingdom. We also own the Hautmont plant in France, which is a blending and bagging facility for growing media; and a plant in Bourth, France, that we use for formulating, blending and packaging control products for the consumer market. The manufacturing site in Heerlen, the Netherlands is also used to produce and pack coated fertilizers for the consumer market. We maintain a sales and research and development facility at our Ingelheim, Germany site. We lease a sales office in Saint Niklaas, Belgium. As a result of the Ortho acquisition, we acquired a plant in Corwen, United Kingdom.</w:t>
      </w:r>
    </w:p>
    <w:p>
      <w:pPr>
        <w:spacing w:after="0" w:line="205" w:lineRule="exact"/>
        <w:rPr>
          <w:sz w:val="20"/>
          <w:szCs w:val="20"/>
          <w:color w:val="auto"/>
        </w:rPr>
      </w:pPr>
    </w:p>
    <w:p>
      <w:pPr>
        <w:ind w:right="2599" w:firstLine="515"/>
        <w:spacing w:after="0" w:line="247" w:lineRule="auto"/>
        <w:rPr>
          <w:sz w:val="20"/>
          <w:szCs w:val="20"/>
          <w:color w:val="auto"/>
        </w:rPr>
      </w:pPr>
      <w:r>
        <w:rPr>
          <w:rFonts w:ascii="Courier New" w:cs="Courier New" w:eastAsia="Courier New" w:hAnsi="Courier New"/>
          <w:sz w:val="17"/>
          <w:szCs w:val="17"/>
          <w:color w:val="auto"/>
        </w:rPr>
        <w:t>We lease warehouse space throughout the United States and continental Europe as needed.</w:t>
      </w:r>
    </w:p>
    <w:p>
      <w:pPr>
        <w:spacing w:after="0" w:line="198" w:lineRule="exact"/>
        <w:rPr>
          <w:sz w:val="20"/>
          <w:szCs w:val="20"/>
          <w:color w:val="auto"/>
        </w:rPr>
      </w:pPr>
    </w:p>
    <w:p>
      <w:pPr>
        <w:ind w:right="2799" w:firstLine="515"/>
        <w:spacing w:after="0" w:line="246" w:lineRule="auto"/>
        <w:rPr>
          <w:sz w:val="20"/>
          <w:szCs w:val="20"/>
          <w:color w:val="auto"/>
        </w:rPr>
      </w:pPr>
      <w:r>
        <w:rPr>
          <w:rFonts w:ascii="Courier New" w:cs="Courier New" w:eastAsia="Courier New" w:hAnsi="Courier New"/>
          <w:sz w:val="17"/>
          <w:szCs w:val="17"/>
          <w:color w:val="auto"/>
        </w:rPr>
        <w:t>We believe that our facilities are adequate to serve their intended purposes at this time and that our property leasing arrangements are satisfactory.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3. LEGAL PROCEEDINGS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48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As noted in the discussion in "ITEM 1.</w:t>
            </w:r>
          </w:p>
        </w:tc>
        <w:tc>
          <w:tcPr>
            <w:tcW w:w="3660" w:type="dxa"/>
            <w:vAlign w:val="bottom"/>
          </w:tcPr>
          <w:p>
            <w:pPr>
              <w:ind w:left="60"/>
              <w:spacing w:after="0"/>
              <w:rPr>
                <w:sz w:val="20"/>
                <w:szCs w:val="20"/>
                <w:color w:val="auto"/>
              </w:rPr>
            </w:pPr>
            <w:r>
              <w:rPr>
                <w:rFonts w:ascii="Courier New" w:cs="Courier New" w:eastAsia="Courier New" w:hAnsi="Courier New"/>
                <w:sz w:val="17"/>
                <w:szCs w:val="17"/>
                <w:color w:val="auto"/>
              </w:rPr>
              <w:t>BUSINESS -- Environmental and</w:t>
            </w:r>
          </w:p>
        </w:tc>
      </w:tr>
      <w:tr>
        <w:trPr>
          <w:trHeight w:val="198"/>
        </w:trPr>
        <w:tc>
          <w:tcPr>
            <w:tcW w:w="1080" w:type="dxa"/>
            <w:vAlign w:val="bottom"/>
          </w:tcPr>
          <w:p>
            <w:pPr>
              <w:spacing w:after="0"/>
              <w:rPr>
                <w:sz w:val="20"/>
                <w:szCs w:val="20"/>
                <w:color w:val="auto"/>
              </w:rPr>
            </w:pPr>
            <w:r>
              <w:rPr>
                <w:rFonts w:ascii="Courier New" w:cs="Courier New" w:eastAsia="Courier New" w:hAnsi="Courier New"/>
                <w:sz w:val="17"/>
                <w:szCs w:val="17"/>
                <w:color w:val="auto"/>
              </w:rPr>
              <w:t>Regulatory</w:t>
            </w:r>
          </w:p>
        </w:tc>
        <w:tc>
          <w:tcPr>
            <w:tcW w:w="30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Considerations" and "ITEM 1.</w:t>
            </w:r>
          </w:p>
        </w:tc>
        <w:tc>
          <w:tcPr>
            <w:tcW w:w="40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BUSINESS -- Regulatory Actions," we are</w:t>
            </w:r>
          </w:p>
        </w:tc>
      </w:tr>
      <w:tr>
        <w:trPr>
          <w:trHeight w:val="198"/>
        </w:trPr>
        <w:tc>
          <w:tcPr>
            <w:tcW w:w="2840" w:type="dxa"/>
            <w:vAlign w:val="bottom"/>
            <w:gridSpan w:val="2"/>
          </w:tcPr>
          <w:p>
            <w:pPr>
              <w:spacing w:after="0"/>
              <w:rPr>
                <w:sz w:val="20"/>
                <w:szCs w:val="20"/>
                <w:color w:val="auto"/>
              </w:rPr>
            </w:pPr>
            <w:r>
              <w:rPr>
                <w:rFonts w:ascii="Courier New" w:cs="Courier New" w:eastAsia="Courier New" w:hAnsi="Courier New"/>
                <w:sz w:val="17"/>
                <w:szCs w:val="17"/>
                <w:color w:val="auto"/>
              </w:rPr>
              <w:t>involved in several pending</w:t>
            </w:r>
          </w:p>
        </w:tc>
        <w:tc>
          <w:tcPr>
            <w:tcW w:w="530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environmental matters. We believe that our</w:t>
            </w:r>
          </w:p>
        </w:tc>
      </w:tr>
      <w:tr>
        <w:trPr>
          <w:trHeight w:val="198"/>
        </w:trPr>
        <w:tc>
          <w:tcPr>
            <w:tcW w:w="1080" w:type="dxa"/>
            <w:vAlign w:val="bottom"/>
          </w:tcPr>
          <w:p>
            <w:pPr>
              <w:spacing w:after="0"/>
              <w:rPr>
                <w:sz w:val="20"/>
                <w:szCs w:val="20"/>
                <w:color w:val="auto"/>
              </w:rPr>
            </w:pPr>
            <w:r>
              <w:rPr>
                <w:rFonts w:ascii="Courier New" w:cs="Courier New" w:eastAsia="Courier New" w:hAnsi="Courier New"/>
                <w:sz w:val="17"/>
                <w:szCs w:val="17"/>
                <w:color w:val="auto"/>
              </w:rPr>
              <w:t>assessment</w:t>
            </w:r>
          </w:p>
        </w:tc>
        <w:tc>
          <w:tcPr>
            <w:tcW w:w="1760" w:type="dxa"/>
            <w:vAlign w:val="bottom"/>
          </w:tcPr>
          <w:p>
            <w:pPr>
              <w:ind w:left="60"/>
              <w:spacing w:after="0"/>
              <w:rPr>
                <w:sz w:val="20"/>
                <w:szCs w:val="20"/>
                <w:color w:val="auto"/>
              </w:rPr>
            </w:pPr>
            <w:r>
              <w:rPr>
                <w:rFonts w:ascii="Courier New" w:cs="Courier New" w:eastAsia="Courier New" w:hAnsi="Courier New"/>
                <w:sz w:val="17"/>
                <w:szCs w:val="17"/>
                <w:color w:val="auto"/>
              </w:rPr>
              <w:t>of contingencies</w:t>
            </w:r>
          </w:p>
        </w:tc>
        <w:tc>
          <w:tcPr>
            <w:tcW w:w="530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is reasonable and that related reserves, in the</w:t>
            </w:r>
          </w:p>
        </w:tc>
      </w:tr>
      <w:tr>
        <w:trPr>
          <w:trHeight w:val="198"/>
        </w:trPr>
        <w:tc>
          <w:tcPr>
            <w:tcW w:w="1080" w:type="dxa"/>
            <w:vAlign w:val="bottom"/>
          </w:tcPr>
          <w:p>
            <w:pPr>
              <w:spacing w:after="0"/>
              <w:rPr>
                <w:sz w:val="20"/>
                <w:szCs w:val="20"/>
                <w:color w:val="auto"/>
              </w:rPr>
            </w:pPr>
            <w:r>
              <w:rPr>
                <w:rFonts w:ascii="Courier New" w:cs="Courier New" w:eastAsia="Courier New" w:hAnsi="Courier New"/>
                <w:sz w:val="17"/>
                <w:szCs w:val="17"/>
                <w:color w:val="auto"/>
              </w:rPr>
              <w:t>aggregate,</w:t>
            </w:r>
          </w:p>
        </w:tc>
        <w:tc>
          <w:tcPr>
            <w:tcW w:w="30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are adequate; however, there</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can</w:t>
            </w:r>
          </w:p>
        </w:tc>
        <w:tc>
          <w:tcPr>
            <w:tcW w:w="3660" w:type="dxa"/>
            <w:vAlign w:val="bottom"/>
          </w:tcPr>
          <w:p>
            <w:pPr>
              <w:ind w:left="60"/>
              <w:spacing w:after="0"/>
              <w:rPr>
                <w:sz w:val="20"/>
                <w:szCs w:val="20"/>
                <w:color w:val="auto"/>
              </w:rPr>
            </w:pPr>
            <w:r>
              <w:rPr>
                <w:rFonts w:ascii="Courier New" w:cs="Courier New" w:eastAsia="Courier New" w:hAnsi="Courier New"/>
                <w:sz w:val="17"/>
                <w:szCs w:val="17"/>
                <w:color w:val="auto"/>
              </w:rPr>
              <w:t>be no assurance that the final</w:t>
            </w:r>
          </w:p>
        </w:tc>
      </w:tr>
      <w:tr>
        <w:trPr>
          <w:trHeight w:val="198"/>
        </w:trPr>
        <w:tc>
          <w:tcPr>
            <w:tcW w:w="1080" w:type="dxa"/>
            <w:vAlign w:val="bottom"/>
          </w:tcPr>
          <w:p>
            <w:pPr>
              <w:spacing w:after="0"/>
              <w:rPr>
                <w:sz w:val="20"/>
                <w:szCs w:val="20"/>
                <w:color w:val="auto"/>
              </w:rPr>
            </w:pPr>
            <w:r>
              <w:rPr>
                <w:rFonts w:ascii="Courier New" w:cs="Courier New" w:eastAsia="Courier New" w:hAnsi="Courier New"/>
                <w:sz w:val="17"/>
                <w:szCs w:val="17"/>
                <w:color w:val="auto"/>
              </w:rPr>
              <w:t>resolution</w:t>
            </w:r>
          </w:p>
        </w:tc>
        <w:tc>
          <w:tcPr>
            <w:tcW w:w="1760" w:type="dxa"/>
            <w:vAlign w:val="bottom"/>
          </w:tcPr>
          <w:p>
            <w:pPr>
              <w:ind w:left="60"/>
              <w:spacing w:after="0"/>
              <w:rPr>
                <w:sz w:val="20"/>
                <w:szCs w:val="20"/>
                <w:color w:val="auto"/>
              </w:rPr>
            </w:pPr>
            <w:r>
              <w:rPr>
                <w:rFonts w:ascii="Courier New" w:cs="Courier New" w:eastAsia="Courier New" w:hAnsi="Courier New"/>
                <w:sz w:val="17"/>
                <w:szCs w:val="17"/>
                <w:color w:val="auto"/>
              </w:rPr>
              <w:t>of these matters</w:t>
            </w:r>
          </w:p>
        </w:tc>
        <w:tc>
          <w:tcPr>
            <w:tcW w:w="16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will not have a</w:t>
            </w:r>
          </w:p>
        </w:tc>
        <w:tc>
          <w:tcPr>
            <w:tcW w:w="3660" w:type="dxa"/>
            <w:vAlign w:val="bottom"/>
          </w:tcPr>
          <w:p>
            <w:pPr>
              <w:ind w:left="60"/>
              <w:spacing w:after="0"/>
              <w:rPr>
                <w:sz w:val="20"/>
                <w:szCs w:val="20"/>
                <w:color w:val="auto"/>
              </w:rPr>
            </w:pPr>
            <w:r>
              <w:rPr>
                <w:rFonts w:ascii="Courier New" w:cs="Courier New" w:eastAsia="Courier New" w:hAnsi="Courier New"/>
                <w:sz w:val="17"/>
                <w:szCs w:val="17"/>
                <w:color w:val="auto"/>
              </w:rPr>
              <w:t>material adverse affect on our</w:t>
            </w:r>
          </w:p>
        </w:tc>
      </w:tr>
      <w:tr>
        <w:trPr>
          <w:trHeight w:val="198"/>
        </w:trPr>
        <w:tc>
          <w:tcPr>
            <w:tcW w:w="1080" w:type="dxa"/>
            <w:vAlign w:val="bottom"/>
          </w:tcPr>
          <w:p>
            <w:pPr>
              <w:spacing w:after="0"/>
              <w:rPr>
                <w:sz w:val="20"/>
                <w:szCs w:val="20"/>
                <w:color w:val="auto"/>
              </w:rPr>
            </w:pPr>
            <w:r>
              <w:rPr>
                <w:rFonts w:ascii="Courier New" w:cs="Courier New" w:eastAsia="Courier New" w:hAnsi="Courier New"/>
                <w:sz w:val="17"/>
                <w:szCs w:val="17"/>
                <w:color w:val="auto"/>
              </w:rPr>
              <w:t>results of</w:t>
            </w:r>
          </w:p>
        </w:tc>
        <w:tc>
          <w:tcPr>
            <w:tcW w:w="7060" w:type="dxa"/>
            <w:vAlign w:val="bottom"/>
            <w:gridSpan w:val="4"/>
          </w:tcPr>
          <w:p>
            <w:pPr>
              <w:ind w:left="60"/>
              <w:spacing w:after="0"/>
              <w:rPr>
                <w:sz w:val="20"/>
                <w:szCs w:val="20"/>
                <w:color w:val="auto"/>
              </w:rPr>
            </w:pPr>
            <w:r>
              <w:rPr>
                <w:rFonts w:ascii="Courier New" w:cs="Courier New" w:eastAsia="Courier New" w:hAnsi="Courier New"/>
                <w:sz w:val="17"/>
                <w:szCs w:val="17"/>
                <w:color w:val="auto"/>
              </w:rPr>
              <w:t>operations, financial position and cash flows.</w:t>
            </w:r>
          </w:p>
        </w:tc>
      </w:tr>
      <w:tr>
        <w:trPr>
          <w:trHeight w:val="396"/>
        </w:trPr>
        <w:tc>
          <w:tcPr>
            <w:tcW w:w="2840" w:type="dxa"/>
            <w:vAlign w:val="bottom"/>
            <w:gridSpan w:val="2"/>
          </w:tcPr>
          <w:p>
            <w:pPr>
              <w:ind w:left="520"/>
              <w:spacing w:after="0"/>
              <w:rPr>
                <w:sz w:val="20"/>
                <w:szCs w:val="20"/>
                <w:color w:val="auto"/>
              </w:rPr>
            </w:pPr>
            <w:r>
              <w:rPr>
                <w:rFonts w:ascii="Courier New" w:cs="Courier New" w:eastAsia="Courier New" w:hAnsi="Courier New"/>
                <w:sz w:val="17"/>
                <w:szCs w:val="17"/>
                <w:color w:val="auto"/>
              </w:rPr>
              <w:t>Pending material legal</w:t>
            </w:r>
          </w:p>
        </w:tc>
        <w:tc>
          <w:tcPr>
            <w:tcW w:w="1240" w:type="dxa"/>
            <w:vAlign w:val="bottom"/>
          </w:tcPr>
          <w:p>
            <w:pPr>
              <w:ind w:left="40"/>
              <w:spacing w:after="0"/>
              <w:rPr>
                <w:sz w:val="20"/>
                <w:szCs w:val="20"/>
                <w:color w:val="auto"/>
              </w:rPr>
            </w:pPr>
            <w:r>
              <w:rPr>
                <w:rFonts w:ascii="Courier New" w:cs="Courier New" w:eastAsia="Courier New" w:hAnsi="Courier New"/>
                <w:sz w:val="17"/>
                <w:szCs w:val="17"/>
                <w:color w:val="auto"/>
              </w:rPr>
              <w:t>proceedings</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are</w:t>
            </w:r>
          </w:p>
        </w:tc>
        <w:tc>
          <w:tcPr>
            <w:tcW w:w="3660" w:type="dxa"/>
            <w:vAlign w:val="bottom"/>
          </w:tcPr>
          <w:p>
            <w:pPr>
              <w:ind w:left="60"/>
              <w:spacing w:after="0"/>
              <w:rPr>
                <w:sz w:val="20"/>
                <w:szCs w:val="20"/>
                <w:color w:val="auto"/>
              </w:rPr>
            </w:pPr>
            <w:r>
              <w:rPr>
                <w:rFonts w:ascii="Courier New" w:cs="Courier New" w:eastAsia="Courier New" w:hAnsi="Courier New"/>
                <w:sz w:val="17"/>
                <w:szCs w:val="17"/>
                <w:color w:val="auto"/>
              </w:rPr>
              <w:t>as follows:</w:t>
            </w:r>
          </w:p>
        </w:tc>
      </w:tr>
    </w:tbl>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AGREVO ENVIRONMENTAL HEALTH, INC.</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On June 3, 1999, AgrEvo Environmental Health, Inc. ("AgrEvo") (which subsequently changed its name to Aventis Environmental Health Science USA LP) filed a complaint in the U.S. District Court for the Southern District of New York (the "New York Action"), against Scotts, a subsidiary of Scotts and Monsanto seeking damages and injunctive relief for alleged antitrust violations and breach of contract by Scotts and its subsidiary and antitrust violations and tortious interference with contract by Monsanto. Scotts purchased a consumer herbicide business from AgrEvo in May 1998. AgrEvo claims in the suit that Scotts' subsequent agreement to become Monsanto's exclusive sales and marketing agent for Monsanto's consumer Roundup(R) business violated the federal antitrust laws. AgrEvo contends that Monsanto attempted to or did monopolize the market for non-selective herbicides and conspired with Scotts to eliminate the herbicide Scotts previously purchased from AgrEvo, which competed with Monsanto's Roundup(R), in order to achieve or maintain a monopoly position in that market. AgrEvo also contends that Scotts' execution of various agreements with Monsanto, including the Roundup(R) marketing agreement, as well as Scotts' subsequent actions, violated the purchase agreements between AgrEvo and Scotts.</w:t>
      </w:r>
    </w:p>
    <w:p>
      <w:pPr>
        <w:spacing w:after="0" w:line="208"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AgrEvo is requesting unspecified damages as well as affirmative injunctive relief, and seeking to have the court invalidate the Roundup(R) marketing agreement as violative of the federal antitrust laws. On September 20, 1999, Scotts filed an answer denying liability and asserting counterclaims that it was fraudulently induced to enter into the agreement for the purchase of the consumer herbicide business and the related agreements, and that AgrEvo breached the representations and warranties contained in these agreements. On October 1, 1999, Scotts moved to dismiss the antitrust allegations against it on the ground that the claims fail to state claims for which relief may be granted. On October 12, 1999, AgrEvo moved to dismiss Scotts' counterclaims. On May 5, 2000, AgrEvo amended its complaint to add a claim for fraud and to incorporate the Delaware Action described below. Thereafter, Scotts moved to dismiss the new claims, and the defendants renewed their pending motions to dismiss. On June 2, 2000, the court (i) granted Scotts' motion to dismiss the fraud claim AgrEvo had added to its complaint; (ii) granted AgrEvo's motion to dismiss Scotts' fraudulent-inducement counterclaim; (iii) denied AgrEvo's motion to dismiss Scotts' counterclaims related to breach of representations and warranties; and</w:t>
      </w:r>
    </w:p>
    <w:p>
      <w:pPr>
        <w:spacing w:after="0" w:line="10" w:lineRule="exact"/>
        <w:rPr>
          <w:sz w:val="20"/>
          <w:szCs w:val="20"/>
          <w:color w:val="auto"/>
        </w:rPr>
      </w:pPr>
    </w:p>
    <w:p>
      <w:pPr>
        <w:ind w:right="1979" w:firstLine="6"/>
        <w:spacing w:after="0" w:line="246" w:lineRule="auto"/>
        <w:tabs>
          <w:tab w:leader="none" w:pos="515"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denied defendants' motion to dismiss the antitrust claims. On July 14, 2000, Scotts served an answer to AgrEvo's amended complaint and re-pleaded its fraud counterclaim. Under the indemnification provisions of the Roundup(R) marketing agreement, Monsanto and Scotts each have requested that the other indemnify against any losses arising from this lawsuit. On September 5, 2001, the magistrate judge, over the objections of Scotts and Monsanto, allowed AgrEvo to file another amended complaint to add claims</w:t>
      </w:r>
    </w:p>
    <w:p>
      <w:pPr>
        <w:spacing w:after="0" w:line="20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709" w:right="1440" w:bottom="0" w:gutter="0" w:footer="0" w:header="0"/>
        </w:sectPr>
      </w:pPr>
    </w:p>
    <w:bookmarkStart w:id="14" w:name="page15"/>
    <w:bookmarkEnd w:id="14"/>
    <w:p>
      <w:pPr>
        <w:ind w:right="1979"/>
        <w:spacing w:after="0" w:line="246" w:lineRule="auto"/>
        <w:rPr>
          <w:sz w:val="20"/>
          <w:szCs w:val="20"/>
          <w:color w:val="auto"/>
        </w:rPr>
      </w:pPr>
      <w:r>
        <w:rPr>
          <w:rFonts w:ascii="Courier New" w:cs="Courier New" w:eastAsia="Courier New" w:hAnsi="Courier New"/>
          <w:sz w:val="17"/>
          <w:szCs w:val="17"/>
          <w:color w:val="auto"/>
        </w:rPr>
        <w:t>transferred to it by its German parent, AgrEvo GmbH, and its 100 percent commonly owned affiliate, AgrEvo USA Company. Scotts and Monsanto have objected to the magistrate judge's order allowing the new claims. The district court will resolve these objections; if sustained, the newly-added claims will be stricken.</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On June 29, 1999, AgrEvo also filed a complaint in the Superior Court of the State of Delaware (the "Delaware Action") against two of Scotts' subsidiaries seeking damages for alleged breach of contract. AgrEvo alleges that, under the contracts by which a subsidiary of Scotts purchased a herbicide business from AgrEvo in May 1998, two of Scotts' subsidiaries have failed to pay AgrEvo approximately $0.6 million. AgrEvo is requesting damages in this amount, as well as pre- and post-judgment interest and attorneys' fees and costs. Scotts' subsidiaries have moved to dismiss or stay this action. On January 31, 2000, the Delaware court stayed AgrEvo's action pending the resolution of a motion to amend the New York Action, and the resolution of the New York Action. Scotts' subsidiaries intend to vigorously defend the asserted claims.</w:t>
      </w:r>
    </w:p>
    <w:p>
      <w:pPr>
        <w:spacing w:after="0" w:line="204"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If the above actions are determined adversely to Scotts, the result could have a material adverse effect on Scotts' results of operations, financial position and cash flows. Scotts believes that if litigated to a conclusion, it will prevail in the AgrEvo matters and that any potential exposure that Scotts may face cannot be reasonably estimated. Therefore, no accrual has been established related to these matters.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CENTRAL GARDEN &amp; PET COMPANY</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SCOTTS V. CENTRAL GARDEN, SOUTHERN DISTRICT OF OHIO</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On June 30, 2000, Scotts filed suit against Central Garden &amp; Pet Company in the U.S. District Court for the Southern District of Ohio to recover approximately $17 million in outstanding accounts receivable from Central Garden with respect to Scotts' 2000 fiscal year. Scotts' complaint was later amended to seek approximately $24 million in accounts receivable and additional damages for other breaches of duty.</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On April 13, 2001, Central Garden filed an answer and counterclaim in the Ohio action. On April 24, 2001, Central Garden filed an amended counterclaim. Central Garden's counterclaims include allegations that Scotts and Central Garden had entered into an oral agreement in April 1998 whereby Scotts would allegedly share with Central Garden the benefits and liabilities of any future business integration between Scotts and Pharmacia Corporation (formerly Monsanto). Based on these allegations, Central Garden has asserted several causes of action, including breach of oral contract and fraudulent misrepresentation, and seeks damages in excess of $900 million. Scotts believes that the preliminary discussions regarding any acquisition from Pharmacia that occurred are not actionable under any legal theory. In addition, Central Garden asserts various other causes of action, including breach of written contract and quantum valebant, and seeks damages in excess of $76 million based on allegations that Central Garden was entitled to receive a cash payment rather than a credit for the value of inventory Central Garden alleges was improperly seized by Scotts. These allegations are made without regard to the fact that the amounts sought from Central Garden in litigation filed by Scotts and Pharmacia are net of any such alleged credit. Scotts believes all of Central Garden's counterclaims in Ohio are without merit and it intends to vigorously defend against them.</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PHARMACIA CORPORATION V. CENTRAL GARDEN, CIRCUIT COURT OF ST. LOUIS, MISSOURI</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On June 30, 2000, Pharmacia Corporation filed suit against Central Garden in Missouri state court seeking unspecified damages allegedly due Pharmacia under a series of agreements, generally referred to as the four-year "Alliance Agreement" between Pharmacia and Central Garden. Scotts was, for a short time, an assignee of the Alliance Agreement, which Scotts has reassigned to Pharmacia. Pursuant to an order granting Central Garden's motion, on January 18, 2001, Pharmacia joined Scotts as a nominal defendant in the Missouri state court action.</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On January 29, 2001, Central Garden filed its answer and cross-claims and counterclaims in the Missouri action. On June 23, 2001, Scotts filed a cross-claim against Central Garden for an equitable accounting to establish the parties' relative financial positions under the Alliance Agreement at the conclusion of that agreement. On August 10, 2001, the Missouri court granted Central Garden leave to file amended counterclaims and cross-claims relating to the Alliance Agreement and seeking an unspecified amount of damages. The claims now pending in Missouri against Scotts are for declaratory relief and an</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709" w:right="1440" w:bottom="127" w:gutter="0" w:footer="0" w:header="0"/>
        </w:sectPr>
      </w:pPr>
    </w:p>
    <w:bookmarkStart w:id="15" w:name="page16"/>
    <w:bookmarkEnd w:id="15"/>
    <w:p>
      <w:pPr>
        <w:ind w:right="1979"/>
        <w:spacing w:after="0" w:line="246" w:lineRule="auto"/>
        <w:rPr>
          <w:sz w:val="20"/>
          <w:szCs w:val="20"/>
          <w:color w:val="auto"/>
        </w:rPr>
      </w:pPr>
      <w:r>
        <w:rPr>
          <w:rFonts w:ascii="Courier New" w:cs="Courier New" w:eastAsia="Courier New" w:hAnsi="Courier New"/>
          <w:sz w:val="17"/>
          <w:szCs w:val="17"/>
          <w:color w:val="auto"/>
        </w:rPr>
        <w:t>accounting, various breaches of contract, breach of an indemnification agreement, promissory estoppel, promissory fraud and unfair business practices under Section 17200 of the California Business and Professions Code. By order of the Missouri court, Central Garden's unfair business practices claims are stayed pending resolution of the action pending between the parties in the United States District Court for the Northern District of California.</w:t>
      </w:r>
    </w:p>
    <w:p>
      <w:pPr>
        <w:spacing w:after="0" w:line="202"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On October 1, 2001, Scotts moved for summary judgment on Central Garden's claims of breach of an indemnification agreement, promissory estoppel and promissory fraud. On November 15, 2001, the Missouri court held a hearing on Scotts' summary judgment motion and took the motion under submission. The trial date for the Missouri action is set for January 22, 2002.</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CENTRAL GARDEN V. SCOTTS &amp; PHARMACIA, NORTHERN DISTRICT OF CALIFORNIA</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On July 7, 2000, Central Garden filed suit against Scotts and Pharmacia in the U.S. District Court for the Northern District of California (San Francisco Division) alleging various claims, including breach of contract and violations of federal antitrust laws, and seeking an unspecified amount of damages and injunctive relief. On October 26, 2000, the District Court granted Scotts' motion to dismiss Central Garden's breach of contract claims for lack of subject matter jurisdiction. On November 17, 2000, Central Garden filed an amended complaint in the District Court, re-alleging various claims for violations of federal antitrust laws and also alleging state antitrust claims under the Cartwright Act, Section 16726 of the California Business and Professions Code. Fact discovery is set to conclude in December 2001. The trial date for the California federal action is set for July 15, 2002.</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CENTRAL GARDEN V. SCOTTS &amp; PHARMACIA, CONTRA COSTA SUPERIOR COURT</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On October 31, 2000, Central Garden filed a complaint against Scotts and Pharmacia in the California Superior Court for Contra Costa County. That complaint seeks to assert the breach of contract claims previously dismissed by the District Court in the California federal action described above, and additional claims under Section 17200 of the California Business and Professions Code. On December 4, 2000, Scotts and Pharmacia jointly filed a motion to stay this action based on the pendency of prior lawsuits (including the three actions described above) that involve the same subject matter. By order dated February 23, 2001, the Superior Court stayed the action pending before it.</w:t>
      </w:r>
    </w:p>
    <w:p>
      <w:pPr>
        <w:spacing w:after="0" w:line="203"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On April 6, 2001, Central Garden filed a motion to lift the stay of the Contra Costa County action. Scotts and Pharmacia filed a joint opposition to Central Garden's motion. On May 4, 2001, the Court issued a tentative ruling denying Central Garden's motion to lift the stay of the action. Central Garden did not challenge the tentative ruling, which accordingly became the ruling of the court. Consequently, all claims in the Contra Costa action remain stayed.</w:t>
      </w:r>
    </w:p>
    <w:p>
      <w:pPr>
        <w:spacing w:after="0" w:line="202"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Scotts believes that all of Central Garden's claims are without merit and it intends to vigorously defend against them. If the above actions are determined adversely to Scotts, the result could have a material adverse affect on Scotts' results of operations, financial position and cash flows. Scotts believes that if litigated to a conclusion, it will prevail in the Central Garden matters and that any potential exposure that Scotts may face cannot be reasonably estimated. Therefore, no accrual has been established related to these matters.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RHONE-POULENC, S.A., RHONE-POULENC AGRO S.A. AND HOECHST, A.G.</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On October 15, 1999, Scotts began arbitration proceedings before the International Court of Arbitration of the International Chamber of Commerce ("ICA") against Rhone-Poulenc S.A. and Rhone-Poulenc Agro S.A. (collectively, "Rhone-Poulenc") under arbitration provisions contained in contracts relating to the purchase by Scotts of Rhone-Poulenc's European lawn and garden business, Rhone-Poulenc Jardin, in 1998. Scotts alleged that the combination of Rhone-Poulenc and Hoechst Schering AgrEvo GmbH ("AgrEvo") into a new entity, Aventis S.A., would result in the violation of non-compete and other provisions in the contracts mentioned above.</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On October 9, 2000, the ICA issued a First Partial Award by the Tribunal which, inter alia: (i) found that Rhone-Poulenc breached its duty of good faith under French law by not disclosing to Scotts the contemplated combination of Rhone-Poulenc and AgrEvo; (ii) directed that the parties re-negotiate a non-compete provision; and (iii) ruled that a Research and Development Agreement entered into ancillary to</w:t>
      </w:r>
    </w:p>
    <w:p>
      <w:pPr>
        <w:spacing w:after="0" w:line="20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709" w:right="1440" w:bottom="325" w:gutter="0" w:footer="0" w:header="0"/>
        </w:sectPr>
      </w:pPr>
    </w:p>
    <w:bookmarkStart w:id="16" w:name="page17"/>
    <w:bookmarkEnd w:id="16"/>
    <w:p>
      <w:pPr>
        <w:ind w:right="1979"/>
        <w:spacing w:after="0" w:line="246" w:lineRule="auto"/>
        <w:rPr>
          <w:sz w:val="20"/>
          <w:szCs w:val="20"/>
          <w:color w:val="auto"/>
        </w:rPr>
      </w:pPr>
      <w:r>
        <w:rPr>
          <w:rFonts w:ascii="Courier New" w:cs="Courier New" w:eastAsia="Courier New" w:hAnsi="Courier New"/>
          <w:sz w:val="17"/>
          <w:szCs w:val="17"/>
          <w:color w:val="auto"/>
        </w:rPr>
        <w:t>the purchase of Rhone-Poulenc Jardin is binding upon both Rhone-Poulenc and its post-merger successor. On February 12, 2001, because of the parties' failure to agree on revisions to the non-compete provision, the ICA issued a Second Partial Award by the Tribunal revising that provision. A damages hearing was held from July 2 to 5, 2001. The Tribunal is scheduled to hear closing arguments regarding Scotts' claim to damages and restitution in January 2002.</w:t>
      </w:r>
    </w:p>
    <w:p>
      <w:pPr>
        <w:spacing w:after="0" w:line="202"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Also on October 15, 1999, Scotts filed a complaint styled The Scotts Company, et al. v. Rhone-Poulenc, S.A., Rhone-Poulenc Agro S.A. and Hoechst, A.G. in the Court of Common Pleas for Union County, Ohio, seeking injunctive relief maintaining the status quo in aid of the arbitration proceedings as well as an award of damages against Hoechst for Hoechst's tortious interference with Scotts' contractual rights. On October 19, 1999, the defendants removed the Union County action to the U.S. District Court for the Southern District of Ohio. On December 8, 1999, Scotts requested that this action be stayed pending the outcome of the arbitration proceedings. Said stay was granted by the District Court on February 18, 2000.</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SCOTTS V. AGREVO USA COMPANY</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Scotts filed suit against AgrEvo USA Company on August 8, 2000 in the Court of Common Pleas for Union County, Ohio, alleging breach of contract relating to an agreement dated June 22, 1998 entitled "Exclusive Distributor</w:t>
      </w:r>
    </w:p>
    <w:p>
      <w:pPr>
        <w:spacing w:after="0" w:line="2"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Agreement -- Horticulture". The action seeks an unspecified amount of damages resulting from AgrEvo's breaches of the Agreement, an order of specific performance directing AgrEvo to comply with its obligations under the Agreement, a declaratory judgment that Scotts' future performance under the Agreement is waived as a result of AgrEvo's failure to perform, and such other relief to which Scotts might be entitled. This action was dismissed without prejudice on February 6, 2001, pending the outcome of settlement discussions.</w:t>
      </w:r>
    </w:p>
    <w:p>
      <w:pPr>
        <w:spacing w:after="0" w:line="202"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Scotts is involved in other lawsuits and claims which arise in the normal course of its business. In the opinion of management, these claims individually and in the aggregate are not expected to result in a material adverse effect on Scotts' results of operations, financial position or cash flows.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4. SUBMISSION OF MATTERS TO A VOTE OF SECURITY HOLDERS</w:t>
      </w:r>
    </w:p>
    <w:p>
      <w:pPr>
        <w:spacing w:after="0" w:line="203" w:lineRule="exact"/>
        <w:rPr>
          <w:sz w:val="20"/>
          <w:szCs w:val="20"/>
          <w:color w:val="auto"/>
        </w:rPr>
      </w:pPr>
    </w:p>
    <w:p>
      <w:pPr>
        <w:ind w:right="2279" w:firstLine="515"/>
        <w:spacing w:after="0" w:line="247" w:lineRule="auto"/>
        <w:rPr>
          <w:sz w:val="20"/>
          <w:szCs w:val="20"/>
          <w:color w:val="auto"/>
        </w:rPr>
      </w:pPr>
      <w:r>
        <w:rPr>
          <w:rFonts w:ascii="Courier New" w:cs="Courier New" w:eastAsia="Courier New" w:hAnsi="Courier New"/>
          <w:sz w:val="17"/>
          <w:szCs w:val="17"/>
          <w:color w:val="auto"/>
        </w:rPr>
        <w:t>There were no matters submitted to a vote of the security holders during the fourth quarter of fiscal year 2001.</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SUPPLEMENTAL ITEM. EXECUTIVE OFFICERS OF REGISTRANT</w:t>
      </w:r>
    </w:p>
    <w:p>
      <w:pPr>
        <w:spacing w:after="0" w:line="203" w:lineRule="exact"/>
        <w:rPr>
          <w:sz w:val="20"/>
          <w:szCs w:val="20"/>
          <w:color w:val="auto"/>
        </w:rPr>
      </w:pPr>
    </w:p>
    <w:p>
      <w:pPr>
        <w:ind w:right="2279" w:firstLine="515"/>
        <w:spacing w:after="0" w:line="246" w:lineRule="auto"/>
        <w:rPr>
          <w:sz w:val="20"/>
          <w:szCs w:val="20"/>
          <w:color w:val="auto"/>
        </w:rPr>
      </w:pPr>
      <w:r>
        <w:rPr>
          <w:rFonts w:ascii="Courier New" w:cs="Courier New" w:eastAsia="Courier New" w:hAnsi="Courier New"/>
          <w:sz w:val="17"/>
          <w:szCs w:val="17"/>
          <w:color w:val="auto"/>
        </w:rPr>
        <w:t>The executive officers of The Scotts Company, their positions and, as of November 27, 2001, their ages and years with The Scotts Company (and its predecessors) are set forth below.</w:t>
      </w:r>
    </w:p>
    <w:p>
      <w:pPr>
        <w:spacing w:after="0" w:line="200"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Years with</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Scotts (And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Its Name Age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Position(s)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Held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Predecessors)</w:t>
      </w:r>
    </w:p>
    <w:p>
      <w:pPr>
        <w:spacing w:after="0" w:line="5" w:lineRule="exact"/>
        <w:rPr>
          <w:sz w:val="20"/>
          <w:szCs w:val="20"/>
          <w:color w:val="auto"/>
        </w:rPr>
      </w:pPr>
    </w:p>
    <w:p>
      <w:pPr>
        <w:ind w:left="260" w:hanging="206"/>
        <w:spacing w:after="0"/>
        <w:tabs>
          <w:tab w:leader="none" w:pos="26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jc w:val="center"/>
        <w:ind w:left="60" w:right="8939"/>
        <w:spacing w:after="0" w:line="263"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 Charles M. Berger 65 Chairman of the Board 5 James Hagedorn 46 President, Chief Executive Officer and a Director 14 Michael P. Kelty, Ph.D. 51 Vice Chairman and Executive Vice President 22</w:t>
      </w:r>
    </w:p>
    <w:p>
      <w:pPr>
        <w:sectPr>
          <w:pgSz w:w="11900" w:h="16838" w:orient="portrait"/>
          <w:cols w:equalWidth="0" w:num="1">
            <w:col w:w="10219"/>
          </w:cols>
          <w:pgMar w:left="240" w:top="709" w:right="1440" w:bottom="0" w:gutter="0" w:footer="0" w:header="0"/>
        </w:sectPr>
      </w:pPr>
    </w:p>
    <w:bookmarkStart w:id="17" w:name="page18"/>
    <w:bookmarkEnd w:id="17"/>
    <w:p>
      <w:pPr>
        <w:jc w:val="center"/>
        <w:ind w:right="8879"/>
        <w:spacing w:after="0"/>
        <w:rPr>
          <w:sz w:val="20"/>
          <w:szCs w:val="20"/>
          <w:color w:val="auto"/>
        </w:rPr>
      </w:pPr>
      <w:r>
        <w:rPr>
          <w:rFonts w:ascii="Courier New" w:cs="Courier New" w:eastAsia="Courier New" w:hAnsi="Courier New"/>
          <w:sz w:val="17"/>
          <w:szCs w:val="17"/>
          <w:color w:val="auto"/>
        </w:rPr>
        <w:t>David M.</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Aronowitz 45</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Executive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Vice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President,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General</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Counsel and</w:t>
      </w:r>
    </w:p>
    <w:p>
      <w:pPr>
        <w:spacing w:after="0" w:line="5" w:lineRule="exact"/>
        <w:rPr>
          <w:sz w:val="20"/>
          <w:szCs w:val="20"/>
          <w:color w:val="auto"/>
        </w:rPr>
      </w:pPr>
    </w:p>
    <w:p>
      <w:pPr>
        <w:ind w:left="420" w:right="8979" w:hanging="314"/>
        <w:spacing w:after="0" w:line="246" w:lineRule="auto"/>
        <w:tabs>
          <w:tab w:leader="none" w:pos="317"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Secretary Hadia</w:t>
      </w:r>
    </w:p>
    <w:p>
      <w:pPr>
        <w:spacing w:after="0" w:line="1"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Lefavre 56</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Executive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Vice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President,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Human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Resources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Worldwide 2</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Patrick J.</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Norton 51</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Executive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Vice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President,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Chief</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Financial</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Officer 1</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and a</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Director</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Michel J.</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Farkouh 44</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Executive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Vice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President,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International</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Consumer 3</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Business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Group L.</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Robert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Stohler 60</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Executive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Vice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President,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North</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America 6</w:t>
      </w:r>
    </w:p>
    <w:p>
      <w:pPr>
        <w:spacing w:after="0" w:line="200" w:lineRule="exact"/>
        <w:rPr>
          <w:sz w:val="20"/>
          <w:szCs w:val="20"/>
          <w:color w:val="auto"/>
        </w:rPr>
      </w:pPr>
    </w:p>
    <w:p>
      <w:pPr>
        <w:spacing w:after="0" w:line="201"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Executive officers serve at the discretion of the Board of Directors and in the case of Mr. Berger, Mr. Hagedorn, Dr. Kelty, Mr. Norton, and Ms. Lefavre, pursuant to employment agreements.</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142" w:right="1440" w:bottom="1440" w:gutter="0" w:footer="0" w:header="0"/>
        </w:sectPr>
      </w:pPr>
    </w:p>
    <w:bookmarkStart w:id="18" w:name="page19"/>
    <w:bookmarkEnd w:id="18"/>
    <w:p>
      <w:pPr>
        <w:ind w:right="1979" w:firstLine="515"/>
        <w:spacing w:after="0" w:line="247" w:lineRule="auto"/>
        <w:rPr>
          <w:sz w:val="20"/>
          <w:szCs w:val="20"/>
          <w:color w:val="auto"/>
        </w:rPr>
      </w:pPr>
      <w:r>
        <w:rPr>
          <w:rFonts w:ascii="Courier New" w:cs="Courier New" w:eastAsia="Courier New" w:hAnsi="Courier New"/>
          <w:sz w:val="17"/>
          <w:szCs w:val="17"/>
          <w:color w:val="auto"/>
        </w:rPr>
        <w:t>The business experience of each of the persons listed above during at least the past five years is as follows:</w:t>
      </w:r>
    </w:p>
    <w:p>
      <w:pPr>
        <w:spacing w:after="0" w:line="198"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Mr. Berger was named Chairman of the Board of Scotts in May 2001. He served as Chairman of the Board and Chief Executive Officer from April 2000 until May 2001. From August 1996 to April 2000, he served as Chairman of the Board, President and Chief Executive Officer. Mr. Berger came to Scotts from H. J. Heinz Company, where, from October 1994 to August 1996, he served as Chairman and Chief Executive Officer of Heinz India Pvt. Ltd. (Bombay). During his</w:t>
      </w:r>
    </w:p>
    <w:p>
      <w:pPr>
        <w:spacing w:after="0" w:line="4"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32-year career at Heinz, he also held the positions of Chairman, President and Chief Executive Officer of Weight Watchers International, a Heinz affiliate; Managing Director and Chief Executive Officer of Heinz-Italy (Milan), the largest Heinz profit center in Europe; General Manager, Marketing, for all Heinz U.S. grocery products; Marketing Director for Heinz UK (London); and Director of Corporate Planning at Heinz World Headquarters.</w:t>
      </w:r>
    </w:p>
    <w:p>
      <w:pPr>
        <w:spacing w:after="0" w:line="202"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Mr. Hagedorn was named President and Chief Executive Officer of Scotts in May 2001. He served as President and Chief Operating Officer of Scotts from April 2000 to May 2001. From December 1998 to April 2000, he served as President, Scotts North America. He was previously Executive Vice President, U.S. Business Groups, of Scotts, from October 1996 to December 1998. Mr. Hagedorn also serves as a director of Scotts. Mr. Hagedorn is the son of Horace Hagedorn, Director Emeritus of Scotts, and is the brother of Katherine Hagedorn Littlefield, a director of Scotts.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Dr. Kelty was named Vice Chairman and Executive Vice President of Scotts in May 2001. He served as Group Executive Vice President, Technology and Operations, of Scotts, from February 2000 to May 2001. He was previously Executive Vice President, Technology and Operations, of Scotts, from February 1999 to February 2000. From July 1995 to February 1999, he was Senior Vice President, Professional Business Group, of Scotts.</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Mr. Aronowitz was named Executive Vice President, General Counsel and Secretary of Scotts in October 2001. He was previously Senior Vice President, Assistant General Counsel and Assistant Secretary of Scotts, from February 2000 to October 2001. From October 1998 until February 2000, Mr. Aronowitz was Vice President and Assistant General Counsel of Scotts. From January 1996 to October 1998, he was Assistant General Counsel for Insilco Corporation, a Delaware corporation, based in Dublin, Ohio, and Group General Counsel for Taylor Publishing Company, an Insilco subsidiary. From May 1995 to January 1996, he was of counsel to the New York law firm of McCarrick, Finnerty &amp; Mayer. From May 1993 to May 1995, he was Vice President, General Counsel and Secretary for Grimes Aerospace Company, a company based in Columbus, Ohio.</w:t>
      </w:r>
    </w:p>
    <w:p>
      <w:pPr>
        <w:spacing w:after="0" w:line="204"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Ms. Lefavre was named Executive Vice President, Human Resources Worldwide of Scotts in May 2001. She served as Senior Vice President, Human Resources Worldwide, of Scotts, from March 1999 to May 2001. From October 1995 to October 1998, she served as Senior Vice President, Human Resources Worldwide, at Rhone-Poulenc Rorer Inc., a pharmaceutical company based in Pennsylvania.</w:t>
      </w:r>
    </w:p>
    <w:p>
      <w:pPr>
        <w:spacing w:after="0" w:line="201"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Mr. Norton was named Executive Vice President and Chief Financial Officer of Scotts in May 2000, having served as interim Chief Financial Officer of Scotts since February 2000. From 1983 until February 1997, Mr. Norton was the President, Chief Executive Officer and a director of Barefoot Inc., the second largest lawn care company in the United States prior to its acquisition in February 1997 by ServiceMaster. Mr. Norton also serves as a director of Scotts.</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Mr. Farkouh was named Executive Vice President, International Consumer Business Group, of Scotts in October 2001. From May 2001 to October 2001, he served as Senior Vice President, International Consumer Business Group, of Scotts, having served as interim from October 2000 to May 2001. From May 1999 to October 2000, he served as Senior Vice President, Zone 3, International, having joined Scotts France SAS in January 1999. From January 1997 to the time he joined Scotts, he was Vice President, Worldwide Lawn and Garden Category Manager, of Monsanto Company. From 1991 to January 1997, he was General Manager, Lawn and Garden Europe, of Monsanto Company.</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709" w:right="1440" w:bottom="1440" w:gutter="0" w:footer="0" w:header="0"/>
        </w:sectPr>
      </w:pPr>
    </w:p>
    <w:bookmarkStart w:id="19" w:name="page20"/>
    <w:bookmarkEnd w:id="19"/>
    <w:p>
      <w:pPr>
        <w:ind w:right="1979" w:firstLine="515"/>
        <w:spacing w:after="0" w:line="246" w:lineRule="auto"/>
        <w:rPr>
          <w:sz w:val="20"/>
          <w:szCs w:val="20"/>
          <w:color w:val="auto"/>
        </w:rPr>
      </w:pPr>
      <w:r>
        <w:rPr>
          <w:rFonts w:ascii="Courier New" w:cs="Courier New" w:eastAsia="Courier New" w:hAnsi="Courier New"/>
          <w:sz w:val="17"/>
          <w:szCs w:val="17"/>
          <w:color w:val="auto"/>
        </w:rPr>
        <w:t>Mr. Stohler was named Executive Vice President, North America, of Scotts in October 2001. From July 2001 to October 2001, he served as acting Senior Vice President, North America, of Scotts. From October 1998 to July 2001, he served as Senior Vice President, Consumer Lawns Business Group, of Scotts. He served as Senior Vice President, International Business Group, of Scotts from December 1996 to October 1998. From November 1995 to December 1996, he served as Vice President, International Business Group, of Scotts.</w:t>
      </w:r>
    </w:p>
    <w:p>
      <w:pPr>
        <w:spacing w:after="0" w:line="20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709" w:right="1440" w:bottom="1440" w:gutter="0" w:footer="0" w:header="0"/>
        </w:sectPr>
      </w:pPr>
    </w:p>
    <w:bookmarkStart w:id="20" w:name="page21"/>
    <w:bookmarkEnd w:id="20"/>
    <w:p>
      <w:pPr>
        <w:jc w:val="center"/>
        <w:ind w:right="2079"/>
        <w:spacing w:after="0"/>
        <w:rPr>
          <w:sz w:val="20"/>
          <w:szCs w:val="20"/>
          <w:color w:val="auto"/>
        </w:rPr>
      </w:pPr>
      <w:r>
        <w:rPr>
          <w:rFonts w:ascii="Courier New" w:cs="Courier New" w:eastAsia="Courier New" w:hAnsi="Courier New"/>
          <w:sz w:val="17"/>
          <w:szCs w:val="17"/>
          <w:color w:val="auto"/>
        </w:rPr>
        <w:t>PART II</w:t>
      </w:r>
    </w:p>
    <w:p>
      <w:pPr>
        <w:spacing w:after="0" w:line="203" w:lineRule="exact"/>
        <w:rPr>
          <w:sz w:val="20"/>
          <w:szCs w:val="20"/>
          <w:color w:val="auto"/>
        </w:rPr>
      </w:pPr>
    </w:p>
    <w:p>
      <w:pPr>
        <w:jc w:val="center"/>
        <w:ind w:right="2279"/>
        <w:spacing w:after="0"/>
        <w:rPr>
          <w:sz w:val="20"/>
          <w:szCs w:val="20"/>
          <w:color w:val="auto"/>
        </w:rPr>
      </w:pPr>
      <w:r>
        <w:rPr>
          <w:rFonts w:ascii="Courier New" w:cs="Courier New" w:eastAsia="Courier New" w:hAnsi="Courier New"/>
          <w:sz w:val="17"/>
          <w:szCs w:val="17"/>
          <w:color w:val="auto"/>
        </w:rPr>
        <w:t>ITEM 5. MARKET FOR REGISTRANT'S COMMON EQUITY AND RELATED STOCKHOLDER MATTERS</w:t>
      </w:r>
    </w:p>
    <w:p>
      <w:pPr>
        <w:spacing w:after="0" w:line="203" w:lineRule="exact"/>
        <w:rPr>
          <w:sz w:val="20"/>
          <w:szCs w:val="20"/>
          <w:color w:val="auto"/>
        </w:rPr>
      </w:pPr>
    </w:p>
    <w:p>
      <w:pPr>
        <w:ind w:right="2799" w:firstLine="515"/>
        <w:spacing w:after="0" w:line="247" w:lineRule="auto"/>
        <w:rPr>
          <w:sz w:val="20"/>
          <w:szCs w:val="20"/>
          <w:color w:val="auto"/>
        </w:rPr>
      </w:pPr>
      <w:r>
        <w:rPr>
          <w:rFonts w:ascii="Courier New" w:cs="Courier New" w:eastAsia="Courier New" w:hAnsi="Courier New"/>
          <w:sz w:val="17"/>
          <w:szCs w:val="17"/>
          <w:color w:val="auto"/>
        </w:rPr>
        <w:t>The common shares of The Scotts Company trade on the New York Stock Exchange under the symbol "SMG".</w:t>
      </w:r>
    </w:p>
    <w:p>
      <w:pPr>
        <w:spacing w:after="0" w:line="198" w:lineRule="exact"/>
        <w:rPr>
          <w:sz w:val="20"/>
          <w:szCs w:val="20"/>
          <w:color w:val="auto"/>
        </w:rPr>
      </w:pPr>
    </w:p>
    <w:p>
      <w:pPr>
        <w:jc w:val="center"/>
        <w:ind w:right="9499"/>
        <w:spacing w:after="0"/>
        <w:rPr>
          <w:sz w:val="20"/>
          <w:szCs w:val="20"/>
          <w:color w:val="auto"/>
        </w:rPr>
      </w:pPr>
      <w:r>
        <w:rPr>
          <w:rFonts w:ascii="Courier New" w:cs="Courier New" w:eastAsia="Courier New" w:hAnsi="Courier New"/>
          <w:sz w:val="17"/>
          <w:szCs w:val="17"/>
          <w:color w:val="auto"/>
        </w:rPr>
        <w:t>Sale</w:t>
      </w:r>
    </w:p>
    <w:p>
      <w:pPr>
        <w:spacing w:after="0" w:line="5" w:lineRule="exact"/>
        <w:rPr>
          <w:sz w:val="20"/>
          <w:szCs w:val="20"/>
          <w:color w:val="auto"/>
        </w:rPr>
      </w:pPr>
    </w:p>
    <w:p>
      <w:pPr>
        <w:jc w:val="center"/>
        <w:ind w:right="9499"/>
        <w:spacing w:after="0"/>
        <w:rPr>
          <w:sz w:val="20"/>
          <w:szCs w:val="20"/>
          <w:color w:val="auto"/>
        </w:rPr>
      </w:pPr>
      <w:r>
        <w:rPr>
          <w:rFonts w:ascii="Courier New" w:cs="Courier New" w:eastAsia="Courier New" w:hAnsi="Courier New"/>
          <w:sz w:val="17"/>
          <w:szCs w:val="17"/>
          <w:color w:val="auto"/>
        </w:rPr>
        <w:t>Prices</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High</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Low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949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9499"/>
        <w:spacing w:after="0"/>
        <w:rPr>
          <w:sz w:val="20"/>
          <w:szCs w:val="20"/>
          <w:color w:val="auto"/>
        </w:rPr>
      </w:pPr>
      <w:r>
        <w:rPr>
          <w:rFonts w:ascii="Courier New" w:cs="Courier New" w:eastAsia="Courier New" w:hAnsi="Courier New"/>
          <w:sz w:val="17"/>
          <w:szCs w:val="17"/>
          <w:color w:val="auto"/>
        </w:rPr>
        <w:t>FISCAL</w:t>
      </w:r>
    </w:p>
    <w:p>
      <w:pPr>
        <w:spacing w:after="0" w:line="5" w:lineRule="exact"/>
        <w:rPr>
          <w:sz w:val="20"/>
          <w:szCs w:val="20"/>
          <w:color w:val="auto"/>
        </w:rPr>
      </w:pPr>
    </w:p>
    <w:p>
      <w:pPr>
        <w:jc w:val="center"/>
        <w:ind w:right="9499"/>
        <w:spacing w:after="0"/>
        <w:rPr>
          <w:sz w:val="20"/>
          <w:szCs w:val="20"/>
          <w:color w:val="auto"/>
        </w:rPr>
      </w:pPr>
      <w:r>
        <w:rPr>
          <w:rFonts w:ascii="Courier New" w:cs="Courier New" w:eastAsia="Courier New" w:hAnsi="Courier New"/>
          <w:sz w:val="17"/>
          <w:szCs w:val="17"/>
          <w:color w:val="auto"/>
        </w:rPr>
        <w:t>2000</w:t>
      </w:r>
    </w:p>
    <w:p>
      <w:pPr>
        <w:spacing w:after="0" w:line="5" w:lineRule="exact"/>
        <w:rPr>
          <w:sz w:val="20"/>
          <w:szCs w:val="20"/>
          <w:color w:val="auto"/>
        </w:rPr>
      </w:pPr>
    </w:p>
    <w:p>
      <w:pPr>
        <w:jc w:val="center"/>
        <w:ind w:right="9499"/>
        <w:spacing w:after="0"/>
        <w:rPr>
          <w:sz w:val="20"/>
          <w:szCs w:val="20"/>
          <w:color w:val="auto"/>
        </w:rPr>
      </w:pPr>
      <w:r>
        <w:rPr>
          <w:rFonts w:ascii="Courier New" w:cs="Courier New" w:eastAsia="Courier New" w:hAnsi="Courier New"/>
          <w:sz w:val="17"/>
          <w:szCs w:val="17"/>
          <w:color w:val="auto"/>
        </w:rPr>
        <w:t>1st</w:t>
      </w:r>
    </w:p>
    <w:p>
      <w:pPr>
        <w:spacing w:after="0" w:line="5" w:lineRule="exact"/>
        <w:rPr>
          <w:sz w:val="20"/>
          <w:szCs w:val="20"/>
          <w:color w:val="auto"/>
        </w:rPr>
      </w:pPr>
    </w:p>
    <w:p>
      <w:pPr>
        <w:jc w:val="center"/>
        <w:ind w:right="9499"/>
        <w:spacing w:after="0"/>
        <w:rPr>
          <w:sz w:val="20"/>
          <w:szCs w:val="20"/>
          <w:color w:val="auto"/>
        </w:rPr>
      </w:pPr>
      <w:r>
        <w:rPr>
          <w:rFonts w:ascii="Courier New" w:cs="Courier New" w:eastAsia="Courier New" w:hAnsi="Courier New"/>
          <w:sz w:val="17"/>
          <w:szCs w:val="17"/>
          <w:color w:val="auto"/>
        </w:rPr>
        <w:t>quarter</w:t>
      </w:r>
    </w:p>
    <w:p>
      <w:pPr>
        <w:spacing w:after="0" w:line="5" w:lineRule="exact"/>
        <w:rPr>
          <w:sz w:val="20"/>
          <w:szCs w:val="20"/>
          <w:color w:val="auto"/>
        </w:rPr>
      </w:pPr>
    </w:p>
    <w:p>
      <w:pPr>
        <w:jc w:val="center"/>
        <w:ind w:right="9499"/>
        <w:spacing w:after="0"/>
        <w:rPr>
          <w:sz w:val="20"/>
          <w:szCs w:val="20"/>
          <w:color w:val="auto"/>
        </w:rPr>
      </w:pPr>
      <w:r>
        <w:rPr>
          <w:rFonts w:ascii="Courier New" w:cs="Courier New" w:eastAsia="Courier New" w:hAnsi="Courier New"/>
          <w:sz w:val="17"/>
          <w:szCs w:val="17"/>
          <w:color w:val="auto"/>
        </w:rPr>
        <w:t>$41.250</w:t>
      </w:r>
    </w:p>
    <w:p>
      <w:pPr>
        <w:spacing w:after="0" w:line="5" w:lineRule="exact"/>
        <w:rPr>
          <w:sz w:val="20"/>
          <w:szCs w:val="20"/>
          <w:color w:val="auto"/>
        </w:rPr>
      </w:pPr>
    </w:p>
    <w:p>
      <w:pPr>
        <w:jc w:val="center"/>
        <w:ind w:right="9499"/>
        <w:spacing w:after="0"/>
        <w:rPr>
          <w:sz w:val="20"/>
          <w:szCs w:val="20"/>
          <w:color w:val="auto"/>
        </w:rPr>
      </w:pPr>
      <w:r>
        <w:rPr>
          <w:rFonts w:ascii="Courier New" w:cs="Courier New" w:eastAsia="Courier New" w:hAnsi="Courier New"/>
          <w:sz w:val="17"/>
          <w:szCs w:val="17"/>
          <w:color w:val="auto"/>
        </w:rPr>
        <w:t>$35.250</w:t>
      </w:r>
    </w:p>
    <w:p>
      <w:pPr>
        <w:spacing w:after="0" w:line="5" w:lineRule="exact"/>
        <w:rPr>
          <w:sz w:val="20"/>
          <w:szCs w:val="20"/>
          <w:color w:val="auto"/>
        </w:rPr>
      </w:pPr>
    </w:p>
    <w:p>
      <w:pPr>
        <w:jc w:val="center"/>
        <w:ind w:right="9499"/>
        <w:spacing w:after="0"/>
        <w:rPr>
          <w:sz w:val="20"/>
          <w:szCs w:val="20"/>
          <w:color w:val="auto"/>
        </w:rPr>
      </w:pPr>
      <w:r>
        <w:rPr>
          <w:rFonts w:ascii="Courier New" w:cs="Courier New" w:eastAsia="Courier New" w:hAnsi="Courier New"/>
          <w:sz w:val="17"/>
          <w:szCs w:val="17"/>
          <w:color w:val="auto"/>
        </w:rPr>
        <w:t>2nd</w:t>
      </w:r>
    </w:p>
    <w:p>
      <w:pPr>
        <w:spacing w:after="0" w:line="5" w:lineRule="exact"/>
        <w:rPr>
          <w:sz w:val="20"/>
          <w:szCs w:val="20"/>
          <w:color w:val="auto"/>
        </w:rPr>
      </w:pPr>
    </w:p>
    <w:p>
      <w:pPr>
        <w:jc w:val="center"/>
        <w:ind w:right="9499"/>
        <w:spacing w:after="0"/>
        <w:rPr>
          <w:sz w:val="20"/>
          <w:szCs w:val="20"/>
          <w:color w:val="auto"/>
        </w:rPr>
      </w:pPr>
      <w:r>
        <w:rPr>
          <w:rFonts w:ascii="Courier New" w:cs="Courier New" w:eastAsia="Courier New" w:hAnsi="Courier New"/>
          <w:sz w:val="17"/>
          <w:szCs w:val="17"/>
          <w:color w:val="auto"/>
        </w:rPr>
        <w:t>quarter</w:t>
      </w:r>
    </w:p>
    <w:p>
      <w:pPr>
        <w:spacing w:after="0" w:line="5" w:lineRule="exact"/>
        <w:rPr>
          <w:sz w:val="20"/>
          <w:szCs w:val="20"/>
          <w:color w:val="auto"/>
        </w:rPr>
      </w:pPr>
    </w:p>
    <w:p>
      <w:pPr>
        <w:jc w:val="center"/>
        <w:ind w:right="9499"/>
        <w:spacing w:after="0"/>
        <w:rPr>
          <w:sz w:val="20"/>
          <w:szCs w:val="20"/>
          <w:color w:val="auto"/>
        </w:rPr>
      </w:pPr>
      <w:r>
        <w:rPr>
          <w:rFonts w:ascii="Courier New" w:cs="Courier New" w:eastAsia="Courier New" w:hAnsi="Courier New"/>
          <w:sz w:val="17"/>
          <w:szCs w:val="17"/>
          <w:color w:val="auto"/>
        </w:rPr>
        <w:t>42.000</w:t>
      </w:r>
    </w:p>
    <w:p>
      <w:pPr>
        <w:spacing w:after="0" w:line="5" w:lineRule="exact"/>
        <w:rPr>
          <w:sz w:val="20"/>
          <w:szCs w:val="20"/>
          <w:color w:val="auto"/>
        </w:rPr>
      </w:pPr>
    </w:p>
    <w:p>
      <w:pPr>
        <w:jc w:val="center"/>
        <w:ind w:right="9499"/>
        <w:spacing w:after="0"/>
        <w:rPr>
          <w:sz w:val="20"/>
          <w:szCs w:val="20"/>
          <w:color w:val="auto"/>
        </w:rPr>
      </w:pPr>
      <w:r>
        <w:rPr>
          <w:rFonts w:ascii="Courier New" w:cs="Courier New" w:eastAsia="Courier New" w:hAnsi="Courier New"/>
          <w:sz w:val="17"/>
          <w:szCs w:val="17"/>
          <w:color w:val="auto"/>
        </w:rPr>
        <w:t>29.438</w:t>
      </w:r>
    </w:p>
    <w:p>
      <w:pPr>
        <w:spacing w:after="0" w:line="5" w:lineRule="exact"/>
        <w:rPr>
          <w:sz w:val="20"/>
          <w:szCs w:val="20"/>
          <w:color w:val="auto"/>
        </w:rPr>
      </w:pPr>
    </w:p>
    <w:p>
      <w:pPr>
        <w:jc w:val="center"/>
        <w:ind w:right="9499"/>
        <w:spacing w:after="0"/>
        <w:rPr>
          <w:sz w:val="20"/>
          <w:szCs w:val="20"/>
          <w:color w:val="auto"/>
        </w:rPr>
      </w:pPr>
      <w:r>
        <w:rPr>
          <w:rFonts w:ascii="Courier New" w:cs="Courier New" w:eastAsia="Courier New" w:hAnsi="Courier New"/>
          <w:sz w:val="17"/>
          <w:szCs w:val="17"/>
          <w:color w:val="auto"/>
        </w:rPr>
        <w:t>3rd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quarter</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41.500</w:t>
      </w:r>
    </w:p>
    <w:p>
      <w:pPr>
        <w:spacing w:after="0" w:line="5" w:lineRule="exact"/>
        <w:rPr>
          <w:sz w:val="20"/>
          <w:szCs w:val="20"/>
          <w:color w:val="auto"/>
        </w:rPr>
      </w:pPr>
    </w:p>
    <w:p>
      <w:pPr>
        <w:jc w:val="center"/>
        <w:ind w:right="9499"/>
        <w:spacing w:after="0"/>
        <w:rPr>
          <w:sz w:val="20"/>
          <w:szCs w:val="20"/>
          <w:color w:val="auto"/>
        </w:rPr>
      </w:pPr>
      <w:r>
        <w:rPr>
          <w:rFonts w:ascii="Courier New" w:cs="Courier New" w:eastAsia="Courier New" w:hAnsi="Courier New"/>
          <w:sz w:val="17"/>
          <w:szCs w:val="17"/>
          <w:color w:val="auto"/>
        </w:rPr>
        <w:t>32.688</w:t>
      </w:r>
    </w:p>
    <w:p>
      <w:pPr>
        <w:spacing w:after="0" w:line="5" w:lineRule="exact"/>
        <w:rPr>
          <w:sz w:val="20"/>
          <w:szCs w:val="20"/>
          <w:color w:val="auto"/>
        </w:rPr>
      </w:pPr>
    </w:p>
    <w:p>
      <w:pPr>
        <w:jc w:val="center"/>
        <w:ind w:right="9499"/>
        <w:spacing w:after="0"/>
        <w:rPr>
          <w:sz w:val="20"/>
          <w:szCs w:val="20"/>
          <w:color w:val="auto"/>
        </w:rPr>
      </w:pPr>
      <w:r>
        <w:rPr>
          <w:rFonts w:ascii="Courier New" w:cs="Courier New" w:eastAsia="Courier New" w:hAnsi="Courier New"/>
          <w:sz w:val="17"/>
          <w:szCs w:val="17"/>
          <w:color w:val="auto"/>
        </w:rPr>
        <w:t>4th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quarter</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37.500</w:t>
      </w:r>
    </w:p>
    <w:p>
      <w:pPr>
        <w:spacing w:after="0" w:line="5" w:lineRule="exact"/>
        <w:rPr>
          <w:sz w:val="20"/>
          <w:szCs w:val="20"/>
          <w:color w:val="auto"/>
        </w:rPr>
      </w:pPr>
    </w:p>
    <w:p>
      <w:pPr>
        <w:jc w:val="center"/>
        <w:ind w:right="9499"/>
        <w:spacing w:after="0"/>
        <w:rPr>
          <w:sz w:val="20"/>
          <w:szCs w:val="20"/>
          <w:color w:val="auto"/>
        </w:rPr>
      </w:pPr>
      <w:r>
        <w:rPr>
          <w:rFonts w:ascii="Courier New" w:cs="Courier New" w:eastAsia="Courier New" w:hAnsi="Courier New"/>
          <w:sz w:val="17"/>
          <w:szCs w:val="17"/>
          <w:color w:val="auto"/>
        </w:rPr>
        <w:t>31.000</w:t>
      </w:r>
    </w:p>
    <w:p>
      <w:pPr>
        <w:spacing w:after="0" w:line="5" w:lineRule="exact"/>
        <w:rPr>
          <w:sz w:val="20"/>
          <w:szCs w:val="20"/>
          <w:color w:val="auto"/>
        </w:rPr>
      </w:pPr>
    </w:p>
    <w:p>
      <w:pPr>
        <w:jc w:val="center"/>
        <w:ind w:right="9499"/>
        <w:spacing w:after="0"/>
        <w:rPr>
          <w:sz w:val="20"/>
          <w:szCs w:val="20"/>
          <w:color w:val="auto"/>
        </w:rPr>
      </w:pPr>
      <w:r>
        <w:rPr>
          <w:rFonts w:ascii="Courier New" w:cs="Courier New" w:eastAsia="Courier New" w:hAnsi="Courier New"/>
          <w:sz w:val="17"/>
          <w:szCs w:val="17"/>
          <w:color w:val="auto"/>
        </w:rPr>
        <w:t>FISCAL</w:t>
      </w:r>
    </w:p>
    <w:p>
      <w:pPr>
        <w:spacing w:after="0" w:line="5" w:lineRule="exact"/>
        <w:rPr>
          <w:sz w:val="20"/>
          <w:szCs w:val="20"/>
          <w:color w:val="auto"/>
        </w:rPr>
      </w:pPr>
    </w:p>
    <w:p>
      <w:pPr>
        <w:jc w:val="center"/>
        <w:ind w:right="9499"/>
        <w:spacing w:after="0"/>
        <w:rPr>
          <w:sz w:val="20"/>
          <w:szCs w:val="20"/>
          <w:color w:val="auto"/>
        </w:rPr>
      </w:pPr>
      <w:r>
        <w:rPr>
          <w:rFonts w:ascii="Courier New" w:cs="Courier New" w:eastAsia="Courier New" w:hAnsi="Courier New"/>
          <w:sz w:val="17"/>
          <w:szCs w:val="17"/>
          <w:color w:val="auto"/>
        </w:rPr>
        <w:t>2001</w:t>
      </w:r>
    </w:p>
    <w:p>
      <w:pPr>
        <w:spacing w:after="0" w:line="5" w:lineRule="exact"/>
        <w:rPr>
          <w:sz w:val="20"/>
          <w:szCs w:val="20"/>
          <w:color w:val="auto"/>
        </w:rPr>
      </w:pPr>
    </w:p>
    <w:p>
      <w:pPr>
        <w:jc w:val="center"/>
        <w:ind w:right="9499"/>
        <w:spacing w:after="0"/>
        <w:rPr>
          <w:sz w:val="20"/>
          <w:szCs w:val="20"/>
          <w:color w:val="auto"/>
        </w:rPr>
      </w:pPr>
      <w:r>
        <w:rPr>
          <w:rFonts w:ascii="Courier New" w:cs="Courier New" w:eastAsia="Courier New" w:hAnsi="Courier New"/>
          <w:sz w:val="17"/>
          <w:szCs w:val="17"/>
          <w:color w:val="auto"/>
        </w:rPr>
        <w:t>1st</w:t>
      </w:r>
    </w:p>
    <w:p>
      <w:pPr>
        <w:spacing w:after="0" w:line="5" w:lineRule="exact"/>
        <w:rPr>
          <w:sz w:val="20"/>
          <w:szCs w:val="20"/>
          <w:color w:val="auto"/>
        </w:rPr>
      </w:pPr>
    </w:p>
    <w:p>
      <w:pPr>
        <w:jc w:val="center"/>
        <w:ind w:right="9499"/>
        <w:spacing w:after="0"/>
        <w:rPr>
          <w:sz w:val="20"/>
          <w:szCs w:val="20"/>
          <w:color w:val="auto"/>
        </w:rPr>
      </w:pPr>
      <w:r>
        <w:rPr>
          <w:rFonts w:ascii="Courier New" w:cs="Courier New" w:eastAsia="Courier New" w:hAnsi="Courier New"/>
          <w:sz w:val="17"/>
          <w:szCs w:val="17"/>
          <w:color w:val="auto"/>
        </w:rPr>
        <w:t>quarter</w:t>
      </w:r>
    </w:p>
    <w:p>
      <w:pPr>
        <w:spacing w:after="0" w:line="5" w:lineRule="exact"/>
        <w:rPr>
          <w:sz w:val="20"/>
          <w:szCs w:val="20"/>
          <w:color w:val="auto"/>
        </w:rPr>
      </w:pPr>
    </w:p>
    <w:p>
      <w:pPr>
        <w:jc w:val="center"/>
        <w:ind w:right="9499"/>
        <w:spacing w:after="0"/>
        <w:rPr>
          <w:sz w:val="20"/>
          <w:szCs w:val="20"/>
          <w:color w:val="auto"/>
        </w:rPr>
      </w:pPr>
      <w:r>
        <w:rPr>
          <w:rFonts w:ascii="Courier New" w:cs="Courier New" w:eastAsia="Courier New" w:hAnsi="Courier New"/>
          <w:sz w:val="17"/>
          <w:szCs w:val="17"/>
          <w:color w:val="auto"/>
        </w:rPr>
        <w:t>$38.125</w:t>
      </w:r>
    </w:p>
    <w:p>
      <w:pPr>
        <w:spacing w:after="0" w:line="5" w:lineRule="exact"/>
        <w:rPr>
          <w:sz w:val="20"/>
          <w:szCs w:val="20"/>
          <w:color w:val="auto"/>
        </w:rPr>
      </w:pPr>
    </w:p>
    <w:p>
      <w:pPr>
        <w:jc w:val="center"/>
        <w:ind w:right="9499"/>
        <w:spacing w:after="0"/>
        <w:rPr>
          <w:sz w:val="20"/>
          <w:szCs w:val="20"/>
          <w:color w:val="auto"/>
        </w:rPr>
      </w:pPr>
      <w:r>
        <w:rPr>
          <w:rFonts w:ascii="Courier New" w:cs="Courier New" w:eastAsia="Courier New" w:hAnsi="Courier New"/>
          <w:sz w:val="17"/>
          <w:szCs w:val="17"/>
          <w:color w:val="auto"/>
        </w:rPr>
        <w:t>$28.875</w:t>
      </w:r>
    </w:p>
    <w:p>
      <w:pPr>
        <w:spacing w:after="0" w:line="5" w:lineRule="exact"/>
        <w:rPr>
          <w:sz w:val="20"/>
          <w:szCs w:val="20"/>
          <w:color w:val="auto"/>
        </w:rPr>
      </w:pPr>
    </w:p>
    <w:p>
      <w:pPr>
        <w:jc w:val="center"/>
        <w:ind w:right="9499"/>
        <w:spacing w:after="0"/>
        <w:rPr>
          <w:sz w:val="20"/>
          <w:szCs w:val="20"/>
          <w:color w:val="auto"/>
        </w:rPr>
      </w:pPr>
      <w:r>
        <w:rPr>
          <w:rFonts w:ascii="Courier New" w:cs="Courier New" w:eastAsia="Courier New" w:hAnsi="Courier New"/>
          <w:sz w:val="17"/>
          <w:szCs w:val="17"/>
          <w:color w:val="auto"/>
        </w:rPr>
        <w:t>2nd</w:t>
      </w:r>
    </w:p>
    <w:p>
      <w:pPr>
        <w:spacing w:after="0" w:line="5" w:lineRule="exact"/>
        <w:rPr>
          <w:sz w:val="20"/>
          <w:szCs w:val="20"/>
          <w:color w:val="auto"/>
        </w:rPr>
      </w:pPr>
    </w:p>
    <w:p>
      <w:pPr>
        <w:jc w:val="center"/>
        <w:ind w:right="9499"/>
        <w:spacing w:after="0"/>
        <w:rPr>
          <w:sz w:val="20"/>
          <w:szCs w:val="20"/>
          <w:color w:val="auto"/>
        </w:rPr>
      </w:pPr>
      <w:r>
        <w:rPr>
          <w:rFonts w:ascii="Courier New" w:cs="Courier New" w:eastAsia="Courier New" w:hAnsi="Courier New"/>
          <w:sz w:val="17"/>
          <w:szCs w:val="17"/>
          <w:color w:val="auto"/>
        </w:rPr>
        <w:t>quarter</w:t>
      </w:r>
    </w:p>
    <w:p>
      <w:pPr>
        <w:spacing w:after="0" w:line="5" w:lineRule="exact"/>
        <w:rPr>
          <w:sz w:val="20"/>
          <w:szCs w:val="20"/>
          <w:color w:val="auto"/>
        </w:rPr>
      </w:pPr>
    </w:p>
    <w:p>
      <w:pPr>
        <w:jc w:val="center"/>
        <w:ind w:right="9499"/>
        <w:spacing w:after="0"/>
        <w:rPr>
          <w:sz w:val="20"/>
          <w:szCs w:val="20"/>
          <w:color w:val="auto"/>
        </w:rPr>
      </w:pPr>
      <w:r>
        <w:rPr>
          <w:rFonts w:ascii="Courier New" w:cs="Courier New" w:eastAsia="Courier New" w:hAnsi="Courier New"/>
          <w:sz w:val="17"/>
          <w:szCs w:val="17"/>
          <w:color w:val="auto"/>
        </w:rPr>
        <w:t>43.070</w:t>
      </w:r>
    </w:p>
    <w:p>
      <w:pPr>
        <w:spacing w:after="0" w:line="5" w:lineRule="exact"/>
        <w:rPr>
          <w:sz w:val="20"/>
          <w:szCs w:val="20"/>
          <w:color w:val="auto"/>
        </w:rPr>
      </w:pPr>
    </w:p>
    <w:p>
      <w:pPr>
        <w:jc w:val="center"/>
        <w:ind w:right="9499"/>
        <w:spacing w:after="0"/>
        <w:rPr>
          <w:sz w:val="20"/>
          <w:szCs w:val="20"/>
          <w:color w:val="auto"/>
        </w:rPr>
      </w:pPr>
      <w:r>
        <w:rPr>
          <w:rFonts w:ascii="Courier New" w:cs="Courier New" w:eastAsia="Courier New" w:hAnsi="Courier New"/>
          <w:sz w:val="17"/>
          <w:szCs w:val="17"/>
          <w:color w:val="auto"/>
        </w:rPr>
        <w:t>36.625</w:t>
      </w:r>
    </w:p>
    <w:p>
      <w:pPr>
        <w:spacing w:after="0" w:line="5" w:lineRule="exact"/>
        <w:rPr>
          <w:sz w:val="20"/>
          <w:szCs w:val="20"/>
          <w:color w:val="auto"/>
        </w:rPr>
      </w:pPr>
    </w:p>
    <w:p>
      <w:pPr>
        <w:jc w:val="center"/>
        <w:ind w:right="9499"/>
        <w:spacing w:after="0"/>
        <w:rPr>
          <w:sz w:val="20"/>
          <w:szCs w:val="20"/>
          <w:color w:val="auto"/>
        </w:rPr>
      </w:pPr>
      <w:r>
        <w:rPr>
          <w:rFonts w:ascii="Courier New" w:cs="Courier New" w:eastAsia="Courier New" w:hAnsi="Courier New"/>
          <w:sz w:val="17"/>
          <w:szCs w:val="17"/>
          <w:color w:val="auto"/>
        </w:rPr>
        <w:t>3rd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quarter</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47.100</w:t>
      </w:r>
    </w:p>
    <w:p>
      <w:pPr>
        <w:spacing w:after="0" w:line="5" w:lineRule="exact"/>
        <w:rPr>
          <w:sz w:val="20"/>
          <w:szCs w:val="20"/>
          <w:color w:val="auto"/>
        </w:rPr>
      </w:pPr>
    </w:p>
    <w:p>
      <w:pPr>
        <w:jc w:val="center"/>
        <w:ind w:right="9499"/>
        <w:spacing w:after="0"/>
        <w:rPr>
          <w:sz w:val="20"/>
          <w:szCs w:val="20"/>
          <w:color w:val="auto"/>
        </w:rPr>
      </w:pPr>
      <w:r>
        <w:rPr>
          <w:rFonts w:ascii="Courier New" w:cs="Courier New" w:eastAsia="Courier New" w:hAnsi="Courier New"/>
          <w:sz w:val="17"/>
          <w:szCs w:val="17"/>
          <w:color w:val="auto"/>
        </w:rPr>
        <w:t>36.130</w:t>
      </w:r>
    </w:p>
    <w:p>
      <w:pPr>
        <w:spacing w:after="0" w:line="5" w:lineRule="exact"/>
        <w:rPr>
          <w:sz w:val="20"/>
          <w:szCs w:val="20"/>
          <w:color w:val="auto"/>
        </w:rPr>
      </w:pPr>
    </w:p>
    <w:p>
      <w:pPr>
        <w:jc w:val="center"/>
        <w:ind w:right="9499"/>
        <w:spacing w:after="0"/>
        <w:rPr>
          <w:sz w:val="20"/>
          <w:szCs w:val="20"/>
          <w:color w:val="auto"/>
        </w:rPr>
      </w:pPr>
      <w:r>
        <w:rPr>
          <w:rFonts w:ascii="Courier New" w:cs="Courier New" w:eastAsia="Courier New" w:hAnsi="Courier New"/>
          <w:sz w:val="17"/>
          <w:szCs w:val="17"/>
          <w:color w:val="auto"/>
        </w:rPr>
        <w:t>4th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quarter</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42.020</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33.320</w:t>
      </w:r>
    </w:p>
    <w:p>
      <w:pPr>
        <w:spacing w:after="0" w:line="200" w:lineRule="exact"/>
        <w:rPr>
          <w:sz w:val="20"/>
          <w:szCs w:val="20"/>
          <w:color w:val="auto"/>
        </w:rPr>
      </w:pPr>
    </w:p>
    <w:p>
      <w:pPr>
        <w:spacing w:after="0" w:line="201"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We have not paid dividends on the common shares in the past and do not presently plan to pay dividends on the common shares. It is presently anticipated that earnings will be retained and reinvested to support the growth of our business. The payment of any future dividends on common shares will be determined by the Board of Directors of Scotts in light of conditions then existing, including our earnings, financial condition and capital requirements, restrictions in financing agreements, business conditions and other factors.</w:t>
      </w:r>
    </w:p>
    <w:p>
      <w:pPr>
        <w:spacing w:after="0" w:line="202" w:lineRule="exact"/>
        <w:rPr>
          <w:sz w:val="20"/>
          <w:szCs w:val="20"/>
          <w:color w:val="auto"/>
        </w:rPr>
      </w:pPr>
    </w:p>
    <w:p>
      <w:pPr>
        <w:ind w:right="2699" w:firstLine="515"/>
        <w:spacing w:after="0" w:line="247" w:lineRule="auto"/>
        <w:rPr>
          <w:sz w:val="20"/>
          <w:szCs w:val="20"/>
          <w:color w:val="auto"/>
        </w:rPr>
      </w:pPr>
      <w:r>
        <w:rPr>
          <w:rFonts w:ascii="Courier New" w:cs="Courier New" w:eastAsia="Courier New" w:hAnsi="Courier New"/>
          <w:sz w:val="17"/>
          <w:szCs w:val="17"/>
          <w:color w:val="auto"/>
        </w:rPr>
        <w:t>As of November 27, 2001, there were approximately 7,200 shareholders including holders of record and our estimate of beneficial holders.</w:t>
      </w:r>
    </w:p>
    <w:p>
      <w:pPr>
        <w:sectPr>
          <w:pgSz w:w="11900" w:h="16838" w:orient="portrait"/>
          <w:cols w:equalWidth="0" w:num="1">
            <w:col w:w="10219"/>
          </w:cols>
          <w:pgMar w:left="240" w:top="709" w:right="1440" w:bottom="121" w:gutter="0" w:footer="0" w:header="0"/>
        </w:sectPr>
      </w:pPr>
    </w:p>
    <w:bookmarkStart w:id="21" w:name="page22"/>
    <w:bookmarkEnd w:id="21"/>
    <w:p>
      <w:pPr>
        <w:ind w:left="2720"/>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ind w:left="282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9019"/>
          </w:cols>
          <w:pgMar w:left="1440" w:top="142"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7"/>
          <w:szCs w:val="17"/>
          <w:color w:val="auto"/>
        </w:rPr>
        <w:t>ITEM 6. SELECTED FINANCIAL DATA</w:t>
      </w:r>
    </w:p>
    <w:p>
      <w:pPr>
        <w:spacing w:after="0" w:line="203"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FIVE YEAR SUMMARY</w:t>
      </w:r>
    </w:p>
    <w:p>
      <w:pPr>
        <w:spacing w:after="0" w:line="5" w:lineRule="exact"/>
        <w:rPr>
          <w:sz w:val="20"/>
          <w:szCs w:val="20"/>
          <w:color w:val="auto"/>
        </w:rPr>
      </w:pPr>
    </w:p>
    <w:p>
      <w:pPr>
        <w:jc w:val="right"/>
        <w:ind w:right="4139"/>
        <w:spacing w:after="0"/>
        <w:rPr>
          <w:sz w:val="20"/>
          <w:szCs w:val="20"/>
          <w:color w:val="auto"/>
        </w:rPr>
      </w:pPr>
      <w:r>
        <w:rPr>
          <w:rFonts w:ascii="Courier New" w:cs="Courier New" w:eastAsia="Courier New" w:hAnsi="Courier New"/>
          <w:sz w:val="17"/>
          <w:szCs w:val="17"/>
          <w:color w:val="auto"/>
        </w:rPr>
        <w:t>FOR THE FISCAL YEAR ENDED SEPTEMBER 30,</w:t>
      </w:r>
    </w:p>
    <w:p>
      <w:pPr>
        <w:spacing w:after="0" w:line="5" w:lineRule="exact"/>
        <w:rPr>
          <w:sz w:val="20"/>
          <w:szCs w:val="20"/>
          <w:color w:val="auto"/>
        </w:rPr>
      </w:pPr>
    </w:p>
    <w:p>
      <w:pPr>
        <w:jc w:val="right"/>
        <w:ind w:right="4139"/>
        <w:spacing w:after="0"/>
        <w:rPr>
          <w:sz w:val="20"/>
          <w:szCs w:val="20"/>
          <w:color w:val="auto"/>
        </w:rPr>
      </w:pPr>
      <w:r>
        <w:rPr>
          <w:rFonts w:ascii="Courier New" w:cs="Courier New" w:eastAsia="Courier New" w:hAnsi="Courier New"/>
          <w:sz w:val="17"/>
          <w:szCs w:val="17"/>
          <w:color w:val="auto"/>
        </w:rPr>
        <w:t>(IN MILLIONS EXCEPT PER SHARE AMOUNTS)</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93"/>
        </w:trPr>
        <w:tc>
          <w:tcPr>
            <w:tcW w:w="9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2001(1)</w:t>
            </w:r>
          </w:p>
        </w:tc>
        <w:tc>
          <w:tcPr>
            <w:tcW w:w="6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2000</w:t>
            </w:r>
          </w:p>
        </w:tc>
      </w:tr>
      <w:tr>
        <w:trPr>
          <w:trHeight w:val="198"/>
        </w:trPr>
        <w:tc>
          <w:tcPr>
            <w:tcW w:w="760" w:type="dxa"/>
            <w:vAlign w:val="bottom"/>
          </w:tcPr>
          <w:p>
            <w:pPr>
              <w:jc w:val="right"/>
              <w:spacing w:after="0"/>
              <w:rPr>
                <w:sz w:val="20"/>
                <w:szCs w:val="20"/>
                <w:color w:val="auto"/>
              </w:rPr>
            </w:pPr>
            <w:r>
              <w:rPr>
                <w:rFonts w:ascii="Courier New" w:cs="Courier New" w:eastAsia="Courier New" w:hAnsi="Courier New"/>
                <w:sz w:val="17"/>
                <w:szCs w:val="17"/>
                <w:color w:val="auto"/>
                <w:w w:val="97"/>
              </w:rPr>
              <w:t>1999(2)</w:t>
            </w:r>
          </w:p>
        </w:tc>
        <w:tc>
          <w:tcPr>
            <w:tcW w:w="7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1998(3)</w:t>
            </w:r>
          </w:p>
        </w:tc>
      </w:tr>
    </w:tbl>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1997(4)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OPERATING</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RESULTS: Net</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sales $1,747.7</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$1,709.0</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$1,602.5</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$1,083.3 $871.7</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Gross profit</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651.4 658.5</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615.2 368.3</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298.1 Income</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from</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operations(5)</w:t>
      </w:r>
    </w:p>
    <w:p>
      <w:pPr>
        <w:spacing w:after="0" w:line="5" w:lineRule="exact"/>
        <w:rPr>
          <w:sz w:val="20"/>
          <w:szCs w:val="20"/>
          <w:color w:val="auto"/>
        </w:rPr>
      </w:pPr>
    </w:p>
    <w:tbl>
      <w:tblPr>
        <w:tblLayout w:type="fixed"/>
        <w:tblInd w:w="60" w:type="dxa"/>
        <w:tblCellMar>
          <w:top w:w="0" w:type="dxa"/>
          <w:left w:w="0" w:type="dxa"/>
          <w:bottom w:w="0" w:type="dxa"/>
          <w:right w:w="0" w:type="dxa"/>
        </w:tblCellMar>
      </w:tblPr>
      <w:tr>
        <w:trPr>
          <w:trHeight w:val="193"/>
        </w:trPr>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116.4</w:t>
            </w:r>
          </w:p>
        </w:tc>
        <w:tc>
          <w:tcPr>
            <w:tcW w:w="78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210.2</w:t>
            </w:r>
          </w:p>
        </w:tc>
      </w:tr>
      <w:tr>
        <w:trPr>
          <w:trHeight w:val="198"/>
        </w:trPr>
        <w:tc>
          <w:tcPr>
            <w:tcW w:w="108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7"/>
              </w:rPr>
              <w:t>196.1 94.1</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94.8</w:t>
            </w:r>
          </w:p>
        </w:tc>
      </w:tr>
      <w:tr>
        <w:trPr>
          <w:trHeight w:val="198"/>
        </w:trPr>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Income</w:t>
            </w:r>
          </w:p>
        </w:tc>
        <w:tc>
          <w:tcPr>
            <w:tcW w:w="78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before</w:t>
            </w:r>
          </w:p>
        </w:tc>
      </w:tr>
    </w:tbl>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extraordinary</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items 15.5 73.1</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69.1 37.0 39.5</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Income</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applicable to</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common</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shareholders</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15.5 66.7 53.5</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26.5 29.7</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Depreciation</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and</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amortization</w:t>
      </w:r>
    </w:p>
    <w:p>
      <w:pPr>
        <w:spacing w:after="0" w:line="5" w:lineRule="exact"/>
        <w:rPr>
          <w:sz w:val="20"/>
          <w:szCs w:val="20"/>
          <w:color w:val="auto"/>
        </w:rPr>
      </w:pPr>
    </w:p>
    <w:tbl>
      <w:tblPr>
        <w:tblLayout w:type="fixed"/>
        <w:tblInd w:w="60" w:type="dxa"/>
        <w:tblCellMar>
          <w:top w:w="0" w:type="dxa"/>
          <w:left w:w="0" w:type="dxa"/>
          <w:bottom w:w="0" w:type="dxa"/>
          <w:right w:w="0" w:type="dxa"/>
        </w:tblCellMar>
      </w:tblPr>
      <w:tr>
        <w:trPr>
          <w:trHeight w:val="193"/>
        </w:trPr>
        <w:tc>
          <w:tcPr>
            <w:tcW w:w="10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63.6 61.0</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56.2</w:t>
            </w:r>
          </w:p>
        </w:tc>
      </w:tr>
      <w:tr>
        <w:trPr>
          <w:trHeight w:val="198"/>
        </w:trPr>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34.5</w:t>
            </w:r>
          </w:p>
        </w:tc>
        <w:tc>
          <w:tcPr>
            <w:tcW w:w="78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26.8</w:t>
            </w:r>
          </w:p>
        </w:tc>
      </w:tr>
      <w:tr>
        <w:trPr>
          <w:trHeight w:val="198"/>
        </w:trPr>
        <w:tc>
          <w:tcPr>
            <w:tcW w:w="154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FINANCIAL</w:t>
            </w:r>
          </w:p>
        </w:tc>
      </w:tr>
      <w:tr>
        <w:trPr>
          <w:trHeight w:val="198"/>
        </w:trPr>
        <w:tc>
          <w:tcPr>
            <w:tcW w:w="154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POSITION:</w:t>
            </w:r>
          </w:p>
        </w:tc>
      </w:tr>
      <w:tr>
        <w:trPr>
          <w:trHeight w:val="198"/>
        </w:trPr>
        <w:tc>
          <w:tcPr>
            <w:tcW w:w="760" w:type="dxa"/>
            <w:vAlign w:val="bottom"/>
          </w:tcPr>
          <w:p>
            <w:pPr>
              <w:jc w:val="right"/>
              <w:spacing w:after="0"/>
              <w:rPr>
                <w:sz w:val="20"/>
                <w:szCs w:val="20"/>
                <w:color w:val="auto"/>
              </w:rPr>
            </w:pPr>
            <w:r>
              <w:rPr>
                <w:rFonts w:ascii="Courier New" w:cs="Courier New" w:eastAsia="Courier New" w:hAnsi="Courier New"/>
                <w:sz w:val="17"/>
                <w:szCs w:val="17"/>
                <w:color w:val="auto"/>
                <w:w w:val="97"/>
              </w:rPr>
              <w:t>Working</w:t>
            </w:r>
          </w:p>
        </w:tc>
        <w:tc>
          <w:tcPr>
            <w:tcW w:w="780" w:type="dxa"/>
            <w:vAlign w:val="bottom"/>
            <w:gridSpan w:val="2"/>
          </w:tcPr>
          <w:p>
            <w:pPr>
              <w:ind w:left="60"/>
              <w:spacing w:after="0"/>
              <w:rPr>
                <w:sz w:val="20"/>
                <w:szCs w:val="20"/>
                <w:color w:val="auto"/>
              </w:rPr>
            </w:pPr>
            <w:r>
              <w:rPr>
                <w:rFonts w:ascii="Courier New" w:cs="Courier New" w:eastAsia="Courier New" w:hAnsi="Courier New"/>
                <w:sz w:val="17"/>
                <w:szCs w:val="17"/>
                <w:color w:val="auto"/>
                <w:w w:val="97"/>
              </w:rPr>
              <w:t>capital</w:t>
            </w:r>
          </w:p>
        </w:tc>
      </w:tr>
      <w:tr>
        <w:trPr>
          <w:trHeight w:val="198"/>
        </w:trPr>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245.7</w:t>
            </w:r>
          </w:p>
        </w:tc>
        <w:tc>
          <w:tcPr>
            <w:tcW w:w="78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234.1</w:t>
            </w:r>
          </w:p>
        </w:tc>
      </w:tr>
      <w:tr>
        <w:trPr>
          <w:trHeight w:val="198"/>
        </w:trPr>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274.8</w:t>
            </w:r>
          </w:p>
        </w:tc>
        <w:tc>
          <w:tcPr>
            <w:tcW w:w="78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135.3</w:t>
            </w:r>
          </w:p>
        </w:tc>
      </w:tr>
      <w:tr>
        <w:trPr>
          <w:trHeight w:val="198"/>
        </w:trPr>
        <w:tc>
          <w:tcPr>
            <w:tcW w:w="1040" w:type="dxa"/>
            <w:vAlign w:val="bottom"/>
            <w:gridSpan w:val="2"/>
          </w:tcPr>
          <w:p>
            <w:pPr>
              <w:jc w:val="center"/>
              <w:ind w:left="394"/>
              <w:spacing w:after="0"/>
              <w:rPr>
                <w:sz w:val="20"/>
                <w:szCs w:val="20"/>
                <w:color w:val="auto"/>
              </w:rPr>
            </w:pPr>
            <w:r>
              <w:rPr>
                <w:rFonts w:ascii="Courier New" w:cs="Courier New" w:eastAsia="Courier New" w:hAnsi="Courier New"/>
                <w:sz w:val="17"/>
                <w:szCs w:val="17"/>
                <w:color w:val="auto"/>
              </w:rPr>
              <w:t>146.5</w:t>
            </w:r>
          </w:p>
        </w:tc>
        <w:tc>
          <w:tcPr>
            <w:tcW w:w="500" w:type="dxa"/>
            <w:vAlign w:val="bottom"/>
          </w:tcPr>
          <w:p>
            <w:pPr>
              <w:spacing w:after="0"/>
              <w:rPr>
                <w:sz w:val="17"/>
                <w:szCs w:val="17"/>
                <w:color w:val="auto"/>
              </w:rPr>
            </w:pPr>
          </w:p>
        </w:tc>
      </w:tr>
    </w:tbl>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Investments in</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property, plant</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and equipment</w:t>
      </w:r>
    </w:p>
    <w:p>
      <w:pPr>
        <w:spacing w:after="0" w:line="5"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980" w:type="dxa"/>
            <w:vAlign w:val="bottom"/>
          </w:tcPr>
          <w:p>
            <w:pPr>
              <w:jc w:val="right"/>
              <w:spacing w:after="0"/>
              <w:rPr>
                <w:sz w:val="20"/>
                <w:szCs w:val="20"/>
                <w:color w:val="auto"/>
              </w:rPr>
            </w:pPr>
            <w:r>
              <w:rPr>
                <w:rFonts w:ascii="Courier New" w:cs="Courier New" w:eastAsia="Courier New" w:hAnsi="Courier New"/>
                <w:sz w:val="17"/>
                <w:szCs w:val="17"/>
                <w:color w:val="auto"/>
                <w:w w:val="97"/>
              </w:rPr>
              <w:t>63.4 72.5</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66.7</w:t>
            </w:r>
          </w:p>
        </w:tc>
      </w:tr>
      <w:tr>
        <w:trPr>
          <w:trHeight w:val="198"/>
        </w:trPr>
        <w:tc>
          <w:tcPr>
            <w:tcW w:w="144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41.3 28.6</w:t>
            </w:r>
          </w:p>
        </w:tc>
      </w:tr>
    </w:tbl>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Property, plant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and equipment,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net 310.7 290.5</w:t>
      </w:r>
    </w:p>
    <w:p>
      <w:pPr>
        <w:spacing w:after="0" w:line="5" w:lineRule="exact"/>
        <w:rPr>
          <w:sz w:val="20"/>
          <w:szCs w:val="20"/>
          <w:color w:val="auto"/>
        </w:rPr>
      </w:pPr>
    </w:p>
    <w:tbl>
      <w:tblPr>
        <w:tblLayout w:type="fixed"/>
        <w:tblInd w:w="60" w:type="dxa"/>
        <w:tblCellMar>
          <w:top w:w="0" w:type="dxa"/>
          <w:left w:w="0" w:type="dxa"/>
          <w:bottom w:w="0" w:type="dxa"/>
          <w:right w:w="0" w:type="dxa"/>
        </w:tblCellMar>
      </w:tblPr>
      <w:tr>
        <w:trPr>
          <w:trHeight w:val="193"/>
        </w:trPr>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259.4</w:t>
            </w:r>
          </w:p>
        </w:tc>
        <w:tc>
          <w:tcPr>
            <w:tcW w:w="720" w:type="dxa"/>
            <w:vAlign w:val="bottom"/>
          </w:tcPr>
          <w:p>
            <w:pPr>
              <w:spacing w:after="0"/>
              <w:rPr>
                <w:sz w:val="20"/>
                <w:szCs w:val="20"/>
                <w:color w:val="auto"/>
              </w:rPr>
            </w:pPr>
            <w:r>
              <w:rPr>
                <w:rFonts w:ascii="Courier New" w:cs="Courier New" w:eastAsia="Courier New" w:hAnsi="Courier New"/>
                <w:sz w:val="17"/>
                <w:szCs w:val="17"/>
                <w:color w:val="auto"/>
              </w:rPr>
              <w:t>197.0</w:t>
            </w:r>
          </w:p>
        </w:tc>
      </w:tr>
      <w:tr>
        <w:trPr>
          <w:trHeight w:val="198"/>
        </w:trPr>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146.1</w:t>
            </w:r>
          </w:p>
        </w:tc>
        <w:tc>
          <w:tcPr>
            <w:tcW w:w="720" w:type="dxa"/>
            <w:vAlign w:val="bottom"/>
          </w:tcPr>
          <w:p>
            <w:pPr>
              <w:spacing w:after="0"/>
              <w:rPr>
                <w:sz w:val="20"/>
                <w:szCs w:val="20"/>
                <w:color w:val="auto"/>
              </w:rPr>
            </w:pPr>
            <w:r>
              <w:rPr>
                <w:rFonts w:ascii="Courier New" w:cs="Courier New" w:eastAsia="Courier New" w:hAnsi="Courier New"/>
                <w:sz w:val="17"/>
                <w:szCs w:val="17"/>
                <w:color w:val="auto"/>
              </w:rPr>
              <w:t>Total</w:t>
            </w:r>
          </w:p>
        </w:tc>
      </w:tr>
      <w:tr>
        <w:trPr>
          <w:trHeight w:val="198"/>
        </w:trPr>
        <w:tc>
          <w:tcPr>
            <w:tcW w:w="15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assets 1,843.0</w:t>
            </w:r>
          </w:p>
        </w:tc>
      </w:tr>
      <w:tr>
        <w:trPr>
          <w:trHeight w:val="198"/>
        </w:trPr>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1,761.4</w:t>
            </w:r>
          </w:p>
        </w:tc>
        <w:tc>
          <w:tcPr>
            <w:tcW w:w="720" w:type="dxa"/>
            <w:vAlign w:val="bottom"/>
          </w:tcPr>
          <w:p>
            <w:pPr>
              <w:spacing w:after="0"/>
              <w:rPr>
                <w:sz w:val="20"/>
                <w:szCs w:val="20"/>
                <w:color w:val="auto"/>
              </w:rPr>
            </w:pPr>
            <w:r>
              <w:rPr>
                <w:rFonts w:ascii="Courier New" w:cs="Courier New" w:eastAsia="Courier New" w:hAnsi="Courier New"/>
                <w:sz w:val="17"/>
                <w:szCs w:val="17"/>
                <w:color w:val="auto"/>
                <w:w w:val="97"/>
              </w:rPr>
              <w:t>1,769.6</w:t>
            </w:r>
          </w:p>
        </w:tc>
      </w:tr>
      <w:tr>
        <w:trPr>
          <w:trHeight w:val="198"/>
        </w:trPr>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1,035.2</w:t>
            </w:r>
          </w:p>
        </w:tc>
        <w:tc>
          <w:tcPr>
            <w:tcW w:w="720" w:type="dxa"/>
            <w:vAlign w:val="bottom"/>
          </w:tcPr>
          <w:p>
            <w:pPr>
              <w:ind w:left="100"/>
              <w:spacing w:after="0"/>
              <w:rPr>
                <w:sz w:val="20"/>
                <w:szCs w:val="20"/>
                <w:color w:val="auto"/>
              </w:rPr>
            </w:pPr>
            <w:r>
              <w:rPr>
                <w:rFonts w:ascii="Courier New" w:cs="Courier New" w:eastAsia="Courier New" w:hAnsi="Courier New"/>
                <w:sz w:val="17"/>
                <w:szCs w:val="17"/>
                <w:color w:val="auto"/>
              </w:rPr>
              <w:t>787.6</w:t>
            </w:r>
          </w:p>
        </w:tc>
      </w:tr>
      <w:tr>
        <w:trPr>
          <w:trHeight w:val="198"/>
        </w:trPr>
        <w:tc>
          <w:tcPr>
            <w:tcW w:w="15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Total debt</w:t>
            </w:r>
          </w:p>
        </w:tc>
      </w:tr>
      <w:tr>
        <w:trPr>
          <w:trHeight w:val="198"/>
        </w:trPr>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887.8</w:t>
            </w:r>
          </w:p>
        </w:tc>
        <w:tc>
          <w:tcPr>
            <w:tcW w:w="720" w:type="dxa"/>
            <w:vAlign w:val="bottom"/>
          </w:tcPr>
          <w:p>
            <w:pPr>
              <w:spacing w:after="0"/>
              <w:rPr>
                <w:sz w:val="20"/>
                <w:szCs w:val="20"/>
                <w:color w:val="auto"/>
              </w:rPr>
            </w:pPr>
            <w:r>
              <w:rPr>
                <w:rFonts w:ascii="Courier New" w:cs="Courier New" w:eastAsia="Courier New" w:hAnsi="Courier New"/>
                <w:sz w:val="17"/>
                <w:szCs w:val="17"/>
                <w:color w:val="auto"/>
              </w:rPr>
              <w:t>862.8</w:t>
            </w:r>
          </w:p>
        </w:tc>
      </w:tr>
      <w:tr>
        <w:trPr>
          <w:trHeight w:val="198"/>
        </w:trPr>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950.0</w:t>
            </w:r>
          </w:p>
        </w:tc>
        <w:tc>
          <w:tcPr>
            <w:tcW w:w="720" w:type="dxa"/>
            <w:vAlign w:val="bottom"/>
          </w:tcPr>
          <w:p>
            <w:pPr>
              <w:spacing w:after="0"/>
              <w:rPr>
                <w:sz w:val="20"/>
                <w:szCs w:val="20"/>
                <w:color w:val="auto"/>
              </w:rPr>
            </w:pPr>
            <w:r>
              <w:rPr>
                <w:rFonts w:ascii="Courier New" w:cs="Courier New" w:eastAsia="Courier New" w:hAnsi="Courier New"/>
                <w:sz w:val="17"/>
                <w:szCs w:val="17"/>
                <w:color w:val="auto"/>
              </w:rPr>
              <w:t>372.5</w:t>
            </w:r>
          </w:p>
        </w:tc>
      </w:tr>
      <w:tr>
        <w:trPr>
          <w:trHeight w:val="198"/>
        </w:trPr>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221.3</w:t>
            </w:r>
          </w:p>
        </w:tc>
        <w:tc>
          <w:tcPr>
            <w:tcW w:w="720" w:type="dxa"/>
            <w:vAlign w:val="bottom"/>
          </w:tcPr>
          <w:p>
            <w:pPr>
              <w:spacing w:after="0"/>
              <w:rPr>
                <w:sz w:val="20"/>
                <w:szCs w:val="20"/>
                <w:color w:val="auto"/>
              </w:rPr>
            </w:pPr>
            <w:r>
              <w:rPr>
                <w:rFonts w:ascii="Courier New" w:cs="Courier New" w:eastAsia="Courier New" w:hAnsi="Courier New"/>
                <w:sz w:val="17"/>
                <w:szCs w:val="17"/>
                <w:color w:val="auto"/>
              </w:rPr>
              <w:t>Total</w:t>
            </w:r>
          </w:p>
        </w:tc>
      </w:tr>
      <w:tr>
        <w:trPr>
          <w:trHeight w:val="198"/>
        </w:trPr>
        <w:tc>
          <w:tcPr>
            <w:tcW w:w="15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shareholders'</w:t>
            </w:r>
          </w:p>
        </w:tc>
      </w:tr>
      <w:tr>
        <w:trPr>
          <w:trHeight w:val="198"/>
        </w:trPr>
        <w:tc>
          <w:tcPr>
            <w:tcW w:w="15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equity 506.2</w:t>
            </w:r>
          </w:p>
        </w:tc>
      </w:tr>
      <w:tr>
        <w:trPr>
          <w:trHeight w:val="198"/>
        </w:trPr>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477.9</w:t>
            </w:r>
          </w:p>
        </w:tc>
        <w:tc>
          <w:tcPr>
            <w:tcW w:w="720" w:type="dxa"/>
            <w:vAlign w:val="bottom"/>
          </w:tcPr>
          <w:p>
            <w:pPr>
              <w:spacing w:after="0"/>
              <w:rPr>
                <w:sz w:val="20"/>
                <w:szCs w:val="20"/>
                <w:color w:val="auto"/>
              </w:rPr>
            </w:pPr>
            <w:r>
              <w:rPr>
                <w:rFonts w:ascii="Courier New" w:cs="Courier New" w:eastAsia="Courier New" w:hAnsi="Courier New"/>
                <w:sz w:val="17"/>
                <w:szCs w:val="17"/>
                <w:color w:val="auto"/>
              </w:rPr>
              <w:t>443.3</w:t>
            </w:r>
          </w:p>
        </w:tc>
      </w:tr>
      <w:tr>
        <w:trPr>
          <w:trHeight w:val="198"/>
        </w:trPr>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403.9</w:t>
            </w:r>
          </w:p>
        </w:tc>
        <w:tc>
          <w:tcPr>
            <w:tcW w:w="720" w:type="dxa"/>
            <w:vAlign w:val="bottom"/>
          </w:tcPr>
          <w:p>
            <w:pPr>
              <w:spacing w:after="0"/>
              <w:rPr>
                <w:sz w:val="20"/>
                <w:szCs w:val="20"/>
                <w:color w:val="auto"/>
              </w:rPr>
            </w:pPr>
            <w:r>
              <w:rPr>
                <w:rFonts w:ascii="Courier New" w:cs="Courier New" w:eastAsia="Courier New" w:hAnsi="Courier New"/>
                <w:sz w:val="17"/>
                <w:szCs w:val="17"/>
                <w:color w:val="auto"/>
              </w:rPr>
              <w:t>389.2</w:t>
            </w:r>
          </w:p>
        </w:tc>
      </w:tr>
      <w:tr>
        <w:trPr>
          <w:trHeight w:val="198"/>
        </w:trPr>
        <w:tc>
          <w:tcPr>
            <w:tcW w:w="15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CASH FLOWS:</w:t>
            </w:r>
          </w:p>
        </w:tc>
      </w:tr>
    </w:tbl>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Cash flows from</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operating</w:t>
      </w:r>
    </w:p>
    <w:p>
      <w:pPr>
        <w:spacing w:after="0" w:line="5" w:lineRule="exact"/>
        <w:rPr>
          <w:sz w:val="20"/>
          <w:szCs w:val="20"/>
          <w:color w:val="auto"/>
        </w:rPr>
      </w:pPr>
    </w:p>
    <w:tbl>
      <w:tblPr>
        <w:tblLayout w:type="fixed"/>
        <w:tblInd w:w="60" w:type="dxa"/>
        <w:tblCellMar>
          <w:top w:w="0" w:type="dxa"/>
          <w:left w:w="0" w:type="dxa"/>
          <w:bottom w:w="0" w:type="dxa"/>
          <w:right w:w="0" w:type="dxa"/>
        </w:tblCellMar>
      </w:tblPr>
      <w:tr>
        <w:trPr>
          <w:trHeight w:val="193"/>
        </w:trPr>
        <w:tc>
          <w:tcPr>
            <w:tcW w:w="1080" w:type="dxa"/>
            <w:vAlign w:val="bottom"/>
          </w:tcPr>
          <w:p>
            <w:pPr>
              <w:spacing w:after="0"/>
              <w:rPr>
                <w:sz w:val="20"/>
                <w:szCs w:val="20"/>
                <w:color w:val="auto"/>
              </w:rPr>
            </w:pPr>
            <w:r>
              <w:rPr>
                <w:rFonts w:ascii="Courier New" w:cs="Courier New" w:eastAsia="Courier New" w:hAnsi="Courier New"/>
                <w:sz w:val="17"/>
                <w:szCs w:val="17"/>
                <w:color w:val="auto"/>
              </w:rPr>
              <w:t>activities</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65.7</w:t>
            </w:r>
          </w:p>
        </w:tc>
      </w:tr>
      <w:tr>
        <w:trPr>
          <w:trHeight w:val="198"/>
        </w:trPr>
        <w:tc>
          <w:tcPr>
            <w:tcW w:w="1080" w:type="dxa"/>
            <w:vAlign w:val="bottom"/>
          </w:tcPr>
          <w:p>
            <w:pPr>
              <w:spacing w:after="0"/>
              <w:rPr>
                <w:sz w:val="20"/>
                <w:szCs w:val="20"/>
                <w:color w:val="auto"/>
              </w:rPr>
            </w:pPr>
            <w:r>
              <w:rPr>
                <w:rFonts w:ascii="Courier New" w:cs="Courier New" w:eastAsia="Courier New" w:hAnsi="Courier New"/>
                <w:sz w:val="17"/>
                <w:szCs w:val="17"/>
                <w:color w:val="auto"/>
              </w:rPr>
              <w:t>171.5 78.2</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71.0</w:t>
            </w:r>
          </w:p>
        </w:tc>
      </w:tr>
    </w:tbl>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121.1 Cash</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flows from</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investing</w:t>
      </w:r>
    </w:p>
    <w:p>
      <w:pPr>
        <w:sectPr>
          <w:pgSz w:w="11900" w:h="16838" w:orient="portrait"/>
          <w:cols w:equalWidth="0" w:num="1">
            <w:col w:w="10219"/>
          </w:cols>
          <w:pgMar w:left="240" w:top="709" w:right="1440" w:bottom="0" w:gutter="0" w:footer="0" w:header="0"/>
        </w:sectPr>
      </w:pPr>
    </w:p>
    <w:bookmarkStart w:id="23" w:name="page24"/>
    <w:bookmarkEnd w:id="23"/>
    <w:p>
      <w:pPr>
        <w:jc w:val="center"/>
        <w:ind w:right="8579"/>
        <w:spacing w:after="0"/>
        <w:rPr>
          <w:sz w:val="20"/>
          <w:szCs w:val="20"/>
          <w:color w:val="auto"/>
        </w:rPr>
      </w:pPr>
      <w:r>
        <w:rPr>
          <w:rFonts w:ascii="Courier New" w:cs="Courier New" w:eastAsia="Courier New" w:hAnsi="Courier New"/>
          <w:sz w:val="17"/>
          <w:szCs w:val="17"/>
          <w:color w:val="auto"/>
        </w:rPr>
        <w:t>activities</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(101.0) (89.5)</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(571.6) (192.1)</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(72.5) Cash</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flows from</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financing</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activities 21.4</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(78.2) 513.9</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118.4 (46.2)</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RATIOS:</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Operating</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margin 6.7%</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12.2% 12.2%</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8.7% 10.9%</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Current ratio</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1.5 1.6 1.7 1.6</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2.1 Total debt</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to total book</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capitalization</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63.7% 64.3%</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68.2% 48.0%</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36.2% Return on</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average</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shareholders'</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equity 3.1%</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14.5% 12.6%</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6.7% 7.9% PER</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SHARE DATA:</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Basic earnings</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per common</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share $ 0.55 $</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2.39 $ 2.93 $</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1.42 $1.60</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Diluted</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earnings per</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common share</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0.51 2.25 2.08</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1.20 1.35 Price</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to diluted</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earnings per</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share, end of</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period 66.9</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14.9 16.6 25.5</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19.4 Stock</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price at year-</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end 34.10 33.50</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34.63 30.63</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26.25 Stock</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price range --</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High 47.10</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42.00 47.63</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41.38 30.56</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Stock price</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range -- Low</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28.88 29.44</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26.63 26.25</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17.75 OTHER:</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EBITDA(6) 180.0</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271.2 252.3</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128.6 121.6</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EBITDA</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margin(6) 10.3%</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15.9% 15.7%</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11.9% 13.9%</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Interest</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coverage</w:t>
      </w:r>
    </w:p>
    <w:p>
      <w:pPr>
        <w:spacing w:after="0" w:line="5"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7"/>
          <w:szCs w:val="17"/>
          <w:color w:val="auto"/>
        </w:rPr>
        <w:t>(EBITDA/interest</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expense)(6) 2.1</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2.9 3.2 4.0 4.8</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Average common</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shares</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outstanding</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28.4 27.9 18.3</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18.7 18.6</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Common shares</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used in diluted</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earnings per</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common share</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calculation</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30.4 29.6 30.5</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30.3 29.3</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Dividends on</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Class A</w:t>
      </w:r>
    </w:p>
    <w:p>
      <w:pPr>
        <w:sectPr>
          <w:pgSz w:w="11900" w:h="16838" w:orient="portrait"/>
          <w:cols w:equalWidth="0" w:num="1">
            <w:col w:w="10219"/>
          </w:cols>
          <w:pgMar w:left="240" w:top="142" w:right="1440" w:bottom="0" w:gutter="0" w:footer="0" w:header="0"/>
        </w:sectPr>
      </w:pPr>
    </w:p>
    <w:bookmarkStart w:id="24" w:name="page25"/>
    <w:bookmarkEnd w:id="24"/>
    <w:p>
      <w:pPr>
        <w:jc w:val="center"/>
        <w:ind w:right="8579"/>
        <w:spacing w:after="0"/>
        <w:rPr>
          <w:sz w:val="20"/>
          <w:szCs w:val="20"/>
          <w:color w:val="auto"/>
        </w:rPr>
      </w:pPr>
      <w:r>
        <w:rPr>
          <w:rFonts w:ascii="Courier New" w:cs="Courier New" w:eastAsia="Courier New" w:hAnsi="Courier New"/>
          <w:sz w:val="17"/>
          <w:szCs w:val="17"/>
          <w:color w:val="auto"/>
        </w:rPr>
        <w:t>Convertible</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Preferred Stock</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$ 0.0 $ 6.4 $</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9.7 $ 9.8 $ 9.8</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3" w:lineRule="exact"/>
        <w:rPr>
          <w:sz w:val="20"/>
          <w:szCs w:val="20"/>
          <w:color w:val="auto"/>
        </w:rPr>
      </w:pPr>
    </w:p>
    <w:p>
      <w:pPr>
        <w:ind w:left="620" w:right="2599" w:hanging="617"/>
        <w:spacing w:after="0" w:line="247" w:lineRule="auto"/>
        <w:rPr>
          <w:sz w:val="20"/>
          <w:szCs w:val="20"/>
          <w:color w:val="auto"/>
        </w:rPr>
      </w:pPr>
      <w:r>
        <w:rPr>
          <w:rFonts w:ascii="Courier New" w:cs="Courier New" w:eastAsia="Courier New" w:hAnsi="Courier New"/>
          <w:sz w:val="17"/>
          <w:szCs w:val="17"/>
          <w:color w:val="auto"/>
        </w:rPr>
        <w:t>NOTE: Prior year presentations have been changed to conform to fiscal 2001 presentation; these changes did not impact net income.</w:t>
      </w:r>
    </w:p>
    <w:p>
      <w:pPr>
        <w:spacing w:after="0" w:line="198" w:lineRule="exact"/>
        <w:rPr>
          <w:sz w:val="20"/>
          <w:szCs w:val="20"/>
          <w:color w:val="auto"/>
        </w:rPr>
      </w:pPr>
    </w:p>
    <w:p>
      <w:pPr>
        <w:ind w:left="420" w:hanging="414"/>
        <w:spacing w:after="0"/>
        <w:tabs>
          <w:tab w:leader="none" w:pos="4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Substral(R) brand acquired from Henkel KGaA from January 2001.</w:t>
      </w:r>
    </w:p>
    <w:p>
      <w:pPr>
        <w:spacing w:after="0" w:line="203" w:lineRule="exact"/>
        <w:rPr>
          <w:rFonts w:ascii="Courier New" w:cs="Courier New" w:eastAsia="Courier New" w:hAnsi="Courier New"/>
          <w:sz w:val="17"/>
          <w:szCs w:val="17"/>
          <w:color w:val="auto"/>
        </w:rPr>
      </w:pPr>
    </w:p>
    <w:p>
      <w:pPr>
        <w:ind w:left="420" w:right="1979" w:hanging="414"/>
        <w:spacing w:after="0" w:line="246" w:lineRule="auto"/>
        <w:tabs>
          <w:tab w:leader="none" w:pos="4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Rhone-Poulenc Jardin (nka Scotts France SAS) from October 1998, ASEF Holding BV from December 1998 and the non-Roundup(R) ("Ortho") business from January 1999.</w:t>
      </w:r>
    </w:p>
    <w:p>
      <w:pPr>
        <w:spacing w:after="0" w:line="199" w:lineRule="exact"/>
        <w:rPr>
          <w:rFonts w:ascii="Courier New" w:cs="Courier New" w:eastAsia="Courier New" w:hAnsi="Courier New"/>
          <w:sz w:val="17"/>
          <w:szCs w:val="17"/>
          <w:color w:val="auto"/>
        </w:rPr>
      </w:pPr>
    </w:p>
    <w:p>
      <w:pPr>
        <w:ind w:left="420" w:right="2399" w:hanging="414"/>
        <w:spacing w:after="0" w:line="247" w:lineRule="auto"/>
        <w:tabs>
          <w:tab w:leader="none" w:pos="4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Levington Group Limited (nka The Scotts Company (UK) Ltd.) from December 1997 and EarthGro, Inc. from February 1998.</w:t>
      </w:r>
    </w:p>
    <w:p>
      <w:pPr>
        <w:spacing w:after="0" w:line="197" w:lineRule="exact"/>
        <w:rPr>
          <w:rFonts w:ascii="Courier New" w:cs="Courier New" w:eastAsia="Courier New" w:hAnsi="Courier New"/>
          <w:sz w:val="17"/>
          <w:szCs w:val="17"/>
          <w:color w:val="auto"/>
        </w:rPr>
      </w:pPr>
    </w:p>
    <w:p>
      <w:pPr>
        <w:ind w:left="420" w:right="2279" w:hanging="414"/>
        <w:spacing w:after="0" w:line="247" w:lineRule="auto"/>
        <w:tabs>
          <w:tab w:leader="none" w:pos="4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Miracle Holdings Limited (nka The Scotts Company (UK) Ltd.) from January 1997.</w:t>
      </w:r>
    </w:p>
    <w:p>
      <w:pPr>
        <w:spacing w:after="0" w:line="19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142" w:right="1440" w:bottom="1440" w:gutter="0" w:footer="0" w:header="0"/>
        </w:sectPr>
      </w:pPr>
    </w:p>
    <w:bookmarkStart w:id="25" w:name="page26"/>
    <w:bookmarkEnd w:id="25"/>
    <w:p>
      <w:pPr>
        <w:ind w:left="420" w:right="2179" w:hanging="414"/>
        <w:spacing w:after="0" w:line="247" w:lineRule="auto"/>
        <w:tabs>
          <w:tab w:leader="none" w:pos="42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Income from operations for fiscal 2001 and 1998 includes $75.7 million and $20.4 million of restructuring and other charges, respectively.</w:t>
      </w:r>
    </w:p>
    <w:p>
      <w:pPr>
        <w:spacing w:after="0" w:line="197" w:lineRule="exact"/>
        <w:rPr>
          <w:rFonts w:ascii="Courier New" w:cs="Courier New" w:eastAsia="Courier New" w:hAnsi="Courier New"/>
          <w:sz w:val="17"/>
          <w:szCs w:val="17"/>
          <w:color w:val="auto"/>
        </w:rPr>
      </w:pPr>
    </w:p>
    <w:p>
      <w:pPr>
        <w:ind w:left="420" w:right="2079" w:hanging="414"/>
        <w:spacing w:after="0" w:line="246" w:lineRule="auto"/>
        <w:tabs>
          <w:tab w:leader="none" w:pos="42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EBITDA is defined as income from operations, plus depreciation and amortization. We believe that EBITDA provides additional information for determining our ability to meet debt service requirements. EBITDA does not represent and should not be considered as an alternative to net income or cash flow from operations as determined by generally accepted accounting principles, and EBITDA does not necessarily indicate whether cash flow will be sufficient to meet cash requirements.</w:t>
      </w:r>
    </w:p>
    <w:p>
      <w:pPr>
        <w:spacing w:after="0" w:line="202" w:lineRule="exact"/>
        <w:rPr>
          <w:sz w:val="20"/>
          <w:szCs w:val="20"/>
          <w:color w:val="auto"/>
        </w:rPr>
      </w:pPr>
    </w:p>
    <w:p>
      <w:pPr>
        <w:ind w:right="2079"/>
        <w:spacing w:after="0" w:line="247" w:lineRule="auto"/>
        <w:rPr>
          <w:sz w:val="20"/>
          <w:szCs w:val="20"/>
          <w:color w:val="auto"/>
        </w:rPr>
      </w:pPr>
      <w:r>
        <w:rPr>
          <w:rFonts w:ascii="Courier New" w:cs="Courier New" w:eastAsia="Courier New" w:hAnsi="Courier New"/>
          <w:sz w:val="17"/>
          <w:szCs w:val="17"/>
          <w:color w:val="auto"/>
        </w:rPr>
        <w:t>ITEM 7. MANAGEMENT'S DISCUSSION AND ANALYSIS OF FINANCIAL CONDITION AND RESULTS OF OPERATIONS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OVERVIEW</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Scotts is a leading manufacturer and marketer of consumer branded products for lawn and garden care and professional horticulture in the United States and Europe. During fiscal 2001, our operations were divided into three business segments: North American Consumer, Global Professional and International Consumer. The North American Consumer segment includes the Lawns, Gardens, Growing Media, Ortho, Scotts LawnService(R) and Canada businesses.</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As a leading consumer branded lawn and garden company, we focus on our consumer marketing efforts, including advertising and consumer research, to create demand to pull products through the retail distribution channels. In the past three years, we have spent approximately 5% of our gross sales annually on media advertising to support and promote our products and brands. We have applied this consumer marketing focus over the past several years, and we believe that Scotts continues to receive a significant return on these marketing expenditures. We expect that we will continue to focus our marketing efforts toward the consumer and to make a significant investment in consumer marketing expenditures in the future to drive market share and sales growth.</w:t>
      </w:r>
    </w:p>
    <w:p>
      <w:pPr>
        <w:spacing w:after="0" w:line="204"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fiscal 2001, we began two major initiatives that affect the way we go to business with our customers in our North American consumer business segment. One was the "one face to the customer" initiative whereby the separate sales forces under our previous "Business Unit" structure were combined into a single, centrally managed and coordinated sales force. The other major initiative was the reduction in the number of, and amount of business we do through distributors. The end objective of these initiatives was to improve the service levels and relationships with our customers in North America. While we generally believe that these initiatives were successful in fiscal 2001, and are important to our future success, they did have the effect of increasing some costs in 2001, such as selling expenses, and further complicated order processing and fulfillment in an environment where we were also going live on our new ERP system in two significant businesses -- Lawns and Ortho.</w:t>
      </w:r>
    </w:p>
    <w:p>
      <w:pPr>
        <w:spacing w:after="0" w:line="206" w:lineRule="exact"/>
        <w:rPr>
          <w:sz w:val="20"/>
          <w:szCs w:val="20"/>
          <w:color w:val="auto"/>
        </w:rPr>
      </w:pPr>
    </w:p>
    <w:p>
      <w:pPr>
        <w:jc w:val="both"/>
        <w:ind w:right="2079" w:firstLine="515"/>
        <w:spacing w:after="0" w:line="246" w:lineRule="auto"/>
        <w:rPr>
          <w:sz w:val="20"/>
          <w:szCs w:val="20"/>
          <w:color w:val="auto"/>
        </w:rPr>
      </w:pPr>
      <w:r>
        <w:rPr>
          <w:rFonts w:ascii="Courier New" w:cs="Courier New" w:eastAsia="Courier New" w:hAnsi="Courier New"/>
          <w:sz w:val="17"/>
          <w:szCs w:val="17"/>
          <w:color w:val="auto"/>
        </w:rPr>
        <w:t>Scotts' sales are seasonal in nature and are susceptible to global weather conditions, primarily in North America and Europe. For instance, periods of wet weather can slow fertilizer sales but can increase demand for pesticide sales.</w:t>
      </w:r>
    </w:p>
    <w:p>
      <w:pPr>
        <w:spacing w:after="0" w:line="2"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Periods of dry, hot weather can have the opposite effect on fertilizer and pesticide sales. We believe that the acquisitions we have made over the past several years diversify both our product line risk and geographic risk to weather conditions.</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fiscal 1999, we expanded our reach of product line offerings into the controls segment with the acquisition of the Ortho(R) brand of control products from Monsanto and the execution of the Roundup(R) marketing agreement. In addition, over the past several years, we have made several acquisitions to strengthen our international market position in the lawn and garden category including Rhone-Poulenc Jardin, ASEF Holding BV and, most recently, Substral. Each acquisition provided a significant addition to our then existing European platform and strengthened our foothold in the continental European consumer lawn and garden market. Through these acquisitions, we have established a strong presence in France, Germany, Austria and the Benelux countries. These acquisitions may also mitigate, to a certain extent, our susceptibility to weather conditions by expanding the regions in which we operate.</w:t>
      </w:r>
    </w:p>
    <w:p>
      <w:pPr>
        <w:spacing w:after="0" w:line="205" w:lineRule="exact"/>
        <w:rPr>
          <w:sz w:val="20"/>
          <w:szCs w:val="20"/>
          <w:color w:val="auto"/>
        </w:rPr>
      </w:pPr>
    </w:p>
    <w:p>
      <w:pPr>
        <w:jc w:val="both"/>
        <w:ind w:right="2699" w:firstLine="515"/>
        <w:spacing w:after="0" w:line="246" w:lineRule="auto"/>
        <w:rPr>
          <w:sz w:val="20"/>
          <w:szCs w:val="20"/>
          <w:color w:val="auto"/>
        </w:rPr>
      </w:pPr>
      <w:r>
        <w:rPr>
          <w:rFonts w:ascii="Courier New" w:cs="Courier New" w:eastAsia="Courier New" w:hAnsi="Courier New"/>
          <w:sz w:val="17"/>
          <w:szCs w:val="17"/>
          <w:color w:val="auto"/>
        </w:rPr>
        <w:t>The following discussion and analysis of our consolidated results of operations and financial position should be read in conjunction with our Consolidated Financial Statements included elsewhere in this report.</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709" w:right="1440" w:bottom="721" w:gutter="0" w:footer="0" w:header="0"/>
        </w:sectPr>
      </w:pPr>
    </w:p>
    <w:bookmarkStart w:id="26" w:name="page27"/>
    <w:bookmarkEnd w:id="26"/>
    <w:p>
      <w:pPr>
        <w:spacing w:after="0"/>
        <w:rPr>
          <w:sz w:val="20"/>
          <w:szCs w:val="20"/>
          <w:color w:val="auto"/>
        </w:rPr>
      </w:pPr>
      <w:r>
        <w:rPr>
          <w:rFonts w:ascii="Courier New" w:cs="Courier New" w:eastAsia="Courier New" w:hAnsi="Courier New"/>
          <w:sz w:val="17"/>
          <w:szCs w:val="17"/>
          <w:color w:val="auto"/>
        </w:rPr>
        <w:t>RESULTS OF OPERATIONS</w:t>
      </w:r>
    </w:p>
    <w:p>
      <w:pPr>
        <w:spacing w:after="0" w:line="203" w:lineRule="exact"/>
        <w:rPr>
          <w:sz w:val="20"/>
          <w:szCs w:val="20"/>
          <w:color w:val="auto"/>
        </w:rPr>
      </w:pPr>
    </w:p>
    <w:p>
      <w:pPr>
        <w:ind w:right="2279" w:firstLine="515"/>
        <w:spacing w:after="0" w:line="247" w:lineRule="auto"/>
        <w:rPr>
          <w:sz w:val="20"/>
          <w:szCs w:val="20"/>
          <w:color w:val="auto"/>
        </w:rPr>
      </w:pPr>
      <w:r>
        <w:rPr>
          <w:rFonts w:ascii="Courier New" w:cs="Courier New" w:eastAsia="Courier New" w:hAnsi="Courier New"/>
          <w:sz w:val="17"/>
          <w:szCs w:val="17"/>
          <w:color w:val="auto"/>
        </w:rPr>
        <w:t>The following table sets forth the components of income and expense as a percentage of net sales for the three years ended September 30, 2001:</w:t>
      </w:r>
    </w:p>
    <w:p>
      <w:pPr>
        <w:spacing w:after="0" w:line="198"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Fiscal Year</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Ended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September 30,</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------- 2001</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2000 1999 -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Net sales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100.0% 100.0%</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100.0% Cost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of sales 62.7</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61.5 61.6 ---</w:t>
      </w:r>
    </w:p>
    <w:p>
      <w:pPr>
        <w:spacing w:after="0" w:line="5" w:lineRule="exact"/>
        <w:rPr>
          <w:sz w:val="20"/>
          <w:szCs w:val="20"/>
          <w:color w:val="auto"/>
        </w:rPr>
      </w:pPr>
    </w:p>
    <w:p>
      <w:pPr>
        <w:ind w:left="360" w:hanging="304"/>
        <w:spacing w:after="0"/>
        <w:tabs>
          <w:tab w:leader="none" w:pos="36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580" w:hanging="215"/>
        <w:spacing w:after="0"/>
        <w:tabs>
          <w:tab w:leader="none" w:pos="580" w:val="left"/>
        </w:tabs>
        <w:numPr>
          <w:ilvl w:val="1"/>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Gross</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profit 37.3</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38.5 38.4</w:t>
      </w:r>
    </w:p>
    <w:p>
      <w:pPr>
        <w:spacing w:after="0" w:line="5" w:lineRule="exact"/>
        <w:rPr>
          <w:rFonts w:ascii="Courier New" w:cs="Courier New" w:eastAsia="Courier New" w:hAnsi="Courier New"/>
          <w:sz w:val="17"/>
          <w:szCs w:val="17"/>
          <w:color w:val="auto"/>
        </w:rPr>
      </w:pPr>
    </w:p>
    <w:p>
      <w:pPr>
        <w:jc w:val="center"/>
        <w:ind w:left="160" w:right="8919" w:firstLine="52"/>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Commission earned from marketing agreement, net 1.2 1.7 1.8 Advertising</w:t>
      </w:r>
    </w:p>
    <w:p>
      <w:pPr>
        <w:spacing w:after="0" w:line="4"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and promotion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8.6 9.0 8.9</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Selling,</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general and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administrative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18.1 17.7</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17.6</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Amortization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of goodwill</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and other</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intangibles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1.6 1.6 1.6</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Restructuring</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and other</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charges 3.9</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0.0 0.1 Other</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income, net</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(0.4) (0.4)</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(0.2) ----- -</w:t>
      </w:r>
    </w:p>
    <w:p>
      <w:pPr>
        <w:spacing w:after="0" w:line="5" w:lineRule="exact"/>
        <w:rPr>
          <w:sz w:val="20"/>
          <w:szCs w:val="20"/>
          <w:color w:val="auto"/>
        </w:rPr>
      </w:pPr>
    </w:p>
    <w:p>
      <w:pPr>
        <w:ind w:left="720" w:hanging="510"/>
        <w:spacing w:after="0"/>
        <w:tabs>
          <w:tab w:leader="none" w:pos="7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jc w:val="both"/>
        <w:ind w:left="220" w:right="8919" w:hanging="52"/>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Income from operations</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93"/>
        </w:trPr>
        <w:tc>
          <w:tcPr>
            <w:tcW w:w="360" w:type="dxa"/>
            <w:vAlign w:val="bottom"/>
          </w:tcPr>
          <w:p>
            <w:pPr>
              <w:jc w:val="right"/>
              <w:spacing w:after="0"/>
              <w:rPr>
                <w:sz w:val="20"/>
                <w:szCs w:val="20"/>
                <w:color w:val="auto"/>
              </w:rPr>
            </w:pPr>
            <w:r>
              <w:rPr>
                <w:rFonts w:ascii="Courier New" w:cs="Courier New" w:eastAsia="Courier New" w:hAnsi="Courier New"/>
                <w:sz w:val="17"/>
                <w:szCs w:val="17"/>
                <w:color w:val="auto"/>
                <w:w w:val="91"/>
              </w:rPr>
              <w:t>6.7</w:t>
            </w:r>
          </w:p>
        </w:tc>
        <w:tc>
          <w:tcPr>
            <w:tcW w:w="520" w:type="dxa"/>
            <w:vAlign w:val="bottom"/>
          </w:tcPr>
          <w:p>
            <w:pPr>
              <w:ind w:left="40"/>
              <w:spacing w:after="0"/>
              <w:rPr>
                <w:sz w:val="20"/>
                <w:szCs w:val="20"/>
                <w:color w:val="auto"/>
              </w:rPr>
            </w:pPr>
            <w:r>
              <w:rPr>
                <w:rFonts w:ascii="Courier New" w:cs="Courier New" w:eastAsia="Courier New" w:hAnsi="Courier New"/>
                <w:sz w:val="17"/>
                <w:szCs w:val="17"/>
                <w:color w:val="auto"/>
              </w:rPr>
              <w:t>12.2</w:t>
            </w:r>
          </w:p>
        </w:tc>
        <w:tc>
          <w:tcPr>
            <w:tcW w:w="460" w:type="dxa"/>
            <w:vAlign w:val="bottom"/>
          </w:tcPr>
          <w:p>
            <w:pPr>
              <w:ind w:left="40"/>
              <w:spacing w:after="0"/>
              <w:rPr>
                <w:sz w:val="20"/>
                <w:szCs w:val="20"/>
                <w:color w:val="auto"/>
              </w:rPr>
            </w:pPr>
            <w:r>
              <w:rPr>
                <w:rFonts w:ascii="Courier New" w:cs="Courier New" w:eastAsia="Courier New" w:hAnsi="Courier New"/>
                <w:sz w:val="17"/>
                <w:szCs w:val="17"/>
                <w:color w:val="auto"/>
                <w:w w:val="97"/>
              </w:rPr>
              <w:t>12.2</w:t>
            </w:r>
          </w:p>
        </w:tc>
      </w:tr>
      <w:tr>
        <w:trPr>
          <w:trHeight w:val="198"/>
        </w:trPr>
        <w:tc>
          <w:tcPr>
            <w:tcW w:w="1340" w:type="dxa"/>
            <w:vAlign w:val="bottom"/>
            <w:gridSpan w:val="3"/>
          </w:tcPr>
          <w:p>
            <w:pPr>
              <w:ind w:left="260"/>
              <w:spacing w:after="0"/>
              <w:rPr>
                <w:sz w:val="20"/>
                <w:szCs w:val="20"/>
                <w:color w:val="auto"/>
              </w:rPr>
            </w:pPr>
            <w:r>
              <w:rPr>
                <w:rFonts w:ascii="Courier New" w:cs="Courier New" w:eastAsia="Courier New" w:hAnsi="Courier New"/>
                <w:sz w:val="17"/>
                <w:szCs w:val="17"/>
                <w:color w:val="auto"/>
              </w:rPr>
              <w:t>Interest</w:t>
            </w:r>
          </w:p>
        </w:tc>
      </w:tr>
      <w:tr>
        <w:trPr>
          <w:trHeight w:val="198"/>
        </w:trPr>
        <w:tc>
          <w:tcPr>
            <w:tcW w:w="88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expense</w:t>
            </w:r>
          </w:p>
        </w:tc>
        <w:tc>
          <w:tcPr>
            <w:tcW w:w="460" w:type="dxa"/>
            <w:vAlign w:val="bottom"/>
          </w:tcPr>
          <w:p>
            <w:pPr>
              <w:ind w:left="40"/>
              <w:spacing w:after="0"/>
              <w:rPr>
                <w:sz w:val="20"/>
                <w:szCs w:val="20"/>
                <w:color w:val="auto"/>
              </w:rPr>
            </w:pPr>
            <w:r>
              <w:rPr>
                <w:rFonts w:ascii="Courier New" w:cs="Courier New" w:eastAsia="Courier New" w:hAnsi="Courier New"/>
                <w:sz w:val="17"/>
                <w:szCs w:val="17"/>
                <w:color w:val="auto"/>
              </w:rPr>
              <w:t>5.0</w:t>
            </w:r>
          </w:p>
        </w:tc>
      </w:tr>
      <w:tr>
        <w:trPr>
          <w:trHeight w:val="198"/>
        </w:trPr>
        <w:tc>
          <w:tcPr>
            <w:tcW w:w="360" w:type="dxa"/>
            <w:vAlign w:val="bottom"/>
          </w:tcPr>
          <w:p>
            <w:pPr>
              <w:jc w:val="right"/>
              <w:spacing w:after="0"/>
              <w:rPr>
                <w:sz w:val="20"/>
                <w:szCs w:val="20"/>
                <w:color w:val="auto"/>
              </w:rPr>
            </w:pPr>
            <w:r>
              <w:rPr>
                <w:rFonts w:ascii="Courier New" w:cs="Courier New" w:eastAsia="Courier New" w:hAnsi="Courier New"/>
                <w:sz w:val="17"/>
                <w:szCs w:val="17"/>
                <w:color w:val="auto"/>
                <w:w w:val="91"/>
              </w:rPr>
              <w:t>5.5</w:t>
            </w:r>
          </w:p>
        </w:tc>
        <w:tc>
          <w:tcPr>
            <w:tcW w:w="9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4.9 -----</w:t>
            </w:r>
          </w:p>
        </w:tc>
      </w:tr>
    </w:tbl>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Income before</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income taxes</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1.7 6.7 7.3</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Income taxes</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0.8 2.5 3.0 -</w:t>
      </w:r>
    </w:p>
    <w:p>
      <w:pPr>
        <w:spacing w:after="0" w:line="5" w:lineRule="exact"/>
        <w:rPr>
          <w:sz w:val="20"/>
          <w:szCs w:val="20"/>
          <w:color w:val="auto"/>
        </w:rPr>
      </w:pPr>
    </w:p>
    <w:p>
      <w:pPr>
        <w:ind w:left="580" w:hanging="524"/>
        <w:spacing w:after="0"/>
        <w:tabs>
          <w:tab w:leader="none" w:pos="58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420" w:right="8979" w:hanging="210"/>
        <w:spacing w:after="0" w:line="246" w:lineRule="auto"/>
        <w:tabs>
          <w:tab w:leader="none" w:pos="626" w:val="left"/>
        </w:tabs>
        <w:numPr>
          <w:ilvl w:val="1"/>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Income before</w:t>
      </w:r>
    </w:p>
    <w:p>
      <w:pPr>
        <w:spacing w:after="0" w:line="1"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extraordinary</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item 0.9 4.2</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4.3</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Extraordinary</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loss on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extinguishment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of debt 0.0</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0.0 0.4 -----</w:t>
      </w:r>
    </w:p>
    <w:p>
      <w:pPr>
        <w:sectPr>
          <w:pgSz w:w="11900" w:h="16838" w:orient="portrait"/>
          <w:cols w:equalWidth="0" w:num="1">
            <w:col w:w="10219"/>
          </w:cols>
          <w:pgMar w:left="240" w:top="709" w:right="1440" w:bottom="0" w:gutter="0" w:footer="0" w:header="0"/>
        </w:sectPr>
      </w:pPr>
    </w:p>
    <w:bookmarkStart w:id="27" w:name="page28"/>
    <w:bookmarkEnd w:id="27"/>
    <w:p>
      <w:pPr>
        <w:ind w:left="16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Net income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0.9 4.2 3.9</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Dividends on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Class A</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Convertible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Preferred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Stock 0.0 0.4</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0.6 ----- ---</w:t>
      </w:r>
    </w:p>
    <w:p>
      <w:pPr>
        <w:spacing w:after="0" w:line="5" w:lineRule="exact"/>
        <w:rPr>
          <w:sz w:val="20"/>
          <w:szCs w:val="20"/>
          <w:color w:val="auto"/>
        </w:rPr>
      </w:pPr>
    </w:p>
    <w:p>
      <w:pPr>
        <w:ind w:left="620" w:hanging="307"/>
        <w:spacing w:after="0"/>
        <w:tabs>
          <w:tab w:leader="none" w:pos="62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Income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applicable to</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common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shareholders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0.9% 3.8%</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3.3% =====</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line="201" w:lineRule="exact"/>
        <w:rPr>
          <w:sz w:val="20"/>
          <w:szCs w:val="20"/>
          <w:color w:val="auto"/>
        </w:rPr>
      </w:pPr>
    </w:p>
    <w:p>
      <w:pPr>
        <w:ind w:right="2079" w:firstLine="515"/>
        <w:spacing w:after="0" w:line="247" w:lineRule="auto"/>
        <w:rPr>
          <w:sz w:val="20"/>
          <w:szCs w:val="20"/>
          <w:color w:val="auto"/>
        </w:rPr>
      </w:pPr>
      <w:r>
        <w:rPr>
          <w:rFonts w:ascii="Courier New" w:cs="Courier New" w:eastAsia="Courier New" w:hAnsi="Courier New"/>
          <w:sz w:val="17"/>
          <w:szCs w:val="17"/>
          <w:color w:val="auto"/>
        </w:rPr>
        <w:t>The following table sets forth net sales by business segment for the three years ended September 30, 2001:</w:t>
      </w:r>
    </w:p>
    <w:p>
      <w:pPr>
        <w:spacing w:after="0" w:line="198"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2001 2000</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1999 -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($millions)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North</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American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Consumer:</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Lawns $ 514.7</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$ 470.1 $</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424.2 Gardens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151.9 152.8</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145.3 Growing</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Media 305.3</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292.8 257.1</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Ortho 222.8</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250.2 210.8</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Scotts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LawnService(R)</w:t>
      </w:r>
    </w:p>
    <w:p>
      <w:pPr>
        <w:spacing w:after="0" w:line="5" w:lineRule="exact"/>
        <w:rPr>
          <w:sz w:val="20"/>
          <w:szCs w:val="20"/>
          <w:color w:val="auto"/>
        </w:rPr>
      </w:pPr>
    </w:p>
    <w:tbl>
      <w:tblPr>
        <w:tblLayout w:type="fixed"/>
        <w:tblInd w:w="60" w:type="dxa"/>
        <w:tblCellMar>
          <w:top w:w="0" w:type="dxa"/>
          <w:left w:w="0" w:type="dxa"/>
          <w:bottom w:w="0" w:type="dxa"/>
          <w:right w:w="0" w:type="dxa"/>
        </w:tblCellMar>
      </w:tblPr>
      <w:tr>
        <w:trPr>
          <w:trHeight w:val="193"/>
        </w:trPr>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42.0</w:t>
            </w:r>
          </w:p>
        </w:tc>
        <w:tc>
          <w:tcPr>
            <w:tcW w:w="52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3"/>
              </w:rPr>
              <w:t>21.4</w:t>
            </w:r>
          </w:p>
        </w:tc>
      </w:tr>
      <w:tr>
        <w:trPr>
          <w:trHeight w:val="198"/>
        </w:trPr>
        <w:tc>
          <w:tcPr>
            <w:tcW w:w="1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14.0 Canada</w:t>
            </w:r>
          </w:p>
        </w:tc>
      </w:tr>
      <w:tr>
        <w:trPr>
          <w:trHeight w:val="198"/>
        </w:trPr>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27.7</w:t>
            </w:r>
          </w:p>
        </w:tc>
        <w:tc>
          <w:tcPr>
            <w:tcW w:w="52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3"/>
              </w:rPr>
              <w:t>29.8</w:t>
            </w:r>
          </w:p>
        </w:tc>
      </w:tr>
      <w:tr>
        <w:trPr>
          <w:trHeight w:val="198"/>
        </w:trPr>
        <w:tc>
          <w:tcPr>
            <w:tcW w:w="1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11.9 Other</w:t>
            </w:r>
          </w:p>
        </w:tc>
      </w:tr>
      <w:tr>
        <w:trPr>
          <w:trHeight w:val="198"/>
        </w:trPr>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38.2</w:t>
            </w:r>
          </w:p>
        </w:tc>
        <w:tc>
          <w:tcPr>
            <w:tcW w:w="52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3"/>
              </w:rPr>
              <w:t>36.2</w:t>
            </w:r>
          </w:p>
        </w:tc>
      </w:tr>
      <w:tr>
        <w:trPr>
          <w:trHeight w:val="198"/>
        </w:trPr>
        <w:tc>
          <w:tcPr>
            <w:tcW w:w="12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1"/>
              </w:rPr>
              <w:t>76.7 --------</w:t>
            </w:r>
          </w:p>
        </w:tc>
      </w:tr>
    </w:tbl>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720" w:hanging="510"/>
        <w:spacing w:after="0"/>
        <w:tabs>
          <w:tab w:leader="none" w:pos="72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Total</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1,302.6</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1,253.3</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1,140.0</w:t>
      </w:r>
    </w:p>
    <w:p>
      <w:pPr>
        <w:spacing w:after="0" w:line="200" w:lineRule="exact"/>
        <w:rPr>
          <w:sz w:val="20"/>
          <w:szCs w:val="20"/>
          <w:color w:val="auto"/>
        </w:rPr>
      </w:pP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93"/>
        </w:trPr>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264.1</w:t>
            </w:r>
          </w:p>
        </w:tc>
        <w:tc>
          <w:tcPr>
            <w:tcW w:w="720" w:type="dxa"/>
            <w:vAlign w:val="bottom"/>
          </w:tcPr>
          <w:p>
            <w:pPr>
              <w:jc w:val="center"/>
              <w:spacing w:after="0"/>
              <w:rPr>
                <w:sz w:val="20"/>
                <w:szCs w:val="20"/>
                <w:color w:val="auto"/>
              </w:rPr>
            </w:pPr>
            <w:r>
              <w:rPr>
                <w:rFonts w:ascii="Courier New" w:cs="Courier New" w:eastAsia="Courier New" w:hAnsi="Courier New"/>
                <w:sz w:val="17"/>
                <w:szCs w:val="17"/>
                <w:color w:val="auto"/>
              </w:rPr>
              <w:t>274.6</w:t>
            </w:r>
          </w:p>
        </w:tc>
      </w:tr>
      <w:tr>
        <w:trPr>
          <w:trHeight w:val="198"/>
        </w:trPr>
        <w:tc>
          <w:tcPr>
            <w:tcW w:w="134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289.8 Global</w:t>
            </w:r>
          </w:p>
        </w:tc>
      </w:tr>
      <w:tr>
        <w:trPr>
          <w:trHeight w:val="198"/>
        </w:trPr>
        <w:tc>
          <w:tcPr>
            <w:tcW w:w="134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Professional</w:t>
            </w:r>
          </w:p>
        </w:tc>
      </w:tr>
      <w:tr>
        <w:trPr>
          <w:trHeight w:val="198"/>
        </w:trPr>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181.0</w:t>
            </w:r>
          </w:p>
        </w:tc>
        <w:tc>
          <w:tcPr>
            <w:tcW w:w="720" w:type="dxa"/>
            <w:vAlign w:val="bottom"/>
          </w:tcPr>
          <w:p>
            <w:pPr>
              <w:jc w:val="center"/>
              <w:spacing w:after="0"/>
              <w:rPr>
                <w:sz w:val="20"/>
                <w:szCs w:val="20"/>
                <w:color w:val="auto"/>
              </w:rPr>
            </w:pPr>
            <w:r>
              <w:rPr>
                <w:rFonts w:ascii="Courier New" w:cs="Courier New" w:eastAsia="Courier New" w:hAnsi="Courier New"/>
                <w:sz w:val="17"/>
                <w:szCs w:val="17"/>
                <w:color w:val="auto"/>
              </w:rPr>
              <w:t>181.1</w:t>
            </w:r>
          </w:p>
        </w:tc>
      </w:tr>
      <w:tr>
        <w:trPr>
          <w:trHeight w:val="198"/>
        </w:trPr>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172.7</w:t>
            </w:r>
          </w:p>
        </w:tc>
        <w:tc>
          <w:tcPr>
            <w:tcW w:w="72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r>
    </w:tbl>
    <w:p>
      <w:pPr>
        <w:spacing w:after="0" w:line="5" w:lineRule="exact"/>
        <w:rPr>
          <w:sz w:val="20"/>
          <w:szCs w:val="20"/>
          <w:color w:val="auto"/>
        </w:rPr>
      </w:pPr>
    </w:p>
    <w:p>
      <w:pPr>
        <w:ind w:left="260" w:hanging="204"/>
        <w:spacing w:after="0"/>
        <w:tabs>
          <w:tab w:leader="none" w:pos="26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Consolidated</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$1,747.7</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$1,709.0</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$1,602.5</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FISCAL 2001 COMPARED TO FISCAL 2000</w:t>
      </w:r>
    </w:p>
    <w:p>
      <w:pPr>
        <w:spacing w:after="0" w:line="203"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Net sales for fiscal 2001 were $1,747.7 million, an increase of 2.3% over fiscal 2000 sales of $1,709.0 million. As discussed below, net sales increased over 4% in the North American Consumer segment; whereas, net sales declined by 3.8% in the International Consumer segment and Global Professional net sales were flat.</w:t>
      </w:r>
    </w:p>
    <w:p>
      <w:pPr>
        <w:sectPr>
          <w:pgSz w:w="11900" w:h="16838" w:orient="portrait"/>
          <w:cols w:equalWidth="0" w:num="1">
            <w:col w:w="10219"/>
          </w:cols>
          <w:pgMar w:left="240" w:top="142" w:right="1440" w:bottom="0" w:gutter="0" w:footer="0" w:header="0"/>
        </w:sectPr>
      </w:pPr>
    </w:p>
    <w:bookmarkStart w:id="28" w:name="page29"/>
    <w:bookmarkEnd w:id="28"/>
    <w:p>
      <w:pPr>
        <w:ind w:right="2079" w:firstLine="515"/>
        <w:spacing w:after="0" w:line="246" w:lineRule="auto"/>
        <w:rPr>
          <w:sz w:val="20"/>
          <w:szCs w:val="20"/>
          <w:color w:val="auto"/>
        </w:rPr>
      </w:pPr>
      <w:r>
        <w:rPr>
          <w:rFonts w:ascii="Courier New" w:cs="Courier New" w:eastAsia="Courier New" w:hAnsi="Courier New"/>
          <w:sz w:val="17"/>
          <w:szCs w:val="17"/>
          <w:color w:val="auto"/>
        </w:rPr>
        <w:t>North American Consumer net sales were $1,302.6 million in fiscal 2001, an increase of 4% over fiscal 2000 net sales of $1,253.3 million. Net sales in the Lawns business within this segment were $514.7 million in fiscal 2001, a 9.5% increase over fiscal 2000 net sales of $470.1 million, primarily due to the introduction of a new line of grass seed products. Net sales in the Growing Media business increased</w:t>
      </w:r>
    </w:p>
    <w:p>
      <w:pPr>
        <w:spacing w:after="0" w:line="20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340" w:right="1440" w:bottom="1440" w:gutter="0" w:footer="0" w:header="0"/>
        </w:sectPr>
      </w:pPr>
    </w:p>
    <w:bookmarkStart w:id="29" w:name="page30"/>
    <w:bookmarkEnd w:id="29"/>
    <w:p>
      <w:pPr>
        <w:ind w:right="1979"/>
        <w:spacing w:after="0" w:line="246" w:lineRule="auto"/>
        <w:rPr>
          <w:sz w:val="20"/>
          <w:szCs w:val="20"/>
          <w:color w:val="auto"/>
        </w:rPr>
      </w:pPr>
      <w:r>
        <w:rPr>
          <w:rFonts w:ascii="Courier New" w:cs="Courier New" w:eastAsia="Courier New" w:hAnsi="Courier New"/>
          <w:sz w:val="17"/>
          <w:szCs w:val="17"/>
          <w:color w:val="auto"/>
        </w:rPr>
        <w:t>4.3% to $305.3 million in fiscal 2001 from $292.8 million in fiscal 2000. 2001 saw the continuation of the successful roll out of the value-added line of Miracle-Gro(R) branded garden and potting soils in the Growing Media business. Sales of branded soils increased from $74 million in fiscal 2000 to $101 million in fiscal 2001. Net sales in the Ortho business decreased 11% to $222.8 million in fiscal 2001 from $250.2 million in fiscal 2000 due primarily to the weather and product availability issues due to ERP system data problems. Net sales in the Scotts LawnService(R) business increased 96.3% to $42.0 million in fiscal 2001 from $21.4 million in fiscal 2000. This growth reflects continued expansion through acquisitions and new branch openings, as well as the success of our direct marketing campaign utilizing the Scotts(R) brand name. The other sales category consists of sales under a supply agreement to the purchaser of the ProTurf(R) business in 2001 and actual sales of the ProTurf(R) business in fiscal 2000 prior to the date of sale. Selling price changes were not material to net sales in fiscal 2001 or fiscal 2000.</w:t>
      </w:r>
    </w:p>
    <w:p>
      <w:pPr>
        <w:spacing w:after="0" w:line="207"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International Consumer net sales decreased 3.8% to $264.1 million in fiscal 2001 compared to $274.6 million in fiscal 2000. Excluding the adverse impact of changes in exchange rates, net sales for International Consumer increased over 3% compared to the prior year. The increase in sales is primarily due to the successful sell-in of a new line of fertilizer products under the Substral(R) brand name acquired January 1, 2001.</w:t>
      </w:r>
    </w:p>
    <w:p>
      <w:pPr>
        <w:spacing w:after="0" w:line="202" w:lineRule="exact"/>
        <w:rPr>
          <w:sz w:val="20"/>
          <w:szCs w:val="20"/>
          <w:color w:val="auto"/>
        </w:rPr>
      </w:pPr>
    </w:p>
    <w:p>
      <w:pPr>
        <w:ind w:right="2279" w:firstLine="515"/>
        <w:spacing w:after="0" w:line="246" w:lineRule="auto"/>
        <w:rPr>
          <w:sz w:val="20"/>
          <w:szCs w:val="20"/>
          <w:color w:val="auto"/>
        </w:rPr>
      </w:pPr>
      <w:r>
        <w:rPr>
          <w:rFonts w:ascii="Courier New" w:cs="Courier New" w:eastAsia="Courier New" w:hAnsi="Courier New"/>
          <w:sz w:val="17"/>
          <w:szCs w:val="17"/>
          <w:color w:val="auto"/>
        </w:rPr>
        <w:t>Net sales for Global Professional of $181.0 million for fiscal 2001 were flat with fiscal 2000 net sales of $181.1 million. Excluding the unfavorable impact of changes in foreign exchange rates, Global Professional net sales increased approximately 3.5% year over year.</w:t>
      </w:r>
    </w:p>
    <w:p>
      <w:pPr>
        <w:spacing w:after="0" w:line="200"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Gross profit decreased to $651.4 million in fiscal 2001 compared to $658.5 million in fiscal 2000. Excluding restructuring charges, gross profit was flat year over year. Gross profit, including restructuring charges, as a percentage of net sales was 37.3% in fiscal 2001 compared to 38.5% in fiscal 2000. The decrease in gross profit as a percentage of net sales was driven by unfavorable product mix in the Ortho and Gardens businesses and increased sales of seed which has a lower margin than fertilizers and control products, offset by lower distribution costs and the favorable margin impact from the value-added Growing Media products.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net commission earned from marketing agreement in fiscal 2001 was $20.8 million, compared to $29.3 million in fiscal 2000. Despite worldwide earnings for the consumer Roundup(R) business increasing by approximately $4.0 million from fiscal 2000 to fiscal 2001, the gross commission earned by Scotts was flat due to the increased earnings targets and reduced commission rate schedule in the commission calculation for 2001 as compared to 2000. In addition, the net commission decreased due to the $10 million increase in contribution expenses as specified in the agreement.</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Advertising and promotion expenses for fiscal 2001 were $151.0 million, a decrease of $2.8 million from fiscal 2000 advertising and promotion expenses of $153.8 million. This decrease reflects the impact of improved media buying efficiencies and lower advertising rates compared to the prior year.</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Selling, general and administrative expenses for fiscal 2001 were $317.2 million, an increase of $14.5 million, or 4.8%, over similar expenses in fiscal 2000 of $302.7 million. As a percentage of sales, selling, general and administrative expenses were 18.1% for fiscal 2001 compared to 17.7% for fiscal 2000. The increase in selling, general and administrative expenses from the prior year is partially due to an increase in selling expenses as a result of the change in the selling and distribution model for the North American Consumer businesses. The increase in selling, general and administrative expenses is also due to an increase in information technology expenses from the prior year as a result of the cost of many information technology resources being capitalized toward the cost of our enterprise resource planning system in fiscal 2000 and the increased depreciation on the new ERP system in fiscal 2001. Most of these information technology resources have assumed a system support function that is now being expensed as incurred.</w:t>
      </w:r>
    </w:p>
    <w:p>
      <w:pPr>
        <w:spacing w:after="0" w:line="206"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Selling, general and administrative expenses associated with restructuring and other non-operating expenses were $68.4 million for fiscal 2001. These charges, along with the $7.3 million which is included in cost of sales for the write-off of inventory, were primarily associated with the closure or relocation of certain plants and administrative facilities. Included in the $68.4 million charge in selling, general and administrative costs is $20.4 million to write-down to fair value certain property and equipment and other assets; $5.8 million of facility exit costs; $27.0 million of severance costs; and $15.2 million in other restructuring and other costs. The severance costs related to reduction in force initiatives and facility</w:t>
      </w:r>
    </w:p>
    <w:p>
      <w:pPr>
        <w:spacing w:after="0" w:line="20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9"/>
          </w:cols>
          <w:pgMar w:left="240" w:top="709" w:right="1440" w:bottom="0" w:gutter="0" w:footer="0" w:header="0"/>
        </w:sectPr>
      </w:pPr>
    </w:p>
    <w:bookmarkStart w:id="30" w:name="page31"/>
    <w:bookmarkEnd w:id="30"/>
    <w:p>
      <w:pPr>
        <w:ind w:right="1979"/>
        <w:spacing w:after="0" w:line="246" w:lineRule="auto"/>
        <w:rPr>
          <w:sz w:val="20"/>
          <w:szCs w:val="20"/>
          <w:color w:val="auto"/>
        </w:rPr>
      </w:pPr>
      <w:r>
        <w:rPr>
          <w:rFonts w:ascii="Courier New" w:cs="Courier New" w:eastAsia="Courier New" w:hAnsi="Courier New"/>
          <w:sz w:val="17"/>
          <w:szCs w:val="17"/>
          <w:color w:val="auto"/>
        </w:rPr>
        <w:t>closures and consolidations in North America and Europe covering approximately 340 administrative, production, selling and other employees. Severance costs are expected to be paid in fiscal 2002 with some payments extending into 2003. All other fiscal 2001 restructuring related activities and costs are expected to be completed by the end of fiscal 2002. The Company expects these restructuring activities to result in expense savings of nearly $15 million in fiscal 2002 after reinvesting some of the savings to grow our brands in our International businesses.</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In fiscal 2002, the Company expects to recognize additional restructuring and other charges, primarily for relocation costs for equipment, personnel and inventory which must be expensed when incurred. Additional restructuring costs may be incurred in fiscal 2002 as our review and evaluation of our facilities and processes is an ongoing exercise aimed at achieving improved returns on invested capital. See Note 4 of the Notes to Consolidated Financial Statements, which are included in Item 8.</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Amortization of goodwill and other intangibles increased to $27.7 million in fiscal 2001 from $27.1 million in fiscal 2000 due to the additional amortization related to the Substral acquisition in December 2000 and numerous small acquisitions by Scotts LawnService(R) throughout fiscal 2001. In fiscal 2002, Scotts will adopt Statement of Financial Accounting Standards No. 142, "Goodwill and Other Intangible Assets" which is expected to result in a reduction in amortization expense in fiscal 2002 and future years. See Note 18 of the Notes to Consolidated Financial Statements, which are included in Item 8.</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Other income for fiscal 2001 was $8.5 million compared to $6.0 million for fiscal 2000. The increase in other income was primarily due to the favorable settlement of certain legal matters in the current year and an insurance settlement from a seed warehouse fire. The prior year results also included losses on the sale of miscellaneous assets which did not recur in fiscal 2001.</w:t>
      </w:r>
    </w:p>
    <w:p>
      <w:pPr>
        <w:spacing w:after="0" w:line="201"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Income from operations for fiscal 2001 was $116.4 million compared to</w:t>
      </w:r>
    </w:p>
    <w:p>
      <w:pPr>
        <w:spacing w:after="0" w:line="5"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$210.2 million for fiscal 2000. The decrease was the result of the current year restructuring and other charges and increased selling, general and administrative costs, the decline in the marketing agreement net commission and higher depreciation expense for the new ERP system which was fully in service for all of fiscal 2001.</w:t>
      </w:r>
    </w:p>
    <w:p>
      <w:pPr>
        <w:spacing w:after="0" w:line="201"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For segment reporting purposes, earnings before interest, taxes and amortization is used as the measure for income from operations or operating income. On that basis, operating income in the North American Consumer segment increased from $244.2 million in fiscal 2000 to $250.0 million in fiscal 2001 due to the 4% increase in sales offset by lower margins due to mix and higher expenses for selling and the new ERP system. Operating income in the Global Professional segment declined from $26.4 million in fiscal 2000 to $17.4 million in fiscal 2001 due to lower sales due to weather and higher operating costs in the international Professional business. The operating cost structure in the international Professional business was addressed in the restructuring initiatives undertaken in late fiscal 2001. International Consumer segment operating income declined from income of $21.0 million in fiscal 2000 to a loss of $3.3 million in fiscal 2001. Excluding restructuring charges, International Consumer reported operating income of $6.7 million. The decline in income was due to lower sales due to poor weather in Europe and higher operating costs. The International Consumer cost structure was also addressed in 2001's restructuring initiatives. The Corporate operating loss increased from $54.2 million in fiscal 2000 to $120.0 million in fiscal 2001 primarily due to restructuring charges related to the domestic business.</w:t>
      </w:r>
    </w:p>
    <w:p>
      <w:pPr>
        <w:spacing w:after="0" w:line="209"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Interest expense for fiscal 2001 was $87.7 million, a decrease of $6.2 million from fiscal 2000 interest expense of $93.9 million. The decrease in interest expense was primarily due to favorable interest rates. The average rate on our variable rate debt was 7.85% in fiscal 2001 compared to 8.78% in fiscal 2000.</w:t>
      </w:r>
    </w:p>
    <w:p>
      <w:pPr>
        <w:spacing w:after="0" w:line="201"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Income tax expense was $13.2 million for fiscal 2001 compared to $43.2 million in fiscal 2000. The effective tax rate in fiscal 2001 was 46% compared to 37.1% for fiscal 2000. The primary driver of the change in the effective tax rate was the restructuring and other charges recorded in fiscal 2001, which reduced pre-tax income thereby increasing the effect of non-deductible goodwill amortization on the effective tax rate. Also, the prior year effective tax rate benefited from the elimination of tax reserves due to the settlement of certain tax contingencies.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Net income was $15.5 million for fiscal 2001, or $.51 per common share on a diluted basis, compared to net income of $73.1 million for fiscal 2000, or $2.25 per common share on a diluted basis. Common shares and equivalents used in the computation of fully diluted earnings per share in fiscal 2001 and</w:t>
      </w:r>
    </w:p>
    <w:p>
      <w:pPr>
        <w:sectPr>
          <w:pgSz w:w="11900" w:h="16838" w:orient="portrait"/>
          <w:cols w:equalWidth="0" w:num="1">
            <w:col w:w="10219"/>
          </w:cols>
          <w:pgMar w:left="240" w:top="709" w:right="1440" w:bottom="124" w:gutter="0" w:footer="0" w:header="0"/>
        </w:sectPr>
      </w:pPr>
    </w:p>
    <w:bookmarkStart w:id="31" w:name="page32"/>
    <w:bookmarkEnd w:id="31"/>
    <w:p>
      <w:pPr>
        <w:ind w:left="2720"/>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ind w:left="2820"/>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9019"/>
          </w:cols>
          <w:pgMar w:left="1440" w:top="142" w:right="1440" w:bottom="1440" w:gutter="0" w:footer="0" w:header="0"/>
        </w:sectPr>
      </w:pPr>
    </w:p>
    <w:bookmarkStart w:id="32" w:name="page33"/>
    <w:bookmarkEnd w:id="32"/>
    <w:p>
      <w:pPr>
        <w:ind w:right="2279"/>
        <w:spacing w:after="0" w:line="246" w:lineRule="auto"/>
        <w:rPr>
          <w:sz w:val="20"/>
          <w:szCs w:val="20"/>
          <w:color w:val="auto"/>
        </w:rPr>
      </w:pPr>
      <w:r>
        <w:rPr>
          <w:rFonts w:ascii="Courier New" w:cs="Courier New" w:eastAsia="Courier New" w:hAnsi="Courier New"/>
          <w:sz w:val="17"/>
          <w:szCs w:val="17"/>
          <w:color w:val="auto"/>
        </w:rPr>
        <w:t>fiscal 2000 were 30.4 million and 29.6 million, respectively. The increase reflects more common share equivalents due to higher average stock prices and additional option grants to associates in fiscal 2001.</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FISCAL 2000 COMPARED TO FISCAL 1999</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Net sales for fiscal 2000 were $1,709 million, an increase of 6.6% over fiscal 1999 net sales of $1,603 million. On a pro forma basis, assuming that the Ortho and Rhone-Poulenc Jardin acquisitions had occurred on October 1, 1998, net sales for fiscal 2000 were 4.5% higher than pro forma net sales for fiscal 1999. The increase in net sales from year to year was driven by significant increases in net sales across all businesses in the North American Consumer segment, partially offset by decreases in net sales in the International Consumer segment as discussed below.</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North American Consumer net sales, excluding "Consumer Other" were $1,217 million in fiscal 2000, an increase of $154 million, or 14.5%, over net sales for fiscal 1999 of $1,063 million. Net sales in the Lawns business increased $45.9 million, or 10.8%, from fiscal 1999 to fiscal 2000, primarily due to a significant increase in sales to and consumer takeaway from national home centers. Net sales in the Gardens business increased $7.5 million, or 5.2%, primarily driven by strong net sales and market share performance in the water-soluble and tree spikes product lines and the successful introduction of new products such as the Miracle-Gro(R) Garden Weed Preventer(TM) line in fiscal 2000. Net sales in the Growing Media business increased $35.7 million, or 13.9%, due to strong category and market share growth, particularly for value-added products such as Miracle-Gro(R) Potting Soils. Sales in the Ortho business increased $39.4 million, or 18.7%, on an actual basis and $10.0 million, or</w:t>
      </w:r>
    </w:p>
    <w:p>
      <w:pPr>
        <w:spacing w:after="0" w:line="8"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4.1%, on a pro forma basis, reflecting significantly improved volume with home center retailers and improved category and market share performance on the selective weed control product lines. Net sales for the Ortho business were negatively impacted by the voluntary product return program for the registered pesticide Ortho(R) Home Defense(R) Indoor &amp; Outdoor Insect Killer, sold with the Pull 'N Spray(R) pump dispenser, the phasing out of products containing the active ingredient chlorpyrifos and reduced selling efforts by a primary distributor prior to its termination on September 30, 2000. Consumer Other net sales were the net sales of the ProTurf(R) business that was sold in May 2000. Selling price changes did not have a significant impact on net sales in the North American Consumer segment for fiscal 2000.</w:t>
      </w:r>
    </w:p>
    <w:p>
      <w:pPr>
        <w:spacing w:after="0" w:line="204" w:lineRule="exact"/>
        <w:rPr>
          <w:sz w:val="20"/>
          <w:szCs w:val="20"/>
          <w:color w:val="auto"/>
        </w:rPr>
      </w:pPr>
    </w:p>
    <w:p>
      <w:pPr>
        <w:ind w:right="1979" w:firstLine="515"/>
        <w:spacing w:after="0" w:line="247" w:lineRule="auto"/>
        <w:rPr>
          <w:sz w:val="20"/>
          <w:szCs w:val="20"/>
          <w:color w:val="auto"/>
        </w:rPr>
      </w:pPr>
      <w:r>
        <w:rPr>
          <w:rFonts w:ascii="Courier New" w:cs="Courier New" w:eastAsia="Courier New" w:hAnsi="Courier New"/>
          <w:sz w:val="17"/>
          <w:szCs w:val="17"/>
          <w:color w:val="auto"/>
        </w:rPr>
        <w:t>Global Professional segment net sales of $181.1 million in fiscal 2000 were $8.4 million, or 4.9% above fiscal 1999 net sales of $172.7 million.</w:t>
      </w:r>
    </w:p>
    <w:p>
      <w:pPr>
        <w:spacing w:after="0" w:line="198"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International Consumer segment net sales of $274.6 million in fiscal 2000 were $14.2 million lower than net sales for fiscal 1999 of $289.8 million. Excluding the adverse impact of changes in exchange rates, net sales for the International Consumer segment increased nearly 4% compared to the prior year period. The increase is primarily due to improved results in the segment's continental European consumer businesses partially offset by decreases in the segment's U.K. consumer business caused by significant product rationalization and unusually poor weather.</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Gross profit increased to $658.5 million for fiscal 2000, an increase of 7.0% over fiscal 1999 gross profit of $615.2 million, driven by the 6.6% increase in year-to-date net sales discussed above and a slight increase in gross profit as a percentage of net sales. As a percentage of net sales, gross profit was 38.5% for fiscal 2000 compared to 38.4% of net sales for fiscal 1999. This increase in profitability on net sales was driven by a shift to direct distribution to certain retail accounts, improved product mix toward higher margin, value-added products and improved efficiencies in Scotts' production plants, offset by increased urea, fuel and other raw material costs and a significant erosion in the profitability of the ProTurf(R) business prior to its sale.</w:t>
      </w:r>
    </w:p>
    <w:p>
      <w:pPr>
        <w:spacing w:after="0" w:line="204"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gross commission from marketing agreement in fiscal 2000 was $39.2 million, compared to $30.3 million in fiscal 1999. The increase in the gross commission from year to year was driven by significantly higher sales of consumer Roundup(R) worldwide year over year. Contribution expenses under marketing agreement were $9.9 million for fiscal 2000, compared to $1.6 million for fiscal 1999. The increase in contribution expenses was due to an increase in the contribution payment to Monsanto and an increase of $3.2 million in the amortization of the $32 million marketing fee paid to Monsanto as a result of correcting the amortization period from 20 to 10 years. The $3.2 million of additional amortization represents the additional amortization of $1.6 million that was not recognized in fiscal 1999 and additional amortization of $1.6 million for fiscal 2000.</w:t>
      </w:r>
    </w:p>
    <w:p>
      <w:pPr>
        <w:spacing w:after="0" w:line="20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24</w:t>
      </w:r>
    </w:p>
    <w:p>
      <w:pPr>
        <w:sectPr>
          <w:pgSz w:w="11900" w:h="16838" w:orient="portrait"/>
          <w:cols w:equalWidth="0" w:num="1">
            <w:col w:w="10219"/>
          </w:cols>
          <w:pgMar w:left="240" w:top="709" w:right="1440" w:bottom="0" w:gutter="0" w:footer="0" w:header="0"/>
        </w:sectPr>
      </w:pPr>
    </w:p>
    <w:bookmarkStart w:id="33" w:name="page34"/>
    <w:bookmarkEnd w:id="33"/>
    <w:p>
      <w:pPr>
        <w:ind w:left="520"/>
        <w:spacing w:after="0"/>
        <w:rPr>
          <w:sz w:val="20"/>
          <w:szCs w:val="20"/>
          <w:color w:val="auto"/>
        </w:rPr>
      </w:pPr>
      <w:r>
        <w:rPr>
          <w:rFonts w:ascii="Courier New" w:cs="Courier New" w:eastAsia="Courier New" w:hAnsi="Courier New"/>
          <w:sz w:val="17"/>
          <w:szCs w:val="17"/>
          <w:color w:val="auto"/>
        </w:rPr>
        <w:t>Advertising expenses for fiscal 2000 were $153.8 million, an increase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7.4% over fiscal 1999 advertising expenses of $143.2 million. Promotion expenses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are presented as a reduction of net sales. Promotion expenses increased from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$45.8 million in fiscal 1999 to $55.3 million in fiscal 2000. As a percentage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net sales before deduction for promotion expenses, combined advertising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promotion spending increased to 11.9% in fiscal 2000 from 11.5% in fiscal 1999.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This increase was primarily due to continued emphasis on increasing advertising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promotion expenses to drive revenue growth within the North American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Consumer segment and investments in advertising and promotion to drive future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sales growth in the International Consumer segment.</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Selling, general and administrative expenses in fiscal 2000 were $302.7 million, an increase of 7.6% over fiscal 1999 expenses of $281.2 million. As a percentage of net sales, selling, general and administrative expenses were 17.7% in fiscal 2000 and 17.6% in fiscal 1999. The increase in the dollar amount of selling, general and administrative expenses was primarily related to additional costs needed to support the increased net sales levels in the North American Consumer businesses, infrastructure expenses within the International Consumer segment, selling, general and administrative expenses for the Ortho business which were not incurred in the first quarter of fiscal 1999 due to the timing of the acquisition in January 1999, and increased legal costs as a result of the various legal matters discussed in Note 15 of the Notes to Consolidated Financial Statements, which are included in Item 8.</w:t>
      </w:r>
    </w:p>
    <w:p>
      <w:pPr>
        <w:spacing w:after="0" w:line="205" w:lineRule="exact"/>
        <w:rPr>
          <w:sz w:val="20"/>
          <w:szCs w:val="20"/>
          <w:color w:val="auto"/>
        </w:rPr>
      </w:pPr>
    </w:p>
    <w:p>
      <w:pPr>
        <w:ind w:right="2279" w:firstLine="515"/>
        <w:spacing w:after="0" w:line="246" w:lineRule="auto"/>
        <w:rPr>
          <w:sz w:val="20"/>
          <w:szCs w:val="20"/>
          <w:color w:val="auto"/>
        </w:rPr>
      </w:pPr>
      <w:r>
        <w:rPr>
          <w:rFonts w:ascii="Courier New" w:cs="Courier New" w:eastAsia="Courier New" w:hAnsi="Courier New"/>
          <w:sz w:val="17"/>
          <w:szCs w:val="17"/>
          <w:color w:val="auto"/>
        </w:rPr>
        <w:t>Amortization of goodwill and other intangibles in fiscal 2000 was $27.1 million, an increase of $1.5 million over fiscal 1999 amortization of $25.6 million. This increase was primarily due to fiscal 1999 not reflecting a full year of amortization related to the Ortho acquisition since the acquisition occurred in January 1999.</w:t>
      </w:r>
    </w:p>
    <w:p>
      <w:pPr>
        <w:spacing w:after="0" w:line="201"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Restructuring and other charges were $1.4 million in fiscal 1999. These charges represent severance costs associated with the reorganization of the North American Professional Business Group to strengthen distribution and technical sales support, integrate brand management across market segments and reduce annual operating expenses. Substantially all payments have been made as of September 30, 2000. There were no restructuring charges incurred in fiscal 2000.</w:t>
      </w:r>
    </w:p>
    <w:p>
      <w:pPr>
        <w:spacing w:after="0" w:line="202"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Other income in fiscal 2000 was $6.0 million compared to other income of $3.6 million in the prior year. The increase in other income, on a net basis, was primarily due to the $4.6 million gain resulting from the sale of the ProTurf(R) business, partially offset by costs incurred in connection with Scotts' voluntary return program for the registered pesticide Ortho(R) Home Defense(R) Indoor &amp; Outdoor Insect Killer, sold with the Pull 'N Spray(R) pump dispenser and additional losses on disposals of miscellaneous fixed assets.</w:t>
      </w:r>
    </w:p>
    <w:p>
      <w:pPr>
        <w:spacing w:after="0" w:line="202"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Income from operations for fiscal 2000 was $210.2 million compared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$196.1 million for fiscal 1999. The increase in income from operations was due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primarily to the increase in net sales across the North American Consumer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businesses as noted above, partially offset by the decrease in net sales due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sale of the ProTurf(R) business.</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Interest expense for fiscal 2000 was $93.9 million, an increase of $14.8 million over fiscal 1999 interest expense of $79.1 million. The increase in interest expense was due to increased borrowings to fund the Ortho acquisition and an increase in average borrowing rates under our credit facility, partially offset by reduced working capital requirements.</w:t>
      </w:r>
    </w:p>
    <w:p>
      <w:pPr>
        <w:spacing w:after="0" w:line="201"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Income tax expense was $43.2 million for fiscal 2000 compared to $47.9 million in the prior year. Scotts' effective tax rate decreased to 37.1% for fiscal 2000 compared to 41.0% for the previous year. The decrease in the effective tax rate for fiscal 2000 is due primarily to a reversal of $3.2 million of tax reserves upon resolution of certain outstanding tax matters during the third quarter of fiscal 2000 and a reduction in the base tax rate for the year, before reversal of reserves, to 40.0%.</w:t>
      </w:r>
    </w:p>
    <w:p>
      <w:pPr>
        <w:spacing w:after="0" w:line="202"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In conjunction with the Ortho acquisition, in January 1999, Scotts completed an offering of $330 million of 8 5/8% Senior Subordinated Notes due 2009. The net proceeds from this offering, together with borrowings under our credit facility, were used to fund the Ortho acquisition and repurchase approximately 97% of the then outstanding $100 million of 9 7/8% Senior Subordinated Notes due August 2004. We recorded an extraordinary loss on the extinguishment of the 9 7/8% Notes of $9.3 million, including a call premium of $7.2 million and the write-off of unamortized issuance costs and discounts of $2.1 million.</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25</w:t>
      </w:r>
    </w:p>
    <w:p>
      <w:pPr>
        <w:sectPr>
          <w:pgSz w:w="11900" w:h="16838" w:orient="portrait"/>
          <w:cols w:equalWidth="0" w:num="1">
            <w:col w:w="10219"/>
          </w:cols>
          <w:pgMar w:left="240" w:top="709" w:right="1440" w:bottom="127" w:gutter="0" w:footer="0" w:header="0"/>
        </w:sectPr>
      </w:pPr>
    </w:p>
    <w:bookmarkStart w:id="34" w:name="page35"/>
    <w:bookmarkEnd w:id="34"/>
    <w:p>
      <w:pPr>
        <w:ind w:right="2079" w:firstLine="515"/>
        <w:spacing w:after="0" w:line="246" w:lineRule="auto"/>
        <w:rPr>
          <w:sz w:val="20"/>
          <w:szCs w:val="20"/>
          <w:color w:val="auto"/>
        </w:rPr>
      </w:pPr>
      <w:r>
        <w:rPr>
          <w:rFonts w:ascii="Courier New" w:cs="Courier New" w:eastAsia="Courier New" w:hAnsi="Courier New"/>
          <w:sz w:val="17"/>
          <w:szCs w:val="17"/>
          <w:color w:val="auto"/>
        </w:rPr>
        <w:t>Scotts reported net income of $73.1 million for fiscal 2000, or $2.25 per common share on a diluted basis, compared to net income of $63.2 million for fiscal 1999, or $2.08 per common share on a diluted basis. The diluted earnings per share for fiscal 2000 is net of a one-time reduction of $0.22 per share resulting from the early conversion of Class A Convertible Preferred Stock in October 1999. The diluted earnings per share for fiscal 1999 is net of a $0.19 per share charge associated with the extraordinary loss on early extinguishment of debt discussed above.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LIQUIDITY AND CAPITAL RESOURCES</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Cash provided by operating activities was $65.7 million for fiscal 2001 compared to cash provided by operating activities of $171.5 million for fiscal 2000. The seasonal nature of our operations generally requires cash to fund significant increases in working capital (primarily inventory and accounts receivable) during the first and second quarters. The third fiscal quarter is a period for collecting accounts receivable and liquidating inventory levels. The decrease in cash provided by operating activities for fiscal 2001 compared to the prior year was due to higher levels of inventory at September 30, 2001 compared to September 30, 2000, due, in part, to the move by major retailers to reduce inventory investments and lower than anticipated net sales in the fourth quarter of fiscal 2001.</w:t>
      </w:r>
    </w:p>
    <w:p>
      <w:pPr>
        <w:spacing w:after="0" w:line="204"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Cash used in investing activities was $101.0 million for fiscal 2001 compared to $89.5 million in the prior year. The additional cash used for investing activities in fiscal 2001 was primarily due to the $13.3 million in payments toward the purchase of the Substral(R) business discussed in Note 5 of the Notes to Consolidated Financial Statements which are included in Item 8, and other payments made toward several lawn service acquisitions during fiscal 2001 partially offset by reduced capital spending in fiscal 2001. Capital spending was $63.4 million in fiscal 2001 compared to $72.5 million in fiscal 2000. In line with our ongoing efforts to improve return on invested capital, capital spending in fiscal 2002 is expected to be approximately $50.0 million.</w:t>
      </w:r>
    </w:p>
    <w:p>
      <w:pPr>
        <w:spacing w:after="0" w:line="204"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Financing activities provided cash of $21.4 million for fiscal 2001 compared to using cash of $78.2 million in the prior year. The increase in cash from financing activities was primarily due to an increase in borrowings under our revolving credit facility to fund operating and investing activities during fiscal 2001.</w:t>
      </w:r>
    </w:p>
    <w:p>
      <w:pPr>
        <w:spacing w:after="0" w:line="201" w:lineRule="exact"/>
        <w:rPr>
          <w:sz w:val="20"/>
          <w:szCs w:val="20"/>
          <w:color w:val="auto"/>
        </w:rPr>
      </w:pPr>
    </w:p>
    <w:p>
      <w:pPr>
        <w:ind w:right="2279" w:firstLine="515"/>
        <w:spacing w:after="0" w:line="246" w:lineRule="auto"/>
        <w:rPr>
          <w:sz w:val="20"/>
          <w:szCs w:val="20"/>
          <w:color w:val="auto"/>
        </w:rPr>
      </w:pPr>
      <w:r>
        <w:rPr>
          <w:rFonts w:ascii="Courier New" w:cs="Courier New" w:eastAsia="Courier New" w:hAnsi="Courier New"/>
          <w:sz w:val="17"/>
          <w:szCs w:val="17"/>
          <w:color w:val="auto"/>
        </w:rPr>
        <w:t>Total debt was $887.8 million as of September 30, 2001, an increase of $25.0 million compared with debt at September 30, 2000 of $862.8 million. The increase in debt compared to the prior year was primarily due to additional borrowings to fund operating and investing activities as discussed above and seller notes from the Substral(R) and Scotts LawnService(R) acquisitions in fiscal 2001.</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Our primary sources of liquidity are funds generated by operations and borrowings under our credit facility. The credit facility provides for borrowings in the aggregate principal amount of $1.1 billion and consists of term loan facilities in the aggregate amount of $525 million and a revolving credit facility in the amount of $575 million. Borrowings outstanding under the term loan facilities and revolving credit facility were $398.6 million and $94.7 million, respectively at September 30, 2001.</w:t>
      </w:r>
    </w:p>
    <w:p>
      <w:pPr>
        <w:spacing w:after="0" w:line="202"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In July 1998, our Board of Directors authorized the repurchase of up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$100 million of our common shares on the open market or in privately negotiated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transactions on or prior to September 30, 2001. As of September 30, 2001, we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repurchased 1,106,295 common shares, at a cost of $40.6 million, under this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program.</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In October 2000, the Board of Directors approved the cancellation of the third year commitment of $50 million under the share repurchase program. The Board did authorize repurchasing the amount still outstanding under the second year repurchase commitment (approximately $9.0 million) through September 30, 2001. Share repurchases are subject to the covenants contained in our credit facility or our other debt instruments. Repurchased shares are held in treasury and will be used for the exercise of employee stock options and for other valid corporate purposes.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We believe cash flows from operations and capital resources will be sufficient to meet debt service and working capital needs during fiscal 2002, and thereafter for the foreseeable future. However, we cannot ensure that our businesses will generate sufficient cash flows from operations, that currently anticipated cost savings and operating improvements will be realized on schedule or at all, or that future borrowings will be available under our credit facility in amounts sufficient to pay indebtedness or fund</w:t>
      </w:r>
    </w:p>
    <w:p>
      <w:pPr>
        <w:spacing w:after="0" w:line="20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26</w:t>
      </w:r>
    </w:p>
    <w:p>
      <w:pPr>
        <w:sectPr>
          <w:pgSz w:w="11900" w:h="16838" w:orient="portrait"/>
          <w:cols w:equalWidth="0" w:num="1">
            <w:col w:w="10219"/>
          </w:cols>
          <w:pgMar w:left="240" w:top="709" w:right="1440" w:bottom="0" w:gutter="0" w:footer="0" w:header="0"/>
        </w:sectPr>
      </w:pPr>
    </w:p>
    <w:bookmarkStart w:id="35" w:name="page36"/>
    <w:bookmarkEnd w:id="35"/>
    <w:p>
      <w:pPr>
        <w:ind w:right="2079"/>
        <w:spacing w:after="0" w:line="246" w:lineRule="auto"/>
        <w:rPr>
          <w:sz w:val="20"/>
          <w:szCs w:val="20"/>
          <w:color w:val="auto"/>
        </w:rPr>
      </w:pPr>
      <w:r>
        <w:rPr>
          <w:rFonts w:ascii="Courier New" w:cs="Courier New" w:eastAsia="Courier New" w:hAnsi="Courier New"/>
          <w:sz w:val="17"/>
          <w:szCs w:val="17"/>
          <w:color w:val="auto"/>
        </w:rPr>
        <w:t>other liquidity needs. Actual results of operations will depend on numerous factors, many of which are beyond our control. We cannot ensure that we will be able to refinance any indebtedness, including our credit facility, on commercially reasonable terms, or at all.</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At September 30, 2001, Scotts was not in compliance with debt covenants pertaining to net worth, leverage and interest coverage. A waiver of non-compliance for these covenant violations was received in October 2001. In December 2001, Scotts amended the credit facility resulting in the elimination or resetting of certain negative and affirmative covenants. See Note 8 and Note 22 of the Notes to Consolidated Financial Statements, which are included in Item 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ENVIRONMENTAL MATTERS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We are subject to local, state, federal and foreign environmental protection laws and regulations with respect to our business operations and believe we are operating in substantial compliance with, or taking actions aimed at ensuring compliance with, such laws and regulations. We are involved in several legal actions with various governmental agencies related to environmental matters. While it is difficult to quantify the potential financial impact of actions involving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adverse effect on our financial position. However, there can be no assurance that the resolution of these matters will not materially affect future quarterly or annual operating results. Additional information on environmental matters affecting us is provided in "ITEM 1. BUSINESS -- Environmental and Regulatory Considerations," "ITEM 1. BUSINESS -- Regulatory Actions" and "ITEM 3. LEGAL PROCEEDINGS".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ENTERPRISE RESOURCE PLANNING ("ERP")</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July 1998, we announced a project designed to bring our information systems resources in line with our current strategic objectives. The project included the redesign of certain key business processes in connection with the installation of new software. SAP was selected as the primary software provider for this project. As of October 1, 2000, all of the North American businesses with the exception of Canada were operating under the new system. The implementation of the Canadian system began during the third quarter of fiscal 2001 and was substantially complete by October 1, 2001. Through September 30, 2001, we spent approximately $55 million on the project, approximately 75% of which has been capitalized and is being amortized over a period of four to eight years. We are currently evaluating when, and to what extent, the new information systems and applications will be implemented at our international locations.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EURO</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A new currency called the "euro" has been introduced in certain Economic and Monetary Union (EMU) countries. During 2002, all EMU countries are expected to be operating with the euro as their single currency. Uncertainty exists as to the effects the euro currency will have on the marketplace. We are assessing the impact the EMU formation and euro implementation will have on our internal systems and the sale of our products. Over $1.2 million of the costs associated with this work was incurred during fiscal 2001. Some costs will likely be incurred in the first quarter of fiscal 2002 and beyond as well but are not expected to be material.</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MANAGEMENT'S OUTLOOK</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Results for fiscal 2001 were below management's expectations. Weather, the economy, retailer initiatives to reduce their inventory investment and our own product availability issues combined to make fiscal 2001 less profitable than fiscal 2000. We believe we are aggressively addressing ways to improve profitability of our business by the restructuring steps we took in late fiscal 2001 to reduce headcount and rationalize the supply chain, sales and administrative organizations in North America and Europe. This process will continue in fiscal 2002 and beyond. We also will continue to look for opportunities to bring new products into the marketplace and profitably expand our Scotts LawnService(R) business.</w:t>
      </w:r>
    </w:p>
    <w:p>
      <w:pPr>
        <w:spacing w:after="0" w:line="20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27</w:t>
      </w:r>
    </w:p>
    <w:p>
      <w:pPr>
        <w:sectPr>
          <w:pgSz w:w="11900" w:h="16838" w:orient="portrait"/>
          <w:cols w:equalWidth="0" w:num="1">
            <w:col w:w="10219"/>
          </w:cols>
          <w:pgMar w:left="240" w:top="709" w:right="1440" w:bottom="919" w:gutter="0" w:footer="0" w:header="0"/>
        </w:sectPr>
      </w:pPr>
    </w:p>
    <w:bookmarkStart w:id="36" w:name="page37"/>
    <w:bookmarkEnd w:id="36"/>
    <w:p>
      <w:pPr>
        <w:ind w:left="520"/>
        <w:spacing w:after="0"/>
        <w:rPr>
          <w:sz w:val="20"/>
          <w:szCs w:val="20"/>
          <w:color w:val="auto"/>
        </w:rPr>
      </w:pPr>
      <w:r>
        <w:rPr>
          <w:rFonts w:ascii="Courier New" w:cs="Courier New" w:eastAsia="Courier New" w:hAnsi="Courier New"/>
          <w:sz w:val="17"/>
          <w:szCs w:val="17"/>
          <w:color w:val="auto"/>
        </w:rPr>
        <w:t>Looking forward, we maintain the following broad tenets to our strategic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plan:</w:t>
      </w:r>
    </w:p>
    <w:p>
      <w:pPr>
        <w:spacing w:after="0" w:line="203" w:lineRule="exact"/>
        <w:rPr>
          <w:sz w:val="20"/>
          <w:szCs w:val="20"/>
          <w:color w:val="auto"/>
        </w:rPr>
      </w:pPr>
    </w:p>
    <w:p>
      <w:pPr>
        <w:ind w:left="940" w:right="2079" w:hanging="420"/>
        <w:spacing w:after="0" w:line="246" w:lineRule="auto"/>
        <w:tabs>
          <w:tab w:leader="none" w:pos="94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Promote and capitalize on the strengths of the Scotts(R), Miracle-Gro(R), Hyponex(R) and Ortho(R) industry-leading brands, as well as our portfolio of powerful brands in our international markets. This involves a commitment to our retail partners that we will support these brands through advertising and promotion unequaled in the lawn and garden consumables market. In the Professional categories, it signifies a commitment to customers to provide value as an integral element in their long-term success;</w:t>
      </w:r>
    </w:p>
    <w:p>
      <w:pPr>
        <w:spacing w:after="0" w:line="202" w:lineRule="exact"/>
        <w:rPr>
          <w:rFonts w:ascii="Courier New" w:cs="Courier New" w:eastAsia="Courier New" w:hAnsi="Courier New"/>
          <w:sz w:val="17"/>
          <w:szCs w:val="17"/>
          <w:color w:val="auto"/>
        </w:rPr>
      </w:pPr>
    </w:p>
    <w:p>
      <w:pPr>
        <w:ind w:left="940" w:right="2179" w:hanging="420"/>
        <w:spacing w:after="0" w:line="247" w:lineRule="auto"/>
        <w:tabs>
          <w:tab w:leader="none" w:pos="94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Commit to continuously study and improve knowledge of the market, the consumer and the competition;</w:t>
      </w:r>
    </w:p>
    <w:p>
      <w:pPr>
        <w:spacing w:after="0" w:line="197" w:lineRule="exact"/>
        <w:rPr>
          <w:rFonts w:ascii="Courier New" w:cs="Courier New" w:eastAsia="Courier New" w:hAnsi="Courier New"/>
          <w:sz w:val="17"/>
          <w:szCs w:val="17"/>
          <w:color w:val="auto"/>
        </w:rPr>
      </w:pPr>
    </w:p>
    <w:p>
      <w:pPr>
        <w:ind w:left="940" w:right="2179" w:hanging="420"/>
        <w:spacing w:after="0" w:line="246" w:lineRule="auto"/>
        <w:tabs>
          <w:tab w:leader="none" w:pos="94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Simplify product lines and business processes, to focus on those that deliver value, evaluate marginal ones and eliminate those that lack future prospects; and</w:t>
      </w:r>
    </w:p>
    <w:p>
      <w:pPr>
        <w:spacing w:after="0" w:line="199" w:lineRule="exact"/>
        <w:rPr>
          <w:rFonts w:ascii="Courier New" w:cs="Courier New" w:eastAsia="Courier New" w:hAnsi="Courier New"/>
          <w:sz w:val="17"/>
          <w:szCs w:val="17"/>
          <w:color w:val="auto"/>
        </w:rPr>
      </w:pPr>
    </w:p>
    <w:p>
      <w:pPr>
        <w:ind w:left="940" w:right="2599" w:hanging="420"/>
        <w:spacing w:after="0" w:line="247" w:lineRule="auto"/>
        <w:tabs>
          <w:tab w:leader="none" w:pos="94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Achieve world leadership in operations, leveraging technology and know-how to deliver outstanding customer service and quality.</w:t>
      </w:r>
    </w:p>
    <w:p>
      <w:pPr>
        <w:spacing w:after="0" w:line="198"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We anticipate that we can deliver significant revenue and earnings growth through emphasis on executing our strategic plan. We believe that we can generate annual sales growth of 4% to 6% in our core businesses and annual earnings growth of at least 10%. In addition, we have targeted improving our return on invested capital. We believe that we can achieve our goal of realizing a return on our invested capital commensurate with the average return on invested capital for our consumer products peer group in the next three to four years. We expect to achieve this goal by reducing overhead spending, tightening capital spending controls, implementing return on capital measures into our incentive compensation plans and accelerating operating performance and gross margin improvements utilizing our new ERP capabilities in North America.</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FORWARD-LOOKING STATEMENTS</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We have made and will make "forward-looking statements" within the meaning of Section 27A of the Securities Act of 1933 and Section 21E of the Securities Exchange Act of 1934 in our 2001 Summary Annual Report, our 2001 Financial Statements and Other Information booklet, in this Form 10-K and in other contexts relating to future growth and profitability targets and strategies designed to increase total shareholder value. Forward-looking statements also include, but are not limited to, information regarding our future economic and financial condition, the plans and objectives of our management and our assumptions regarding our performance and these plans and objectives.</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 Private Securities Litigation Reform Act of 1995 provides a "safe harbor" for forward-looking statements to encourage companies to provide prospective information, so long as those statements are identified as forward-looking and are accompanied by meaningful cautionary statements identifying important factors that could cause actual results to differ materially from those discussed in the forward-looking statements. We desire to take advantage of the "safe harbor" provisions of that Act.</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forward-looking statements that we make in our 2001 Summary Annual Report, in our 2001 Financial Statements and Other Information booklet, in this Form 10-K and in other contexts represent challenging goals for our company, and the achievement of these goals is subject to a variety of risks and assumptions and numerous factors beyond our control. Important factors that could cause actual results to differ materially from the forward-looking statements we make are described below. All forward-looking statements attributable to us or persons working on our behalf are expressly qualified in their entirety by the following cautionary statements.</w:t>
      </w: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 ADVERSE WEATHER CONDITIONS COULD ADVERSELY IMPACT FINANCIAL RESULTS.</w:t>
      </w:r>
    </w:p>
    <w:p>
      <w:pPr>
        <w:spacing w:after="0" w:line="203" w:lineRule="exact"/>
        <w:rPr>
          <w:sz w:val="20"/>
          <w:szCs w:val="20"/>
          <w:color w:val="auto"/>
        </w:rPr>
      </w:pPr>
    </w:p>
    <w:p>
      <w:pPr>
        <w:ind w:left="620" w:right="2079"/>
        <w:spacing w:after="0" w:line="246" w:lineRule="auto"/>
        <w:rPr>
          <w:sz w:val="20"/>
          <w:szCs w:val="20"/>
          <w:color w:val="auto"/>
        </w:rPr>
      </w:pPr>
      <w:r>
        <w:rPr>
          <w:rFonts w:ascii="Courier New" w:cs="Courier New" w:eastAsia="Courier New" w:hAnsi="Courier New"/>
          <w:sz w:val="17"/>
          <w:szCs w:val="17"/>
          <w:color w:val="auto"/>
        </w:rPr>
        <w:t>Weather conditions in North America and Europe have a significant impact on the timing of sales in the spring selling season and overall annual sales. Periods of wet weather can slow fertilizer sales, while periods of dry, hot weather can decrease pesticide sales. In addition, an abnormally cold spring throughout North America and/or Europe could adversely affect both fertilizer and pesticide sales and therefore our financial results.</w:t>
      </w:r>
    </w:p>
    <w:p>
      <w:pPr>
        <w:spacing w:after="0" w:line="20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28</w:t>
      </w:r>
    </w:p>
    <w:p>
      <w:pPr>
        <w:sectPr>
          <w:pgSz w:w="11900" w:h="16838" w:orient="portrait"/>
          <w:cols w:equalWidth="0" w:num="1">
            <w:col w:w="10219"/>
          </w:cols>
          <w:pgMar w:left="240" w:top="709" w:right="1440" w:bottom="721" w:gutter="0" w:footer="0" w:header="0"/>
        </w:sectPr>
      </w:pPr>
    </w:p>
    <w:bookmarkStart w:id="37" w:name="page38"/>
    <w:bookmarkEnd w:id="37"/>
    <w:p>
      <w:pPr>
        <w:ind w:left="200" w:right="1979" w:hanging="200"/>
        <w:spacing w:after="0" w:line="247" w:lineRule="auto"/>
        <w:tabs>
          <w:tab w:leader="none" w:pos="20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HISTORICAL SEASONALITY COULD IMPAIR OUR ABILITY TO PAY OBLIGATIONS AS THEY COME DUE AND OPERATING EXPENSES.</w:t>
      </w:r>
    </w:p>
    <w:p>
      <w:pPr>
        <w:spacing w:after="0" w:line="198" w:lineRule="exact"/>
        <w:rPr>
          <w:sz w:val="20"/>
          <w:szCs w:val="20"/>
          <w:color w:val="auto"/>
        </w:rPr>
      </w:pPr>
    </w:p>
    <w:p>
      <w:pPr>
        <w:ind w:left="100" w:right="1979"/>
        <w:spacing w:after="0" w:line="246" w:lineRule="auto"/>
        <w:rPr>
          <w:sz w:val="20"/>
          <w:szCs w:val="20"/>
          <w:color w:val="auto"/>
        </w:rPr>
      </w:pPr>
      <w:r>
        <w:rPr>
          <w:rFonts w:ascii="Courier New" w:cs="Courier New" w:eastAsia="Courier New" w:hAnsi="Courier New"/>
          <w:sz w:val="17"/>
          <w:szCs w:val="17"/>
          <w:color w:val="auto"/>
        </w:rPr>
        <w:t>Because our products are used primarily in the spring and summer, our business is highly seasonal. For the past two fiscal years, approximately 75% to 77% of our net sales have occurred in the second and third fiscal quarters combined. Our working capital needs and our borrowings peak near the middle of our second fiscal quarter because we are generating fewer revenues while incurring expenditures in preparation for the spring selling season. If cash on hand is insufficient to pay our obligations as they come due, including interest payments on our indebtedness, or our operating expenses, at a time when we are unable to draw on our credit facility, this seasonality could have a material adverse affect on our ability to conduct our business. Adverse weather conditions could heighten this risk.</w:t>
      </w:r>
    </w:p>
    <w:p>
      <w:pPr>
        <w:spacing w:after="0" w:line="205" w:lineRule="exact"/>
        <w:rPr>
          <w:sz w:val="20"/>
          <w:szCs w:val="20"/>
          <w:color w:val="auto"/>
        </w:rPr>
      </w:pPr>
    </w:p>
    <w:p>
      <w:pPr>
        <w:ind w:left="200" w:right="2079" w:hanging="200"/>
        <w:spacing w:after="0" w:line="247" w:lineRule="auto"/>
        <w:tabs>
          <w:tab w:leader="none" w:pos="20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SUBSTANTIAL INDEBTEDNESS COULD ADVERSELY AFFECT OUR FINANCIAL HEALTH AND PREVENT US FROM FULFILLING OUR OBLIGATIONS.</w:t>
      </w:r>
    </w:p>
    <w:p>
      <w:pPr>
        <w:spacing w:after="0" w:line="198"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Our substantial indebtedness could:</w:t>
      </w:r>
    </w:p>
    <w:p>
      <w:pPr>
        <w:spacing w:after="0" w:line="203" w:lineRule="exact"/>
        <w:rPr>
          <w:sz w:val="20"/>
          <w:szCs w:val="20"/>
          <w:color w:val="auto"/>
        </w:rPr>
      </w:pPr>
    </w:p>
    <w:p>
      <w:pPr>
        <w:ind w:left="520" w:hanging="211"/>
        <w:spacing w:after="0"/>
        <w:tabs>
          <w:tab w:leader="none" w:pos="52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make it more difficult for us to satisfy our obligations;</w:t>
      </w:r>
    </w:p>
    <w:p>
      <w:pPr>
        <w:spacing w:after="0" w:line="203" w:lineRule="exact"/>
        <w:rPr>
          <w:rFonts w:ascii="Courier New" w:cs="Courier New" w:eastAsia="Courier New" w:hAnsi="Courier New"/>
          <w:sz w:val="17"/>
          <w:szCs w:val="17"/>
          <w:color w:val="auto"/>
        </w:rPr>
      </w:pPr>
    </w:p>
    <w:p>
      <w:pPr>
        <w:ind w:left="520" w:right="2279" w:hanging="211"/>
        <w:spacing w:after="0" w:line="247" w:lineRule="auto"/>
        <w:tabs>
          <w:tab w:leader="none" w:pos="52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increase our vulnerability to general adverse economic and industry conditions;</w:t>
      </w:r>
    </w:p>
    <w:p>
      <w:pPr>
        <w:spacing w:after="0" w:line="197" w:lineRule="exact"/>
        <w:rPr>
          <w:rFonts w:ascii="Courier New" w:cs="Courier New" w:eastAsia="Courier New" w:hAnsi="Courier New"/>
          <w:sz w:val="17"/>
          <w:szCs w:val="17"/>
          <w:color w:val="auto"/>
        </w:rPr>
      </w:pPr>
    </w:p>
    <w:p>
      <w:pPr>
        <w:ind w:left="520" w:right="2799" w:hanging="211"/>
        <w:spacing w:after="0" w:line="246" w:lineRule="auto"/>
        <w:tabs>
          <w:tab w:leader="none" w:pos="52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limit our ability to fund future working capital, capital expenditures, research and development costs and other general corporate requirements;</w:t>
      </w:r>
    </w:p>
    <w:p>
      <w:pPr>
        <w:spacing w:after="0" w:line="199" w:lineRule="exact"/>
        <w:rPr>
          <w:rFonts w:ascii="Courier New" w:cs="Courier New" w:eastAsia="Courier New" w:hAnsi="Courier New"/>
          <w:sz w:val="17"/>
          <w:szCs w:val="17"/>
          <w:color w:val="auto"/>
        </w:rPr>
      </w:pPr>
    </w:p>
    <w:p>
      <w:pPr>
        <w:ind w:left="520" w:right="2279" w:hanging="211"/>
        <w:spacing w:after="0" w:line="246" w:lineRule="auto"/>
        <w:tabs>
          <w:tab w:leader="none" w:pos="52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require us to dedicate a substantial portion of cash flows from operations to payments on our indebtedness, which would reduce the cash flows available to fund working capital, capital expenditures, research and development efforts and other general corporate requirements;</w:t>
      </w:r>
    </w:p>
    <w:p>
      <w:pPr>
        <w:spacing w:after="0" w:line="200" w:lineRule="exact"/>
        <w:rPr>
          <w:rFonts w:ascii="Courier New" w:cs="Courier New" w:eastAsia="Courier New" w:hAnsi="Courier New"/>
          <w:sz w:val="17"/>
          <w:szCs w:val="17"/>
          <w:color w:val="auto"/>
        </w:rPr>
      </w:pPr>
    </w:p>
    <w:p>
      <w:pPr>
        <w:ind w:left="520" w:right="2079" w:hanging="211"/>
        <w:spacing w:after="0" w:line="247" w:lineRule="auto"/>
        <w:tabs>
          <w:tab w:leader="none" w:pos="52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limit our flexibility in planning for, or reacting to, changes in our business and the industry in which we operate;</w:t>
      </w:r>
    </w:p>
    <w:p>
      <w:pPr>
        <w:spacing w:after="0" w:line="197" w:lineRule="exact"/>
        <w:rPr>
          <w:rFonts w:ascii="Courier New" w:cs="Courier New" w:eastAsia="Courier New" w:hAnsi="Courier New"/>
          <w:sz w:val="17"/>
          <w:szCs w:val="17"/>
          <w:color w:val="auto"/>
        </w:rPr>
      </w:pPr>
    </w:p>
    <w:p>
      <w:pPr>
        <w:ind w:left="520" w:right="2399" w:hanging="211"/>
        <w:spacing w:after="0" w:line="247" w:lineRule="auto"/>
        <w:tabs>
          <w:tab w:leader="none" w:pos="52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place us at a competitive disadvantage compared to our competitors that have less debt; and</w:t>
      </w:r>
    </w:p>
    <w:p>
      <w:pPr>
        <w:spacing w:after="0" w:line="197" w:lineRule="exact"/>
        <w:rPr>
          <w:rFonts w:ascii="Courier New" w:cs="Courier New" w:eastAsia="Courier New" w:hAnsi="Courier New"/>
          <w:sz w:val="17"/>
          <w:szCs w:val="17"/>
          <w:color w:val="auto"/>
        </w:rPr>
      </w:pPr>
    </w:p>
    <w:p>
      <w:pPr>
        <w:ind w:left="520" w:hanging="211"/>
        <w:spacing w:after="0"/>
        <w:tabs>
          <w:tab w:leader="none" w:pos="52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limit our ability to borrow additional funds.</w:t>
      </w:r>
    </w:p>
    <w:p>
      <w:pPr>
        <w:spacing w:after="0" w:line="203" w:lineRule="exact"/>
        <w:rPr>
          <w:sz w:val="20"/>
          <w:szCs w:val="20"/>
          <w:color w:val="auto"/>
        </w:rPr>
      </w:pPr>
    </w:p>
    <w:p>
      <w:pPr>
        <w:ind w:left="100" w:right="2179"/>
        <w:spacing w:after="0" w:line="246" w:lineRule="auto"/>
        <w:rPr>
          <w:sz w:val="20"/>
          <w:szCs w:val="20"/>
          <w:color w:val="auto"/>
        </w:rPr>
      </w:pPr>
      <w:r>
        <w:rPr>
          <w:rFonts w:ascii="Courier New" w:cs="Courier New" w:eastAsia="Courier New" w:hAnsi="Courier New"/>
          <w:sz w:val="17"/>
          <w:szCs w:val="17"/>
          <w:color w:val="auto"/>
        </w:rPr>
        <w:t>If we fail to comply with any of the financial or other restrictive covenants of our indebtedness, our indebtedness could become due and payable in full prior to its stated due date. We cannot be sure that our lenders would waive a default or that we could pay the indebtedness in full if it were accelerated.</w:t>
      </w:r>
    </w:p>
    <w:p>
      <w:pPr>
        <w:spacing w:after="0" w:line="201" w:lineRule="exact"/>
        <w:rPr>
          <w:sz w:val="20"/>
          <w:szCs w:val="20"/>
          <w:color w:val="auto"/>
        </w:rPr>
      </w:pPr>
    </w:p>
    <w:p>
      <w:pPr>
        <w:ind w:left="200" w:right="2499" w:hanging="200"/>
        <w:spacing w:after="0" w:line="247" w:lineRule="auto"/>
        <w:tabs>
          <w:tab w:leader="none" w:pos="20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SERVICE OUR INDEBTEDNESS, WE WILL REQUIRE A SIGNIFICANT AMOUNT OF CASH, WHICH WE MAY NOT BE ABLE TO GENERATE.</w:t>
      </w:r>
    </w:p>
    <w:p>
      <w:pPr>
        <w:spacing w:after="0" w:line="198" w:lineRule="exact"/>
        <w:rPr>
          <w:sz w:val="20"/>
          <w:szCs w:val="20"/>
          <w:color w:val="auto"/>
        </w:rPr>
      </w:pPr>
    </w:p>
    <w:p>
      <w:pPr>
        <w:ind w:left="100" w:right="1979"/>
        <w:spacing w:after="0" w:line="246" w:lineRule="auto"/>
        <w:rPr>
          <w:sz w:val="20"/>
          <w:szCs w:val="20"/>
          <w:color w:val="auto"/>
        </w:rPr>
      </w:pPr>
      <w:r>
        <w:rPr>
          <w:rFonts w:ascii="Courier New" w:cs="Courier New" w:eastAsia="Courier New" w:hAnsi="Courier New"/>
          <w:sz w:val="17"/>
          <w:szCs w:val="17"/>
          <w:color w:val="auto"/>
        </w:rPr>
        <w:t>Our ability to make payments on and to refinance our indebtedness and to fund planned capital expenditures and research and development efforts will depend on our ability to generate cash in the future. This, to some extent, is subject to general economic, financial, competitive, legislative, regulatory and other factors that are beyond our control. We cannot assure that our business will generate sufficient cash flow from operations or that currently anticipated cost savings and operating improvements will be realized on schedule or at all. We also cannot assure that future borrowings will be available to us under our credit facility in amounts sufficient to enable us to pay our indebtedness or to fund other liquidity needs. We may need to refinance all or a portion of our indebtedness, on or before maturity. We cannot assure that we will be able to refinance any of our indebtedness on commercially reasonable terms or at all.</w:t>
      </w:r>
    </w:p>
    <w:p>
      <w:pPr>
        <w:spacing w:after="0" w:line="206" w:lineRule="exact"/>
        <w:rPr>
          <w:sz w:val="20"/>
          <w:szCs w:val="20"/>
          <w:color w:val="auto"/>
        </w:rPr>
      </w:pPr>
    </w:p>
    <w:p>
      <w:pPr>
        <w:ind w:left="200" w:right="2179" w:hanging="200"/>
        <w:spacing w:after="0" w:line="247" w:lineRule="auto"/>
        <w:tabs>
          <w:tab w:leader="none" w:pos="20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PUBLIC PERCEPTIONS THAT THE PRODUCTS WE PRODUCE AND MARKET ARE NOT SAFE COULD ADVERSELY AFFECT US.</w:t>
      </w:r>
    </w:p>
    <w:p>
      <w:pPr>
        <w:spacing w:after="0" w:line="198" w:lineRule="exact"/>
        <w:rPr>
          <w:sz w:val="20"/>
          <w:szCs w:val="20"/>
          <w:color w:val="auto"/>
        </w:rPr>
      </w:pPr>
    </w:p>
    <w:p>
      <w:pPr>
        <w:ind w:left="100" w:right="1979"/>
        <w:spacing w:after="0" w:line="246" w:lineRule="auto"/>
        <w:rPr>
          <w:sz w:val="20"/>
          <w:szCs w:val="20"/>
          <w:color w:val="auto"/>
        </w:rPr>
      </w:pPr>
      <w:r>
        <w:rPr>
          <w:rFonts w:ascii="Courier New" w:cs="Courier New" w:eastAsia="Courier New" w:hAnsi="Courier New"/>
          <w:sz w:val="17"/>
          <w:szCs w:val="17"/>
          <w:color w:val="auto"/>
        </w:rPr>
        <w:t>We manufacture and market a number of complex chemical products, such as fertilizers, growing media, herbicides and pesticides, bearing one of our brands. On occasion, customers and some current or former employees have alleged that some products failed to perform up to expectations or have caused damage or injury to individuals or property. Public perception that our products are not safe, whether justified or not, could impair our reputation, damage our brand names and materially adversely affect our business.</w:t>
      </w:r>
    </w:p>
    <w:p>
      <w:pPr>
        <w:sectPr>
          <w:pgSz w:w="11900" w:h="16838" w:orient="portrait"/>
          <w:cols w:equalWidth="0" w:num="1">
            <w:col w:w="9699"/>
          </w:cols>
          <w:pgMar w:left="760" w:top="709" w:right="1440" w:bottom="0" w:gutter="0" w:footer="0" w:header="0"/>
        </w:sectPr>
      </w:pPr>
    </w:p>
    <w:bookmarkStart w:id="38" w:name="page39"/>
    <w:bookmarkEnd w:id="38"/>
    <w:p>
      <w:pPr>
        <w:ind w:left="2720"/>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ind w:left="2820"/>
        <w:spacing w:after="0"/>
        <w:rPr>
          <w:sz w:val="20"/>
          <w:szCs w:val="20"/>
          <w:color w:val="auto"/>
        </w:rPr>
      </w:pPr>
      <w:r>
        <w:rPr>
          <w:rFonts w:ascii="Courier New" w:cs="Courier New" w:eastAsia="Courier New" w:hAnsi="Courier New"/>
          <w:sz w:val="17"/>
          <w:szCs w:val="17"/>
          <w:color w:val="auto"/>
        </w:rPr>
        <w:t>29</w:t>
      </w:r>
    </w:p>
    <w:p>
      <w:pPr>
        <w:sectPr>
          <w:pgSz w:w="11900" w:h="16838" w:orient="portrait"/>
          <w:cols w:equalWidth="0" w:num="1">
            <w:col w:w="9019"/>
          </w:cols>
          <w:pgMar w:left="1440" w:top="142" w:right="1440" w:bottom="1440" w:gutter="0" w:footer="0" w:header="0"/>
        </w:sectPr>
      </w:pPr>
    </w:p>
    <w:bookmarkStart w:id="39" w:name="page40"/>
    <w:bookmarkEnd w:id="39"/>
    <w:p>
      <w:pPr>
        <w:ind w:left="200" w:right="2179" w:hanging="200"/>
        <w:spacing w:after="0" w:line="246" w:lineRule="auto"/>
        <w:tabs>
          <w:tab w:leader="none" w:pos="20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BECAUSE OF THE CONCENTRATION OF OUR SALES TO A SMALL NUMBER OF RETAIL CUSTOMERS, THE LOSS OF ONE OR MORE OF OUR TOP CUSTOMERS COULD ADVERSELY AFFECT OUR FINANCIAL RESULTS.</w:t>
      </w:r>
    </w:p>
    <w:p>
      <w:pPr>
        <w:spacing w:after="0" w:line="200" w:lineRule="exact"/>
        <w:rPr>
          <w:sz w:val="20"/>
          <w:szCs w:val="20"/>
          <w:color w:val="auto"/>
        </w:rPr>
      </w:pPr>
    </w:p>
    <w:p>
      <w:pPr>
        <w:ind w:left="100" w:right="2079"/>
        <w:spacing w:after="0" w:line="246" w:lineRule="auto"/>
        <w:rPr>
          <w:sz w:val="20"/>
          <w:szCs w:val="20"/>
          <w:color w:val="auto"/>
        </w:rPr>
      </w:pPr>
      <w:r>
        <w:rPr>
          <w:rFonts w:ascii="Courier New" w:cs="Courier New" w:eastAsia="Courier New" w:hAnsi="Courier New"/>
          <w:sz w:val="17"/>
          <w:szCs w:val="17"/>
          <w:color w:val="auto"/>
        </w:rPr>
        <w:t>Our top 10 North American retail customers together accounted for approximately 70% of our fiscal year 2001 net sales and 37% of our outstanding accounts receivable as of September 30, 2001. Our top four customers, Home Depot, Wal*Mart, Kmart and Lowe's represented approximately 28%, 15%, 9% and 8%, respectively, of our fiscal year 2001 net sales. These customers hold significant positions in the retail lawn and garden market. The loss of, or reduction in orders from, Home Depot, Wal*Mart, Kmart, Lowe's or any other significant customer could have a material adverse effect on our business and our financial results, as could customer disputes regarding shipments, fees, merchandise condition or related matters. Our inability to collect accounts receivable from any of these customers could also have a material adverse affect.</w:t>
      </w:r>
    </w:p>
    <w:p>
      <w:pPr>
        <w:spacing w:after="0" w:line="205" w:lineRule="exact"/>
        <w:rPr>
          <w:sz w:val="20"/>
          <w:szCs w:val="20"/>
          <w:color w:val="auto"/>
        </w:rPr>
      </w:pPr>
    </w:p>
    <w:p>
      <w:pPr>
        <w:ind w:left="200" w:right="2699" w:hanging="200"/>
        <w:spacing w:after="0" w:line="246" w:lineRule="auto"/>
        <w:tabs>
          <w:tab w:leader="none" w:pos="20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MONSANTO WERE TO TERMINATE THE MARKETING AGREEMENT FOR CONSUMER ROUNDUP(R) PRODUCTS, WE WOULD LOSE A SUBSTANTIAL SOURCE OF FUTURE EARNINGS.</w:t>
      </w:r>
    </w:p>
    <w:p>
      <w:pPr>
        <w:spacing w:after="0" w:line="200" w:lineRule="exact"/>
        <w:rPr>
          <w:sz w:val="20"/>
          <w:szCs w:val="20"/>
          <w:color w:val="auto"/>
        </w:rPr>
      </w:pPr>
    </w:p>
    <w:p>
      <w:pPr>
        <w:ind w:left="100" w:right="1979"/>
        <w:spacing w:after="0" w:line="246" w:lineRule="auto"/>
        <w:rPr>
          <w:sz w:val="20"/>
          <w:szCs w:val="20"/>
          <w:color w:val="auto"/>
        </w:rPr>
      </w:pPr>
      <w:r>
        <w:rPr>
          <w:rFonts w:ascii="Courier New" w:cs="Courier New" w:eastAsia="Courier New" w:hAnsi="Courier New"/>
          <w:sz w:val="17"/>
          <w:szCs w:val="17"/>
          <w:color w:val="auto"/>
        </w:rPr>
        <w:t>If we were to commit a serious default under the marketing agreement with Monsanto for consumer Roundup(R) products, Monsanto may have the right to terminate the agreement. If Monsanto were to terminate the marketing agreement rightfully, we would not be entitled to any termination fee, and we would lose all, or a significant portion, of the significant source of earnings we believe the marketing agreement provides. Monsanto may also be able to terminate the marketing agreement within a given region, including North America, without paying us a termination fee if sales to consumers in that region decline:</w:t>
      </w:r>
    </w:p>
    <w:p>
      <w:pPr>
        <w:spacing w:after="0" w:line="203" w:lineRule="exact"/>
        <w:rPr>
          <w:sz w:val="20"/>
          <w:szCs w:val="20"/>
          <w:color w:val="auto"/>
        </w:rPr>
      </w:pPr>
    </w:p>
    <w:p>
      <w:pPr>
        <w:ind w:left="520" w:hanging="211"/>
        <w:spacing w:after="0"/>
        <w:tabs>
          <w:tab w:leader="none" w:pos="520" w:val="left"/>
        </w:tabs>
        <w:numPr>
          <w:ilvl w:val="1"/>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Over a cumulative three fiscal year period; or</w:t>
      </w:r>
    </w:p>
    <w:p>
      <w:pPr>
        <w:spacing w:after="0" w:line="203" w:lineRule="exact"/>
        <w:rPr>
          <w:rFonts w:ascii="Courier New" w:cs="Courier New" w:eastAsia="Courier New" w:hAnsi="Courier New"/>
          <w:sz w:val="17"/>
          <w:szCs w:val="17"/>
          <w:color w:val="auto"/>
        </w:rPr>
      </w:pPr>
    </w:p>
    <w:p>
      <w:pPr>
        <w:ind w:left="520" w:hanging="211"/>
        <w:spacing w:after="0"/>
        <w:tabs>
          <w:tab w:leader="none" w:pos="520" w:val="left"/>
        </w:tabs>
        <w:numPr>
          <w:ilvl w:val="1"/>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more than 5% for each of two consecutive fiscal years.</w:t>
      </w:r>
    </w:p>
    <w:p>
      <w:pPr>
        <w:spacing w:after="0" w:line="203" w:lineRule="exact"/>
        <w:rPr>
          <w:rFonts w:ascii="Courier New" w:cs="Courier New" w:eastAsia="Courier New" w:hAnsi="Courier New"/>
          <w:sz w:val="17"/>
          <w:szCs w:val="17"/>
          <w:color w:val="auto"/>
        </w:rPr>
      </w:pPr>
    </w:p>
    <w:p>
      <w:pPr>
        <w:ind w:left="200" w:right="2079" w:hanging="200"/>
        <w:spacing w:after="0" w:line="246" w:lineRule="auto"/>
        <w:tabs>
          <w:tab w:leader="none" w:pos="20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EXPIRATION OF PATENTS RELATING TO ROUNDUP(R) AND THE SCOTTS TURF BUILDER(R) LINE OF PRODUCTS COULD SUBSTANTIALLY INCREASE OUR COMPETITION IN THE UNITED STATES.</w:t>
      </w:r>
    </w:p>
    <w:p>
      <w:pPr>
        <w:spacing w:after="0" w:line="200" w:lineRule="exact"/>
        <w:rPr>
          <w:sz w:val="20"/>
          <w:szCs w:val="20"/>
          <w:color w:val="auto"/>
        </w:rPr>
      </w:pPr>
    </w:p>
    <w:p>
      <w:pPr>
        <w:ind w:left="100" w:right="1979"/>
        <w:spacing w:after="0" w:line="246" w:lineRule="auto"/>
        <w:rPr>
          <w:sz w:val="20"/>
          <w:szCs w:val="20"/>
          <w:color w:val="auto"/>
        </w:rPr>
      </w:pPr>
      <w:r>
        <w:rPr>
          <w:rFonts w:ascii="Courier New" w:cs="Courier New" w:eastAsia="Courier New" w:hAnsi="Courier New"/>
          <w:sz w:val="17"/>
          <w:szCs w:val="17"/>
          <w:color w:val="auto"/>
        </w:rPr>
        <w:t>Glyphosate, the active ingredient in Roundup(R), was subject to a patent in the United States that expired in September 2000. We cannot predict the success of Roundup(R) now that glyphosate is no longer patented. Substantial new competition in the United States could adversely affect us. Glyphosate is no longer subject to patent in Europe and is not subject to patent in Canada. While sales of Roundup(R) in such countries have continued to increase despite the lack of patent protection, sales in the United States may decline as a result of increased competition. Any such decline in sales would adversely affect our financial results through the reduction of commissions as calculated under the Roundup(R) marketing agreement. We are aware that Spectrum Brands produced glyphosate one-gallon products for Home Depot and Lowe's to be sold under the Real-Kill(R) and No-Pest(R) brand names, respectively, in fiscal year 2001. We anticipate that Lowe's will introduce a one-quart glyphosate product, and that Ace Hardware Corporation will introduce one-gallon and one-quart glyphosate products, in fiscal year 2002. It is too early to determine whether these product introductions will have a material adverse effect on our sales of Roundup(R).</w:t>
      </w:r>
    </w:p>
    <w:p>
      <w:pPr>
        <w:spacing w:after="0" w:line="209" w:lineRule="exact"/>
        <w:rPr>
          <w:sz w:val="20"/>
          <w:szCs w:val="20"/>
          <w:color w:val="auto"/>
        </w:rPr>
      </w:pPr>
    </w:p>
    <w:p>
      <w:pPr>
        <w:ind w:left="100" w:right="2079"/>
        <w:spacing w:after="0" w:line="246" w:lineRule="auto"/>
        <w:rPr>
          <w:sz w:val="20"/>
          <w:szCs w:val="20"/>
          <w:color w:val="auto"/>
        </w:rPr>
      </w:pPr>
      <w:r>
        <w:rPr>
          <w:rFonts w:ascii="Courier New" w:cs="Courier New" w:eastAsia="Courier New" w:hAnsi="Courier New"/>
          <w:sz w:val="17"/>
          <w:szCs w:val="17"/>
          <w:color w:val="auto"/>
        </w:rPr>
        <w:t>Our methylene-urea product composition patent, which covered Scotts Turf Builder(R), Scotts Turf Builder(R) with Plus 2(R) with Weed Control and Scotts Turf Builder(R) with Halts(R) Crabgrass Preventer, expired in July 2001 and could also result in increased competition. Any decline in sales of Turf Builder(R) products after the expiration of the methylene-urea product composition patent could adversely affect our financial results.</w:t>
      </w:r>
    </w:p>
    <w:p>
      <w:pPr>
        <w:spacing w:after="0" w:line="202" w:lineRule="exact"/>
        <w:rPr>
          <w:sz w:val="20"/>
          <w:szCs w:val="20"/>
          <w:color w:val="auto"/>
        </w:rPr>
      </w:pPr>
    </w:p>
    <w:p>
      <w:pPr>
        <w:ind w:left="200" w:right="2279" w:hanging="200"/>
        <w:spacing w:after="0" w:line="247" w:lineRule="auto"/>
        <w:tabs>
          <w:tab w:leader="none" w:pos="20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HAGEDORN PARTNERSHIP, L.P., BENEFICIALLY OWNS APPROXIMATELY 40% OF THE OUTSTANDING COMMON SHARES OF SCOTTS ON A FULLY DILUTED BASIS.</w:t>
      </w:r>
    </w:p>
    <w:p>
      <w:pPr>
        <w:spacing w:after="0" w:line="198" w:lineRule="exact"/>
        <w:rPr>
          <w:sz w:val="20"/>
          <w:szCs w:val="20"/>
          <w:color w:val="auto"/>
        </w:rPr>
      </w:pPr>
    </w:p>
    <w:p>
      <w:pPr>
        <w:ind w:left="100" w:right="1979"/>
        <w:spacing w:after="0" w:line="246" w:lineRule="auto"/>
        <w:rPr>
          <w:sz w:val="20"/>
          <w:szCs w:val="20"/>
          <w:color w:val="auto"/>
        </w:rPr>
      </w:pPr>
      <w:r>
        <w:rPr>
          <w:rFonts w:ascii="Courier New" w:cs="Courier New" w:eastAsia="Courier New" w:hAnsi="Courier New"/>
          <w:sz w:val="17"/>
          <w:szCs w:val="17"/>
          <w:color w:val="auto"/>
        </w:rPr>
        <w:t>The Hagedorn Partnership, L.P., beneficially owns approximately 40% of the outstanding common shares of Scotts on a fully diluted basis and has sufficient voting power to significantly influence the election of directors and the approval of other actions requiring the approval of our shareholders.</w:t>
      </w:r>
    </w:p>
    <w:p>
      <w:pPr>
        <w:spacing w:after="0" w:line="201"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30</w:t>
      </w:r>
    </w:p>
    <w:p>
      <w:pPr>
        <w:sectPr>
          <w:pgSz w:w="11900" w:h="16838" w:orient="portrait"/>
          <w:cols w:equalWidth="0" w:num="1">
            <w:col w:w="9699"/>
          </w:cols>
          <w:pgMar w:left="760" w:top="709" w:right="1440" w:bottom="523" w:gutter="0" w:footer="0" w:header="0"/>
        </w:sectPr>
      </w:pPr>
    </w:p>
    <w:bookmarkStart w:id="40" w:name="page41"/>
    <w:bookmarkEnd w:id="40"/>
    <w:p>
      <w:pPr>
        <w:ind w:left="200" w:right="2179" w:hanging="200"/>
        <w:spacing w:after="0" w:line="247" w:lineRule="auto"/>
        <w:tabs>
          <w:tab w:leader="none" w:pos="20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COMPLIANCE WITH ENVIRONMENTAL AND OTHER PUBLIC HEALTH REGULATIONS COULD INCREASE OUR COST OF DOING BUSINESS.</w:t>
      </w:r>
    </w:p>
    <w:p>
      <w:pPr>
        <w:spacing w:after="0" w:line="198" w:lineRule="exact"/>
        <w:rPr>
          <w:sz w:val="20"/>
          <w:szCs w:val="20"/>
          <w:color w:val="auto"/>
        </w:rPr>
      </w:pPr>
    </w:p>
    <w:p>
      <w:pPr>
        <w:ind w:left="100" w:right="1979"/>
        <w:spacing w:after="0" w:line="246" w:lineRule="auto"/>
        <w:rPr>
          <w:sz w:val="20"/>
          <w:szCs w:val="20"/>
          <w:color w:val="auto"/>
        </w:rPr>
      </w:pPr>
      <w:r>
        <w:rPr>
          <w:rFonts w:ascii="Courier New" w:cs="Courier New" w:eastAsia="Courier New" w:hAnsi="Courier New"/>
          <w:sz w:val="17"/>
          <w:szCs w:val="17"/>
          <w:color w:val="auto"/>
        </w:rPr>
        <w:t>Local, state, federal and foreign laws and regulations relating to environmental matters affect us in several ways. In the United States, all products containing pesticides must be registered with the United States Environmental Protection Agency ("U.S. EPA") and, in many cases, similar state agencies before they can be sold. The inability to obtain or the cancellation of any registration could have an adverse effect on our business. The severity of the effect would depend on which products were involved, whether another product could be substituted and whether our competitors were similarly affected. We attempt to anticipate regulatory developments and maintain registrations of, and access to, substitute chemicals. We may not always be able to avoid or minimize these risks.</w:t>
      </w:r>
    </w:p>
    <w:p>
      <w:pPr>
        <w:spacing w:after="0" w:line="204" w:lineRule="exact"/>
        <w:rPr>
          <w:sz w:val="20"/>
          <w:szCs w:val="20"/>
          <w:color w:val="auto"/>
        </w:rPr>
      </w:pPr>
    </w:p>
    <w:p>
      <w:pPr>
        <w:ind w:left="100" w:right="1979"/>
        <w:spacing w:after="0" w:line="246" w:lineRule="auto"/>
        <w:rPr>
          <w:sz w:val="20"/>
          <w:szCs w:val="20"/>
          <w:color w:val="auto"/>
        </w:rPr>
      </w:pPr>
      <w:r>
        <w:rPr>
          <w:rFonts w:ascii="Courier New" w:cs="Courier New" w:eastAsia="Courier New" w:hAnsi="Courier New"/>
          <w:sz w:val="17"/>
          <w:szCs w:val="17"/>
          <w:color w:val="auto"/>
        </w:rPr>
        <w:t>The Food Quality Protection Act, enacted by the U.S. Congress in August 1996, establishes a standard for food-use pesticides, which is that a reasonable certainty of no harm will result from the cumulative effect of pesticide exposures. Under this act, the U.S. EPA is evaluating the cumulative risks from dietary and non-dietary exposures to pesticides. The pesticides in our products, certain of which may be used on crops processed into various food products, continue to be evaluated by the U.S. EPA as part of this exposure risk assessment. It is possible that the U.S. EPA or a third party active ingredient registrant may decide that a pesticide we use in our products will be limited or made unavailable to us. For example, in June 2000, DowAgroSciences, an active ingredient registrant, voluntarily agreed to a gradual phase-out of residential uses of chlorpyrifos, an active ingredient used by us in our lawn and garden products. In December 2000, the U.S. EPA reached agreement with various parties, including manufacturers of the active ingredient diazinon, regarding a phased withdrawal of residential uses of products containing diazinon, used also by us in our lawn and garden products. We cannot predict the outcome or the severity of the effect of the U.S. EPA's continuing evaluations of active ingredients used in our products.</w:t>
      </w:r>
    </w:p>
    <w:p>
      <w:pPr>
        <w:spacing w:after="0" w:line="209" w:lineRule="exact"/>
        <w:rPr>
          <w:sz w:val="20"/>
          <w:szCs w:val="20"/>
          <w:color w:val="auto"/>
        </w:rPr>
      </w:pPr>
    </w:p>
    <w:p>
      <w:pPr>
        <w:ind w:left="100" w:right="1979"/>
        <w:spacing w:after="0" w:line="246" w:lineRule="auto"/>
        <w:rPr>
          <w:sz w:val="20"/>
          <w:szCs w:val="20"/>
          <w:color w:val="auto"/>
        </w:rPr>
      </w:pPr>
      <w:r>
        <w:rPr>
          <w:rFonts w:ascii="Courier New" w:cs="Courier New" w:eastAsia="Courier New" w:hAnsi="Courier New"/>
          <w:sz w:val="17"/>
          <w:szCs w:val="17"/>
          <w:color w:val="auto"/>
        </w:rPr>
        <w:t>The use of certain pesticide and fertilizer products is regulated by various local, state, federal and foreign environmental and public health agencies. Regulations regarding the use of some pesticide and fertilizer products may include requirements that only certified or professional users apply the product, that the products be used only in specified locations or that certain ingredients not be used. Users may be required to post notices on properties to which products have been or will be applied and may be required to notify individuals in the vicinity that products will be applied in the future. Even if we are able to comply with all such regulations and obtain all necessary registrations, we cannot assure that our products, particularly pesticide products, will not cause injury to the environment or to people under all circumstances. The costs of compliance, remediation or products liability have adversely affected operating results in the past and could materially affect future quarterly or annual operating results.</w:t>
      </w:r>
    </w:p>
    <w:p>
      <w:pPr>
        <w:spacing w:after="0" w:line="207" w:lineRule="exact"/>
        <w:rPr>
          <w:sz w:val="20"/>
          <w:szCs w:val="20"/>
          <w:color w:val="auto"/>
        </w:rPr>
      </w:pPr>
    </w:p>
    <w:p>
      <w:pPr>
        <w:ind w:left="100" w:right="1979"/>
        <w:spacing w:after="0" w:line="246" w:lineRule="auto"/>
        <w:rPr>
          <w:sz w:val="20"/>
          <w:szCs w:val="20"/>
          <w:color w:val="auto"/>
        </w:rPr>
      </w:pPr>
      <w:r>
        <w:rPr>
          <w:rFonts w:ascii="Courier New" w:cs="Courier New" w:eastAsia="Courier New" w:hAnsi="Courier New"/>
          <w:sz w:val="17"/>
          <w:szCs w:val="17"/>
          <w:color w:val="auto"/>
        </w:rPr>
        <w:t>The harvesting of peat for our growing media business has come under increasing regulatory and environmental scrutiny. In the United States, state regulations frequently require us to limit our harvesting and to restore the property to an agreed-upon condition. In some locations, we have been required to create water retention ponds to control the sediment content of discharged water. In the United Kingdom, our peat extraction efforts are also the subject of legislation.</w:t>
      </w:r>
    </w:p>
    <w:p>
      <w:pPr>
        <w:spacing w:after="0" w:line="202" w:lineRule="exact"/>
        <w:rPr>
          <w:sz w:val="20"/>
          <w:szCs w:val="20"/>
          <w:color w:val="auto"/>
        </w:rPr>
      </w:pPr>
    </w:p>
    <w:p>
      <w:pPr>
        <w:ind w:left="100" w:right="1979"/>
        <w:spacing w:after="0" w:line="246" w:lineRule="auto"/>
        <w:rPr>
          <w:sz w:val="20"/>
          <w:szCs w:val="20"/>
          <w:color w:val="auto"/>
        </w:rPr>
      </w:pPr>
      <w:r>
        <w:rPr>
          <w:rFonts w:ascii="Courier New" w:cs="Courier New" w:eastAsia="Courier New" w:hAnsi="Courier New"/>
          <w:sz w:val="17"/>
          <w:szCs w:val="17"/>
          <w:color w:val="auto"/>
        </w:rPr>
        <w:t>In addition to the regulations already described, local, state, federal and foreign agencies regulate the disposal, handling and storage of waste, air and water discharges from our facilities. In June 1997, the Ohio Environmental Protection Agency ("Ohio EPA") initiated an enforcement action against us with respect to alleged surface water violations and inadequate treatment capabilities at our Marysville facility and seeking corrective action under the Resource Conservation Recovery Act. We have met with the Ohio EPA and the Ohio Attorney General's office to negotiate an amicable resolution of these issues. On December 3, 2001, an agreed judicial Consent Order was submitted to the Union County Common Pleas Court. Although this Consent Order is subject to public comment and both parties may withdraw their consent to entry of the Order, we anticipate the Consent Order will be entered by the court in January 2002.</w:t>
      </w:r>
    </w:p>
    <w:p>
      <w:pPr>
        <w:spacing w:after="0" w:line="206" w:lineRule="exact"/>
        <w:rPr>
          <w:sz w:val="20"/>
          <w:szCs w:val="20"/>
          <w:color w:val="auto"/>
        </w:rPr>
      </w:pPr>
    </w:p>
    <w:p>
      <w:pPr>
        <w:ind w:left="100" w:right="1979"/>
        <w:spacing w:after="0" w:line="246" w:lineRule="auto"/>
        <w:rPr>
          <w:sz w:val="20"/>
          <w:szCs w:val="20"/>
          <w:color w:val="auto"/>
        </w:rPr>
      </w:pPr>
      <w:r>
        <w:rPr>
          <w:rFonts w:ascii="Courier New" w:cs="Courier New" w:eastAsia="Courier New" w:hAnsi="Courier New"/>
          <w:sz w:val="17"/>
          <w:szCs w:val="17"/>
          <w:color w:val="auto"/>
        </w:rPr>
        <w:t>During fiscal year 2001, we made approximately $1.3 million in environmental capital expenditures and $2.1 million in other environmental expenses, compared with approximately $1.2 million in</w:t>
      </w:r>
    </w:p>
    <w:p>
      <w:pPr>
        <w:spacing w:after="0" w:line="200"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31</w:t>
      </w:r>
    </w:p>
    <w:p>
      <w:pPr>
        <w:sectPr>
          <w:pgSz w:w="11900" w:h="16838" w:orient="portrait"/>
          <w:cols w:equalWidth="0" w:num="1">
            <w:col w:w="9699"/>
          </w:cols>
          <w:pgMar w:left="760" w:top="709" w:right="1440" w:bottom="0" w:gutter="0" w:footer="0" w:header="0"/>
        </w:sectPr>
      </w:pPr>
    </w:p>
    <w:bookmarkStart w:id="41" w:name="page42"/>
    <w:bookmarkEnd w:id="41"/>
    <w:p>
      <w:pPr>
        <w:ind w:left="620" w:right="1979"/>
        <w:spacing w:after="0" w:line="246" w:lineRule="auto"/>
        <w:rPr>
          <w:sz w:val="20"/>
          <w:szCs w:val="20"/>
          <w:color w:val="auto"/>
        </w:rPr>
      </w:pPr>
      <w:r>
        <w:rPr>
          <w:rFonts w:ascii="Courier New" w:cs="Courier New" w:eastAsia="Courier New" w:hAnsi="Courier New"/>
          <w:sz w:val="17"/>
          <w:szCs w:val="17"/>
          <w:color w:val="auto"/>
        </w:rPr>
        <w:t>environmental capital expenditures and $1.8 million in other environmental expenses in fiscal year 2000. Management anticipates that environmental capital expenditures and other environmental expenses for fiscal year 2002 will not differ significantly from those incurred in fiscal year 2001. The adequacy of these anticipated future expenditures is based on our operating in substantial compliance with applicable environmental and public health laws and regulations and several significant assumptions:</w:t>
      </w:r>
    </w:p>
    <w:p>
      <w:pPr>
        <w:spacing w:after="0" w:line="202" w:lineRule="exact"/>
        <w:rPr>
          <w:sz w:val="20"/>
          <w:szCs w:val="20"/>
          <w:color w:val="auto"/>
        </w:rPr>
      </w:pPr>
    </w:p>
    <w:p>
      <w:pPr>
        <w:ind w:left="820" w:right="2699" w:hanging="197"/>
        <w:spacing w:after="0" w:line="246" w:lineRule="auto"/>
        <w:tabs>
          <w:tab w:leader="none" w:pos="82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we have identified all of the significant sites that must be remediated;</w:t>
      </w:r>
    </w:p>
    <w:p>
      <w:pPr>
        <w:spacing w:after="0" w:line="1" w:lineRule="exact"/>
        <w:rPr>
          <w:rFonts w:ascii="Courier New" w:cs="Courier New" w:eastAsia="Courier New" w:hAnsi="Courier New"/>
          <w:sz w:val="17"/>
          <w:szCs w:val="17"/>
          <w:color w:val="auto"/>
        </w:rPr>
      </w:pPr>
    </w:p>
    <w:p>
      <w:pPr>
        <w:ind w:left="820" w:right="1979" w:hanging="197"/>
        <w:spacing w:after="0" w:line="246" w:lineRule="auto"/>
        <w:tabs>
          <w:tab w:leader="none" w:pos="82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there are no significant conditions of potential contamination that are unknown to us; and</w:t>
      </w:r>
    </w:p>
    <w:p>
      <w:pPr>
        <w:spacing w:after="0" w:line="1" w:lineRule="exact"/>
        <w:rPr>
          <w:rFonts w:ascii="Courier New" w:cs="Courier New" w:eastAsia="Courier New" w:hAnsi="Courier New"/>
          <w:sz w:val="17"/>
          <w:szCs w:val="17"/>
          <w:color w:val="auto"/>
        </w:rPr>
      </w:pPr>
    </w:p>
    <w:p>
      <w:pPr>
        <w:ind w:left="820" w:right="2399" w:hanging="197"/>
        <w:spacing w:after="0" w:line="246" w:lineRule="auto"/>
        <w:tabs>
          <w:tab w:leader="none" w:pos="82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with respect to the agreed judicial Consent Order in Ohio, that potentially contaminated soil can be remediated in place rather than having to be removed and only specific stream segments will require remediation as opposed to the entire stream.</w:t>
      </w:r>
    </w:p>
    <w:p>
      <w:pPr>
        <w:spacing w:after="0" w:line="200" w:lineRule="exact"/>
        <w:rPr>
          <w:sz w:val="20"/>
          <w:szCs w:val="20"/>
          <w:color w:val="auto"/>
        </w:rPr>
      </w:pPr>
    </w:p>
    <w:p>
      <w:pPr>
        <w:ind w:left="620" w:right="2079"/>
        <w:spacing w:after="0" w:line="246" w:lineRule="auto"/>
        <w:rPr>
          <w:sz w:val="20"/>
          <w:szCs w:val="20"/>
          <w:color w:val="auto"/>
        </w:rPr>
      </w:pPr>
      <w:r>
        <w:rPr>
          <w:rFonts w:ascii="Courier New" w:cs="Courier New" w:eastAsia="Courier New" w:hAnsi="Courier New"/>
          <w:sz w:val="17"/>
          <w:szCs w:val="17"/>
          <w:color w:val="auto"/>
        </w:rPr>
        <w:t>If there is a significant change in the facts and circumstances surrounding these assumptions or if we are found not to be in substantial compliance with applicable environmental and public health laws and regulations, it could have a material impact on future environmental capital expenditures and other environmental expenses and our results of operations, financial position and cash flows.</w:t>
      </w:r>
    </w:p>
    <w:p>
      <w:pPr>
        <w:spacing w:after="0" w:line="202" w:lineRule="exact"/>
        <w:rPr>
          <w:sz w:val="20"/>
          <w:szCs w:val="20"/>
          <w:color w:val="auto"/>
        </w:rPr>
      </w:pPr>
    </w:p>
    <w:p>
      <w:pPr>
        <w:ind w:left="720" w:right="2699" w:hanging="200"/>
        <w:spacing w:after="0" w:line="247" w:lineRule="auto"/>
        <w:tabs>
          <w:tab w:leader="none" w:pos="72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IMPLEMENTATION OF THE EURO CURRENCY IN SOME EUROPEAN COUNTRIES BETWEEN 1999 AND 2002 COULD ADVERSELY AFFECT US.</w:t>
      </w:r>
    </w:p>
    <w:p>
      <w:pPr>
        <w:spacing w:after="0" w:line="198" w:lineRule="exact"/>
        <w:rPr>
          <w:sz w:val="20"/>
          <w:szCs w:val="20"/>
          <w:color w:val="auto"/>
        </w:rPr>
      </w:pPr>
    </w:p>
    <w:p>
      <w:pPr>
        <w:ind w:left="620" w:right="1979"/>
        <w:spacing w:after="0" w:line="246" w:lineRule="auto"/>
        <w:rPr>
          <w:sz w:val="20"/>
          <w:szCs w:val="20"/>
          <w:color w:val="auto"/>
        </w:rPr>
      </w:pPr>
      <w:r>
        <w:rPr>
          <w:rFonts w:ascii="Courier New" w:cs="Courier New" w:eastAsia="Courier New" w:hAnsi="Courier New"/>
          <w:sz w:val="17"/>
          <w:szCs w:val="17"/>
          <w:color w:val="auto"/>
        </w:rPr>
        <w:t>In January 1999, the "euro" was introduced in some Economic and Monetary Union countries and by 2002, all Economic and Monetary Union countries are expected to be operating with the euro as their single currency. Uncertainty exists as to the effects the euro currency will have on the marketplace. We are still assessing the impact the Economic and Monetary Union formation and euro implementation may have on the sales of our products and conduct of our business. We expect to take appropriate actions based on the results of our assessment. However, there can be no assurance that this issue will not have a material adverse effect on us or our future operating results and financial condition.</w:t>
      </w:r>
    </w:p>
    <w:p>
      <w:pPr>
        <w:spacing w:after="0" w:line="204" w:lineRule="exact"/>
        <w:rPr>
          <w:sz w:val="20"/>
          <w:szCs w:val="20"/>
          <w:color w:val="auto"/>
        </w:rPr>
      </w:pPr>
    </w:p>
    <w:p>
      <w:pPr>
        <w:ind w:left="720" w:right="1979" w:hanging="200"/>
        <w:spacing w:after="0" w:line="246" w:lineRule="auto"/>
        <w:tabs>
          <w:tab w:leader="none" w:pos="72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SIGNIFICANT INTERNATIONAL OPERATIONS MAKE US MORE SUSCEPTIBLE TO FLUCTUATIONS IN CURRENCY EXCHANGE RATES AND TO THE COSTS OF INTERNATIONAL REGULATION.</w:t>
      </w:r>
    </w:p>
    <w:p>
      <w:pPr>
        <w:spacing w:after="0" w:line="200" w:lineRule="exact"/>
        <w:rPr>
          <w:sz w:val="20"/>
          <w:szCs w:val="20"/>
          <w:color w:val="auto"/>
        </w:rPr>
      </w:pPr>
    </w:p>
    <w:p>
      <w:pPr>
        <w:ind w:left="620" w:right="2079"/>
        <w:spacing w:after="0" w:line="247" w:lineRule="auto"/>
        <w:rPr>
          <w:sz w:val="20"/>
          <w:szCs w:val="20"/>
          <w:color w:val="auto"/>
        </w:rPr>
      </w:pPr>
      <w:r>
        <w:rPr>
          <w:rFonts w:ascii="Courier New" w:cs="Courier New" w:eastAsia="Courier New" w:hAnsi="Courier New"/>
          <w:sz w:val="17"/>
          <w:szCs w:val="17"/>
          <w:color w:val="auto"/>
        </w:rPr>
        <w:t>We currently operate manufacturing, sales and service facilities outside of North America, particularly in the United Kingdom, Germany and France.</w:t>
      </w:r>
    </w:p>
    <w:p>
      <w:pPr>
        <w:spacing w:after="0" w:line="198" w:lineRule="exact"/>
        <w:rPr>
          <w:sz w:val="20"/>
          <w:szCs w:val="20"/>
          <w:color w:val="auto"/>
        </w:rPr>
      </w:pPr>
    </w:p>
    <w:p>
      <w:pPr>
        <w:ind w:left="620" w:right="1979"/>
        <w:spacing w:after="0" w:line="246" w:lineRule="auto"/>
        <w:rPr>
          <w:sz w:val="20"/>
          <w:szCs w:val="20"/>
          <w:color w:val="auto"/>
        </w:rPr>
      </w:pPr>
      <w:r>
        <w:rPr>
          <w:rFonts w:ascii="Courier New" w:cs="Courier New" w:eastAsia="Courier New" w:hAnsi="Courier New"/>
          <w:sz w:val="17"/>
          <w:szCs w:val="17"/>
          <w:color w:val="auto"/>
        </w:rPr>
        <w:t>Our international operations have increased with the acquisitions of Levington, Miracle Garden Care Limited, Ortho and Rhone-Poulenc Jardin and with the marketing agreement for consumer Roundup(R) products. In fiscal year 2001, international sales accounted for approximately 20% of our total sales. Accordingly, we are subject to risks associated with operations in foreign countries, including:</w:t>
      </w:r>
    </w:p>
    <w:p>
      <w:pPr>
        <w:spacing w:after="0" w:line="202" w:lineRule="exact"/>
        <w:rPr>
          <w:sz w:val="20"/>
          <w:szCs w:val="20"/>
          <w:color w:val="auto"/>
        </w:rPr>
      </w:pPr>
    </w:p>
    <w:p>
      <w:pPr>
        <w:ind w:left="820" w:hanging="197"/>
        <w:spacing w:after="0"/>
        <w:tabs>
          <w:tab w:leader="none" w:pos="82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fluctuations in currency exchange rates;</w:t>
      </w:r>
    </w:p>
    <w:p>
      <w:pPr>
        <w:spacing w:after="0" w:line="5" w:lineRule="exact"/>
        <w:rPr>
          <w:rFonts w:ascii="Courier New" w:cs="Courier New" w:eastAsia="Courier New" w:hAnsi="Courier New"/>
          <w:sz w:val="17"/>
          <w:szCs w:val="17"/>
          <w:color w:val="auto"/>
        </w:rPr>
      </w:pPr>
    </w:p>
    <w:p>
      <w:pPr>
        <w:ind w:left="820" w:hanging="197"/>
        <w:spacing w:after="0"/>
        <w:tabs>
          <w:tab w:leader="none" w:pos="82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limitations on the conversion of foreign currencies into U.S. dollars;</w:t>
      </w:r>
    </w:p>
    <w:p>
      <w:pPr>
        <w:spacing w:after="0" w:line="5" w:lineRule="exact"/>
        <w:rPr>
          <w:rFonts w:ascii="Courier New" w:cs="Courier New" w:eastAsia="Courier New" w:hAnsi="Courier New"/>
          <w:sz w:val="17"/>
          <w:szCs w:val="17"/>
          <w:color w:val="auto"/>
        </w:rPr>
      </w:pPr>
    </w:p>
    <w:p>
      <w:pPr>
        <w:ind w:left="820" w:right="1979" w:hanging="197"/>
        <w:spacing w:after="0" w:line="246" w:lineRule="auto"/>
        <w:tabs>
          <w:tab w:leader="none" w:pos="82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limitations on the remittance of dividends and other payments by foreign subsidiaries;</w:t>
      </w:r>
    </w:p>
    <w:p>
      <w:pPr>
        <w:spacing w:after="0" w:line="1" w:lineRule="exact"/>
        <w:rPr>
          <w:rFonts w:ascii="Courier New" w:cs="Courier New" w:eastAsia="Courier New" w:hAnsi="Courier New"/>
          <w:sz w:val="17"/>
          <w:szCs w:val="17"/>
          <w:color w:val="auto"/>
        </w:rPr>
      </w:pPr>
    </w:p>
    <w:p>
      <w:pPr>
        <w:ind w:left="820" w:hanging="197"/>
        <w:spacing w:after="0"/>
        <w:tabs>
          <w:tab w:leader="none" w:pos="82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additional costs of compliance with local regulations; and</w:t>
      </w:r>
    </w:p>
    <w:p>
      <w:pPr>
        <w:spacing w:after="0" w:line="5" w:lineRule="exact"/>
        <w:rPr>
          <w:rFonts w:ascii="Courier New" w:cs="Courier New" w:eastAsia="Courier New" w:hAnsi="Courier New"/>
          <w:sz w:val="17"/>
          <w:szCs w:val="17"/>
          <w:color w:val="auto"/>
        </w:rPr>
      </w:pPr>
    </w:p>
    <w:p>
      <w:pPr>
        <w:ind w:left="820" w:hanging="197"/>
        <w:spacing w:after="0"/>
        <w:tabs>
          <w:tab w:leader="none" w:pos="82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historically, higher rates of inflation than in the United States.</w:t>
      </w:r>
    </w:p>
    <w:p>
      <w:pPr>
        <w:spacing w:after="0" w:line="203" w:lineRule="exact"/>
        <w:rPr>
          <w:sz w:val="20"/>
          <w:szCs w:val="20"/>
          <w:color w:val="auto"/>
        </w:rPr>
      </w:pPr>
    </w:p>
    <w:p>
      <w:pPr>
        <w:ind w:left="620" w:right="2179"/>
        <w:spacing w:after="0" w:line="247" w:lineRule="auto"/>
        <w:rPr>
          <w:sz w:val="20"/>
          <w:szCs w:val="20"/>
          <w:color w:val="auto"/>
        </w:rPr>
      </w:pPr>
      <w:r>
        <w:rPr>
          <w:rFonts w:ascii="Courier New" w:cs="Courier New" w:eastAsia="Courier New" w:hAnsi="Courier New"/>
          <w:sz w:val="17"/>
          <w:szCs w:val="17"/>
          <w:color w:val="auto"/>
        </w:rPr>
        <w:t>The costs related to our international operations could adversely affect our operations and financial results in the future.</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7A. QUANTITATIVE AND QUALITATIVE DISCLOSURES ABOUT MARKET RISK</w:t>
      </w:r>
    </w:p>
    <w:p>
      <w:pPr>
        <w:spacing w:after="0" w:line="203"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As part of our ongoing business, we are exposed to certain market risks, including fluctuations in interest rates, foreign currency exchange rates and commodity prices. We use derivative financial and other instruments, where appropriate, to manage these risks. We do not enter into transactions designed to mitigate our market risks for trading or speculative purposes.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INTEREST RATE RISK</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We have various debt instruments outstanding at September 30, 2001 that are impacted by changes in interest rates. As a means of managing our interest rate risk on these debt instruments, we have</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32</w:t>
      </w:r>
    </w:p>
    <w:p>
      <w:pPr>
        <w:sectPr>
          <w:pgSz w:w="11900" w:h="16838" w:orient="portrait"/>
          <w:cols w:equalWidth="0" w:num="1">
            <w:col w:w="10219"/>
          </w:cols>
          <w:pgMar w:left="240" w:top="709" w:right="1440" w:bottom="127" w:gutter="0" w:footer="0" w:header="0"/>
        </w:sectPr>
      </w:pPr>
    </w:p>
    <w:bookmarkStart w:id="42" w:name="page43"/>
    <w:bookmarkEnd w:id="42"/>
    <w:p>
      <w:pPr>
        <w:ind w:right="2079"/>
        <w:spacing w:after="0" w:line="247" w:lineRule="auto"/>
        <w:rPr>
          <w:sz w:val="20"/>
          <w:szCs w:val="20"/>
          <w:color w:val="auto"/>
        </w:rPr>
      </w:pPr>
      <w:r>
        <w:rPr>
          <w:rFonts w:ascii="Courier New" w:cs="Courier New" w:eastAsia="Courier New" w:hAnsi="Courier New"/>
          <w:sz w:val="17"/>
          <w:szCs w:val="17"/>
          <w:color w:val="auto"/>
        </w:rPr>
        <w:t>entered into the following interest rate swap agreements to effectively convert certain variable rate debt obligations to fixed rates:</w:t>
      </w:r>
    </w:p>
    <w:p>
      <w:pPr>
        <w:spacing w:after="0" w:line="198" w:lineRule="exact"/>
        <w:rPr>
          <w:sz w:val="20"/>
          <w:szCs w:val="20"/>
          <w:color w:val="auto"/>
        </w:rPr>
      </w:pPr>
    </w:p>
    <w:p>
      <w:pPr>
        <w:ind w:left="720" w:right="2079" w:hanging="200"/>
        <w:spacing w:after="0" w:line="246" w:lineRule="auto"/>
        <w:tabs>
          <w:tab w:leader="none" w:pos="720"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20 million British Pounds Sterling notional amount swap to convert variable rate debt obligations denominated in British Pounds Sterling to a fixed rate. The exchange rate used to convert British Pounds Sterling to U.S. dollars at September 30, 2001 was $1.47: 1 GBP.</w:t>
      </w:r>
    </w:p>
    <w:p>
      <w:pPr>
        <w:spacing w:after="0" w:line="200" w:lineRule="exact"/>
        <w:rPr>
          <w:rFonts w:ascii="Courier New" w:cs="Courier New" w:eastAsia="Courier New" w:hAnsi="Courier New"/>
          <w:sz w:val="17"/>
          <w:szCs w:val="17"/>
          <w:color w:val="auto"/>
        </w:rPr>
      </w:pPr>
    </w:p>
    <w:p>
      <w:pPr>
        <w:ind w:left="720" w:right="2179" w:hanging="200"/>
        <w:spacing w:after="0" w:line="246" w:lineRule="auto"/>
        <w:tabs>
          <w:tab w:leader="none" w:pos="720"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Four interest rate swaps with a total notional amount of $105.0 million which are used to hedge certain variable-rate obligations under our credit facility. The credit facility requires that we enter into hedge agreements to the extent necessary to provide that at least 50% of the aggregate principal amount of the 8 5/8% Senior Subordinated Notes due 2009 and term loan facilities is subject to a fixed rate.</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following table summarizes information about our derivative financial instruments and debt instruments that are sensitive to changes in interest rates as of September 30, 2001. For debt instruments, the table presents principal cash flows and related weighted-average interest rates by expected maturity dates. For interest rate swaps, the table presents expected cash flows based on notional amounts and weighted-average interest rates by contractual maturity dates. Weighted-average variable rates are based on implied forward rates in the yield curve at September 30, 2001. The information is presented in U.S. dollars (in millions):</w:t>
      </w:r>
    </w:p>
    <w:p>
      <w:pPr>
        <w:spacing w:after="0" w:line="203"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Expected</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Maturity</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Date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both"/>
        <w:ind w:left="100" w:right="9079" w:firstLine="5"/>
        <w:spacing w:after="0" w:line="246" w:lineRule="auto"/>
        <w:tabs>
          <w:tab w:leader="none" w:pos="718"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Fair 2002 2003 2004 2005 Thereafter</w:t>
      </w:r>
    </w:p>
    <w:p>
      <w:pPr>
        <w:spacing w:after="0" w:line="200" w:lineRule="exact"/>
        <w:rPr>
          <w:sz w:val="20"/>
          <w:szCs w:val="20"/>
          <w:color w:val="auto"/>
        </w:rPr>
      </w:pPr>
    </w:p>
    <w:p>
      <w:pPr>
        <w:ind w:left="260" w:hanging="207"/>
        <w:spacing w:after="0"/>
        <w:tabs>
          <w:tab w:leader="none" w:pos="26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Long-term</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debt: Fixed</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rate debt</w:t>
      </w:r>
    </w:p>
    <w:p>
      <w:pPr>
        <w:spacing w:after="0" w:line="5" w:lineRule="exact"/>
        <w:rPr>
          <w:rFonts w:ascii="Courier New" w:cs="Courier New" w:eastAsia="Courier New" w:hAnsi="Courier New"/>
          <w:sz w:val="17"/>
          <w:szCs w:val="17"/>
          <w:color w:val="auto"/>
        </w:rPr>
      </w:pPr>
    </w:p>
    <w:p>
      <w:pPr>
        <w:jc w:val="center"/>
        <w:ind w:left="60" w:right="9039" w:firstLine="257"/>
        <w:spacing w:after="0" w:line="262"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$330.0 $330.0 $320.5 Average rate 8.625% 8.625% Variable rate debt $31.3 $34.2 $34.2 $138.1 $255.5 $493.3 $493.3 Average rate 6.30% 6.30% 6.30%</w:t>
      </w:r>
    </w:p>
    <w:p>
      <w:pPr>
        <w:spacing w:after="0" w:line="1"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6.40% 6.10%</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6.23%</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Interest</w:t>
      </w:r>
    </w:p>
    <w:p>
      <w:pPr>
        <w:spacing w:after="0" w:line="5"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rate</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derivatives:</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Interest</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rate swap</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on GBP</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LIBOR</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$(0.5) $</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(0.5) $</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(0.5)</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Average</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rate 7.62%</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7.62%</w:t>
      </w:r>
    </w:p>
    <w:p>
      <w:pPr>
        <w:sectPr>
          <w:pgSz w:w="11900" w:h="16838" w:orient="portrait"/>
          <w:cols w:equalWidth="0" w:num="1">
            <w:col w:w="10219"/>
          </w:cols>
          <w:pgMar w:left="240" w:top="709" w:right="1440" w:bottom="0" w:gutter="0" w:footer="0" w:header="0"/>
        </w:sectPr>
      </w:pPr>
    </w:p>
    <w:bookmarkStart w:id="43" w:name="page44"/>
    <w:bookmarkEnd w:id="43"/>
    <w:p>
      <w:pPr>
        <w:jc w:val="center"/>
        <w:ind w:right="8979"/>
        <w:spacing w:after="0"/>
        <w:rPr>
          <w:sz w:val="20"/>
          <w:szCs w:val="20"/>
          <w:color w:val="auto"/>
        </w:rPr>
      </w:pPr>
      <w:r>
        <w:rPr>
          <w:rFonts w:ascii="Courier New" w:cs="Courier New" w:eastAsia="Courier New" w:hAnsi="Courier New"/>
          <w:sz w:val="17"/>
          <w:szCs w:val="17"/>
          <w:color w:val="auto"/>
        </w:rPr>
        <w:t>Interest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rate swaps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on USD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LIBOR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$(1.6)</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$(0.6)</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$(0.1) $</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(2.3) $</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(2.2)</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Average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rate 5.13%</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5.15% 5.18%</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5.14%</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MARKET RISKS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Our market risk associated with foreign currency rates is not considered to be material. Through fiscal 2001, we had only minor amounts of transactions that were denominated in currencies other than the currency of the country of origin. We are subject to market risk from fluctuating market prices of certain raw materials, including urea and other chemicals and paper and plastic products. Our objectives surrounding the procurement of these materials are to ensure continuous supply and to minimize costs. We seek to achieve these objectives through negotiation of contracts with favorable terms directly with vendors. We do not enter into forward contracts or other market instruments as a means of achieving our objectives or minimizing our risk exposures on these materials.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8. FINANCIAL STATEMENTS AND SUPPLEMENTARY DATA</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financial statements and other information required by this Item are contained in the financial statements, footnotes thereto and schedules listed in the "Index to Consolidated Financial Statements and Financial Statement Schedules" on page 40 herein.</w:t>
      </w:r>
    </w:p>
    <w:p>
      <w:pPr>
        <w:spacing w:after="0" w:line="200" w:lineRule="exact"/>
        <w:rPr>
          <w:sz w:val="20"/>
          <w:szCs w:val="20"/>
          <w:color w:val="auto"/>
        </w:rPr>
      </w:pPr>
    </w:p>
    <w:p>
      <w:pPr>
        <w:ind w:left="820" w:right="2899" w:hanging="823"/>
        <w:spacing w:after="0" w:line="247" w:lineRule="auto"/>
        <w:rPr>
          <w:sz w:val="20"/>
          <w:szCs w:val="20"/>
          <w:color w:val="auto"/>
        </w:rPr>
      </w:pPr>
      <w:r>
        <w:rPr>
          <w:rFonts w:ascii="Courier New" w:cs="Courier New" w:eastAsia="Courier New" w:hAnsi="Courier New"/>
          <w:sz w:val="17"/>
          <w:szCs w:val="17"/>
          <w:color w:val="auto"/>
        </w:rPr>
        <w:t>ITEM 9. CHANGES IN AND DISAGREEMENTS WITH ACCOUNTANTS ON ACCOUNTING AND FINANCIAL DISCLOSURE</w:t>
      </w:r>
    </w:p>
    <w:p>
      <w:pPr>
        <w:spacing w:after="0" w:line="198"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None.</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33</w:t>
      </w:r>
    </w:p>
    <w:p>
      <w:pPr>
        <w:sectPr>
          <w:pgSz w:w="11900" w:h="16838" w:orient="portrait"/>
          <w:cols w:equalWidth="0" w:num="1">
            <w:col w:w="10219"/>
          </w:cols>
          <w:pgMar w:left="240" w:top="142" w:right="1440" w:bottom="1440" w:gutter="0" w:footer="0" w:header="0"/>
        </w:sectPr>
      </w:pPr>
    </w:p>
    <w:bookmarkStart w:id="44" w:name="page45"/>
    <w:bookmarkEnd w:id="44"/>
    <w:p>
      <w:pPr>
        <w:ind w:left="3720"/>
        <w:spacing w:after="0"/>
        <w:rPr>
          <w:sz w:val="20"/>
          <w:szCs w:val="20"/>
          <w:color w:val="auto"/>
        </w:rPr>
      </w:pPr>
      <w:r>
        <w:rPr>
          <w:rFonts w:ascii="Courier New" w:cs="Courier New" w:eastAsia="Courier New" w:hAnsi="Courier New"/>
          <w:sz w:val="17"/>
          <w:szCs w:val="17"/>
          <w:color w:val="auto"/>
        </w:rPr>
        <w:t>PART III</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10. DIRECTORS AND EXECUTIVE OFFICERS OF THE REGISTRANT</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accordance with General Instruction G(3), the information contained under the captions "BENEFICIAL OWNERSHIP OF SECURITIES OF THE COMPANY -- Section 16(a) Beneficial Ownership Reporting Compliance" and "PROPOSAL NO. 1 -- ELECTION OF DIRECTORS" in the Registrant's definitive Proxy Statement for the 2002 Annual Meeting of Shareholders to be held on January 25, 2002 filed with the Securities and Exchange Commission pursuant to Regulation 14A promulgated under the Securities Exchange Act of 1934 (the "Proxy Statement"), is incorporated herein by reference. The information regarding executive officers of the Registrant required by Item 401 of Regulation S-K is included in Part I hereof under the caption "SUPPLEMENTAL ITEM. EXECUTIVE OFFICERS OF REGISTRANT."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11. EXECUTIVE COMPENSATION</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In accordance with General Instruction G(3), the information contained under the captions "EXECUTIVE COMPENSATION" and "PROPOSAL NO. 1 -- ELECTION OF DIRECTORS -- Compensation of Directors" in the Registrant's Proxy Statement, is incorporated herein by reference.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12. SECURITY OWNERSHIP OF CERTAIN BENEFICIAL OWNERS AND MANAGEMENT</w:t>
      </w:r>
    </w:p>
    <w:p>
      <w:pPr>
        <w:spacing w:after="0" w:line="203" w:lineRule="exact"/>
        <w:rPr>
          <w:sz w:val="20"/>
          <w:szCs w:val="20"/>
          <w:color w:val="auto"/>
        </w:rPr>
      </w:pPr>
    </w:p>
    <w:p>
      <w:pPr>
        <w:ind w:right="2399" w:firstLine="515"/>
        <w:spacing w:after="0" w:line="246" w:lineRule="auto"/>
        <w:rPr>
          <w:sz w:val="20"/>
          <w:szCs w:val="20"/>
          <w:color w:val="auto"/>
        </w:rPr>
      </w:pPr>
      <w:r>
        <w:rPr>
          <w:rFonts w:ascii="Courier New" w:cs="Courier New" w:eastAsia="Courier New" w:hAnsi="Courier New"/>
          <w:sz w:val="17"/>
          <w:szCs w:val="17"/>
          <w:color w:val="auto"/>
        </w:rPr>
        <w:t>In accordance with General Instruction G(3), the information contained under the caption "BENEFICIAL OWNERSHIP OF SECURITIES OF THE COMPANY" in the Registrant's Proxy Statement, is incorporated herein by reference.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13. CERTAIN RELATIONSHIPS AND RELATED TRANSACTIONS</w:t>
      </w:r>
    </w:p>
    <w:p>
      <w:pPr>
        <w:spacing w:after="0" w:line="203" w:lineRule="exact"/>
        <w:rPr>
          <w:sz w:val="20"/>
          <w:szCs w:val="20"/>
          <w:color w:val="auto"/>
        </w:rPr>
      </w:pPr>
    </w:p>
    <w:p>
      <w:pPr>
        <w:ind w:right="2499" w:firstLine="515"/>
        <w:spacing w:after="0" w:line="246" w:lineRule="auto"/>
        <w:rPr>
          <w:sz w:val="20"/>
          <w:szCs w:val="20"/>
          <w:color w:val="auto"/>
        </w:rPr>
      </w:pPr>
      <w:r>
        <w:rPr>
          <w:rFonts w:ascii="Courier New" w:cs="Courier New" w:eastAsia="Courier New" w:hAnsi="Courier New"/>
          <w:sz w:val="17"/>
          <w:szCs w:val="17"/>
          <w:color w:val="auto"/>
        </w:rPr>
        <w:t>In accordance with General Instruction G(3), the information contained under the captions "BENEFICIAL OWNERSHIP OF SECURITIES OF THE COMPANY" and "CERTAIN RELATIONSHIPS AND RELATED TRANSACTIONS" in the Registrant's Proxy Statement, is incorporated herein by reference.</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34</w:t>
      </w:r>
    </w:p>
    <w:p>
      <w:pPr>
        <w:sectPr>
          <w:pgSz w:w="11900" w:h="16838" w:orient="portrait"/>
          <w:cols w:equalWidth="0" w:num="1">
            <w:col w:w="10219"/>
          </w:cols>
          <w:pgMar w:left="240" w:top="709" w:right="1440" w:bottom="1440" w:gutter="0" w:footer="0" w:header="0"/>
        </w:sectPr>
      </w:pPr>
    </w:p>
    <w:bookmarkStart w:id="45" w:name="page46"/>
    <w:bookmarkEnd w:id="45"/>
    <w:p>
      <w:pPr>
        <w:ind w:left="3720"/>
        <w:spacing w:after="0"/>
        <w:rPr>
          <w:sz w:val="20"/>
          <w:szCs w:val="20"/>
          <w:color w:val="auto"/>
        </w:rPr>
      </w:pPr>
      <w:r>
        <w:rPr>
          <w:rFonts w:ascii="Courier New" w:cs="Courier New" w:eastAsia="Courier New" w:hAnsi="Courier New"/>
          <w:sz w:val="17"/>
          <w:szCs w:val="17"/>
          <w:color w:val="auto"/>
        </w:rPr>
        <w:t>PART IV</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14. EXHIBITS, FINANCIAL STATEMENT SCHEDULES, AND REPORTS ON FORM 8-K</w:t>
      </w: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(a) LIST OF DOCUMENTS FILED AS PART OF THIS REPORT</w:t>
      </w: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1 and 2. Financial Statements and Financial Statement Schedules:</w:t>
      </w:r>
    </w:p>
    <w:p>
      <w:pPr>
        <w:spacing w:after="0" w:line="203" w:lineRule="exact"/>
        <w:rPr>
          <w:sz w:val="20"/>
          <w:szCs w:val="20"/>
          <w:color w:val="auto"/>
        </w:rPr>
      </w:pPr>
    </w:p>
    <w:p>
      <w:pPr>
        <w:ind w:left="520" w:right="1979" w:firstLine="515"/>
        <w:spacing w:after="0" w:line="246" w:lineRule="auto"/>
        <w:rPr>
          <w:sz w:val="20"/>
          <w:szCs w:val="20"/>
          <w:color w:val="auto"/>
        </w:rPr>
      </w:pPr>
      <w:r>
        <w:rPr>
          <w:rFonts w:ascii="Courier New" w:cs="Courier New" w:eastAsia="Courier New" w:hAnsi="Courier New"/>
          <w:sz w:val="17"/>
          <w:szCs w:val="17"/>
          <w:color w:val="auto"/>
        </w:rPr>
        <w:t>The response to this portion of Item 14 is submitted as a separate section of this Annual Report on Form 10-K. Reference is made to the "Index to Consolidated Financial Statements and Financial Statement Schedules" on page 40 herein.</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3. Exhibits:</w:t>
      </w:r>
    </w:p>
    <w:p>
      <w:pPr>
        <w:spacing w:after="0" w:line="203" w:lineRule="exact"/>
        <w:rPr>
          <w:sz w:val="20"/>
          <w:szCs w:val="20"/>
          <w:color w:val="auto"/>
        </w:rPr>
      </w:pPr>
    </w:p>
    <w:p>
      <w:pPr>
        <w:ind w:left="520" w:right="1979" w:firstLine="515"/>
        <w:spacing w:after="0" w:line="246" w:lineRule="auto"/>
        <w:rPr>
          <w:sz w:val="20"/>
          <w:szCs w:val="20"/>
          <w:color w:val="auto"/>
        </w:rPr>
      </w:pPr>
      <w:r>
        <w:rPr>
          <w:rFonts w:ascii="Courier New" w:cs="Courier New" w:eastAsia="Courier New" w:hAnsi="Courier New"/>
          <w:sz w:val="17"/>
          <w:szCs w:val="17"/>
          <w:color w:val="auto"/>
        </w:rPr>
        <w:t>Exhibits filed with this Annual Report on Form 10-K are attached hereto or incorporated herein by reference. For a list of such exhibits, see "Index to Exhibits" beginning at page 86. The following table provides certain information concerning executive compensation plans and arrangements required to be filed as exhibits to this Annual Report on Form 10-K.</w:t>
      </w:r>
    </w:p>
    <w:p>
      <w:pPr>
        <w:spacing w:after="0" w:line="20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35</w:t>
      </w:r>
    </w:p>
    <w:p>
      <w:pPr>
        <w:sectPr>
          <w:pgSz w:w="11900" w:h="16838" w:orient="portrait"/>
          <w:cols w:equalWidth="0" w:num="1">
            <w:col w:w="10219"/>
          </w:cols>
          <w:pgMar w:left="240" w:top="709" w:right="1440" w:bottom="1440" w:gutter="0" w:footer="0" w:header="0"/>
        </w:sectPr>
      </w:pPr>
    </w:p>
    <w:bookmarkStart w:id="46" w:name="page47"/>
    <w:bookmarkEnd w:id="46"/>
    <w:p>
      <w:pPr>
        <w:jc w:val="right"/>
        <w:ind w:right="3839"/>
        <w:spacing w:after="0"/>
        <w:rPr>
          <w:sz w:val="20"/>
          <w:szCs w:val="20"/>
          <w:color w:val="auto"/>
        </w:rPr>
      </w:pPr>
      <w:r>
        <w:rPr>
          <w:rFonts w:ascii="Courier New" w:cs="Courier New" w:eastAsia="Courier New" w:hAnsi="Courier New"/>
          <w:sz w:val="17"/>
          <w:szCs w:val="17"/>
          <w:color w:val="auto"/>
        </w:rPr>
        <w:t>EXECUTIVE COMPENSATORY PLANS AND ARRANGEMENTS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Exhibit No.</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Description</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Location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20" w:hanging="515"/>
        <w:spacing w:after="0"/>
        <w:tabs>
          <w:tab w:leader="none" w:pos="620"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10(a)</w:t>
      </w:r>
    </w:p>
    <w:p>
      <w:pPr>
        <w:spacing w:after="0" w:line="5" w:lineRule="exact"/>
        <w:rPr>
          <w:rFonts w:ascii="Courier New" w:cs="Courier New" w:eastAsia="Courier New" w:hAnsi="Courier New"/>
          <w:sz w:val="17"/>
          <w:szCs w:val="17"/>
          <w:color w:val="auto"/>
        </w:rPr>
      </w:pPr>
    </w:p>
    <w:p>
      <w:pPr>
        <w:ind w:left="680" w:hanging="421"/>
        <w:spacing w:after="0"/>
        <w:tabs>
          <w:tab w:leader="none" w:pos="680" w:val="left"/>
        </w:tabs>
        <w:numPr>
          <w:ilvl w:val="1"/>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O.M. Scott</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&amp; Sons</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Company</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Excess</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Benefit</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Plan,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Incorporated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reference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to</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effective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October 1,</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1993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Annual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Report 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Form 10-K</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fiscal year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ended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30, 1993,</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of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Scotts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Company, a</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Delaware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corporation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(File No.</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0-19768)</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10(h)]</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10(a)(2)</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First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Amendment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to The O.M.</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Scott &amp;</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Sons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Company *</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Excess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Benefit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Plan,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effective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as of</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January 1,</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1998 10(a)</w:t>
      </w:r>
    </w:p>
    <w:p>
      <w:pPr>
        <w:spacing w:after="0" w:line="5" w:lineRule="exact"/>
        <w:rPr>
          <w:sz w:val="20"/>
          <w:szCs w:val="20"/>
          <w:color w:val="auto"/>
        </w:rPr>
      </w:pPr>
    </w:p>
    <w:p>
      <w:pPr>
        <w:jc w:val="both"/>
        <w:ind w:left="160" w:right="9079" w:hanging="55"/>
        <w:spacing w:after="0" w:line="246" w:lineRule="auto"/>
        <w:tabs>
          <w:tab w:leader="none" w:pos="520"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Second Amendment</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to The O.M.</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Scott &amp;</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Sons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Company *</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Excess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Benefit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Plan,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effective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as of</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January 1,</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1999 10(b)</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The Scotts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Company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1992 Long</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Term</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Incentive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Plan (as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Incorporated</w:t>
      </w:r>
    </w:p>
    <w:p>
      <w:pPr>
        <w:sectPr>
          <w:pgSz w:w="11900" w:h="16838" w:orient="portrait"/>
          <w:cols w:equalWidth="0" w:num="1">
            <w:col w:w="10219"/>
          </w:cols>
          <w:pgMar w:left="240" w:top="709" w:right="1440" w:bottom="0" w:gutter="0" w:footer="0" w:header="0"/>
        </w:sectPr>
      </w:pPr>
    </w:p>
    <w:bookmarkStart w:id="47" w:name="page48"/>
    <w:bookmarkEnd w:id="47"/>
    <w:p>
      <w:pPr>
        <w:jc w:val="center"/>
        <w:ind w:right="897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reference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to amended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through May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15, 2000)</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Registrant's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Quarterly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Report 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Form 10-Q</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fiscal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quarter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ended April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1, 2000</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(File No.</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1-13292)</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10(b)]</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10(c)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Scotts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Company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Executive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Annual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Incentive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Plan *</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10(d)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Scotts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Company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1996 Stock</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Option Plan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(as amended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Incorporated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reference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to through</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May 15,</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2000)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Registrant's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Quarterly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Report 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Form 10-Q</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fiscal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quarter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ended April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1, 2000</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(File No.</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1-13292)</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Specimen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form of</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Stock</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Option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(as amended</w:t>
      </w:r>
    </w:p>
    <w:p>
      <w:pPr>
        <w:spacing w:after="0" w:line="5" w:lineRule="exact"/>
        <w:rPr>
          <w:sz w:val="20"/>
          <w:szCs w:val="20"/>
          <w:color w:val="auto"/>
        </w:rPr>
      </w:pPr>
    </w:p>
    <w:p>
      <w:pPr>
        <w:ind w:left="60" w:right="9039" w:firstLine="96"/>
        <w:spacing w:after="0" w:line="262" w:lineRule="auto"/>
        <w:tabs>
          <w:tab w:leader="none" w:pos="369"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through October 23,</w:t>
      </w:r>
    </w:p>
    <w:p>
      <w:pPr>
        <w:ind w:left="1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2001) for</w:t>
      </w:r>
    </w:p>
    <w:p>
      <w:pPr>
        <w:spacing w:after="0" w:line="5"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Non-</w:t>
      </w:r>
    </w:p>
    <w:p>
      <w:pPr>
        <w:spacing w:after="0" w:line="5" w:lineRule="exact"/>
        <w:rPr>
          <w:rFonts w:ascii="Courier New" w:cs="Courier New" w:eastAsia="Courier New" w:hAnsi="Courier New"/>
          <w:sz w:val="16"/>
          <w:szCs w:val="16"/>
          <w:color w:val="auto"/>
        </w:rPr>
      </w:pPr>
    </w:p>
    <w:p>
      <w:pPr>
        <w:ind w:left="1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Qualified</w:t>
      </w:r>
    </w:p>
    <w:p>
      <w:pPr>
        <w:spacing w:after="0" w:line="5" w:lineRule="exact"/>
        <w:rPr>
          <w:rFonts w:ascii="Courier New" w:cs="Courier New" w:eastAsia="Courier New" w:hAnsi="Courier New"/>
          <w:sz w:val="16"/>
          <w:szCs w:val="16"/>
          <w:color w:val="auto"/>
        </w:rPr>
      </w:pPr>
    </w:p>
    <w:p>
      <w:pPr>
        <w:ind w:left="3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Stock</w:t>
      </w:r>
    </w:p>
    <w:p>
      <w:pPr>
        <w:spacing w:after="0" w:line="5" w:lineRule="exact"/>
        <w:rPr>
          <w:rFonts w:ascii="Courier New" w:cs="Courier New" w:eastAsia="Courier New" w:hAnsi="Courier New"/>
          <w:sz w:val="16"/>
          <w:szCs w:val="16"/>
          <w:color w:val="auto"/>
        </w:rPr>
      </w:pPr>
    </w:p>
    <w:p>
      <w:pPr>
        <w:ind w:left="2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Options</w:t>
      </w:r>
    </w:p>
    <w:p>
      <w:pPr>
        <w:spacing w:after="0" w:line="5"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granted to</w:t>
      </w:r>
    </w:p>
    <w:p>
      <w:pPr>
        <w:spacing w:after="0" w:line="5" w:lineRule="exact"/>
        <w:rPr>
          <w:rFonts w:ascii="Courier New" w:cs="Courier New" w:eastAsia="Courier New" w:hAnsi="Courier New"/>
          <w:sz w:val="16"/>
          <w:szCs w:val="16"/>
          <w:color w:val="auto"/>
        </w:rPr>
      </w:pPr>
    </w:p>
    <w:p>
      <w:pPr>
        <w:jc w:val="center"/>
        <w:ind w:left="60" w:right="9039" w:firstLine="103"/>
        <w:spacing w:after="0" w:line="26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employees under The Scotts Company 1996 Stock Option Plan, U.S. specimen 10(f) Specimen form of Stock Option Agreement (as amended</w:t>
      </w:r>
    </w:p>
    <w:p>
      <w:pPr>
        <w:spacing w:after="0" w:line="1" w:lineRule="exact"/>
        <w:rPr>
          <w:rFonts w:ascii="Courier New" w:cs="Courier New" w:eastAsia="Courier New" w:hAnsi="Courier New"/>
          <w:sz w:val="16"/>
          <w:szCs w:val="16"/>
          <w:color w:val="auto"/>
        </w:rPr>
      </w:pPr>
    </w:p>
    <w:p>
      <w:pPr>
        <w:ind w:left="60" w:right="9039" w:firstLine="96"/>
        <w:spacing w:after="0" w:line="277" w:lineRule="auto"/>
        <w:tabs>
          <w:tab w:leader="none" w:pos="369"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through October 23,</w:t>
      </w:r>
    </w:p>
    <w:p>
      <w:pPr>
        <w:sectPr>
          <w:pgSz w:w="11900" w:h="16838" w:orient="portrait"/>
          <w:cols w:equalWidth="0" w:num="1">
            <w:col w:w="10219"/>
          </w:cols>
          <w:pgMar w:left="240" w:top="142" w:right="1440" w:bottom="0" w:gutter="0" w:footer="0" w:header="0"/>
        </w:sectPr>
      </w:pPr>
    </w:p>
    <w:bookmarkStart w:id="48" w:name="page49"/>
    <w:bookmarkEnd w:id="48"/>
    <w:p>
      <w:pPr>
        <w:jc w:val="center"/>
        <w:ind w:right="8979"/>
        <w:spacing w:after="0"/>
        <w:rPr>
          <w:sz w:val="20"/>
          <w:szCs w:val="20"/>
          <w:color w:val="auto"/>
        </w:rPr>
      </w:pPr>
      <w:r>
        <w:rPr>
          <w:rFonts w:ascii="Courier New" w:cs="Courier New" w:eastAsia="Courier New" w:hAnsi="Courier New"/>
          <w:sz w:val="17"/>
          <w:szCs w:val="17"/>
          <w:color w:val="auto"/>
        </w:rPr>
        <w:t>2001) for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Non-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Qualified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Stock</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Options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granted to</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employees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under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Scotts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Company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1996 Stock</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Option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Plan,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French</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specimen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10(g)(1)</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The Scotts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Company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Executive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Retirement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Plan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Incorporated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reference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to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Registrant's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Annual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Report 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Form 10-K</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fiscal year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ended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30, 1998</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(File No.</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1-11593)</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10(j)]</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10(g)(2)</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First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Amendment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to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Scotts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Company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Executive *</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Retirement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Plan,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effective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as of</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January 1,</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1999 10(g)</w:t>
      </w:r>
    </w:p>
    <w:p>
      <w:pPr>
        <w:spacing w:after="0" w:line="5" w:lineRule="exact"/>
        <w:rPr>
          <w:sz w:val="20"/>
          <w:szCs w:val="20"/>
          <w:color w:val="auto"/>
        </w:rPr>
      </w:pPr>
    </w:p>
    <w:p>
      <w:pPr>
        <w:jc w:val="both"/>
        <w:ind w:left="160" w:right="9079" w:hanging="55"/>
        <w:spacing w:after="0" w:line="246" w:lineRule="auto"/>
        <w:tabs>
          <w:tab w:leader="none" w:pos="520"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Second Amendment</w:t>
      </w:r>
    </w:p>
    <w:p>
      <w:pPr>
        <w:spacing w:after="0" w:line="1" w:lineRule="exact"/>
        <w:rPr>
          <w:rFonts w:ascii="Courier New" w:cs="Courier New" w:eastAsia="Courier New" w:hAnsi="Courier New"/>
          <w:sz w:val="17"/>
          <w:szCs w:val="17"/>
          <w:color w:val="auto"/>
        </w:rPr>
      </w:pPr>
    </w:p>
    <w:p>
      <w:pPr>
        <w:jc w:val="both"/>
        <w:ind w:left="260" w:right="9239" w:firstLine="51"/>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to The Scotts Company</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Executive *</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Retirement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Plan,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effective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as of</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January 1,</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2000 10(h)</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Employment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dated as of</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August 7,</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1998,</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Incorporated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reference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to between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and Charles</w:t>
      </w:r>
    </w:p>
    <w:p>
      <w:pPr>
        <w:spacing w:after="0" w:line="5" w:lineRule="exact"/>
        <w:rPr>
          <w:sz w:val="20"/>
          <w:szCs w:val="20"/>
          <w:color w:val="auto"/>
        </w:rPr>
      </w:pPr>
    </w:p>
    <w:p>
      <w:pPr>
        <w:ind w:left="260" w:right="9079" w:hanging="155"/>
        <w:spacing w:after="0" w:line="246" w:lineRule="auto"/>
        <w:tabs>
          <w:tab w:leader="none" w:pos="414"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Berger, and the</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Registrant's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Annual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Report 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three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attached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Stock</w:t>
      </w:r>
    </w:p>
    <w:p>
      <w:pPr>
        <w:sectPr>
          <w:pgSz w:w="11900" w:h="16838" w:orient="portrait"/>
          <w:cols w:equalWidth="0" w:num="1">
            <w:col w:w="10219"/>
          </w:cols>
          <w:pgMar w:left="240" w:top="142" w:right="1440" w:bottom="0" w:gutter="0" w:footer="0" w:header="0"/>
        </w:sectPr>
      </w:pPr>
    </w:p>
    <w:bookmarkStart w:id="49" w:name="page50"/>
    <w:bookmarkEnd w:id="49"/>
    <w:p>
      <w:pPr>
        <w:jc w:val="center"/>
        <w:ind w:right="9039"/>
        <w:spacing w:after="0"/>
        <w:rPr>
          <w:sz w:val="20"/>
          <w:szCs w:val="20"/>
          <w:color w:val="auto"/>
        </w:rPr>
      </w:pPr>
      <w:r>
        <w:rPr>
          <w:rFonts w:ascii="Courier New" w:cs="Courier New" w:eastAsia="Courier New" w:hAnsi="Courier New"/>
          <w:sz w:val="17"/>
          <w:szCs w:val="17"/>
          <w:color w:val="auto"/>
        </w:rPr>
        <w:t>Option</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7"/>
          <w:szCs w:val="17"/>
          <w:color w:val="auto"/>
        </w:rPr>
        <w:t>Agreements</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7"/>
          <w:szCs w:val="17"/>
          <w:color w:val="auto"/>
        </w:rPr>
        <w:t>with the</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7"/>
          <w:szCs w:val="17"/>
          <w:color w:val="auto"/>
        </w:rPr>
        <w:t>Form 10-K</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7"/>
          <w:szCs w:val="17"/>
          <w:color w:val="auto"/>
        </w:rPr>
        <w:t>for the</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fiscal year</w:t>
      </w:r>
    </w:p>
    <w:p>
      <w:pPr>
        <w:spacing w:after="0" w:line="17"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7"/>
          <w:szCs w:val="17"/>
          <w:color w:val="auto"/>
        </w:rPr>
        <w:t>ended</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7"/>
          <w:szCs w:val="17"/>
          <w:color w:val="auto"/>
        </w:rPr>
        <w:t>following</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7"/>
          <w:szCs w:val="17"/>
          <w:color w:val="auto"/>
        </w:rPr>
        <w:t>effective</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7"/>
          <w:szCs w:val="17"/>
          <w:color w:val="auto"/>
        </w:rPr>
        <w:t>dates:</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7"/>
          <w:szCs w:val="17"/>
          <w:color w:val="auto"/>
        </w:rPr>
        <w:t>23, 1998,</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7"/>
          <w:szCs w:val="17"/>
          <w:color w:val="auto"/>
        </w:rPr>
        <w:t>October</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7"/>
          <w:szCs w:val="17"/>
          <w:color w:val="auto"/>
        </w:rPr>
        <w:t>30, 1998</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7"/>
          <w:szCs w:val="17"/>
          <w:color w:val="auto"/>
        </w:rPr>
        <w:t>(File No.</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7"/>
          <w:szCs w:val="17"/>
          <w:color w:val="auto"/>
        </w:rPr>
        <w:t>1-11593)</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7"/>
          <w:szCs w:val="17"/>
          <w:color w:val="auto"/>
        </w:rPr>
        <w:t>21, 1998</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7"/>
          <w:szCs w:val="17"/>
          <w:color w:val="auto"/>
        </w:rPr>
        <w:t>and</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7"/>
          <w:szCs w:val="17"/>
          <w:color w:val="auto"/>
        </w:rPr>
        <w:t>24, 1999</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7"/>
          <w:szCs w:val="17"/>
          <w:color w:val="auto"/>
        </w:rPr>
        <w:t>10(n)]</w:t>
      </w:r>
    </w:p>
    <w:p>
      <w:pPr>
        <w:spacing w:after="0" w:line="200" w:lineRule="exact"/>
        <w:rPr>
          <w:sz w:val="20"/>
          <w:szCs w:val="20"/>
          <w:color w:val="auto"/>
        </w:rPr>
      </w:pPr>
    </w:p>
    <w:p>
      <w:pPr>
        <w:spacing w:after="0" w:line="201" w:lineRule="exact"/>
        <w:rPr>
          <w:sz w:val="20"/>
          <w:szCs w:val="20"/>
          <w:color w:val="auto"/>
        </w:rPr>
      </w:pPr>
    </w:p>
    <w:p>
      <w:pPr>
        <w:ind w:left="3860"/>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36</w:t>
      </w:r>
    </w:p>
    <w:p>
      <w:pPr>
        <w:sectPr>
          <w:pgSz w:w="11900" w:h="16838" w:orient="portrait"/>
          <w:cols w:equalWidth="0" w:num="1">
            <w:col w:w="10159"/>
          </w:cols>
          <w:pgMar w:left="300" w:top="142" w:right="1440" w:bottom="1440" w:gutter="0" w:footer="0" w:header="0"/>
        </w:sectPr>
      </w:pPr>
    </w:p>
    <w:bookmarkStart w:id="50" w:name="page51"/>
    <w:bookmarkEnd w:id="50"/>
    <w:p>
      <w:pPr>
        <w:ind w:left="40"/>
        <w:spacing w:after="0"/>
        <w:rPr>
          <w:sz w:val="20"/>
          <w:szCs w:val="20"/>
          <w:color w:val="auto"/>
        </w:rPr>
      </w:pPr>
      <w:r>
        <w:rPr>
          <w:rFonts w:ascii="Courier New" w:cs="Courier New" w:eastAsia="Courier New" w:hAnsi="Courier New"/>
          <w:sz w:val="17"/>
          <w:szCs w:val="17"/>
          <w:color w:val="auto"/>
        </w:rPr>
        <w:t>Exhibit No.</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Description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Location - -</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------ 10(i)</w:t>
      </w:r>
    </w:p>
    <w:p>
      <w:pPr>
        <w:spacing w:after="0" w:line="1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Stock Option</w:t>
      </w:r>
    </w:p>
    <w:p>
      <w:pPr>
        <w:spacing w:after="0" w:line="1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dated as of</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August 7,</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1996,</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Incorporated</w:t>
      </w:r>
    </w:p>
    <w:p>
      <w:pPr>
        <w:spacing w:after="0" w:line="1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reference to</w:t>
      </w:r>
    </w:p>
    <w:p>
      <w:pPr>
        <w:spacing w:after="0" w:line="1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between the</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and Charles</w:t>
      </w:r>
    </w:p>
    <w:p>
      <w:pPr>
        <w:spacing w:after="0" w:line="5" w:lineRule="exact"/>
        <w:rPr>
          <w:sz w:val="20"/>
          <w:szCs w:val="20"/>
          <w:color w:val="auto"/>
        </w:rPr>
      </w:pPr>
    </w:p>
    <w:p>
      <w:pPr>
        <w:ind w:left="460" w:right="9079" w:hanging="311"/>
        <w:spacing w:after="0" w:line="246" w:lineRule="auto"/>
        <w:tabs>
          <w:tab w:leader="none" w:pos="460"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Berger the</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Registrant's</w:t>
      </w:r>
    </w:p>
    <w:p>
      <w:pPr>
        <w:spacing w:after="0" w:line="1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Annual</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Report on</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Form 10-K</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for the</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fiscal year</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ended</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30, 1996</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(File No. 1-</w:t>
      </w:r>
    </w:p>
    <w:p>
      <w:pPr>
        <w:spacing w:after="0" w:line="1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11593)</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10(m)] 10(j)</w:t>
      </w:r>
    </w:p>
    <w:p>
      <w:pPr>
        <w:spacing w:after="0" w:line="1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Letter</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dated March</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21, 2001,</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pertaining</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to</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Incorporated</w:t>
      </w:r>
    </w:p>
    <w:p>
      <w:pPr>
        <w:spacing w:after="0" w:line="1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reference to</w:t>
      </w:r>
    </w:p>
    <w:p>
      <w:pPr>
        <w:spacing w:after="0" w:line="1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amendment of</w:t>
      </w:r>
    </w:p>
    <w:p>
      <w:pPr>
        <w:spacing w:after="0" w:line="1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Employment</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dated as of</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August the</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Registrant's</w:t>
      </w:r>
    </w:p>
    <w:p>
      <w:pPr>
        <w:spacing w:after="0" w:line="1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Quarterly</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Report on 7,</w:t>
      </w:r>
    </w:p>
    <w:p>
      <w:pPr>
        <w:spacing w:after="0" w:line="1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1998,</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between the</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and Charles</w:t>
      </w:r>
    </w:p>
    <w:p>
      <w:pPr>
        <w:spacing w:after="0" w:line="5" w:lineRule="exact"/>
        <w:rPr>
          <w:sz w:val="20"/>
          <w:szCs w:val="20"/>
          <w:color w:val="auto"/>
        </w:rPr>
      </w:pPr>
    </w:p>
    <w:p>
      <w:pPr>
        <w:jc w:val="both"/>
        <w:ind w:left="140" w:right="9039" w:hanging="43"/>
        <w:spacing w:after="0" w:line="246" w:lineRule="auto"/>
        <w:tabs>
          <w:tab w:leader="none" w:pos="397"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Berger; Form 10-Q</w:t>
      </w:r>
    </w:p>
    <w:p>
      <w:pPr>
        <w:spacing w:after="0" w:line="1"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for the</w:t>
      </w:r>
    </w:p>
    <w:p>
      <w:pPr>
        <w:spacing w:after="0" w:line="5" w:lineRule="exact"/>
        <w:rPr>
          <w:rFonts w:ascii="Courier New" w:cs="Courier New" w:eastAsia="Courier New" w:hAnsi="Courier New"/>
          <w:sz w:val="17"/>
          <w:szCs w:val="17"/>
          <w:color w:val="auto"/>
        </w:rPr>
      </w:pPr>
    </w:p>
    <w:p>
      <w:pPr>
        <w:ind w:left="3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fiscal</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quarter and</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employment</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of Mr.</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Berger</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through</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January 16,</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2003 ended</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March 31,</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2001 (File</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No. 1-13292)</w:t>
      </w:r>
    </w:p>
    <w:p>
      <w:pPr>
        <w:spacing w:after="0" w:line="1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10(w)] 10(k)</w:t>
      </w:r>
    </w:p>
    <w:p>
      <w:pPr>
        <w:spacing w:after="0" w:line="1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Letter</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dated</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25, 2001,</w:t>
      </w:r>
    </w:p>
    <w:p>
      <w:pPr>
        <w:sectPr>
          <w:pgSz w:w="11900" w:h="16838" w:orient="portrait"/>
          <w:cols w:equalWidth="0" w:num="1">
            <w:col w:w="10159"/>
          </w:cols>
          <w:pgMar w:left="300" w:top="709" w:right="1440" w:bottom="0" w:gutter="0" w:footer="0" w:header="0"/>
        </w:sectPr>
      </w:pPr>
    </w:p>
    <w:bookmarkStart w:id="51" w:name="page52"/>
    <w:bookmarkEnd w:id="51"/>
    <w:p>
      <w:pPr>
        <w:jc w:val="center"/>
        <w:ind w:right="8939"/>
        <w:spacing w:after="0"/>
        <w:rPr>
          <w:sz w:val="20"/>
          <w:szCs w:val="20"/>
          <w:color w:val="auto"/>
        </w:rPr>
      </w:pPr>
      <w:r>
        <w:rPr>
          <w:rFonts w:ascii="Courier New" w:cs="Courier New" w:eastAsia="Courier New" w:hAnsi="Courier New"/>
          <w:sz w:val="17"/>
          <w:szCs w:val="17"/>
          <w:color w:val="auto"/>
        </w:rPr>
        <w:t>replacing *</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and</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superceding</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the letter</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dated March</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21, 2001,</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pertaining</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to amendment</w:t>
      </w:r>
    </w:p>
    <w:p>
      <w:pPr>
        <w:spacing w:after="0" w:line="1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of</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Employment</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dated as of</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August 7,</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1998,</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between the</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and Charles</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M. Berger</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10(l)</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Employment</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dated as of</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May 19,</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1995,</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Incorporated</w:t>
      </w:r>
    </w:p>
    <w:p>
      <w:pPr>
        <w:spacing w:after="0" w:line="1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reference to</w:t>
      </w:r>
    </w:p>
    <w:p>
      <w:pPr>
        <w:spacing w:after="0" w:line="1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between the</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and James</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Hagedorn the</w:t>
      </w:r>
    </w:p>
    <w:p>
      <w:pPr>
        <w:spacing w:after="0" w:line="1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Registrant's</w:t>
      </w:r>
    </w:p>
    <w:p>
      <w:pPr>
        <w:spacing w:after="0" w:line="1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Annual</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Report on</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Form 10-K</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for the</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fiscal year</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ended</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30, 1995</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(File No. 1-</w:t>
      </w:r>
    </w:p>
    <w:p>
      <w:pPr>
        <w:spacing w:after="0" w:line="1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11593)</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10(p)] 10(m)</w:t>
      </w:r>
    </w:p>
    <w:p>
      <w:pPr>
        <w:spacing w:after="0" w:line="1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Letter</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dated April</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10, 1997,</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between the</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Incorporated</w:t>
      </w:r>
    </w:p>
    <w:p>
      <w:pPr>
        <w:spacing w:after="0" w:line="1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reference to</w:t>
      </w:r>
    </w:p>
    <w:p>
      <w:pPr>
        <w:spacing w:after="0" w:line="1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and G.</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Robert Lucas</w:t>
      </w:r>
    </w:p>
    <w:p>
      <w:pPr>
        <w:spacing w:after="0" w:line="1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the</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Registrant's</w:t>
      </w:r>
    </w:p>
    <w:p>
      <w:pPr>
        <w:spacing w:after="0" w:line="1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Annual</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Report on</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Form 10-K</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for the</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fiscal year</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ended</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30, 1997</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(File No. 1-</w:t>
      </w:r>
    </w:p>
    <w:p>
      <w:pPr>
        <w:spacing w:after="0" w:line="1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11593)</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10(r)] 10(n)</w:t>
      </w:r>
    </w:p>
    <w:p>
      <w:pPr>
        <w:spacing w:after="0" w:line="1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Letter</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dated June</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11, 2001,</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between the</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Incorporated</w:t>
      </w:r>
    </w:p>
    <w:p>
      <w:pPr>
        <w:spacing w:after="0" w:line="1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reference to</w:t>
      </w:r>
    </w:p>
    <w:p>
      <w:pPr>
        <w:spacing w:after="0" w:line="1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and G.</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Robert</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Lucas,</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regarding</w:t>
      </w:r>
    </w:p>
    <w:p>
      <w:pPr>
        <w:sectPr>
          <w:pgSz w:w="11900" w:h="16838" w:orient="portrait"/>
          <w:cols w:equalWidth="0" w:num="1">
            <w:col w:w="10159"/>
          </w:cols>
          <w:pgMar w:left="300" w:top="142" w:right="1440" w:bottom="0" w:gutter="0" w:footer="0" w:header="0"/>
        </w:sectPr>
      </w:pPr>
    </w:p>
    <w:bookmarkStart w:id="52" w:name="page53"/>
    <w:bookmarkEnd w:id="52"/>
    <w:p>
      <w:pPr>
        <w:jc w:val="center"/>
        <w:ind w:right="8934"/>
        <w:spacing w:after="0"/>
        <w:rPr>
          <w:sz w:val="20"/>
          <w:szCs w:val="20"/>
          <w:color w:val="auto"/>
        </w:rPr>
      </w:pPr>
      <w:r>
        <w:rPr>
          <w:rFonts w:ascii="Courier New" w:cs="Courier New" w:eastAsia="Courier New" w:hAnsi="Courier New"/>
          <w:sz w:val="17"/>
          <w:szCs w:val="17"/>
          <w:color w:val="auto"/>
        </w:rPr>
        <w:t>Mr. Lucas'</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the</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6"/>
          <w:szCs w:val="16"/>
          <w:color w:val="auto"/>
        </w:rPr>
        <w:t>Registrant's</w:t>
      </w:r>
    </w:p>
    <w:p>
      <w:pPr>
        <w:spacing w:after="0" w:line="17"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Quarterly</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Report on</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retirement</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from</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employment</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by the</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Form 10-Q</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for the</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fiscal</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quarter</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ended June</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30, 2001</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6"/>
          <w:szCs w:val="16"/>
          <w:color w:val="auto"/>
        </w:rPr>
        <w:t>(File No. 1-</w:t>
      </w:r>
    </w:p>
    <w:p>
      <w:pPr>
        <w:spacing w:after="0" w:line="17"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13292)</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6"/>
          <w:szCs w:val="16"/>
          <w:color w:val="auto"/>
        </w:rPr>
        <w:t>10(x)] 10(o)</w:t>
      </w:r>
    </w:p>
    <w:p>
      <w:pPr>
        <w:spacing w:after="0" w:line="17"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Letter</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dated March</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16, 1999,</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between the</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6"/>
          <w:szCs w:val="16"/>
          <w:color w:val="auto"/>
        </w:rPr>
        <w:t>Incorporated</w:t>
      </w:r>
    </w:p>
    <w:p>
      <w:pPr>
        <w:spacing w:after="0" w:line="17"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6"/>
          <w:szCs w:val="16"/>
          <w:color w:val="auto"/>
        </w:rPr>
        <w:t>reference to</w:t>
      </w:r>
    </w:p>
    <w:p>
      <w:pPr>
        <w:spacing w:after="0" w:line="17"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and Hadia</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Lefavre the</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6"/>
          <w:szCs w:val="16"/>
          <w:color w:val="auto"/>
        </w:rPr>
        <w:t>Registrant's</w:t>
      </w:r>
    </w:p>
    <w:p>
      <w:pPr>
        <w:spacing w:after="0" w:line="17"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Annual</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Report on</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Form 10-K</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for the</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fiscal year</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ended</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30, 1999</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6"/>
          <w:szCs w:val="16"/>
          <w:color w:val="auto"/>
        </w:rPr>
        <w:t>(File No. 1-</w:t>
      </w:r>
    </w:p>
    <w:p>
      <w:pPr>
        <w:spacing w:after="0" w:line="17"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11593)</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6"/>
          <w:szCs w:val="16"/>
          <w:color w:val="auto"/>
        </w:rPr>
        <w:t>10(p)] 10(p)</w:t>
      </w:r>
    </w:p>
    <w:p>
      <w:pPr>
        <w:spacing w:after="0" w:line="17"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Letter</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dated</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October 14,</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2001,</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between the</w:t>
      </w:r>
    </w:p>
    <w:p>
      <w:pPr>
        <w:spacing w:after="0" w:line="5" w:lineRule="exact"/>
        <w:rPr>
          <w:sz w:val="20"/>
          <w:szCs w:val="20"/>
          <w:color w:val="auto"/>
        </w:rPr>
      </w:pPr>
    </w:p>
    <w:p>
      <w:pPr>
        <w:ind w:left="146" w:right="8939" w:hanging="146"/>
        <w:spacing w:after="0" w:line="246" w:lineRule="auto"/>
        <w:tabs>
          <w:tab w:leader="none" w:pos="197"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Registrant and Hadia Lefavre,</w:t>
      </w:r>
    </w:p>
    <w:p>
      <w:pPr>
        <w:spacing w:after="0" w:line="2"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pertaining</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to terms of</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employment</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of Ms.</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Lefavre</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through</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30, 2002,</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and</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superseding</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certain</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provisions</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of letter</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dated March</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16, 1999,</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between the</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and Ms.</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Lefavre</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6"/>
          <w:szCs w:val="16"/>
          <w:color w:val="auto"/>
        </w:rPr>
        <w:t>10(q) Letter</w:t>
      </w:r>
    </w:p>
    <w:p>
      <w:pPr>
        <w:spacing w:after="0" w:line="17"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dated June</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8, 2000,</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between the</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6"/>
          <w:szCs w:val="16"/>
          <w:color w:val="auto"/>
        </w:rPr>
        <w:t>Incorporated</w:t>
      </w:r>
    </w:p>
    <w:p>
      <w:pPr>
        <w:spacing w:after="0" w:line="17"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6"/>
          <w:szCs w:val="16"/>
          <w:color w:val="auto"/>
        </w:rPr>
        <w:t>reference to</w:t>
      </w:r>
    </w:p>
    <w:p>
      <w:pPr>
        <w:spacing w:after="0" w:line="17"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and Patrick</w:t>
      </w:r>
    </w:p>
    <w:p>
      <w:pPr>
        <w:sectPr>
          <w:pgSz w:w="11900" w:h="16838" w:orient="portrait"/>
          <w:cols w:equalWidth="0" w:num="1">
            <w:col w:w="10165"/>
          </w:cols>
          <w:pgMar w:left="294" w:top="142" w:right="1440" w:bottom="0" w:gutter="0" w:footer="0" w:header="0"/>
        </w:sectPr>
      </w:pPr>
    </w:p>
    <w:bookmarkStart w:id="53" w:name="page54"/>
    <w:bookmarkEnd w:id="53"/>
    <w:p>
      <w:pPr>
        <w:ind w:left="520" w:right="9079" w:hanging="311"/>
        <w:spacing w:after="0" w:line="246" w:lineRule="auto"/>
        <w:tabs>
          <w:tab w:leader="none" w:pos="520"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Norton the</w:t>
      </w:r>
    </w:p>
    <w:p>
      <w:pPr>
        <w:spacing w:after="0" w:line="1"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Registrant's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Annual</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Report 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Form 10-K</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for the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fiscal year</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ended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30, 2000</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(File No. 1-</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13292)</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10(q)] 10(r)</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Employment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dated August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1, 1995,</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between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Incorporated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reference to</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Scotts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Europe B.V.</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(now Scotts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International</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B.V.) and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the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Registrant's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Annual</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Report 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Laurens J.M.</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de Kort Form</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10-K for the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fiscal year</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ended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30, 1999</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(File No. 1-</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11593)</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10(s)]</w:t>
      </w:r>
    </w:p>
    <w:p>
      <w:pPr>
        <w:spacing w:after="0" w:line="200" w:lineRule="exact"/>
        <w:rPr>
          <w:sz w:val="20"/>
          <w:szCs w:val="20"/>
          <w:color w:val="auto"/>
        </w:rPr>
      </w:pPr>
    </w:p>
    <w:p>
      <w:pPr>
        <w:spacing w:after="0" w:line="201"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37</w:t>
      </w:r>
    </w:p>
    <w:p>
      <w:pPr>
        <w:sectPr>
          <w:pgSz w:w="11900" w:h="16838" w:orient="portrait"/>
          <w:cols w:equalWidth="0" w:num="1">
            <w:col w:w="10219"/>
          </w:cols>
          <w:pgMar w:left="240" w:top="142" w:right="1440" w:bottom="1440" w:gutter="0" w:footer="0" w:header="0"/>
        </w:sectPr>
      </w:pPr>
    </w:p>
    <w:bookmarkStart w:id="54" w:name="page55"/>
    <w:bookmarkEnd w:id="54"/>
    <w:p>
      <w:pPr>
        <w:ind w:left="60"/>
        <w:spacing w:after="0"/>
        <w:rPr>
          <w:sz w:val="20"/>
          <w:szCs w:val="20"/>
          <w:color w:val="auto"/>
        </w:rPr>
      </w:pPr>
      <w:r>
        <w:rPr>
          <w:rFonts w:ascii="Courier New" w:cs="Courier New" w:eastAsia="Courier New" w:hAnsi="Courier New"/>
          <w:sz w:val="17"/>
          <w:szCs w:val="17"/>
          <w:color w:val="auto"/>
        </w:rPr>
        <w:t>Exhibit No.</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Description</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Location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both"/>
        <w:ind w:left="100" w:right="9079" w:firstLine="5"/>
        <w:spacing w:after="0" w:line="246" w:lineRule="auto"/>
        <w:tabs>
          <w:tab w:leader="none" w:pos="615"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10(s) Settlement Agreement,</w:t>
      </w:r>
    </w:p>
    <w:p>
      <w:pPr>
        <w:spacing w:after="0" w:line="1"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dated</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November</w:t>
      </w:r>
    </w:p>
    <w:p>
      <w:pPr>
        <w:spacing w:after="0" w:line="5" w:lineRule="exact"/>
        <w:rPr>
          <w:rFonts w:ascii="Courier New" w:cs="Courier New" w:eastAsia="Courier New" w:hAnsi="Courier New"/>
          <w:sz w:val="17"/>
          <w:szCs w:val="17"/>
          <w:color w:val="auto"/>
        </w:rPr>
      </w:pPr>
    </w:p>
    <w:p>
      <w:pPr>
        <w:jc w:val="center"/>
        <w:ind w:left="100" w:right="9079" w:firstLine="51"/>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27, 2001, between * the Registrant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and Laurens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J.M. de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Kort 10(t)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Letter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dated July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16, 2001,</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between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Incorporated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reference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to</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and James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Rogula,</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regarding</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Mr.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Rogula's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Registrant's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Quarterly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Report 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retirement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from</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employment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by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Form 10-Q</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fiscal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quarter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ended June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30, 2001</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(File No.</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1-13292)</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10(u)</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Written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description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of</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employment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between *</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and Michael</w:t>
      </w:r>
    </w:p>
    <w:p>
      <w:pPr>
        <w:spacing w:after="0" w:line="5" w:lineRule="exact"/>
        <w:rPr>
          <w:sz w:val="20"/>
          <w:szCs w:val="20"/>
          <w:color w:val="auto"/>
        </w:rPr>
      </w:pPr>
    </w:p>
    <w:p>
      <w:pPr>
        <w:ind w:left="460" w:hanging="304"/>
        <w:spacing w:after="0"/>
        <w:tabs>
          <w:tab w:leader="none" w:pos="460" w:val="left"/>
        </w:tabs>
        <w:numPr>
          <w:ilvl w:val="1"/>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Kelty,</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Ph.D.</w:t>
      </w:r>
    </w:p>
    <w:p>
      <w:pPr>
        <w:spacing w:after="0" w:line="200" w:lineRule="exact"/>
        <w:rPr>
          <w:rFonts w:ascii="Courier New" w:cs="Courier New" w:eastAsia="Courier New" w:hAnsi="Courier New"/>
          <w:sz w:val="17"/>
          <w:szCs w:val="17"/>
          <w:color w:val="auto"/>
        </w:rPr>
      </w:pPr>
    </w:p>
    <w:p>
      <w:pPr>
        <w:spacing w:after="0" w:line="201"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3"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Filed herewith.</w:t>
      </w:r>
    </w:p>
    <w:p>
      <w:pPr>
        <w:spacing w:after="0" w:line="203" w:lineRule="exact"/>
        <w:rPr>
          <w:rFonts w:ascii="Courier New" w:cs="Courier New" w:eastAsia="Courier New" w:hAnsi="Courier New"/>
          <w:sz w:val="17"/>
          <w:szCs w:val="17"/>
          <w:color w:val="auto"/>
        </w:rPr>
      </w:pPr>
    </w:p>
    <w:p>
      <w:pPr>
        <w:ind w:left="940" w:hanging="420"/>
        <w:spacing w:after="0"/>
        <w:tabs>
          <w:tab w:leader="none" w:pos="940" w:val="left"/>
        </w:tabs>
        <w:numPr>
          <w:ilvl w:val="2"/>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REPORTS ON FORM 8-K</w:t>
      </w:r>
    </w:p>
    <w:p>
      <w:pPr>
        <w:spacing w:after="0" w:line="203" w:lineRule="exact"/>
        <w:rPr>
          <w:sz w:val="20"/>
          <w:szCs w:val="20"/>
          <w:color w:val="auto"/>
        </w:rPr>
      </w:pPr>
    </w:p>
    <w:p>
      <w:pPr>
        <w:ind w:left="520" w:right="2279" w:firstLine="515"/>
        <w:spacing w:after="0" w:line="247" w:lineRule="auto"/>
        <w:rPr>
          <w:sz w:val="20"/>
          <w:szCs w:val="20"/>
          <w:color w:val="auto"/>
        </w:rPr>
      </w:pPr>
      <w:r>
        <w:rPr>
          <w:rFonts w:ascii="Courier New" w:cs="Courier New" w:eastAsia="Courier New" w:hAnsi="Courier New"/>
          <w:sz w:val="17"/>
          <w:szCs w:val="17"/>
          <w:color w:val="auto"/>
        </w:rPr>
        <w:t>The Registrant filed no Current Reports on Form 8-K during the last quarter of the period covered by this Report.</w:t>
      </w:r>
    </w:p>
    <w:p>
      <w:pPr>
        <w:sectPr>
          <w:pgSz w:w="11900" w:h="16838" w:orient="portrait"/>
          <w:cols w:equalWidth="0" w:num="1">
            <w:col w:w="10219"/>
          </w:cols>
          <w:pgMar w:left="240" w:top="709" w:right="1440" w:bottom="0" w:gutter="0" w:footer="0" w:header="0"/>
        </w:sectPr>
      </w:pPr>
    </w:p>
    <w:bookmarkStart w:id="55" w:name="page56"/>
    <w:bookmarkEnd w:id="55"/>
    <w:p>
      <w:pPr>
        <w:ind w:left="2720"/>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ind w:left="2820"/>
        <w:spacing w:after="0"/>
        <w:rPr>
          <w:sz w:val="20"/>
          <w:szCs w:val="20"/>
          <w:color w:val="auto"/>
        </w:rPr>
      </w:pPr>
      <w:r>
        <w:rPr>
          <w:rFonts w:ascii="Courier New" w:cs="Courier New" w:eastAsia="Courier New" w:hAnsi="Courier New"/>
          <w:sz w:val="17"/>
          <w:szCs w:val="17"/>
          <w:color w:val="auto"/>
        </w:rPr>
        <w:t>38</w:t>
      </w:r>
    </w:p>
    <w:p>
      <w:pPr>
        <w:sectPr>
          <w:pgSz w:w="11900" w:h="16838" w:orient="portrait"/>
          <w:cols w:equalWidth="0" w:num="1">
            <w:col w:w="9019"/>
          </w:cols>
          <w:pgMar w:left="1440" w:top="340" w:right="1440" w:bottom="1440" w:gutter="0" w:footer="0" w:header="0"/>
        </w:sectPr>
      </w:pPr>
    </w:p>
    <w:bookmarkStart w:id="56" w:name="page57"/>
    <w:bookmarkEnd w:id="56"/>
    <w:p>
      <w:pPr>
        <w:jc w:val="center"/>
        <w:ind w:right="1979"/>
        <w:spacing w:after="0"/>
        <w:rPr>
          <w:sz w:val="20"/>
          <w:szCs w:val="20"/>
          <w:color w:val="auto"/>
        </w:rPr>
      </w:pPr>
      <w:r>
        <w:rPr>
          <w:rFonts w:ascii="Courier New" w:cs="Courier New" w:eastAsia="Courier New" w:hAnsi="Courier New"/>
          <w:sz w:val="17"/>
          <w:szCs w:val="17"/>
          <w:color w:val="auto"/>
        </w:rPr>
        <w:t>SIGNATURES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Pursuant to the requirements of Section 13 or 15(d) of the Securities Exchange Act of 1934, the Registrant has duly caused this Report to be signed on its behalf by the undersigned, thereunto duly authorized.</w:t>
      </w:r>
    </w:p>
    <w:p>
      <w:pPr>
        <w:sectPr>
          <w:pgSz w:w="11900" w:h="16838" w:orient="portrait"/>
          <w:cols w:equalWidth="0" w:num="1">
            <w:col w:w="10219"/>
          </w:cols>
          <w:pgMar w:left="240" w:top="70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December 14, 2001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SCOTTS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JAMES HAGEDORN</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James Hagedorn, President</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and Chief Executive Officer</w:t>
      </w:r>
    </w:p>
    <w:p>
      <w:pPr>
        <w:spacing w:after="0" w:line="200" w:lineRule="exact"/>
        <w:rPr>
          <w:sz w:val="20"/>
          <w:szCs w:val="20"/>
          <w:color w:val="auto"/>
        </w:rPr>
      </w:pPr>
    </w:p>
    <w:p>
      <w:pPr>
        <w:sectPr>
          <w:pgSz w:w="11900" w:h="16838" w:orient="portrait"/>
          <w:cols w:equalWidth="0" w:num="2">
            <w:col w:w="4220" w:space="720"/>
            <w:col w:w="5279"/>
          </w:cols>
          <w:pgMar w:left="240" w:top="709" w:right="1440" w:bottom="0" w:gutter="0" w:footer="0" w:header="0"/>
          <w:type w:val="continuous"/>
        </w:sectPr>
      </w:pPr>
    </w:p>
    <w:p>
      <w:pPr>
        <w:spacing w:after="0" w:line="201"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Signatures</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Title Date - --</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 /s/</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CHARLES M.</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BERGER Chairman</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of the Board</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December 14,</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2001 -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Charles M.</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Berger /s/</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ARNOLD W.</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DONALD Director</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December 14,</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2001 -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Arnold W.</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Donald /s/</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JOSEPH P.</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FLANNERY</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Director</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December 14,</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2001 -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Joseph P.</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Flannery /s/</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JAMES HAGEDORN</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President/Chief</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Executive</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Officer/</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December 14,</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2001 -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Director</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(Principal</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Executive James</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Hagedorn</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Officer) /s/</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ALBERT E.</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HARRIS Director</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December 14,</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2001 -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Albert E.</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Harris /s/ JOHN</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KENLON Director</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December 14,</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2001 -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709" w:right="1440" w:bottom="0" w:gutter="0" w:footer="0" w:header="0"/>
          <w:type w:val="continuous"/>
        </w:sectPr>
      </w:pPr>
    </w:p>
    <w:bookmarkStart w:id="57" w:name="page58"/>
    <w:bookmarkEnd w:id="57"/>
    <w:p>
      <w:pPr>
        <w:ind w:left="60"/>
        <w:spacing w:after="0"/>
        <w:rPr>
          <w:sz w:val="20"/>
          <w:szCs w:val="20"/>
          <w:color w:val="auto"/>
        </w:rPr>
      </w:pPr>
      <w:r>
        <w:rPr>
          <w:rFonts w:ascii="Courier New" w:cs="Courier New" w:eastAsia="Courier New" w:hAnsi="Courier New"/>
          <w:sz w:val="17"/>
          <w:szCs w:val="17"/>
          <w:color w:val="auto"/>
        </w:rPr>
        <w:t>---------- John</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Kenlon /s/</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KATHERINE</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HAGEDORN</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LITTLEFIELD</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Director</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December 14,</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2001 -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Katherine</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Hagedorn</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Littlefield /s/</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KAREN G. MILLS</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Director</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December 14,</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2001 -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Karen G. Mills</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/s/ CHRISTOPHER</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L. NAGEL Senior</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Vice President</w:t>
      </w:r>
    </w:p>
    <w:p>
      <w:pPr>
        <w:spacing w:after="0" w:line="5" w:lineRule="exact"/>
        <w:rPr>
          <w:sz w:val="20"/>
          <w:szCs w:val="20"/>
          <w:color w:val="auto"/>
        </w:rPr>
      </w:pPr>
    </w:p>
    <w:p>
      <w:pPr>
        <w:ind w:left="200" w:right="8779" w:firstLine="109"/>
        <w:spacing w:after="0" w:line="246" w:lineRule="auto"/>
        <w:tabs>
          <w:tab w:leader="none" w:pos="612"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Finance December 14,</w:t>
      </w:r>
    </w:p>
    <w:p>
      <w:pPr>
        <w:spacing w:after="0" w:line="1"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2001 -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(Principal</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Accounting</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Officer)</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Christopher L.</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Nagel /s/</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PATRICK J.</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NORTON</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Executive Vice</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President/Chief</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December 14,</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2001 -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Financial</w:t>
      </w:r>
    </w:p>
    <w:p>
      <w:pPr>
        <w:spacing w:after="0" w:line="5"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7"/>
          <w:szCs w:val="17"/>
          <w:color w:val="auto"/>
        </w:rPr>
        <w:t>Officer/Director</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Patrick J.</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Norton /s/ JOHN</w:t>
      </w:r>
    </w:p>
    <w:p>
      <w:pPr>
        <w:spacing w:after="0" w:line="5" w:lineRule="exact"/>
        <w:rPr>
          <w:sz w:val="20"/>
          <w:szCs w:val="20"/>
          <w:color w:val="auto"/>
        </w:rPr>
      </w:pPr>
    </w:p>
    <w:p>
      <w:pPr>
        <w:ind w:left="420" w:right="8819" w:hanging="162"/>
        <w:spacing w:after="0" w:line="246" w:lineRule="auto"/>
        <w:tabs>
          <w:tab w:leader="none" w:pos="574"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SULLIVAN Director</w:t>
      </w:r>
    </w:p>
    <w:p>
      <w:pPr>
        <w:spacing w:after="0" w:line="1"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December 14,</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2001 -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John</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M. Sullivan /s/</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L. JACK VAN</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FOSSEN Director</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December 14,</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2001 -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 L.</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Jack Van Fossen</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/s/ JOHN</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WALKER, PH.D.</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Director</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December 14,</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2001 -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John</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Walker, Ph.D.</w:t>
      </w:r>
    </w:p>
    <w:p>
      <w:pPr>
        <w:spacing w:after="0" w:line="200" w:lineRule="exact"/>
        <w:rPr>
          <w:sz w:val="20"/>
          <w:szCs w:val="20"/>
          <w:color w:val="auto"/>
        </w:rPr>
      </w:pPr>
    </w:p>
    <w:p>
      <w:pPr>
        <w:spacing w:after="0" w:line="201"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39</w:t>
      </w:r>
    </w:p>
    <w:p>
      <w:pPr>
        <w:sectPr>
          <w:pgSz w:w="11900" w:h="16838" w:orient="portrait"/>
          <w:cols w:equalWidth="0" w:num="1">
            <w:col w:w="10219"/>
          </w:cols>
          <w:pgMar w:left="240" w:top="142" w:right="1440" w:bottom="695" w:gutter="0" w:footer="0" w:header="0"/>
        </w:sectPr>
      </w:pPr>
    </w:p>
    <w:bookmarkStart w:id="58" w:name="page59"/>
    <w:bookmarkEnd w:id="58"/>
    <w:p>
      <w:pPr>
        <w:ind w:left="1960"/>
        <w:spacing w:after="0"/>
        <w:rPr>
          <w:sz w:val="20"/>
          <w:szCs w:val="20"/>
          <w:color w:val="auto"/>
        </w:rPr>
      </w:pPr>
      <w:r>
        <w:rPr>
          <w:rFonts w:ascii="Courier New" w:cs="Courier New" w:eastAsia="Courier New" w:hAnsi="Courier New"/>
          <w:sz w:val="17"/>
          <w:szCs w:val="17"/>
          <w:color w:val="auto"/>
        </w:rPr>
        <w:t>INDEX TO CONSOLIDATED FINANCIAL STATEMENTS</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AND FINANCIAL STATEMENT SCHEDULES</w:t>
      </w:r>
    </w:p>
    <w:p>
      <w:pPr>
        <w:spacing w:after="0" w:line="203"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Page ---- Consolidated Financial Statements of The</w:t>
      </w:r>
    </w:p>
    <w:p>
      <w:pPr>
        <w:spacing w:after="0" w:line="5" w:lineRule="exact"/>
        <w:rPr>
          <w:sz w:val="20"/>
          <w:szCs w:val="20"/>
          <w:color w:val="auto"/>
        </w:rPr>
      </w:pPr>
    </w:p>
    <w:p>
      <w:pPr>
        <w:ind w:left="680"/>
        <w:spacing w:after="0"/>
        <w:rPr>
          <w:sz w:val="20"/>
          <w:szCs w:val="20"/>
          <w:color w:val="auto"/>
        </w:rPr>
      </w:pPr>
      <w:r>
        <w:rPr>
          <w:rFonts w:ascii="Courier New" w:cs="Courier New" w:eastAsia="Courier New" w:hAnsi="Courier New"/>
          <w:sz w:val="17"/>
          <w:szCs w:val="17"/>
          <w:color w:val="auto"/>
        </w:rPr>
        <w:t>Scotts Company and Subsidiaries: Report of</w:t>
      </w:r>
    </w:p>
    <w:p>
      <w:pPr>
        <w:spacing w:after="0" w:line="5" w:lineRule="exact"/>
        <w:rPr>
          <w:sz w:val="20"/>
          <w:szCs w:val="20"/>
          <w:color w:val="auto"/>
        </w:rPr>
      </w:pPr>
    </w:p>
    <w:tbl>
      <w:tblPr>
        <w:tblLayout w:type="fixed"/>
        <w:tblInd w:w="160" w:type="dxa"/>
        <w:tblCellMar>
          <w:top w:w="0" w:type="dxa"/>
          <w:left w:w="0" w:type="dxa"/>
          <w:bottom w:w="0" w:type="dxa"/>
          <w:right w:w="0" w:type="dxa"/>
        </w:tblCellMar>
      </w:tblPr>
      <w:tr>
        <w:trPr>
          <w:trHeight w:val="193"/>
        </w:trPr>
        <w:tc>
          <w:tcPr>
            <w:tcW w:w="38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7"/>
              </w:rPr>
              <w:t>Management......................................</w:t>
            </w:r>
          </w:p>
        </w:tc>
        <w:tc>
          <w:tcPr>
            <w:tcW w:w="1560" w:type="dxa"/>
            <w:vAlign w:val="bottom"/>
          </w:tcPr>
          <w:p>
            <w:pPr>
              <w:jc w:val="right"/>
              <w:spacing w:after="0"/>
              <w:rPr>
                <w:sz w:val="20"/>
                <w:szCs w:val="20"/>
                <w:color w:val="auto"/>
              </w:rPr>
            </w:pPr>
            <w:r>
              <w:rPr>
                <w:rFonts w:ascii="Courier New" w:cs="Courier New" w:eastAsia="Courier New" w:hAnsi="Courier New"/>
                <w:sz w:val="17"/>
                <w:szCs w:val="17"/>
                <w:color w:val="auto"/>
              </w:rPr>
              <w:t>41</w:t>
            </w:r>
          </w:p>
        </w:tc>
      </w:tr>
      <w:tr>
        <w:trPr>
          <w:trHeight w:val="198"/>
        </w:trPr>
        <w:tc>
          <w:tcPr>
            <w:tcW w:w="2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Report of</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w w:val="99"/>
              </w:rPr>
              <w:t>Independent</w:t>
            </w:r>
          </w:p>
        </w:tc>
        <w:tc>
          <w:tcPr>
            <w:tcW w:w="1560" w:type="dxa"/>
            <w:vAlign w:val="bottom"/>
          </w:tcPr>
          <w:p>
            <w:pPr>
              <w:spacing w:after="0"/>
              <w:rPr>
                <w:sz w:val="17"/>
                <w:szCs w:val="17"/>
                <w:color w:val="auto"/>
              </w:rPr>
            </w:pPr>
          </w:p>
        </w:tc>
      </w:tr>
      <w:tr>
        <w:trPr>
          <w:trHeight w:val="198"/>
        </w:trPr>
        <w:tc>
          <w:tcPr>
            <w:tcW w:w="380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Accountants.........................</w:t>
            </w:r>
          </w:p>
        </w:tc>
        <w:tc>
          <w:tcPr>
            <w:tcW w:w="1560" w:type="dxa"/>
            <w:vAlign w:val="bottom"/>
          </w:tcPr>
          <w:p>
            <w:pPr>
              <w:jc w:val="right"/>
              <w:spacing w:after="0"/>
              <w:rPr>
                <w:sz w:val="20"/>
                <w:szCs w:val="20"/>
                <w:color w:val="auto"/>
              </w:rPr>
            </w:pPr>
            <w:r>
              <w:rPr>
                <w:rFonts w:ascii="Courier New" w:cs="Courier New" w:eastAsia="Courier New" w:hAnsi="Courier New"/>
                <w:sz w:val="17"/>
                <w:szCs w:val="17"/>
                <w:color w:val="auto"/>
              </w:rPr>
              <w:t>42 Consolidated</w:t>
            </w:r>
          </w:p>
        </w:tc>
      </w:tr>
      <w:tr>
        <w:trPr>
          <w:trHeight w:val="198"/>
        </w:trPr>
        <w:tc>
          <w:tcPr>
            <w:tcW w:w="2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Statements of Operations</w:t>
            </w:r>
          </w:p>
        </w:tc>
        <w:tc>
          <w:tcPr>
            <w:tcW w:w="27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for the fiscal years ended</w:t>
            </w:r>
          </w:p>
        </w:tc>
      </w:tr>
      <w:tr>
        <w:trPr>
          <w:trHeight w:val="198"/>
        </w:trPr>
        <w:tc>
          <w:tcPr>
            <w:tcW w:w="38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5"/>
              </w:rPr>
              <w:t>September 30, 2001, 2000 and 1999................</w:t>
            </w:r>
          </w:p>
        </w:tc>
        <w:tc>
          <w:tcPr>
            <w:tcW w:w="1560" w:type="dxa"/>
            <w:vAlign w:val="bottom"/>
          </w:tcPr>
          <w:p>
            <w:pPr>
              <w:jc w:val="right"/>
              <w:spacing w:after="0"/>
              <w:rPr>
                <w:sz w:val="20"/>
                <w:szCs w:val="20"/>
                <w:color w:val="auto"/>
              </w:rPr>
            </w:pPr>
            <w:r>
              <w:rPr>
                <w:rFonts w:ascii="Courier New" w:cs="Courier New" w:eastAsia="Courier New" w:hAnsi="Courier New"/>
                <w:sz w:val="17"/>
                <w:szCs w:val="17"/>
                <w:color w:val="auto"/>
              </w:rPr>
              <w:t>43</w:t>
            </w:r>
          </w:p>
        </w:tc>
      </w:tr>
    </w:tbl>
    <w:p>
      <w:pPr>
        <w:spacing w:after="0" w:line="5"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Consolidated Statements of Cash Flows for the fiscal</w:t>
      </w:r>
    </w:p>
    <w:p>
      <w:pPr>
        <w:spacing w:after="0" w:line="5"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years ended September 30, 2001, 2000 and</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1999................ 44 Consolidated Balance Sheets at</w:t>
      </w:r>
    </w:p>
    <w:p>
      <w:pPr>
        <w:spacing w:after="0" w:line="5"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September 30, 2001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2000...................................................</w:t>
      </w:r>
    </w:p>
    <w:p>
      <w:pPr>
        <w:spacing w:after="0" w:line="5" w:lineRule="exact"/>
        <w:rPr>
          <w:sz w:val="20"/>
          <w:szCs w:val="20"/>
          <w:color w:val="auto"/>
        </w:rPr>
      </w:pPr>
    </w:p>
    <w:p>
      <w:pPr>
        <w:jc w:val="center"/>
        <w:ind w:right="4539"/>
        <w:spacing w:after="0" w:line="246" w:lineRule="auto"/>
        <w:rPr>
          <w:sz w:val="20"/>
          <w:szCs w:val="20"/>
          <w:color w:val="auto"/>
        </w:rPr>
      </w:pPr>
      <w:r>
        <w:rPr>
          <w:rFonts w:ascii="Courier New" w:cs="Courier New" w:eastAsia="Courier New" w:hAnsi="Courier New"/>
          <w:sz w:val="17"/>
          <w:szCs w:val="17"/>
          <w:color w:val="auto"/>
        </w:rPr>
        <w:t>45 Consolidated Statements of Changes in Shareholders' Equity and Comprehensive Income for the fiscal years ended September 30, 2001, 2000 and</w:t>
      </w:r>
    </w:p>
    <w:p>
      <w:pPr>
        <w:spacing w:after="0" w:line="2" w:lineRule="exact"/>
        <w:rPr>
          <w:sz w:val="20"/>
          <w:szCs w:val="20"/>
          <w:color w:val="auto"/>
        </w:rPr>
      </w:pPr>
    </w:p>
    <w:p>
      <w:pPr>
        <w:jc w:val="center"/>
        <w:ind w:right="4539"/>
        <w:spacing w:after="0" w:line="246" w:lineRule="auto"/>
        <w:rPr>
          <w:sz w:val="20"/>
          <w:szCs w:val="20"/>
          <w:color w:val="auto"/>
        </w:rPr>
      </w:pPr>
      <w:r>
        <w:rPr>
          <w:rFonts w:ascii="Courier New" w:cs="Courier New" w:eastAsia="Courier New" w:hAnsi="Courier New"/>
          <w:sz w:val="17"/>
          <w:szCs w:val="17"/>
          <w:color w:val="auto"/>
        </w:rPr>
        <w:t>1999...................... 46 Notes to Consolidated Financial Statements.................. 48 Schedules Supporting the Consolidated Financial Statements: Report of Independent Accountants on Financial</w:t>
      </w:r>
    </w:p>
    <w:p>
      <w:pPr>
        <w:spacing w:after="0" w:line="2"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Statement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Schedules..............................................</w:t>
      </w:r>
    </w:p>
    <w:p>
      <w:pPr>
        <w:spacing w:after="0" w:line="5"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84 Valuation and Qualifying Accounts for the fiscal</w:t>
      </w:r>
    </w:p>
    <w:p>
      <w:pPr>
        <w:spacing w:after="0" w:line="5"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years ended September 30, 2001, 2000 and</w:t>
      </w:r>
    </w:p>
    <w:p>
      <w:pPr>
        <w:spacing w:after="0" w:line="5" w:lineRule="exact"/>
        <w:rPr>
          <w:sz w:val="20"/>
          <w:szCs w:val="20"/>
          <w:color w:val="auto"/>
        </w:rPr>
      </w:pPr>
    </w:p>
    <w:p>
      <w:pPr>
        <w:ind w:left="1660"/>
        <w:spacing w:after="0"/>
        <w:rPr>
          <w:sz w:val="20"/>
          <w:szCs w:val="20"/>
          <w:color w:val="auto"/>
        </w:rPr>
      </w:pPr>
      <w:r>
        <w:rPr>
          <w:rFonts w:ascii="Courier New" w:cs="Courier New" w:eastAsia="Courier New" w:hAnsi="Courier New"/>
          <w:sz w:val="17"/>
          <w:szCs w:val="17"/>
          <w:color w:val="auto"/>
        </w:rPr>
        <w:t>1999................ 85</w:t>
      </w:r>
    </w:p>
    <w:p>
      <w:pPr>
        <w:spacing w:after="0" w:line="200" w:lineRule="exact"/>
        <w:rPr>
          <w:sz w:val="20"/>
          <w:szCs w:val="20"/>
          <w:color w:val="auto"/>
        </w:rPr>
      </w:pPr>
    </w:p>
    <w:p>
      <w:pPr>
        <w:spacing w:after="0" w:line="201" w:lineRule="exact"/>
        <w:rPr>
          <w:sz w:val="20"/>
          <w:szCs w:val="20"/>
          <w:color w:val="auto"/>
        </w:rPr>
      </w:pPr>
    </w:p>
    <w:p>
      <w:pPr>
        <w:jc w:val="both"/>
        <w:ind w:right="2499" w:firstLine="515"/>
        <w:spacing w:after="0" w:line="246" w:lineRule="auto"/>
        <w:rPr>
          <w:sz w:val="20"/>
          <w:szCs w:val="20"/>
          <w:color w:val="auto"/>
        </w:rPr>
      </w:pPr>
      <w:r>
        <w:rPr>
          <w:rFonts w:ascii="Courier New" w:cs="Courier New" w:eastAsia="Courier New" w:hAnsi="Courier New"/>
          <w:sz w:val="17"/>
          <w:szCs w:val="17"/>
          <w:color w:val="auto"/>
        </w:rPr>
        <w:t>Schedules other than those listed above are omitted since they are not required or are not applicable, or the required information is shown in the Consolidated Financial Statements or Notes thereto.</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40</w:t>
      </w:r>
    </w:p>
    <w:p>
      <w:pPr>
        <w:sectPr>
          <w:pgSz w:w="11900" w:h="16838" w:orient="portrait"/>
          <w:cols w:equalWidth="0" w:num="1">
            <w:col w:w="10219"/>
          </w:cols>
          <w:pgMar w:left="240" w:top="709" w:right="1440" w:bottom="1440" w:gutter="0" w:footer="0" w:header="0"/>
        </w:sectPr>
      </w:pPr>
    </w:p>
    <w:bookmarkStart w:id="59" w:name="page60"/>
    <w:bookmarkEnd w:id="59"/>
    <w:p>
      <w:pPr>
        <w:jc w:val="center"/>
        <w:ind w:right="1979"/>
        <w:spacing w:after="0"/>
        <w:rPr>
          <w:sz w:val="20"/>
          <w:szCs w:val="20"/>
          <w:color w:val="auto"/>
        </w:rPr>
      </w:pPr>
      <w:r>
        <w:rPr>
          <w:rFonts w:ascii="Courier New" w:cs="Courier New" w:eastAsia="Courier New" w:hAnsi="Courier New"/>
          <w:sz w:val="17"/>
          <w:szCs w:val="17"/>
          <w:color w:val="auto"/>
        </w:rPr>
        <w:t>REPORT OF MANAGEMENT</w:t>
      </w:r>
    </w:p>
    <w:p>
      <w:pPr>
        <w:spacing w:after="0" w:line="203" w:lineRule="exact"/>
        <w:rPr>
          <w:sz w:val="20"/>
          <w:szCs w:val="20"/>
          <w:color w:val="auto"/>
        </w:rPr>
      </w:pPr>
    </w:p>
    <w:p>
      <w:pPr>
        <w:ind w:right="2279" w:firstLine="515"/>
        <w:spacing w:after="0" w:line="246" w:lineRule="auto"/>
        <w:rPr>
          <w:sz w:val="20"/>
          <w:szCs w:val="20"/>
          <w:color w:val="auto"/>
        </w:rPr>
      </w:pPr>
      <w:r>
        <w:rPr>
          <w:rFonts w:ascii="Courier New" w:cs="Courier New" w:eastAsia="Courier New" w:hAnsi="Courier New"/>
          <w:sz w:val="17"/>
          <w:szCs w:val="17"/>
          <w:color w:val="auto"/>
        </w:rPr>
        <w:t>Management of The Scotts Company is responsible for the preparation, integrity and objectivity of the financial information presented in this Form 10-K. The accompanying financial statements have been prepared in conformity with accounting principles generally accepted in the United States of America and, accordingly, include some amounts that are based on management's best judgments and estimates.</w:t>
      </w:r>
    </w:p>
    <w:p>
      <w:pPr>
        <w:spacing w:after="0" w:line="202"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Management is responsible for maintaining a system of accounting and internal controls which it believes is adequate to provide reasonable assurance that assets are safeguarded against loss from unauthorized use or disposition and that the financial records are reliable for preparing financial statements. The selection and training of qualified personnel, the establishment and communication of accounting and administrative policies and procedures and a program of internal audits are important objectives of these control systems.</w:t>
      </w:r>
    </w:p>
    <w:p>
      <w:pPr>
        <w:spacing w:after="0" w:line="202"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The financial statements have been audited by PricewaterhouseCoopers LLP, independent accountants selected by the Board of Directors. The independent accountants conduct a review of internal accounting controls to the extent required by generally accepted auditing standards and perform such tests and related procedures as they deem necessary to arrive at an opinion on the fairness of the financial statements in accordance with generally accepted accounting principles.</w:t>
      </w:r>
    </w:p>
    <w:p>
      <w:pPr>
        <w:spacing w:after="0" w:line="202" w:lineRule="exact"/>
        <w:rPr>
          <w:sz w:val="20"/>
          <w:szCs w:val="20"/>
          <w:color w:val="auto"/>
        </w:rPr>
      </w:pPr>
    </w:p>
    <w:p>
      <w:pPr>
        <w:ind w:right="2279" w:firstLine="515"/>
        <w:spacing w:after="0" w:line="246" w:lineRule="auto"/>
        <w:rPr>
          <w:sz w:val="20"/>
          <w:szCs w:val="20"/>
          <w:color w:val="auto"/>
        </w:rPr>
      </w:pPr>
      <w:r>
        <w:rPr>
          <w:rFonts w:ascii="Courier New" w:cs="Courier New" w:eastAsia="Courier New" w:hAnsi="Courier New"/>
          <w:sz w:val="17"/>
          <w:szCs w:val="17"/>
          <w:color w:val="auto"/>
        </w:rPr>
        <w:t>The Board of Directors, through its Audit Committee consisting solely of non-management directors, meets periodically with management, internal audit personnel and the independent accountants to discuss internal accounting controls and auditing and financial reporting matters. The Audit Committee reviews with the independent accountants the scope and results of the audit effort. Both internal audit personnel and the independent accountants have access to the Audit Committee with or without the presence of management.</w:t>
      </w:r>
    </w:p>
    <w:p>
      <w:pPr>
        <w:spacing w:after="0" w:line="20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41</w:t>
      </w:r>
    </w:p>
    <w:p>
      <w:pPr>
        <w:sectPr>
          <w:pgSz w:w="11900" w:h="16838" w:orient="portrait"/>
          <w:cols w:equalWidth="0" w:num="1">
            <w:col w:w="10219"/>
          </w:cols>
          <w:pgMar w:left="240" w:top="709" w:right="1440" w:bottom="1440" w:gutter="0" w:footer="0" w:header="0"/>
        </w:sectPr>
      </w:pPr>
    </w:p>
    <w:bookmarkStart w:id="60" w:name="page61"/>
    <w:bookmarkEnd w:id="60"/>
    <w:p>
      <w:pPr>
        <w:ind w:left="2380"/>
        <w:spacing w:after="0"/>
        <w:rPr>
          <w:sz w:val="20"/>
          <w:szCs w:val="20"/>
          <w:color w:val="auto"/>
        </w:rPr>
      </w:pPr>
      <w:r>
        <w:rPr>
          <w:rFonts w:ascii="Courier New" w:cs="Courier New" w:eastAsia="Courier New" w:hAnsi="Courier New"/>
          <w:sz w:val="17"/>
          <w:szCs w:val="17"/>
          <w:color w:val="auto"/>
        </w:rPr>
        <w:t>REPORT OF INDEPENDENT ACCOUNTANTS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Board of Directors and Shareholders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Scotts Company:</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In our opinion, the accompanying consolidated balance sheets and the related consolidated statements of operations, shareholders' equity and comprehensive income and cash flows present fairly, in all material respects, the financial position of The Scotts Company at September 30, 2001, and September 30, 2000, and the results of its operations and its cash flows for each of the three years in the period ended September 30, 2001,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PRICEWATERHOUSECOOPERS LLP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Columbus, Ohio</w:t>
      </w:r>
    </w:p>
    <w:p>
      <w:pPr>
        <w:spacing w:after="0" w:line="203"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October 29, 2001, except for Note 22, as to which the date is December 12, 2001</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42</w:t>
      </w:r>
    </w:p>
    <w:p>
      <w:pPr>
        <w:sectPr>
          <w:pgSz w:w="11900" w:h="16838" w:orient="portrait"/>
          <w:cols w:equalWidth="0" w:num="1">
            <w:col w:w="10219"/>
          </w:cols>
          <w:pgMar w:left="240" w:top="709" w:right="1440" w:bottom="1440" w:gutter="0" w:footer="0" w:header="0"/>
        </w:sectPr>
      </w:pPr>
    </w:p>
    <w:bookmarkStart w:id="61" w:name="page62"/>
    <w:bookmarkEnd w:id="61"/>
    <w:p>
      <w:pPr>
        <w:ind w:left="3200"/>
        <w:spacing w:after="0"/>
        <w:rPr>
          <w:sz w:val="20"/>
          <w:szCs w:val="20"/>
          <w:color w:val="auto"/>
        </w:rPr>
      </w:pPr>
      <w:r>
        <w:rPr>
          <w:rFonts w:ascii="Courier New" w:cs="Courier New" w:eastAsia="Courier New" w:hAnsi="Courier New"/>
          <w:sz w:val="17"/>
          <w:szCs w:val="17"/>
          <w:color w:val="auto"/>
        </w:rPr>
        <w:t>THE SCOTTS COMPANY</w:t>
      </w:r>
    </w:p>
    <w:p>
      <w:pPr>
        <w:spacing w:after="0" w:line="5" w:lineRule="exact"/>
        <w:rPr>
          <w:sz w:val="20"/>
          <w:szCs w:val="20"/>
          <w:color w:val="auto"/>
        </w:rPr>
      </w:pPr>
    </w:p>
    <w:p>
      <w:pPr>
        <w:ind w:left="2160"/>
        <w:spacing w:after="0"/>
        <w:rPr>
          <w:sz w:val="20"/>
          <w:szCs w:val="20"/>
          <w:color w:val="auto"/>
        </w:rPr>
      </w:pPr>
      <w:r>
        <w:rPr>
          <w:rFonts w:ascii="Courier New" w:cs="Courier New" w:eastAsia="Courier New" w:hAnsi="Courier New"/>
          <w:sz w:val="17"/>
          <w:szCs w:val="17"/>
          <w:color w:val="auto"/>
        </w:rPr>
        <w:t>CONSOLIDATED STATEMENTS OF OPERATIONS</w:t>
      </w:r>
    </w:p>
    <w:p>
      <w:pPr>
        <w:spacing w:after="0" w:line="5" w:lineRule="exact"/>
        <w:rPr>
          <w:sz w:val="20"/>
          <w:szCs w:val="20"/>
          <w:color w:val="auto"/>
        </w:rPr>
      </w:pPr>
    </w:p>
    <w:p>
      <w:pPr>
        <w:jc w:val="right"/>
        <w:ind w:right="2999"/>
        <w:spacing w:after="0"/>
        <w:rPr>
          <w:sz w:val="20"/>
          <w:szCs w:val="20"/>
          <w:color w:val="auto"/>
        </w:rPr>
      </w:pPr>
      <w:r>
        <w:rPr>
          <w:rFonts w:ascii="Courier New" w:cs="Courier New" w:eastAsia="Courier New" w:hAnsi="Courier New"/>
          <w:sz w:val="17"/>
          <w:szCs w:val="17"/>
          <w:color w:val="auto"/>
        </w:rPr>
        <w:t>FOR THE FISCAL YEARS ENDED SEPTEMBER 30, 2001, 2000 AND 1999</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(IN MILLIONS, EXCEPT PER SHARE DATA)</w:t>
      </w:r>
    </w:p>
    <w:p>
      <w:pPr>
        <w:spacing w:after="0" w:line="203"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2001 2000</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1999 -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Net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sales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$1,747.7</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$1,709.0 $</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1,602.5 Cost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of sales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1,089.0</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1,050.5 987.3</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Restructuring</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and other</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charges 7.3 -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460" w:hanging="404"/>
        <w:spacing w:after="0"/>
        <w:tabs>
          <w:tab w:leader="none" w:pos="460"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jc w:val="both"/>
        <w:ind w:left="160" w:right="8879" w:hanging="52"/>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Gross profit 651.4 658.5</w:t>
      </w:r>
    </w:p>
    <w:p>
      <w:pPr>
        <w:spacing w:after="0" w:line="1" w:lineRule="exact"/>
        <w:rPr>
          <w:rFonts w:ascii="Courier New" w:cs="Courier New" w:eastAsia="Courier New" w:hAnsi="Courier New"/>
          <w:sz w:val="17"/>
          <w:szCs w:val="17"/>
          <w:color w:val="auto"/>
        </w:rPr>
      </w:pPr>
    </w:p>
    <w:p>
      <w:pPr>
        <w:jc w:val="center"/>
        <w:ind w:left="100" w:right="8879" w:firstLine="52"/>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615.2 Gross commission earned from marketing agreement 39.1 39.2 30.3 Contribution expenses under marketing agreement 18.3 9.9 1.6</w:t>
      </w:r>
    </w:p>
    <w:p>
      <w:pPr>
        <w:spacing w:after="0" w:line="7"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80" w:hanging="212"/>
        <w:spacing w:after="0"/>
        <w:tabs>
          <w:tab w:leader="none" w:pos="680" w:val="left"/>
        </w:tabs>
        <w:numPr>
          <w:ilvl w:val="1"/>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Net</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commission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earned from</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marketing</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20.8 29.3</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28.7</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Operating</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expenses: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Advertising</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and promotion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151.0 153.8</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143.2</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Selling,</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general and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administrative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317.2 302.7</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281.2</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Restructuring</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and other</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charges 68.4</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1.4</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Amortization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of goodwill</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and other</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intangibles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27.7 27.1</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25.6 Other</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income, net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(8.5) (6.0)</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(3.6)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 --</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Income from</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operations</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116.4 210.2</w:t>
      </w:r>
    </w:p>
    <w:p>
      <w:pPr>
        <w:sectPr>
          <w:pgSz w:w="11900" w:h="16838" w:orient="portrait"/>
          <w:cols w:equalWidth="0" w:num="1">
            <w:col w:w="10219"/>
          </w:cols>
          <w:pgMar w:left="240" w:top="709" w:right="1440" w:bottom="0" w:gutter="0" w:footer="0" w:header="0"/>
        </w:sectPr>
      </w:pPr>
    </w:p>
    <w:bookmarkStart w:id="62" w:name="page63"/>
    <w:bookmarkEnd w:id="62"/>
    <w:p>
      <w:pPr>
        <w:jc w:val="center"/>
        <w:ind w:right="8779"/>
        <w:spacing w:after="0"/>
        <w:rPr>
          <w:sz w:val="20"/>
          <w:szCs w:val="20"/>
          <w:color w:val="auto"/>
        </w:rPr>
      </w:pPr>
      <w:r>
        <w:rPr>
          <w:rFonts w:ascii="Courier New" w:cs="Courier New" w:eastAsia="Courier New" w:hAnsi="Courier New"/>
          <w:sz w:val="17"/>
          <w:szCs w:val="17"/>
          <w:color w:val="auto"/>
        </w:rPr>
        <w:t>196.1</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Interest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expense 87.7</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93.9 79.1 ---</w:t>
      </w:r>
    </w:p>
    <w:p>
      <w:pPr>
        <w:spacing w:after="0" w:line="5" w:lineRule="exact"/>
        <w:rPr>
          <w:sz w:val="20"/>
          <w:szCs w:val="20"/>
          <w:color w:val="auto"/>
        </w:rPr>
      </w:pPr>
    </w:p>
    <w:p>
      <w:pPr>
        <w:ind w:left="680" w:hanging="624"/>
        <w:spacing w:after="0"/>
        <w:tabs>
          <w:tab w:leader="none" w:pos="680"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Income before</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income taxes</w:t>
      </w:r>
    </w:p>
    <w:p>
      <w:pPr>
        <w:spacing w:after="0" w:line="5"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28.7</w:t>
            </w:r>
          </w:p>
        </w:tc>
        <w:tc>
          <w:tcPr>
            <w:tcW w:w="660" w:type="dxa"/>
            <w:vAlign w:val="bottom"/>
          </w:tcPr>
          <w:p>
            <w:pPr>
              <w:ind w:left="40"/>
              <w:spacing w:after="0"/>
              <w:rPr>
                <w:sz w:val="20"/>
                <w:szCs w:val="20"/>
                <w:color w:val="auto"/>
              </w:rPr>
            </w:pPr>
            <w:r>
              <w:rPr>
                <w:rFonts w:ascii="Courier New" w:cs="Courier New" w:eastAsia="Courier New" w:hAnsi="Courier New"/>
                <w:sz w:val="17"/>
                <w:szCs w:val="17"/>
                <w:color w:val="auto"/>
              </w:rPr>
              <w:t>116.3</w:t>
            </w:r>
          </w:p>
        </w:tc>
      </w:tr>
      <w:tr>
        <w:trPr>
          <w:trHeight w:val="198"/>
        </w:trPr>
        <w:tc>
          <w:tcPr>
            <w:tcW w:w="580" w:type="dxa"/>
            <w:vAlign w:val="bottom"/>
          </w:tcPr>
          <w:p>
            <w:pPr>
              <w:jc w:val="right"/>
              <w:spacing w:after="0"/>
              <w:rPr>
                <w:sz w:val="20"/>
                <w:szCs w:val="20"/>
                <w:color w:val="auto"/>
              </w:rPr>
            </w:pPr>
            <w:r>
              <w:rPr>
                <w:rFonts w:ascii="Courier New" w:cs="Courier New" w:eastAsia="Courier New" w:hAnsi="Courier New"/>
                <w:sz w:val="17"/>
                <w:szCs w:val="17"/>
                <w:color w:val="auto"/>
                <w:w w:val="97"/>
              </w:rPr>
              <w:t>117.0</w:t>
            </w:r>
          </w:p>
        </w:tc>
        <w:tc>
          <w:tcPr>
            <w:tcW w:w="660" w:type="dxa"/>
            <w:vAlign w:val="bottom"/>
          </w:tcPr>
          <w:p>
            <w:pPr>
              <w:ind w:left="40"/>
              <w:spacing w:after="0"/>
              <w:rPr>
                <w:sz w:val="20"/>
                <w:szCs w:val="20"/>
                <w:color w:val="auto"/>
              </w:rPr>
            </w:pPr>
            <w:r>
              <w:rPr>
                <w:rFonts w:ascii="Courier New" w:cs="Courier New" w:eastAsia="Courier New" w:hAnsi="Courier New"/>
                <w:sz w:val="17"/>
                <w:szCs w:val="17"/>
                <w:color w:val="auto"/>
                <w:w w:val="97"/>
              </w:rPr>
              <w:t>Income</w:t>
            </w:r>
          </w:p>
        </w:tc>
      </w:tr>
    </w:tbl>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taxes 13.2</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43.2 47.9 ---</w:t>
      </w:r>
    </w:p>
    <w:p>
      <w:pPr>
        <w:spacing w:after="0" w:line="5" w:lineRule="exact"/>
        <w:rPr>
          <w:sz w:val="20"/>
          <w:szCs w:val="20"/>
          <w:color w:val="auto"/>
        </w:rPr>
      </w:pPr>
    </w:p>
    <w:p>
      <w:pPr>
        <w:ind w:left="680" w:hanging="624"/>
        <w:spacing w:after="0"/>
        <w:tabs>
          <w:tab w:leader="none" w:pos="680"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Income before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extraordinary</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item 15.5</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73.1 69.1</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Extraordinary</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loss on early</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extinguishment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of debt, net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of income tax</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benefit 5.9 -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460" w:hanging="404"/>
        <w:spacing w:after="0"/>
        <w:tabs>
          <w:tab w:leader="none" w:pos="460"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Net income</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15.5 73.1</w:t>
      </w:r>
    </w:p>
    <w:p>
      <w:pPr>
        <w:spacing w:after="0" w:line="5" w:lineRule="exact"/>
        <w:rPr>
          <w:rFonts w:ascii="Courier New" w:cs="Courier New" w:eastAsia="Courier New" w:hAnsi="Courier New"/>
          <w:sz w:val="17"/>
          <w:szCs w:val="17"/>
          <w:color w:val="auto"/>
        </w:rPr>
      </w:pP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63.2</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Dividends on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Class A</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Convertible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Preferred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Stock 6.4 9.7</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580" w:hanging="524"/>
        <w:spacing w:after="0"/>
        <w:tabs>
          <w:tab w:leader="none" w:pos="580"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Income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applicable to</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common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shareholders</w:t>
      </w:r>
    </w:p>
    <w:p>
      <w:pPr>
        <w:spacing w:after="0" w:line="5" w:lineRule="exact"/>
        <w:rPr>
          <w:sz w:val="20"/>
          <w:szCs w:val="20"/>
          <w:color w:val="auto"/>
        </w:rPr>
      </w:pPr>
    </w:p>
    <w:p>
      <w:pPr>
        <w:ind w:left="420" w:right="8819" w:hanging="364"/>
        <w:spacing w:after="0" w:line="246" w:lineRule="auto"/>
        <w:tabs>
          <w:tab w:leader="none" w:pos="266"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15.5 $ 66.7 $ 53.5</w:t>
      </w:r>
    </w:p>
    <w:p>
      <w:pPr>
        <w:spacing w:after="0" w:line="1"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Basic</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earnings per</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share: Before</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extraordinary</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loss $ 0.55 $</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2.39 $ 3.25</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Extraordinary</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loss, net of</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tax (0.32)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420" w:hanging="313"/>
        <w:spacing w:after="0"/>
        <w:tabs>
          <w:tab w:leader="none" w:pos="420"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$ 0.55 $ 2.39</w:t>
      </w:r>
    </w:p>
    <w:p>
      <w:pPr>
        <w:spacing w:after="0" w:line="5"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$ 2.93</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Diluted</w:t>
      </w:r>
    </w:p>
    <w:p>
      <w:pPr>
        <w:spacing w:after="0" w:line="5" w:lineRule="exact"/>
        <w:rPr>
          <w:rFonts w:ascii="Courier New" w:cs="Courier New" w:eastAsia="Courier New" w:hAnsi="Courier New"/>
          <w:sz w:val="17"/>
          <w:szCs w:val="17"/>
          <w:color w:val="auto"/>
        </w:rPr>
      </w:pPr>
    </w:p>
    <w:p>
      <w:pPr>
        <w:jc w:val="center"/>
        <w:ind w:left="60" w:right="8819" w:firstLine="51"/>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earnings per share: Before extraordinary loss $ 0.51 $ 2.25 $ 2.27 Extraordinary loss, net of tax (0.19) --</w:t>
      </w:r>
    </w:p>
    <w:p>
      <w:pPr>
        <w:spacing w:after="0" w:line="4"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420" w:hanging="313"/>
        <w:spacing w:after="0"/>
        <w:tabs>
          <w:tab w:leader="none" w:pos="420"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$ 0.51 $ 2.25</w:t>
      </w:r>
    </w:p>
    <w:p>
      <w:pPr>
        <w:spacing w:after="0" w:line="5"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$ 2.08</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jc w:val="center"/>
        <w:ind w:left="60" w:right="881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Common shares used in basic earnings per share calculation 28.4 27.9</w:t>
      </w:r>
    </w:p>
    <w:p>
      <w:pPr>
        <w:sectPr>
          <w:pgSz w:w="11900" w:h="16838" w:orient="portrait"/>
          <w:cols w:equalWidth="0" w:num="1">
            <w:col w:w="10219"/>
          </w:cols>
          <w:pgMar w:left="240" w:top="142" w:right="1440" w:bottom="0" w:gutter="0" w:footer="0" w:header="0"/>
        </w:sectPr>
      </w:pPr>
    </w:p>
    <w:bookmarkStart w:id="63" w:name="page64"/>
    <w:bookmarkEnd w:id="63"/>
    <w:p>
      <w:pPr>
        <w:jc w:val="center"/>
        <w:ind w:right="8779"/>
        <w:spacing w:after="0"/>
        <w:rPr>
          <w:sz w:val="20"/>
          <w:szCs w:val="20"/>
          <w:color w:val="auto"/>
        </w:rPr>
      </w:pPr>
      <w:r>
        <w:rPr>
          <w:rFonts w:ascii="Courier New" w:cs="Courier New" w:eastAsia="Courier New" w:hAnsi="Courier New"/>
          <w:sz w:val="17"/>
          <w:szCs w:val="17"/>
          <w:color w:val="auto"/>
        </w:rPr>
        <w:t>18.3 Common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shares and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potential</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common shares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used in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diluted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earnings per</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share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calculation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30.4 29.6</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30.5</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Notes to Consolidated Financial Statements.</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43</w:t>
      </w:r>
    </w:p>
    <w:p>
      <w:pPr>
        <w:sectPr>
          <w:pgSz w:w="11900" w:h="16838" w:orient="portrait"/>
          <w:cols w:equalWidth="0" w:num="1">
            <w:col w:w="10219"/>
          </w:cols>
          <w:pgMar w:left="240" w:top="142" w:right="1440" w:bottom="1440" w:gutter="0" w:footer="0" w:header="0"/>
        </w:sectPr>
      </w:pPr>
    </w:p>
    <w:bookmarkStart w:id="64" w:name="page65"/>
    <w:bookmarkEnd w:id="64"/>
    <w:p>
      <w:pPr>
        <w:ind w:left="3140"/>
        <w:spacing w:after="0"/>
        <w:rPr>
          <w:sz w:val="20"/>
          <w:szCs w:val="20"/>
          <w:color w:val="auto"/>
        </w:rPr>
      </w:pPr>
      <w:r>
        <w:rPr>
          <w:rFonts w:ascii="Courier New" w:cs="Courier New" w:eastAsia="Courier New" w:hAnsi="Courier New"/>
          <w:sz w:val="17"/>
          <w:szCs w:val="17"/>
          <w:color w:val="auto"/>
        </w:rPr>
        <w:t>THE SCOTTS COMPANY</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CONSOLIDATED STATEMENTS OF CASH FLOWS</w:t>
      </w:r>
    </w:p>
    <w:p>
      <w:pPr>
        <w:spacing w:after="0" w:line="5" w:lineRule="exact"/>
        <w:rPr>
          <w:sz w:val="20"/>
          <w:szCs w:val="20"/>
          <w:color w:val="auto"/>
        </w:rPr>
      </w:pPr>
    </w:p>
    <w:p>
      <w:pPr>
        <w:jc w:val="right"/>
        <w:ind w:right="2999"/>
        <w:spacing w:after="0"/>
        <w:rPr>
          <w:sz w:val="20"/>
          <w:szCs w:val="20"/>
          <w:color w:val="auto"/>
        </w:rPr>
      </w:pPr>
      <w:r>
        <w:rPr>
          <w:rFonts w:ascii="Courier New" w:cs="Courier New" w:eastAsia="Courier New" w:hAnsi="Courier New"/>
          <w:sz w:val="17"/>
          <w:szCs w:val="17"/>
          <w:color w:val="auto"/>
        </w:rPr>
        <w:t>FOR THE FISCAL YEARS ENDED SEPTEMBER 30, 2001, 2000 AND 1999</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(IN MILLIONS)</w:t>
      </w:r>
    </w:p>
    <w:p>
      <w:pPr>
        <w:spacing w:after="0" w:line="203"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2001 2000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1999 -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CASH FLOWS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FROM</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OPERATING</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ACTIVITIES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Net income $</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15.5 $ 73.1 $</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63.2</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Adjustments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to reconcile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net income to</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net cash</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provided by</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operating</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activities: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Depreciation</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32.6 29.0</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29.0</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Amortization</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31.0 32.0</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27.2 Deferred</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taxes (19.9)</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7.5 0.5</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Extraordinary</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loss 5.9</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Restructuring</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and other</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charges 27.7</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Loss on sale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of property</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4.4 1.8 Gain</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on sale of</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business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(4.6) Changes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in assets and</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liabilities,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net of</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acquired</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businesses: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Accounts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receivable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(14.2) 6.4</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23.7</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Inventories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(68.5) 5.8</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(21.6)</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Prepaid and</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other current</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assets 31.4</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(9.2) (25.2)</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Accounts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payable (2.8)</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19.4 10.7</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Accrued taxes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and</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liabilities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(22.7) 22.5</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(10.7)</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Restructuring</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reserves 37.3</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Other assets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6.1 (4.7)</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(35.9) Other</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liabilities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7.6 (6.4) 2.2</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Other, net</w:t>
      </w:r>
    </w:p>
    <w:p>
      <w:pPr>
        <w:sectPr>
          <w:pgSz w:w="11900" w:h="16838" w:orient="portrait"/>
          <w:cols w:equalWidth="0" w:num="1">
            <w:col w:w="10159"/>
          </w:cols>
          <w:pgMar w:left="300" w:top="709" w:right="1440" w:bottom="0" w:gutter="0" w:footer="0" w:header="0"/>
        </w:sectPr>
      </w:pPr>
    </w:p>
    <w:bookmarkStart w:id="65" w:name="page66"/>
    <w:bookmarkEnd w:id="65"/>
    <w:p>
      <w:pPr>
        <w:ind w:left="60"/>
        <w:spacing w:after="0"/>
        <w:rPr>
          <w:sz w:val="20"/>
          <w:szCs w:val="20"/>
          <w:color w:val="auto"/>
        </w:rPr>
      </w:pPr>
      <w:r>
        <w:rPr>
          <w:rFonts w:ascii="Courier New" w:cs="Courier New" w:eastAsia="Courier New" w:hAnsi="Courier New"/>
          <w:sz w:val="17"/>
          <w:szCs w:val="17"/>
          <w:color w:val="auto"/>
        </w:rPr>
        <w:t>4.6 (3.7) 7.4</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 Net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cash provided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by operating</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activities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65.7 171.5</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78.2 ------ -</w:t>
      </w:r>
    </w:p>
    <w:p>
      <w:pPr>
        <w:spacing w:after="0" w:line="5" w:lineRule="exact"/>
        <w:rPr>
          <w:sz w:val="20"/>
          <w:szCs w:val="20"/>
          <w:color w:val="auto"/>
        </w:rPr>
      </w:pPr>
    </w:p>
    <w:p>
      <w:pPr>
        <w:ind w:left="680" w:hanging="624"/>
        <w:spacing w:after="0"/>
        <w:tabs>
          <w:tab w:leader="none" w:pos="68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CASH FLOWS</w:t>
      </w:r>
    </w:p>
    <w:p>
      <w:pPr>
        <w:spacing w:after="0" w:line="5" w:lineRule="exact"/>
        <w:rPr>
          <w:rFonts w:ascii="Courier New" w:cs="Courier New" w:eastAsia="Courier New" w:hAnsi="Courier New"/>
          <w:sz w:val="17"/>
          <w:szCs w:val="17"/>
          <w:color w:val="auto"/>
        </w:rPr>
      </w:pP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FROM</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INVESTING</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ACTIVITIES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Investment in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property,</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plant and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equipment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(63.4) (72.5)</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(66.7)</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Proceeds from</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sale of</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equipment 1.8</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1.5</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Investments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in acquired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businesses,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net of cash</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acquired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(26.5) (18.3)</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(506.2)</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Payments on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sellers notes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(11.1) (1.0)</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Other, net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0.5 (0.2) ---</w:t>
      </w:r>
    </w:p>
    <w:p>
      <w:pPr>
        <w:spacing w:after="0" w:line="5" w:lineRule="exact"/>
        <w:rPr>
          <w:sz w:val="20"/>
          <w:szCs w:val="20"/>
          <w:color w:val="auto"/>
        </w:rPr>
      </w:pPr>
    </w:p>
    <w:p>
      <w:pPr>
        <w:ind w:left="460" w:hanging="404"/>
        <w:spacing w:after="0"/>
        <w:tabs>
          <w:tab w:leader="none" w:pos="460" w:val="left"/>
        </w:tabs>
        <w:numPr>
          <w:ilvl w:val="0"/>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880" w:hanging="618"/>
        <w:spacing w:after="0"/>
        <w:tabs>
          <w:tab w:leader="none" w:pos="880" w:val="left"/>
        </w:tabs>
        <w:numPr>
          <w:ilvl w:val="1"/>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Net</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cash used in</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investing</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activities</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(101.0)</w:t>
      </w:r>
    </w:p>
    <w:p>
      <w:pPr>
        <w:spacing w:after="0" w:line="5"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(89.5)</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(571.6)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CASH</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FLOWS FROM</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FINANCING</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ACTIVITIES</w:t>
      </w:r>
    </w:p>
    <w:p>
      <w:pPr>
        <w:spacing w:after="0" w:line="5" w:lineRule="exact"/>
        <w:rPr>
          <w:rFonts w:ascii="Courier New" w:cs="Courier New" w:eastAsia="Courier New" w:hAnsi="Courier New"/>
          <w:sz w:val="17"/>
          <w:szCs w:val="17"/>
          <w:color w:val="auto"/>
        </w:rPr>
      </w:pPr>
    </w:p>
    <w:p>
      <w:pPr>
        <w:ind w:left="5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Net</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borrowings</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(repayments)</w:t>
      </w:r>
    </w:p>
    <w:p>
      <w:pPr>
        <w:spacing w:after="0" w:line="5" w:lineRule="exact"/>
        <w:rPr>
          <w:rFonts w:ascii="Courier New" w:cs="Courier New" w:eastAsia="Courier New" w:hAnsi="Courier New"/>
          <w:sz w:val="17"/>
          <w:szCs w:val="17"/>
          <w:color w:val="auto"/>
        </w:rPr>
      </w:pPr>
    </w:p>
    <w:p>
      <w:pPr>
        <w:ind w:left="4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under</w:t>
      </w:r>
    </w:p>
    <w:p>
      <w:pPr>
        <w:spacing w:after="0" w:line="5" w:lineRule="exact"/>
        <w:rPr>
          <w:rFonts w:ascii="Courier New" w:cs="Courier New" w:eastAsia="Courier New" w:hAnsi="Courier New"/>
          <w:sz w:val="17"/>
          <w:szCs w:val="17"/>
          <w:color w:val="auto"/>
        </w:rPr>
      </w:pPr>
    </w:p>
    <w:p>
      <w:pPr>
        <w:jc w:val="center"/>
        <w:ind w:right="8779" w:firstLine="50"/>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revolving and bank lines of credit 61.7 (26.0) 65.3 Gross borrowings under term loans 260.0 525.0 Gross repayments under term loans (315.7) (23.7) (3.0) Repayment of outstanding balance on previous credit facility (241.0) Issuance of 8 5/8% Senior Subordinated Notes 330.0 Extinguishment of 9 7/8% Senior Subordinated Notes (107.1) Settlement of interest rate</w:t>
      </w:r>
    </w:p>
    <w:p>
      <w:pPr>
        <w:sectPr>
          <w:pgSz w:w="11900" w:h="16838" w:orient="portrait"/>
          <w:cols w:equalWidth="0" w:num="1">
            <w:col w:w="10219"/>
          </w:cols>
          <w:pgMar w:left="240" w:top="142" w:right="1440" w:bottom="0" w:gutter="0" w:footer="0" w:header="0"/>
        </w:sectPr>
      </w:pPr>
    </w:p>
    <w:bookmarkStart w:id="66" w:name="page67"/>
    <w:bookmarkEnd w:id="66"/>
    <w:p>
      <w:pPr>
        <w:ind w:left="100"/>
        <w:spacing w:after="0"/>
        <w:rPr>
          <w:sz w:val="20"/>
          <w:szCs w:val="20"/>
          <w:color w:val="auto"/>
        </w:rPr>
      </w:pPr>
      <w:r>
        <w:rPr>
          <w:rFonts w:ascii="Courier New" w:cs="Courier New" w:eastAsia="Courier New" w:hAnsi="Courier New"/>
          <w:sz w:val="17"/>
          <w:szCs w:val="17"/>
          <w:color w:val="auto"/>
        </w:rPr>
        <w:t>locks (12.9)</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Financing and</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issuance fees</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(1.6) (1.0)</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(24.1)</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Dividends on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Class A</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Convertible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Preferred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Stock (6.4)</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(12.1)</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Repurchase of</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treasury</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shares (23.9)</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(10.0) Cash</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received from</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exercise of</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stock options</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17.0 2.8 3.8</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 Net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cash provided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by (used in)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financing</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activities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21.4 (78.2)</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513.9 Effect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of exchange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rate changes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on cash (0.4)</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(1.1) (0.8) -</w:t>
      </w:r>
    </w:p>
    <w:p>
      <w:pPr>
        <w:spacing w:after="0" w:line="5" w:lineRule="exact"/>
        <w:rPr>
          <w:sz w:val="20"/>
          <w:szCs w:val="20"/>
          <w:color w:val="auto"/>
        </w:rPr>
      </w:pPr>
    </w:p>
    <w:p>
      <w:pPr>
        <w:ind w:left="720" w:hanging="613"/>
        <w:spacing w:after="0"/>
        <w:tabs>
          <w:tab w:leader="none" w:pos="720"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jc w:val="both"/>
        <w:ind w:left="160" w:right="891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Net (decrease) increase in cash (14.3)</w:t>
      </w:r>
    </w:p>
    <w:p>
      <w:pPr>
        <w:spacing w:after="0" w:line="2"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2.7 19.7 Cash</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and cash</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equivalents,</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beginning of</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period 33.0</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30.3 10.6 ---</w:t>
      </w:r>
    </w:p>
    <w:p>
      <w:pPr>
        <w:spacing w:after="0" w:line="5" w:lineRule="exact"/>
        <w:rPr>
          <w:sz w:val="20"/>
          <w:szCs w:val="20"/>
          <w:color w:val="auto"/>
        </w:rPr>
      </w:pPr>
    </w:p>
    <w:p>
      <w:pPr>
        <w:ind w:left="460" w:hanging="404"/>
        <w:spacing w:after="0"/>
        <w:tabs>
          <w:tab w:leader="none" w:pos="460"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820" w:hanging="610"/>
        <w:spacing w:after="0"/>
        <w:tabs>
          <w:tab w:leader="none" w:pos="820" w:val="left"/>
        </w:tabs>
        <w:numPr>
          <w:ilvl w:val="1"/>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Cash</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and cash</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equivalents,</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end of period</w:t>
      </w:r>
    </w:p>
    <w:p>
      <w:pPr>
        <w:spacing w:after="0" w:line="5" w:lineRule="exact"/>
        <w:rPr>
          <w:sz w:val="20"/>
          <w:szCs w:val="20"/>
          <w:color w:val="auto"/>
        </w:rPr>
      </w:pPr>
    </w:p>
    <w:p>
      <w:pPr>
        <w:ind w:left="260" w:hanging="204"/>
        <w:spacing w:after="0"/>
        <w:tabs>
          <w:tab w:leader="none" w:pos="260"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18.7 $ 33.0</w:t>
      </w:r>
    </w:p>
    <w:p>
      <w:pPr>
        <w:spacing w:after="0" w:line="5" w:lineRule="exact"/>
        <w:rPr>
          <w:rFonts w:ascii="Courier New" w:cs="Courier New" w:eastAsia="Courier New" w:hAnsi="Courier New"/>
          <w:sz w:val="17"/>
          <w:szCs w:val="17"/>
          <w:color w:val="auto"/>
        </w:rPr>
      </w:pPr>
    </w:p>
    <w:p>
      <w:pPr>
        <w:ind w:left="260" w:hanging="204"/>
        <w:spacing w:after="0"/>
        <w:tabs>
          <w:tab w:leader="none" w:pos="260"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30.3 ======</w:t>
      </w:r>
    </w:p>
    <w:p>
      <w:pPr>
        <w:spacing w:after="0" w:line="5"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Notes to Consolidated Financial Statements.</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44</w:t>
      </w:r>
    </w:p>
    <w:p>
      <w:pPr>
        <w:sectPr>
          <w:pgSz w:w="11900" w:h="16838" w:orient="portrait"/>
          <w:cols w:equalWidth="0" w:num="1">
            <w:col w:w="10219"/>
          </w:cols>
          <w:pgMar w:left="240" w:top="142" w:right="1440" w:bottom="1440" w:gutter="0" w:footer="0" w:header="0"/>
        </w:sectPr>
      </w:pPr>
    </w:p>
    <w:bookmarkStart w:id="67" w:name="page68"/>
    <w:bookmarkEnd w:id="67"/>
    <w:p>
      <w:pPr>
        <w:ind w:left="3200"/>
        <w:spacing w:after="0"/>
        <w:rPr>
          <w:sz w:val="20"/>
          <w:szCs w:val="20"/>
          <w:color w:val="auto"/>
        </w:rPr>
      </w:pPr>
      <w:r>
        <w:rPr>
          <w:rFonts w:ascii="Courier New" w:cs="Courier New" w:eastAsia="Courier New" w:hAnsi="Courier New"/>
          <w:sz w:val="17"/>
          <w:szCs w:val="17"/>
          <w:color w:val="auto"/>
        </w:rPr>
        <w:t>THE SCOTTS COMPANY</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CONSOLIDATED BALANCE SHEETS</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SEPTEMBER 30, 2001 AND 2000</w:t>
      </w:r>
    </w:p>
    <w:p>
      <w:pPr>
        <w:spacing w:after="0" w:line="5" w:lineRule="exact"/>
        <w:rPr>
          <w:sz w:val="20"/>
          <w:szCs w:val="20"/>
          <w:color w:val="auto"/>
        </w:rPr>
      </w:pPr>
    </w:p>
    <w:p>
      <w:pPr>
        <w:jc w:val="right"/>
        <w:ind w:right="4339"/>
        <w:spacing w:after="0"/>
        <w:rPr>
          <w:sz w:val="20"/>
          <w:szCs w:val="20"/>
          <w:color w:val="auto"/>
        </w:rPr>
      </w:pPr>
      <w:r>
        <w:rPr>
          <w:rFonts w:ascii="Courier New" w:cs="Courier New" w:eastAsia="Courier New" w:hAnsi="Courier New"/>
          <w:sz w:val="17"/>
          <w:szCs w:val="17"/>
          <w:color w:val="auto"/>
        </w:rPr>
        <w:t>(IN MILLIONS EXCEPT PER SHARE DATA)</w:t>
      </w:r>
    </w:p>
    <w:p>
      <w:pPr>
        <w:spacing w:after="0" w:line="203"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2001 2000 -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ASSETS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Current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assets: Cash</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and cash</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equivalents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$ 18.7 $</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33.0</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Accounts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receivable,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less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allowance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for</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uncollectible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accounts of</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$23.9 in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2001 and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$11.7 in</w:t>
      </w:r>
    </w:p>
    <w:p>
      <w:pPr>
        <w:spacing w:after="0" w:line="5" w:lineRule="exact"/>
        <w:rPr>
          <w:sz w:val="20"/>
          <w:szCs w:val="20"/>
          <w:color w:val="auto"/>
        </w:rPr>
      </w:pPr>
    </w:p>
    <w:tbl>
      <w:tblPr>
        <w:tblLayout w:type="fixed"/>
        <w:tblInd w:w="160" w:type="dxa"/>
        <w:tblCellMar>
          <w:top w:w="0" w:type="dxa"/>
          <w:left w:w="0" w:type="dxa"/>
          <w:bottom w:w="0" w:type="dxa"/>
          <w:right w:w="0" w:type="dxa"/>
        </w:tblCellMar>
      </w:tblPr>
      <w:tr>
        <w:trPr>
          <w:trHeight w:val="193"/>
        </w:trPr>
        <w:tc>
          <w:tcPr>
            <w:tcW w:w="460" w:type="dxa"/>
            <w:vAlign w:val="bottom"/>
          </w:tcPr>
          <w:p>
            <w:pPr>
              <w:jc w:val="right"/>
              <w:spacing w:after="0"/>
              <w:rPr>
                <w:sz w:val="20"/>
                <w:szCs w:val="20"/>
                <w:color w:val="auto"/>
              </w:rPr>
            </w:pPr>
            <w:r>
              <w:rPr>
                <w:rFonts w:ascii="Courier New" w:cs="Courier New" w:eastAsia="Courier New" w:hAnsi="Courier New"/>
                <w:sz w:val="17"/>
                <w:szCs w:val="17"/>
                <w:color w:val="auto"/>
                <w:w w:val="93"/>
              </w:rPr>
              <w:t>2000</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220.8</w:t>
            </w:r>
          </w:p>
        </w:tc>
      </w:tr>
      <w:tr>
        <w:trPr>
          <w:trHeight w:val="198"/>
        </w:trPr>
        <w:tc>
          <w:tcPr>
            <w:tcW w:w="102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216.0</w:t>
            </w:r>
          </w:p>
        </w:tc>
      </w:tr>
    </w:tbl>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Inventories,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net 368.4</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307.5</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Current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deferred tax</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asset 52.2</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25.1 Prepaid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and other</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assets 34.1</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62.3 -------</w:t>
      </w:r>
    </w:p>
    <w:p>
      <w:pPr>
        <w:spacing w:after="0" w:line="5" w:lineRule="exact"/>
        <w:rPr>
          <w:sz w:val="20"/>
          <w:szCs w:val="20"/>
          <w:color w:val="auto"/>
        </w:rPr>
      </w:pPr>
    </w:p>
    <w:p>
      <w:pPr>
        <w:ind w:left="420" w:hanging="314"/>
        <w:spacing w:after="0"/>
        <w:tabs>
          <w:tab w:leader="none" w:pos="420"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Total</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current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assets 694.2</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643.9</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Property,</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plant and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equipment,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net 310.7</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290.5</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Intangible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assets, net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771.1 743.1</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Other assets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67.0 83.9 --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680" w:hanging="523"/>
        <w:spacing w:after="0"/>
        <w:tabs>
          <w:tab w:leader="none" w:pos="680"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Total</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assets $</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1,843.0</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$1,761.4</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LIABILITIES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AND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SHAREHOLDERS'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EQUITY</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Current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liabilities:</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Short-term</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debt $ 71.3</w:t>
      </w:r>
    </w:p>
    <w:p>
      <w:pPr>
        <w:spacing w:after="0" w:line="5" w:lineRule="exact"/>
        <w:rPr>
          <w:sz w:val="20"/>
          <w:szCs w:val="20"/>
          <w:color w:val="auto"/>
        </w:rPr>
      </w:pPr>
    </w:p>
    <w:p>
      <w:pPr>
        <w:ind w:left="560" w:hanging="197"/>
        <w:spacing w:after="0"/>
        <w:tabs>
          <w:tab w:leader="none" w:pos="560" w:val="left"/>
        </w:tabs>
        <w:numPr>
          <w:ilvl w:val="0"/>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49.4</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Accounts</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payable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150.9 153.0</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Accrued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liabilities</w:t>
      </w:r>
    </w:p>
    <w:p>
      <w:pPr>
        <w:sectPr>
          <w:pgSz w:w="11900" w:h="16838" w:orient="portrait"/>
          <w:cols w:equalWidth="0" w:num="1">
            <w:col w:w="10219"/>
          </w:cols>
          <w:pgMar w:left="240" w:top="709" w:right="1440" w:bottom="0" w:gutter="0" w:footer="0" w:header="0"/>
        </w:sectPr>
      </w:pPr>
    </w:p>
    <w:bookmarkStart w:id="68" w:name="page69"/>
    <w:bookmarkEnd w:id="68"/>
    <w:p>
      <w:pPr>
        <w:jc w:val="center"/>
        <w:ind w:right="8879"/>
        <w:spacing w:after="0"/>
        <w:rPr>
          <w:sz w:val="20"/>
          <w:szCs w:val="20"/>
          <w:color w:val="auto"/>
        </w:rPr>
      </w:pPr>
      <w:r>
        <w:rPr>
          <w:rFonts w:ascii="Courier New" w:cs="Courier New" w:eastAsia="Courier New" w:hAnsi="Courier New"/>
          <w:sz w:val="17"/>
          <w:szCs w:val="17"/>
          <w:color w:val="auto"/>
        </w:rPr>
        <w:t>208.0 174.3</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Accrued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taxes 14.9</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33.1 -------</w:t>
      </w:r>
    </w:p>
    <w:p>
      <w:pPr>
        <w:spacing w:after="0" w:line="5" w:lineRule="exact"/>
        <w:rPr>
          <w:sz w:val="20"/>
          <w:szCs w:val="20"/>
          <w:color w:val="auto"/>
        </w:rPr>
      </w:pPr>
    </w:p>
    <w:p>
      <w:pPr>
        <w:ind w:left="420" w:hanging="314"/>
        <w:spacing w:after="0"/>
        <w:tabs>
          <w:tab w:leader="none" w:pos="420" w:val="left"/>
        </w:tabs>
        <w:numPr>
          <w:ilvl w:val="0"/>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Total</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current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liabilities</w:t>
      </w:r>
    </w:p>
    <w:p>
      <w:pPr>
        <w:spacing w:after="0" w:line="5"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580" w:type="dxa"/>
            <w:vAlign w:val="bottom"/>
          </w:tcPr>
          <w:p>
            <w:pPr>
              <w:jc w:val="right"/>
              <w:spacing w:after="0"/>
              <w:rPr>
                <w:sz w:val="20"/>
                <w:szCs w:val="20"/>
                <w:color w:val="auto"/>
              </w:rPr>
            </w:pPr>
            <w:r>
              <w:rPr>
                <w:rFonts w:ascii="Courier New" w:cs="Courier New" w:eastAsia="Courier New" w:hAnsi="Courier New"/>
                <w:sz w:val="17"/>
                <w:szCs w:val="17"/>
                <w:color w:val="auto"/>
                <w:w w:val="97"/>
              </w:rPr>
              <w:t>445.1</w:t>
            </w:r>
          </w:p>
        </w:tc>
        <w:tc>
          <w:tcPr>
            <w:tcW w:w="560" w:type="dxa"/>
            <w:vAlign w:val="bottom"/>
          </w:tcPr>
          <w:p>
            <w:pPr>
              <w:ind w:left="40"/>
              <w:spacing w:after="0"/>
              <w:rPr>
                <w:sz w:val="20"/>
                <w:szCs w:val="20"/>
                <w:color w:val="auto"/>
              </w:rPr>
            </w:pPr>
            <w:r>
              <w:rPr>
                <w:rFonts w:ascii="Courier New" w:cs="Courier New" w:eastAsia="Courier New" w:hAnsi="Courier New"/>
                <w:sz w:val="17"/>
                <w:szCs w:val="17"/>
                <w:color w:val="auto"/>
                <w:w w:val="97"/>
              </w:rPr>
              <w:t>409.8</w:t>
            </w:r>
          </w:p>
        </w:tc>
      </w:tr>
      <w:tr>
        <w:trPr>
          <w:trHeight w:val="198"/>
        </w:trPr>
        <w:tc>
          <w:tcPr>
            <w:tcW w:w="11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Long-term</w:t>
            </w:r>
          </w:p>
        </w:tc>
      </w:tr>
      <w:tr>
        <w:trPr>
          <w:trHeight w:val="198"/>
        </w:trPr>
        <w:tc>
          <w:tcPr>
            <w:tcW w:w="114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99"/>
              </w:rPr>
              <w:t>debt 816.5</w:t>
            </w:r>
          </w:p>
        </w:tc>
      </w:tr>
      <w:tr>
        <w:trPr>
          <w:trHeight w:val="198"/>
        </w:trPr>
        <w:tc>
          <w:tcPr>
            <w:tcW w:w="580" w:type="dxa"/>
            <w:vAlign w:val="bottom"/>
          </w:tcPr>
          <w:p>
            <w:pPr>
              <w:jc w:val="right"/>
              <w:spacing w:after="0"/>
              <w:rPr>
                <w:sz w:val="20"/>
                <w:szCs w:val="20"/>
                <w:color w:val="auto"/>
              </w:rPr>
            </w:pPr>
            <w:r>
              <w:rPr>
                <w:rFonts w:ascii="Courier New" w:cs="Courier New" w:eastAsia="Courier New" w:hAnsi="Courier New"/>
                <w:sz w:val="17"/>
                <w:szCs w:val="17"/>
                <w:color w:val="auto"/>
                <w:w w:val="97"/>
              </w:rPr>
              <w:t>813.4</w:t>
            </w:r>
          </w:p>
        </w:tc>
        <w:tc>
          <w:tcPr>
            <w:tcW w:w="560" w:type="dxa"/>
            <w:vAlign w:val="bottom"/>
          </w:tcPr>
          <w:p>
            <w:pPr>
              <w:ind w:left="40"/>
              <w:spacing w:after="0"/>
              <w:rPr>
                <w:sz w:val="20"/>
                <w:szCs w:val="20"/>
                <w:color w:val="auto"/>
              </w:rPr>
            </w:pPr>
            <w:r>
              <w:rPr>
                <w:rFonts w:ascii="Courier New" w:cs="Courier New" w:eastAsia="Courier New" w:hAnsi="Courier New"/>
                <w:sz w:val="17"/>
                <w:szCs w:val="17"/>
                <w:color w:val="auto"/>
                <w:w w:val="97"/>
              </w:rPr>
              <w:t>Other</w:t>
            </w:r>
          </w:p>
        </w:tc>
      </w:tr>
    </w:tbl>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liabilities</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75.2 60.3 --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jc w:val="right"/>
        <w:ind w:left="100" w:right="8979" w:firstLine="57"/>
        <w:spacing w:after="0" w:line="246" w:lineRule="auto"/>
        <w:tabs>
          <w:tab w:leader="none" w:pos="666" w:val="left"/>
        </w:tabs>
        <w:numPr>
          <w:ilvl w:val="0"/>
          <w:numId w:val="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Total liabilities</w:t>
      </w:r>
    </w:p>
    <w:p>
      <w:pPr>
        <w:spacing w:after="0" w:line="1"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1,336.8</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1,283.5 ----</w:t>
      </w:r>
    </w:p>
    <w:p>
      <w:pPr>
        <w:spacing w:after="0" w:line="5" w:lineRule="exact"/>
        <w:rPr>
          <w:sz w:val="20"/>
          <w:szCs w:val="20"/>
          <w:color w:val="auto"/>
        </w:rPr>
      </w:pPr>
    </w:p>
    <w:p>
      <w:pPr>
        <w:ind w:left="680" w:hanging="626"/>
        <w:spacing w:after="0"/>
        <w:tabs>
          <w:tab w:leader="none" w:pos="680" w:val="left"/>
        </w:tabs>
        <w:numPr>
          <w:ilvl w:val="0"/>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5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Commitments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and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contingencies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Shareholders'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equity:</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Preferred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shares, no</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par value,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none issued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Common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shares, no</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par value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per share,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$.01 stated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value per</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share, 31.3</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shares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issued in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2001 and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2000 0.3 0.3</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Capital in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excess of</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stated value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398.3 389.3</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Retained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earnings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212.3 196.8</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Treasury</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stock at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cost, 2.6</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shares in</w:t>
      </w:r>
    </w:p>
    <w:p>
      <w:pPr>
        <w:spacing w:after="0" w:line="5"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68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2001,</w:t>
            </w:r>
          </w:p>
        </w:tc>
        <w:tc>
          <w:tcPr>
            <w:tcW w:w="4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3.4</w:t>
            </w:r>
          </w:p>
        </w:tc>
      </w:tr>
      <w:tr>
        <w:trPr>
          <w:trHeight w:val="198"/>
        </w:trPr>
        <w:tc>
          <w:tcPr>
            <w:tcW w:w="1140" w:type="dxa"/>
            <w:vAlign w:val="bottom"/>
            <w:gridSpan w:val="3"/>
          </w:tcPr>
          <w:p>
            <w:pPr>
              <w:ind w:left="100"/>
              <w:spacing w:after="0"/>
              <w:rPr>
                <w:sz w:val="20"/>
                <w:szCs w:val="20"/>
                <w:color w:val="auto"/>
              </w:rPr>
            </w:pPr>
            <w:r>
              <w:rPr>
                <w:rFonts w:ascii="Courier New" w:cs="Courier New" w:eastAsia="Courier New" w:hAnsi="Courier New"/>
                <w:sz w:val="17"/>
                <w:szCs w:val="17"/>
                <w:color w:val="auto"/>
              </w:rPr>
              <w:t>shares in</w:t>
            </w:r>
          </w:p>
        </w:tc>
      </w:tr>
      <w:tr>
        <w:trPr>
          <w:trHeight w:val="198"/>
        </w:trPr>
        <w:tc>
          <w:tcPr>
            <w:tcW w:w="460" w:type="dxa"/>
            <w:vAlign w:val="bottom"/>
          </w:tcPr>
          <w:p>
            <w:pPr>
              <w:jc w:val="right"/>
              <w:spacing w:after="0"/>
              <w:rPr>
                <w:sz w:val="20"/>
                <w:szCs w:val="20"/>
                <w:color w:val="auto"/>
              </w:rPr>
            </w:pPr>
            <w:r>
              <w:rPr>
                <w:rFonts w:ascii="Courier New" w:cs="Courier New" w:eastAsia="Courier New" w:hAnsi="Courier New"/>
                <w:sz w:val="17"/>
                <w:szCs w:val="17"/>
                <w:color w:val="auto"/>
                <w:w w:val="97"/>
              </w:rPr>
              <w:t>2000</w:t>
            </w:r>
          </w:p>
        </w:tc>
        <w:tc>
          <w:tcPr>
            <w:tcW w:w="6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(70.0)</w:t>
            </w:r>
          </w:p>
        </w:tc>
      </w:tr>
      <w:tr>
        <w:trPr>
          <w:trHeight w:val="198"/>
        </w:trPr>
        <w:tc>
          <w:tcPr>
            <w:tcW w:w="1140" w:type="dxa"/>
            <w:vAlign w:val="bottom"/>
            <w:gridSpan w:val="3"/>
          </w:tcPr>
          <w:p>
            <w:pPr>
              <w:jc w:val="right"/>
              <w:ind w:right="174"/>
              <w:spacing w:after="0"/>
              <w:rPr>
                <w:sz w:val="20"/>
                <w:szCs w:val="20"/>
                <w:color w:val="auto"/>
              </w:rPr>
            </w:pPr>
            <w:r>
              <w:rPr>
                <w:rFonts w:ascii="Courier New" w:cs="Courier New" w:eastAsia="Courier New" w:hAnsi="Courier New"/>
                <w:sz w:val="17"/>
                <w:szCs w:val="17"/>
                <w:color w:val="auto"/>
              </w:rPr>
              <w:t>(83.5)</w:t>
            </w:r>
          </w:p>
        </w:tc>
      </w:tr>
    </w:tbl>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Accumulated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other</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comprehensive</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income</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(34.7)</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(25.0) -----</w:t>
      </w:r>
    </w:p>
    <w:p>
      <w:pPr>
        <w:spacing w:after="0" w:line="5" w:lineRule="exact"/>
        <w:rPr>
          <w:sz w:val="20"/>
          <w:szCs w:val="20"/>
          <w:color w:val="auto"/>
        </w:rPr>
      </w:pPr>
    </w:p>
    <w:p>
      <w:pPr>
        <w:ind w:left="560" w:hanging="506"/>
        <w:spacing w:after="0"/>
        <w:tabs>
          <w:tab w:leader="none" w:pos="560" w:val="left"/>
        </w:tabs>
        <w:numPr>
          <w:ilvl w:val="0"/>
          <w:numId w:val="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Total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shareholders'</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equity 506.2</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477.9 ------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Total</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liabilities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and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shareholders'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equity $</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1,843.0</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$1,761.4</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Notes to Consolidated Financial Statements.</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45</w:t>
      </w:r>
    </w:p>
    <w:p>
      <w:pPr>
        <w:sectPr>
          <w:pgSz w:w="11900" w:h="16838" w:orient="portrait"/>
          <w:cols w:equalWidth="0" w:num="1">
            <w:col w:w="10219"/>
          </w:cols>
          <w:pgMar w:left="240" w:top="142" w:right="1440" w:bottom="0" w:gutter="0" w:footer="0" w:header="0"/>
        </w:sectPr>
      </w:pPr>
    </w:p>
    <w:bookmarkStart w:id="69" w:name="page70"/>
    <w:bookmarkEnd w:id="69"/>
    <w:p>
      <w:pPr>
        <w:jc w:val="center"/>
        <w:ind w:right="1959"/>
        <w:spacing w:after="0"/>
        <w:rPr>
          <w:sz w:val="20"/>
          <w:szCs w:val="20"/>
          <w:color w:val="auto"/>
        </w:rPr>
      </w:pPr>
      <w:r>
        <w:rPr>
          <w:rFonts w:ascii="Courier New" w:cs="Courier New" w:eastAsia="Courier New" w:hAnsi="Courier New"/>
          <w:sz w:val="17"/>
          <w:szCs w:val="17"/>
          <w:color w:val="auto"/>
        </w:rPr>
        <w:t>THE SCOTTS COMPANY</w:t>
      </w:r>
    </w:p>
    <w:p>
      <w:pPr>
        <w:spacing w:after="0" w:line="5"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CONSOLIDATED STATEMENTS OF CHANGES IN SHAREHOLDERS' EQUITY AND COMPREHENSIVE</w:t>
      </w:r>
    </w:p>
    <w:p>
      <w:pPr>
        <w:spacing w:after="0" w:line="5"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INCOME</w:t>
      </w:r>
    </w:p>
    <w:p>
      <w:pPr>
        <w:spacing w:after="0" w:line="5"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FOR THE FISCAL YEARS ENDED SEPTEMBER 30, 2001, 2000 AND 1999</w:t>
      </w:r>
    </w:p>
    <w:p>
      <w:pPr>
        <w:spacing w:after="0" w:line="5"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(IN MILLIONS)</w:t>
      </w:r>
    </w:p>
    <w:p>
      <w:pPr>
        <w:spacing w:after="0" w:line="20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Preferred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Shares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Common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Shares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Capital in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Treasury</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Stock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both"/>
        <w:ind w:left="60" w:right="8939" w:hanging="6"/>
        <w:spacing w:after="0" w:line="262" w:lineRule="auto"/>
        <w:tabs>
          <w:tab w:leader="none" w:pos="369"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Excess of Retained ---</w:t>
      </w:r>
    </w:p>
    <w:p>
      <w:pPr>
        <w:ind w:left="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6"/>
          <w:szCs w:val="16"/>
          <w:color w:val="auto"/>
        </w:rPr>
      </w:pPr>
    </w:p>
    <w:p>
      <w:pPr>
        <w:jc w:val="center"/>
        <w:ind w:left="60" w:right="8939" w:firstLine="309"/>
        <w:spacing w:after="0" w:line="26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Shares Amount Shares Amount Stated Value Earnings Shares Amount - ---</w:t>
      </w:r>
    </w:p>
    <w:p>
      <w:pPr>
        <w:ind w:left="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6"/>
          <w:szCs w:val="16"/>
          <w:color w:val="auto"/>
        </w:rPr>
      </w:pPr>
    </w:p>
    <w:p>
      <w:pPr>
        <w:ind w:left="2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6"/>
          <w:szCs w:val="16"/>
          <w:color w:val="auto"/>
        </w:rPr>
      </w:pPr>
    </w:p>
    <w:p>
      <w:pPr>
        <w:ind w:left="2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Balance,</w:t>
      </w:r>
    </w:p>
    <w:p>
      <w:pPr>
        <w:spacing w:after="0" w:line="5" w:lineRule="exact"/>
        <w:rPr>
          <w:rFonts w:ascii="Courier New" w:cs="Courier New" w:eastAsia="Courier New" w:hAnsi="Courier New"/>
          <w:sz w:val="16"/>
          <w:szCs w:val="16"/>
          <w:color w:val="auto"/>
        </w:rPr>
      </w:pPr>
    </w:p>
    <w:p>
      <w:pPr>
        <w:ind w:left="2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September</w:t>
      </w:r>
    </w:p>
    <w:p>
      <w:pPr>
        <w:spacing w:after="0" w:line="5" w:lineRule="exact"/>
        <w:rPr>
          <w:rFonts w:ascii="Courier New" w:cs="Courier New" w:eastAsia="Courier New" w:hAnsi="Courier New"/>
          <w:sz w:val="16"/>
          <w:szCs w:val="16"/>
          <w:color w:val="auto"/>
        </w:rPr>
      </w:pPr>
    </w:p>
    <w:p>
      <w:pPr>
        <w:jc w:val="both"/>
        <w:ind w:left="60" w:right="8939"/>
        <w:spacing w:after="0" w:line="26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30, 1998 0.2 $ 177.3 21.1 $0.2 $208.9 $ 76.6 (2.8) $(55.9) Net income 63.2</w:t>
      </w:r>
    </w:p>
    <w:p>
      <w:pPr>
        <w:ind w:left="3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Foreign</w:t>
      </w:r>
    </w:p>
    <w:p>
      <w:pPr>
        <w:spacing w:after="0" w:line="5" w:lineRule="exact"/>
        <w:rPr>
          <w:rFonts w:ascii="Courier New" w:cs="Courier New" w:eastAsia="Courier New" w:hAnsi="Courier New"/>
          <w:sz w:val="16"/>
          <w:szCs w:val="16"/>
          <w:color w:val="auto"/>
        </w:rPr>
      </w:pPr>
    </w:p>
    <w:p>
      <w:pPr>
        <w:ind w:left="2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currency</w:t>
      </w:r>
    </w:p>
    <w:p>
      <w:pPr>
        <w:spacing w:after="0" w:line="5"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translation</w:t>
      </w:r>
    </w:p>
    <w:p>
      <w:pPr>
        <w:spacing w:after="0" w:line="5" w:lineRule="exact"/>
        <w:rPr>
          <w:rFonts w:ascii="Courier New" w:cs="Courier New" w:eastAsia="Courier New" w:hAnsi="Courier New"/>
          <w:sz w:val="16"/>
          <w:szCs w:val="16"/>
          <w:color w:val="auto"/>
        </w:rPr>
      </w:pPr>
    </w:p>
    <w:p>
      <w:pPr>
        <w:jc w:val="center"/>
        <w:ind w:right="8879" w:firstLine="306"/>
        <w:spacing w:after="0" w:line="24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Minimum pension liability Comprehensive income Issuance of common shares held in treasury 1.6 0.2 4.0 Purchase of common shares (0.3) (10.0) Dividends on Class A Convertible Preferred Stock (9.7) Conversion of Class A Convertible Preferred Stock (0.2) (3.4) 0.2</w:t>
      </w:r>
    </w:p>
    <w:p>
      <w:pPr>
        <w:spacing w:after="0" w:line="212"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3.4 ---- ---</w:t>
      </w:r>
    </w:p>
    <w:p>
      <w:pPr>
        <w:spacing w:after="0" w:line="5"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 ---- --</w:t>
      </w:r>
    </w:p>
    <w:p>
      <w:pPr>
        <w:spacing w:after="0" w:line="5" w:lineRule="exact"/>
        <w:rPr>
          <w:rFonts w:ascii="Courier New" w:cs="Courier New" w:eastAsia="Courier New" w:hAnsi="Courier New"/>
          <w:sz w:val="16"/>
          <w:szCs w:val="16"/>
          <w:color w:val="auto"/>
        </w:rPr>
      </w:pPr>
    </w:p>
    <w:p>
      <w:pPr>
        <w:ind w:left="360" w:hanging="306"/>
        <w:spacing w:after="0"/>
        <w:tabs>
          <w:tab w:leader="none" w:pos="360" w:val="left"/>
        </w:tabs>
        <w:numPr>
          <w:ilvl w:val="0"/>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spacing w:after="0" w:line="5" w:lineRule="exact"/>
        <w:rPr>
          <w:rFonts w:ascii="Courier New" w:cs="Courier New" w:eastAsia="Courier New" w:hAnsi="Courier New"/>
          <w:sz w:val="17"/>
          <w:szCs w:val="17"/>
          <w:color w:val="auto"/>
        </w:rPr>
      </w:pPr>
    </w:p>
    <w:p>
      <w:pPr>
        <w:ind w:left="4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Balance,</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September</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30, 1999 0.0</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173.9 21.3</w:t>
      </w:r>
    </w:p>
    <w:p>
      <w:pPr>
        <w:sectPr>
          <w:pgSz w:w="11900" w:h="16838" w:orient="portrait"/>
          <w:cols w:equalWidth="0" w:num="1">
            <w:col w:w="10219"/>
          </w:cols>
          <w:pgMar w:left="240" w:top="709" w:right="1440" w:bottom="0" w:gutter="0" w:footer="0" w:header="0"/>
        </w:sectPr>
      </w:pPr>
    </w:p>
    <w:bookmarkStart w:id="70" w:name="page71"/>
    <w:bookmarkEnd w:id="70"/>
    <w:p>
      <w:pPr>
        <w:jc w:val="center"/>
        <w:ind w:right="8879"/>
        <w:spacing w:after="0"/>
        <w:rPr>
          <w:sz w:val="20"/>
          <w:szCs w:val="20"/>
          <w:color w:val="auto"/>
        </w:rPr>
      </w:pPr>
      <w:r>
        <w:rPr>
          <w:rFonts w:ascii="Courier New" w:cs="Courier New" w:eastAsia="Courier New" w:hAnsi="Courier New"/>
          <w:sz w:val="17"/>
          <w:szCs w:val="17"/>
          <w:color w:val="auto"/>
        </w:rPr>
        <w:t>0.2 213.9</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130.1 (2.9)</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(61.9) Net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income 73.1</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Foreign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currency</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translation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Minimum</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pension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liability</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Comprehensive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income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Issuance of</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common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shares held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in treasury</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0.1 1.5 0.1</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2.3 Purchase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of common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shares (0.6)</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(23.9)</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Dividends 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Class A</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Convertible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Preferred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Stock (6.4)</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Conversion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of Class A</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Convertible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Preferred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Stock</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(173.9) 10.0</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173.9 ---- -</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620" w:hanging="514"/>
        <w:spacing w:after="0"/>
        <w:tabs>
          <w:tab w:leader="none" w:pos="620" w:val="left"/>
        </w:tabs>
        <w:numPr>
          <w:ilvl w:val="1"/>
          <w:numId w:val="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Balance,</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September</w:t>
      </w:r>
    </w:p>
    <w:p>
      <w:pPr>
        <w:spacing w:after="0" w:line="5" w:lineRule="exact"/>
        <w:rPr>
          <w:rFonts w:ascii="Courier New" w:cs="Courier New" w:eastAsia="Courier New" w:hAnsi="Courier New"/>
          <w:sz w:val="17"/>
          <w:szCs w:val="17"/>
          <w:color w:val="auto"/>
        </w:rPr>
      </w:pPr>
    </w:p>
    <w:p>
      <w:pPr>
        <w:jc w:val="both"/>
        <w:ind w:left="60" w:right="8939"/>
        <w:spacing w:after="0" w:line="262"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30, 2000 0.0 0.0 31.3 0.3 389.3 196.8 (3.4) (83.5)</w:t>
      </w: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Net income</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15.5 Foreign</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currency</w:t>
      </w:r>
    </w:p>
    <w:p>
      <w:pPr>
        <w:spacing w:after="0" w:line="5" w:lineRule="exact"/>
        <w:rPr>
          <w:rFonts w:ascii="Courier New" w:cs="Courier New" w:eastAsia="Courier New" w:hAnsi="Courier New"/>
          <w:sz w:val="17"/>
          <w:szCs w:val="17"/>
          <w:color w:val="auto"/>
        </w:rPr>
      </w:pPr>
    </w:p>
    <w:p>
      <w:pPr>
        <w:jc w:val="center"/>
        <w:ind w:right="8879" w:firstLine="100"/>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translation Unrecognized loss on derivatives Minimum pension liability Comprehensive income Issuance of common shares held in treasury 9.0 0.8 13.5</w:t>
      </w:r>
    </w:p>
    <w:p>
      <w:pPr>
        <w:spacing w:after="0" w:line="8" w:lineRule="exact"/>
        <w:rPr>
          <w:rFonts w:ascii="Courier New" w:cs="Courier New" w:eastAsia="Courier New" w:hAnsi="Courier New"/>
          <w:sz w:val="17"/>
          <w:szCs w:val="17"/>
          <w:color w:val="auto"/>
        </w:rPr>
      </w:pPr>
    </w:p>
    <w:p>
      <w:pPr>
        <w:ind w:left="560" w:hanging="506"/>
        <w:spacing w:after="0"/>
        <w:tabs>
          <w:tab w:leader="none" w:pos="560" w:val="left"/>
        </w:tabs>
        <w:numPr>
          <w:ilvl w:val="0"/>
          <w:numId w:val="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560" w:hanging="506"/>
        <w:spacing w:after="0"/>
        <w:tabs>
          <w:tab w:leader="none" w:pos="560" w:val="left"/>
        </w:tabs>
        <w:numPr>
          <w:ilvl w:val="0"/>
          <w:numId w:val="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20" w:hanging="514"/>
        <w:spacing w:after="0"/>
        <w:tabs>
          <w:tab w:leader="none" w:pos="620" w:val="left"/>
        </w:tabs>
        <w:numPr>
          <w:ilvl w:val="1"/>
          <w:numId w:val="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20" w:hanging="514"/>
        <w:spacing w:after="0"/>
        <w:tabs>
          <w:tab w:leader="none" w:pos="620" w:val="left"/>
        </w:tabs>
        <w:numPr>
          <w:ilvl w:val="1"/>
          <w:numId w:val="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Balance,</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30, 2001 0.0</w:t>
      </w:r>
    </w:p>
    <w:p>
      <w:pPr>
        <w:spacing w:after="0" w:line="5" w:lineRule="exact"/>
        <w:rPr>
          <w:sz w:val="20"/>
          <w:szCs w:val="20"/>
          <w:color w:val="auto"/>
        </w:rPr>
      </w:pPr>
    </w:p>
    <w:p>
      <w:pPr>
        <w:jc w:val="both"/>
        <w:ind w:left="60" w:right="8939" w:firstLine="97"/>
        <w:spacing w:after="0" w:line="262" w:lineRule="auto"/>
        <w:tabs>
          <w:tab w:leader="none" w:pos="369"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0.0 31.3 $0.3 $398.3 $212.3 (2.6) $(70.0) ====</w:t>
      </w:r>
    </w:p>
    <w:p>
      <w:pPr>
        <w:ind w:left="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6"/>
          <w:szCs w:val="16"/>
          <w:color w:val="auto"/>
        </w:rPr>
      </w:pPr>
    </w:p>
    <w:p>
      <w:pPr>
        <w:ind w:left="3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46</w:t>
      </w:r>
    </w:p>
    <w:p>
      <w:pPr>
        <w:sectPr>
          <w:pgSz w:w="11900" w:h="16838" w:orient="portrait"/>
          <w:cols w:equalWidth="0" w:num="1">
            <w:col w:w="10219"/>
          </w:cols>
          <w:pgMar w:left="240" w:top="142" w:right="1440" w:bottom="497" w:gutter="0" w:footer="0" w:header="0"/>
        </w:sectPr>
      </w:pPr>
    </w:p>
    <w:bookmarkStart w:id="71" w:name="page72"/>
    <w:bookmarkEnd w:id="71"/>
    <w:p>
      <w:pPr>
        <w:jc w:val="center"/>
        <w:ind w:right="1959"/>
        <w:spacing w:after="0"/>
        <w:rPr>
          <w:sz w:val="20"/>
          <w:szCs w:val="20"/>
          <w:color w:val="auto"/>
        </w:rPr>
      </w:pPr>
      <w:r>
        <w:rPr>
          <w:rFonts w:ascii="Courier New" w:cs="Courier New" w:eastAsia="Courier New" w:hAnsi="Courier New"/>
          <w:sz w:val="17"/>
          <w:szCs w:val="17"/>
          <w:color w:val="auto"/>
        </w:rPr>
        <w:t>THE SCOTTS COMPANY</w:t>
      </w:r>
    </w:p>
    <w:p>
      <w:pPr>
        <w:spacing w:after="0" w:line="5"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CONSOLIDATED STATEMENTS OF CHANGES IN SHAREHOLDERS' EQUITY AND COMPREHENSIVE</w:t>
      </w:r>
    </w:p>
    <w:p>
      <w:pPr>
        <w:spacing w:after="0" w:line="5"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INCOME (CONTINUED)</w:t>
      </w:r>
    </w:p>
    <w:p>
      <w:pPr>
        <w:spacing w:after="0" w:line="5"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FOR THE FISCAL YEARS ENDED SEPTEMBER 30, 2001, 2000 AND 1999</w:t>
      </w:r>
    </w:p>
    <w:p>
      <w:pPr>
        <w:spacing w:after="0" w:line="5"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(IN MILLIONS)</w:t>
      </w:r>
    </w:p>
    <w:p>
      <w:pPr>
        <w:spacing w:after="0" w:line="20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Accumulated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Other</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Comprehensive</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Income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20" w:right="9039" w:hanging="163"/>
        <w:spacing w:after="0" w:line="262" w:lineRule="auto"/>
        <w:tabs>
          <w:tab w:leader="none" w:pos="474"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Minimum Pension Foreign</w:t>
      </w:r>
    </w:p>
    <w:p>
      <w:pPr>
        <w:ind w:left="200"/>
        <w:spacing w:after="0"/>
        <w:rPr>
          <w:sz w:val="20"/>
          <w:szCs w:val="20"/>
          <w:color w:val="auto"/>
        </w:rPr>
      </w:pPr>
      <w:r>
        <w:rPr>
          <w:rFonts w:ascii="Courier New" w:cs="Courier New" w:eastAsia="Courier New" w:hAnsi="Courier New"/>
          <w:sz w:val="17"/>
          <w:szCs w:val="17"/>
          <w:color w:val="auto"/>
        </w:rPr>
        <w:t>Liability</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Currency</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Derivatives</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Adjustment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Translation</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Total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Balance,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30, 1998 $ $</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(0.2) $</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(3.0) $403.9</w:t>
      </w:r>
    </w:p>
    <w:p>
      <w:pPr>
        <w:spacing w:after="0" w:line="5" w:lineRule="exact"/>
        <w:rPr>
          <w:sz w:val="20"/>
          <w:szCs w:val="20"/>
          <w:color w:val="auto"/>
        </w:rPr>
      </w:pPr>
    </w:p>
    <w:p>
      <w:pPr>
        <w:ind w:left="680" w:hanging="626"/>
        <w:spacing w:after="0"/>
        <w:tabs>
          <w:tab w:leader="none" w:pos="680" w:val="left"/>
        </w:tabs>
        <w:numPr>
          <w:ilvl w:val="1"/>
          <w:numId w:val="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jc w:val="both"/>
        <w:ind w:left="60" w:right="8939" w:hanging="6"/>
        <w:spacing w:after="0" w:line="262" w:lineRule="auto"/>
        <w:tabs>
          <w:tab w:leader="none" w:pos="266"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income 63.2 Foreign</w:t>
      </w:r>
    </w:p>
    <w:p>
      <w:pPr>
        <w:ind w:left="2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currency</w:t>
      </w:r>
    </w:p>
    <w:p>
      <w:pPr>
        <w:spacing w:after="0" w:line="5" w:lineRule="exact"/>
        <w:rPr>
          <w:rFonts w:ascii="Courier New" w:cs="Courier New" w:eastAsia="Courier New" w:hAnsi="Courier New"/>
          <w:sz w:val="16"/>
          <w:szCs w:val="16"/>
          <w:color w:val="auto"/>
        </w:rPr>
      </w:pPr>
    </w:p>
    <w:p>
      <w:pPr>
        <w:jc w:val="both"/>
        <w:ind w:left="100" w:right="8979"/>
        <w:spacing w:after="0" w:line="24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translation (5.7) (5.7)</w:t>
      </w:r>
    </w:p>
    <w:p>
      <w:pPr>
        <w:spacing w:after="0" w:line="1" w:lineRule="exact"/>
        <w:rPr>
          <w:rFonts w:ascii="Courier New" w:cs="Courier New" w:eastAsia="Courier New" w:hAnsi="Courier New"/>
          <w:sz w:val="16"/>
          <w:szCs w:val="16"/>
          <w:color w:val="auto"/>
        </w:rPr>
      </w:pPr>
    </w:p>
    <w:p>
      <w:pPr>
        <w:jc w:val="center"/>
        <w:ind w:left="100" w:right="8979" w:firstLine="206"/>
        <w:spacing w:after="0" w:line="24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Minimum pension liability (4.0)(a) (4.0) -----</w:t>
      </w:r>
    </w:p>
    <w:p>
      <w:pPr>
        <w:spacing w:after="0" w:line="2"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6"/>
          <w:szCs w:val="16"/>
          <w:color w:val="auto"/>
        </w:rPr>
      </w:pPr>
    </w:p>
    <w:p>
      <w:pPr>
        <w:ind w:left="2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6"/>
          <w:szCs w:val="16"/>
          <w:color w:val="auto"/>
        </w:rPr>
      </w:pPr>
    </w:p>
    <w:p>
      <w:pPr>
        <w:jc w:val="both"/>
        <w:ind w:left="60" w:right="8879" w:hanging="49"/>
        <w:spacing w:after="0" w:line="24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Comprehensive income (4.0)</w:t>
      </w:r>
    </w:p>
    <w:p>
      <w:pPr>
        <w:spacing w:after="0" w:line="1" w:lineRule="exact"/>
        <w:rPr>
          <w:rFonts w:ascii="Courier New" w:cs="Courier New" w:eastAsia="Courier New" w:hAnsi="Courier New"/>
          <w:sz w:val="16"/>
          <w:szCs w:val="16"/>
          <w:color w:val="auto"/>
        </w:rPr>
      </w:pPr>
    </w:p>
    <w:p>
      <w:pPr>
        <w:jc w:val="center"/>
        <w:ind w:left="60" w:right="8939" w:firstLine="103"/>
        <w:spacing w:after="0" w:line="26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(5.7) 53.5 Issuance of common shares held in treasury 5.6 Purchase of common shares (10.0) Dividends on Class A Convertible Preferred Stock (9.7) Conversion of Class A Convertible Preferred Stock -----</w:t>
      </w:r>
    </w:p>
    <w:p>
      <w:pPr>
        <w:spacing w:after="0" w:line="2"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6"/>
          <w:szCs w:val="16"/>
          <w:color w:val="auto"/>
        </w:rPr>
      </w:pPr>
    </w:p>
    <w:p>
      <w:pPr>
        <w:ind w:left="2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6"/>
          <w:szCs w:val="16"/>
          <w:color w:val="auto"/>
        </w:rPr>
      </w:pPr>
    </w:p>
    <w:p>
      <w:pPr>
        <w:ind w:left="2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Balance,</w:t>
      </w:r>
    </w:p>
    <w:p>
      <w:pPr>
        <w:spacing w:after="0" w:line="5" w:lineRule="exact"/>
        <w:rPr>
          <w:rFonts w:ascii="Courier New" w:cs="Courier New" w:eastAsia="Courier New" w:hAnsi="Courier New"/>
          <w:sz w:val="16"/>
          <w:szCs w:val="16"/>
          <w:color w:val="auto"/>
        </w:rPr>
      </w:pPr>
    </w:p>
    <w:p>
      <w:pPr>
        <w:ind w:left="2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September</w:t>
      </w:r>
    </w:p>
    <w:p>
      <w:pPr>
        <w:spacing w:after="0" w:line="5" w:lineRule="exact"/>
        <w:rPr>
          <w:rFonts w:ascii="Courier New" w:cs="Courier New" w:eastAsia="Courier New" w:hAnsi="Courier New"/>
          <w:sz w:val="16"/>
          <w:szCs w:val="16"/>
          <w:color w:val="auto"/>
        </w:rPr>
      </w:pPr>
    </w:p>
    <w:p>
      <w:pPr>
        <w:ind w:left="1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30, 1999 $</w:t>
      </w:r>
    </w:p>
    <w:p>
      <w:pPr>
        <w:spacing w:after="0" w:line="5"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(4.2) $</w:t>
      </w:r>
    </w:p>
    <w:p>
      <w:pPr>
        <w:spacing w:after="0" w:line="5"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(8.7) $443.3</w:t>
      </w:r>
    </w:p>
    <w:p>
      <w:pPr>
        <w:spacing w:after="0" w:line="5" w:lineRule="exact"/>
        <w:rPr>
          <w:rFonts w:ascii="Courier New" w:cs="Courier New" w:eastAsia="Courier New" w:hAnsi="Courier New"/>
          <w:sz w:val="16"/>
          <w:szCs w:val="16"/>
          <w:color w:val="auto"/>
        </w:rPr>
      </w:pPr>
    </w:p>
    <w:p>
      <w:pPr>
        <w:ind w:left="680" w:hanging="626"/>
        <w:spacing w:after="0"/>
        <w:tabs>
          <w:tab w:leader="none" w:pos="680" w:val="left"/>
        </w:tabs>
        <w:numPr>
          <w:ilvl w:val="1"/>
          <w:numId w:val="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260" w:hanging="206"/>
        <w:spacing w:after="0"/>
        <w:tabs>
          <w:tab w:leader="none" w:pos="260" w:val="left"/>
        </w:tabs>
        <w:numPr>
          <w:ilvl w:val="0"/>
          <w:numId w:val="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Net income</w:t>
      </w:r>
    </w:p>
    <w:p>
      <w:pPr>
        <w:sectPr>
          <w:pgSz w:w="11900" w:h="16838" w:orient="portrait"/>
          <w:cols w:equalWidth="0" w:num="1">
            <w:col w:w="10219"/>
          </w:cols>
          <w:pgMar w:left="240" w:top="709" w:right="1440" w:bottom="0" w:gutter="0" w:footer="0" w:header="0"/>
        </w:sectPr>
      </w:pPr>
    </w:p>
    <w:bookmarkStart w:id="72" w:name="page73"/>
    <w:bookmarkEnd w:id="72"/>
    <w:p>
      <w:pPr>
        <w:jc w:val="center"/>
        <w:ind w:right="8879"/>
        <w:spacing w:after="0"/>
        <w:rPr>
          <w:sz w:val="20"/>
          <w:szCs w:val="20"/>
          <w:color w:val="auto"/>
        </w:rPr>
      </w:pPr>
      <w:r>
        <w:rPr>
          <w:rFonts w:ascii="Courier New" w:cs="Courier New" w:eastAsia="Courier New" w:hAnsi="Courier New"/>
          <w:sz w:val="17"/>
          <w:szCs w:val="17"/>
          <w:color w:val="auto"/>
        </w:rPr>
        <w:t>73.1 Foreign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currency</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translation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(11.2)</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(11.2)</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Minimum</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pension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liability</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(0.9)(a)</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(0.9)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460" w:hanging="200"/>
        <w:spacing w:after="0"/>
        <w:tabs>
          <w:tab w:leader="none" w:pos="460" w:val="left"/>
        </w:tabs>
        <w:numPr>
          <w:ilvl w:val="0"/>
          <w:numId w:val="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jc w:val="center"/>
        <w:ind w:left="60" w:right="8879" w:hanging="4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Comprehensive income (0.9) (11.2) 61.0 Issuance of common shares held in treasury 3.9 Purchase of common shares (23.9) Dividends on Class A Convertible Preferred Stock (6.4) Conversion of Class A Convertible Preferred Stock -----</w:t>
      </w:r>
    </w:p>
    <w:p>
      <w:pPr>
        <w:spacing w:after="0" w:line="12"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460" w:hanging="200"/>
        <w:spacing w:after="0"/>
        <w:tabs>
          <w:tab w:leader="none" w:pos="460" w:val="left"/>
        </w:tabs>
        <w:numPr>
          <w:ilvl w:val="0"/>
          <w:numId w:val="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Balance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30, 2000 $</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(5.1)</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$(19.9)</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$477.9 -----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jc w:val="both"/>
        <w:ind w:left="100" w:right="8939" w:hanging="46"/>
        <w:spacing w:after="0" w:line="246" w:lineRule="auto"/>
        <w:tabs>
          <w:tab w:leader="none" w:pos="254" w:val="left"/>
        </w:tabs>
        <w:numPr>
          <w:ilvl w:val="0"/>
          <w:numId w:val="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 Net income 15.5</w:t>
      </w:r>
    </w:p>
    <w:p>
      <w:pPr>
        <w:spacing w:after="0" w:line="1"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Foreign</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currency</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translation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Unrecognized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loss 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derivatives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(1.5)(b)</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(1.5)</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Minimum</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pension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liability</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(8.2)(a)</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(8.2)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460" w:hanging="200"/>
        <w:spacing w:after="0"/>
        <w:tabs>
          <w:tab w:leader="none" w:pos="460" w:val="left"/>
        </w:tabs>
        <w:numPr>
          <w:ilvl w:val="1"/>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Comprehensive</w:t>
      </w:r>
    </w:p>
    <w:p>
      <w:pPr>
        <w:spacing w:after="0" w:line="5" w:lineRule="exact"/>
        <w:rPr>
          <w:rFonts w:ascii="Courier New" w:cs="Courier New" w:eastAsia="Courier New" w:hAnsi="Courier New"/>
          <w:sz w:val="17"/>
          <w:szCs w:val="17"/>
          <w:color w:val="auto"/>
        </w:rPr>
      </w:pPr>
    </w:p>
    <w:p>
      <w:pPr>
        <w:jc w:val="center"/>
        <w:ind w:left="100" w:right="8979" w:firstLine="52"/>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income 5.8 Issuance of common shares held in treasury</w:t>
      </w:r>
    </w:p>
    <w:p>
      <w:pPr>
        <w:spacing w:after="0" w:line="2"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22.5 -----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Balance</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September</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30, 2001</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$(1.5)</w:t>
      </w:r>
    </w:p>
    <w:p>
      <w:pPr>
        <w:spacing w:after="0" w:line="5" w:lineRule="exact"/>
        <w:rPr>
          <w:rFonts w:ascii="Courier New" w:cs="Courier New" w:eastAsia="Courier New" w:hAnsi="Courier New"/>
          <w:sz w:val="17"/>
          <w:szCs w:val="17"/>
          <w:color w:val="auto"/>
        </w:rPr>
      </w:pPr>
    </w:p>
    <w:p>
      <w:pPr>
        <w:jc w:val="center"/>
        <w:ind w:left="60" w:right="8939" w:firstLine="257"/>
        <w:spacing w:after="0" w:line="262"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$(13.3) $(19.9) $506.2 =====</w:t>
      </w: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spacing w:after="0" w:line="201"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20" w:right="2079" w:hanging="414"/>
        <w:spacing w:after="0" w:line="247" w:lineRule="auto"/>
        <w:tabs>
          <w:tab w:leader="none" w:pos="420" w:val="left"/>
        </w:tabs>
        <w:numPr>
          <w:ilvl w:val="0"/>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Net of tax benefits of $5.5, $0.5, and $2.7 for fiscal 2001, 2000 and 1999, respectively.</w:t>
      </w:r>
    </w:p>
    <w:p>
      <w:pPr>
        <w:sectPr>
          <w:pgSz w:w="11900" w:h="16838" w:orient="portrait"/>
          <w:cols w:equalWidth="0" w:num="1">
            <w:col w:w="10219"/>
          </w:cols>
          <w:pgMar w:left="240" w:top="142" w:right="1440" w:bottom="0" w:gutter="0" w:footer="0" w:header="0"/>
        </w:sectPr>
      </w:pPr>
    </w:p>
    <w:bookmarkStart w:id="73" w:name="page74"/>
    <w:bookmarkEnd w:id="73"/>
    <w:p>
      <w:pPr>
        <w:ind w:left="-6" w:right="5279" w:firstLine="6"/>
        <w:spacing w:after="0" w:line="493" w:lineRule="auto"/>
        <w:tabs>
          <w:tab w:leader="none" w:pos="406" w:val="left"/>
        </w:tabs>
        <w:numPr>
          <w:ilvl w:val="0"/>
          <w:numId w:val="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Net of tax benefits of $1.1 for fiscal 2001. See Notes to Consolidated Financial Statements.</w:t>
      </w:r>
    </w:p>
    <w:p>
      <w:pPr>
        <w:spacing w:after="0" w:line="1" w:lineRule="exact"/>
        <w:rPr>
          <w:sz w:val="20"/>
          <w:szCs w:val="20"/>
          <w:color w:val="auto"/>
        </w:rPr>
      </w:pPr>
    </w:p>
    <w:p>
      <w:pPr>
        <w:ind w:left="3914"/>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14"/>
        <w:spacing w:after="0"/>
        <w:rPr>
          <w:sz w:val="20"/>
          <w:szCs w:val="20"/>
          <w:color w:val="auto"/>
        </w:rPr>
      </w:pPr>
      <w:r>
        <w:rPr>
          <w:rFonts w:ascii="Courier New" w:cs="Courier New" w:eastAsia="Courier New" w:hAnsi="Courier New"/>
          <w:sz w:val="17"/>
          <w:szCs w:val="17"/>
          <w:color w:val="auto"/>
        </w:rPr>
        <w:t>47</w:t>
      </w:r>
    </w:p>
    <w:p>
      <w:pPr>
        <w:sectPr>
          <w:pgSz w:w="11900" w:h="16838" w:orient="portrait"/>
          <w:cols w:equalWidth="0" w:num="1">
            <w:col w:w="10214"/>
          </w:cols>
          <w:pgMar w:left="246" w:top="340" w:right="1440" w:bottom="1440" w:gutter="0" w:footer="0" w:header="0"/>
        </w:sectPr>
      </w:pPr>
    </w:p>
    <w:bookmarkStart w:id="74" w:name="page75"/>
    <w:bookmarkEnd w:id="74"/>
    <w:p>
      <w:pPr>
        <w:jc w:val="center"/>
        <w:ind w:right="1979"/>
        <w:spacing w:after="0"/>
        <w:rPr>
          <w:sz w:val="20"/>
          <w:szCs w:val="20"/>
          <w:color w:val="auto"/>
        </w:rPr>
      </w:pPr>
      <w:r>
        <w:rPr>
          <w:rFonts w:ascii="Courier New" w:cs="Courier New" w:eastAsia="Courier New" w:hAnsi="Courier New"/>
          <w:sz w:val="17"/>
          <w:szCs w:val="17"/>
          <w:color w:val="auto"/>
        </w:rPr>
        <w:t>THE SCOTTS COMPANY</w:t>
      </w:r>
    </w:p>
    <w:p>
      <w:pPr>
        <w:spacing w:after="0" w:line="203" w:lineRule="exact"/>
        <w:rPr>
          <w:sz w:val="20"/>
          <w:szCs w:val="20"/>
          <w:color w:val="auto"/>
        </w:rPr>
      </w:pPr>
    </w:p>
    <w:p>
      <w:pPr>
        <w:ind w:left="1960"/>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1. SUMMARY OF SIGNIFICANT ACCOUNTING POLICIES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NATURE OF OPERATIONS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Scotts Company and its subsidiaries (collectively "Scotts" or the "Company") are engaged in the manufacture and sale of lawn care and garden products. The Company's major customers include mass merchandisers, home improvement centers, large hardware chains, independent hardware stores, nurseries, garden centers, food and drug stores, lawn and landscape service companies, commercial nurseries and greenhouses, and specialty crop growers. The Company's products are sold in the United States, Canada, the European Union, the Caribbean, Southeast Asia, the Middle East, Africa, Australia, New Zealand, Japan and Latin America.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ORGANIZATION AND BASIS OF PRESENTATION</w:t>
      </w:r>
    </w:p>
    <w:p>
      <w:pPr>
        <w:spacing w:after="0" w:line="203"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The consolidated financial statements include the accounts of The Scotts Company and its subsidiaries. All material intercompany transactions have been eliminated.</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USE OF ESTIMATES</w:t>
      </w:r>
    </w:p>
    <w:p>
      <w:pPr>
        <w:spacing w:after="0" w:line="203"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The preparation of financial statements in conformity with generally accepted accounting principles requires management to make estimates and assumptions that affect the amounts reported in the consolidated financial statements and accompanying disclosures. Although these estimates are based on management's best knowledge of current events and actions the Company may undertake in the future, actual results ultimately may differ from the estimates.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REVENUE RECOGNITION</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Revenue is recognized when products are shipped and when title and risk of loss transfer to the customer. For certain large multi-location customers, products may be shipped to third-party warehousing locations. Revenue is not recognized until the customer places orders against that inventory and acknowledges ownership of the goods in writing. Provisions for estimated returns and allowances are recorded at the time of shipment based on historical rates of returns as a percentage of sales.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ADVERTISING AND PROMOTION</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Company advertises its branded products through national and regional media, and through cooperative advertising programs with retailers. Retailers are also offered pre-season stocking and in-store promotional allowances. Certain products are also promoted with direct consumer rebate programs. Advertising and promotion costs (including allowances and rebates) incurred during the year are expensed ratably to interim periods in relation to revenues. All advertising and promotion costs, except for production costs, are expensed within the fiscal year in which such costs are incurred. Production costs for advertising programs are deferred until the period in which the advertising is first aired. Amounts paid to or credited to customers for promotional activities are classified as a reduction of net sales.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RESEARCH AND DEVELOPMENT</w:t>
      </w:r>
    </w:p>
    <w:p>
      <w:pPr>
        <w:spacing w:after="0" w:line="203"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All costs associated with research and development are charged to expense as incurred. Expense for fiscal 2001, 2000, and 1999 was $24.7 million, $24.1 million, and $21.7 million, respectively.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EARNINGS PER COMMON SHARE</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Basic earnings per common share is based on the weighted-average number of common shares outstanding each period. Diluted earnings per common share is based on the weighted-average number of common shares and dilutive potential common shares (stock options, convertible preferred stock and warrants) outstanding each period.</w:t>
      </w:r>
    </w:p>
    <w:p>
      <w:pPr>
        <w:spacing w:after="0" w:line="201"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48</w:t>
      </w:r>
    </w:p>
    <w:p>
      <w:pPr>
        <w:sectPr>
          <w:pgSz w:w="11900" w:h="16838" w:orient="portrait"/>
          <w:cols w:equalWidth="0" w:num="1">
            <w:col w:w="10219"/>
          </w:cols>
          <w:pgMar w:left="240" w:top="709" w:right="1440" w:bottom="919" w:gutter="0" w:footer="0" w:header="0"/>
        </w:sectPr>
      </w:pPr>
    </w:p>
    <w:bookmarkStart w:id="75" w:name="page76"/>
    <w:bookmarkEnd w:id="75"/>
    <w:p>
      <w:pPr>
        <w:ind w:left="1960"/>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INVENTORIES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Inventories are stated at the lower of cost or market, principally determined by the FIFO method; however, certain growing media inventories are accounted for by the LIFO method. At September 30, 2001 and 2000, approximately 9% and 13% of inventories, respectively, are valued at the lower of LIFO cost or market. Inventories include the cost of raw materials, labor and manufacturing overhead. The Company makes provisions for obsolete or slow-moving inventories as necessary to properly reflect inventory value. Reserves for excess and obsolete inventories were $22.3 million and $20.1 million at September 30, 2001 and 2000, respectively.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LONG-LIVED ASSETS</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Property, plant and equipment, including significant improvements, are stated at cost. Expenditures for maintenance and repairs are charged to operating expenses as incurred. When properties are retired or otherwise disposed of, the cost of the asset and the related accumulated depreciation are removed from the accounts with the resulting gain or loss being reflected in results of operations.</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Depletion of applicable land is computed on the units-of-production method. Depreciation of other property, plant and equipment is provided on the straight-line method and is based on the estimated useful economic lives of the assets as follows:</w:t>
      </w: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480" w:type="dxa"/>
            <w:vAlign w:val="bottom"/>
          </w:tcPr>
          <w:p>
            <w:pPr>
              <w:spacing w:after="0"/>
              <w:rPr>
                <w:sz w:val="20"/>
                <w:szCs w:val="20"/>
                <w:color w:val="auto"/>
              </w:rPr>
            </w:pPr>
            <w:r>
              <w:rPr>
                <w:rFonts w:ascii="Courier New" w:cs="Courier New" w:eastAsia="Courier New" w:hAnsi="Courier New"/>
                <w:sz w:val="17"/>
                <w:szCs w:val="17"/>
                <w:color w:val="auto"/>
              </w:rPr>
              <w:t>Land improvements</w:t>
            </w:r>
          </w:p>
        </w:tc>
        <w:tc>
          <w:tcPr>
            <w:tcW w:w="2320" w:type="dxa"/>
            <w:vAlign w:val="bottom"/>
          </w:tcPr>
          <w:p>
            <w:pPr>
              <w:jc w:val="right"/>
              <w:spacing w:after="0"/>
              <w:rPr>
                <w:sz w:val="20"/>
                <w:szCs w:val="20"/>
                <w:color w:val="auto"/>
              </w:rPr>
            </w:pPr>
            <w:r>
              <w:rPr>
                <w:rFonts w:ascii="Courier New" w:cs="Courier New" w:eastAsia="Courier New" w:hAnsi="Courier New"/>
                <w:sz w:val="17"/>
                <w:szCs w:val="17"/>
                <w:color w:val="auto"/>
              </w:rPr>
              <w:t>10</w:t>
            </w:r>
          </w:p>
        </w:tc>
        <w:tc>
          <w:tcPr>
            <w:tcW w:w="11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- 25 years</w:t>
            </w:r>
          </w:p>
        </w:tc>
      </w:tr>
      <w:tr>
        <w:trPr>
          <w:trHeight w:val="198"/>
        </w:trPr>
        <w:tc>
          <w:tcPr>
            <w:tcW w:w="4480" w:type="dxa"/>
            <w:vAlign w:val="bottom"/>
          </w:tcPr>
          <w:p>
            <w:pPr>
              <w:spacing w:after="0"/>
              <w:rPr>
                <w:sz w:val="20"/>
                <w:szCs w:val="20"/>
                <w:color w:val="auto"/>
              </w:rPr>
            </w:pPr>
            <w:r>
              <w:rPr>
                <w:rFonts w:ascii="Courier New" w:cs="Courier New" w:eastAsia="Courier New" w:hAnsi="Courier New"/>
                <w:sz w:val="17"/>
                <w:szCs w:val="17"/>
                <w:color w:val="auto"/>
              </w:rPr>
              <w:t>Buildings</w:t>
            </w:r>
          </w:p>
        </w:tc>
        <w:tc>
          <w:tcPr>
            <w:tcW w:w="2320" w:type="dxa"/>
            <w:vAlign w:val="bottom"/>
          </w:tcPr>
          <w:p>
            <w:pPr>
              <w:jc w:val="right"/>
              <w:spacing w:after="0"/>
              <w:rPr>
                <w:sz w:val="20"/>
                <w:szCs w:val="20"/>
                <w:color w:val="auto"/>
              </w:rPr>
            </w:pPr>
            <w:r>
              <w:rPr>
                <w:rFonts w:ascii="Courier New" w:cs="Courier New" w:eastAsia="Courier New" w:hAnsi="Courier New"/>
                <w:sz w:val="17"/>
                <w:szCs w:val="17"/>
                <w:color w:val="auto"/>
              </w:rPr>
              <w:t>10</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- 40</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years</w:t>
            </w:r>
          </w:p>
        </w:tc>
      </w:tr>
      <w:tr>
        <w:trPr>
          <w:trHeight w:val="198"/>
        </w:trPr>
        <w:tc>
          <w:tcPr>
            <w:tcW w:w="4480" w:type="dxa"/>
            <w:vAlign w:val="bottom"/>
          </w:tcPr>
          <w:p>
            <w:pPr>
              <w:spacing w:after="0"/>
              <w:rPr>
                <w:sz w:val="20"/>
                <w:szCs w:val="20"/>
                <w:color w:val="auto"/>
              </w:rPr>
            </w:pPr>
            <w:r>
              <w:rPr>
                <w:rFonts w:ascii="Courier New" w:cs="Courier New" w:eastAsia="Courier New" w:hAnsi="Courier New"/>
                <w:sz w:val="17"/>
                <w:szCs w:val="17"/>
                <w:color w:val="auto"/>
              </w:rPr>
              <w:t>Machinery and equipment</w:t>
            </w:r>
          </w:p>
        </w:tc>
        <w:tc>
          <w:tcPr>
            <w:tcW w:w="2320" w:type="dxa"/>
            <w:vAlign w:val="bottom"/>
          </w:tcPr>
          <w:p>
            <w:pPr>
              <w:jc w:val="right"/>
              <w:spacing w:after="0"/>
              <w:rPr>
                <w:sz w:val="20"/>
                <w:szCs w:val="20"/>
                <w:color w:val="auto"/>
              </w:rPr>
            </w:pPr>
            <w:r>
              <w:rPr>
                <w:rFonts w:ascii="Courier New" w:cs="Courier New" w:eastAsia="Courier New" w:hAnsi="Courier New"/>
                <w:sz w:val="17"/>
                <w:szCs w:val="17"/>
                <w:color w:val="auto"/>
              </w:rPr>
              <w:t>3</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- 15</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years</w:t>
            </w:r>
          </w:p>
        </w:tc>
      </w:tr>
      <w:tr>
        <w:trPr>
          <w:trHeight w:val="198"/>
        </w:trPr>
        <w:tc>
          <w:tcPr>
            <w:tcW w:w="4480" w:type="dxa"/>
            <w:vAlign w:val="bottom"/>
          </w:tcPr>
          <w:p>
            <w:pPr>
              <w:spacing w:after="0"/>
              <w:rPr>
                <w:sz w:val="20"/>
                <w:szCs w:val="20"/>
                <w:color w:val="auto"/>
              </w:rPr>
            </w:pPr>
            <w:r>
              <w:rPr>
                <w:rFonts w:ascii="Courier New" w:cs="Courier New" w:eastAsia="Courier New" w:hAnsi="Courier New"/>
                <w:sz w:val="17"/>
                <w:szCs w:val="17"/>
                <w:color w:val="auto"/>
              </w:rPr>
              <w:t>Furniture and fixtures</w:t>
            </w:r>
          </w:p>
        </w:tc>
        <w:tc>
          <w:tcPr>
            <w:tcW w:w="2320" w:type="dxa"/>
            <w:vAlign w:val="bottom"/>
          </w:tcPr>
          <w:p>
            <w:pPr>
              <w:jc w:val="right"/>
              <w:spacing w:after="0"/>
              <w:rPr>
                <w:sz w:val="20"/>
                <w:szCs w:val="20"/>
                <w:color w:val="auto"/>
              </w:rPr>
            </w:pPr>
            <w:r>
              <w:rPr>
                <w:rFonts w:ascii="Courier New" w:cs="Courier New" w:eastAsia="Courier New" w:hAnsi="Courier New"/>
                <w:sz w:val="17"/>
                <w:szCs w:val="17"/>
                <w:color w:val="auto"/>
              </w:rPr>
              <w:t>6</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- 10</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years</w:t>
            </w:r>
          </w:p>
        </w:tc>
      </w:tr>
      <w:tr>
        <w:trPr>
          <w:trHeight w:val="198"/>
        </w:trPr>
        <w:tc>
          <w:tcPr>
            <w:tcW w:w="4480" w:type="dxa"/>
            <w:vAlign w:val="bottom"/>
          </w:tcPr>
          <w:p>
            <w:pPr>
              <w:spacing w:after="0"/>
              <w:rPr>
                <w:sz w:val="20"/>
                <w:szCs w:val="20"/>
                <w:color w:val="auto"/>
              </w:rPr>
            </w:pPr>
            <w:r>
              <w:rPr>
                <w:rFonts w:ascii="Courier New" w:cs="Courier New" w:eastAsia="Courier New" w:hAnsi="Courier New"/>
                <w:sz w:val="17"/>
                <w:szCs w:val="17"/>
                <w:color w:val="auto"/>
              </w:rPr>
              <w:t>Software</w:t>
            </w:r>
          </w:p>
        </w:tc>
        <w:tc>
          <w:tcPr>
            <w:tcW w:w="23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w w:val="97"/>
              </w:rPr>
              <w:t>3 - 8</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years</w:t>
            </w:r>
          </w:p>
        </w:tc>
      </w:tr>
    </w:tbl>
    <w:p>
      <w:pPr>
        <w:spacing w:after="0" w:line="200" w:lineRule="exact"/>
        <w:rPr>
          <w:sz w:val="20"/>
          <w:szCs w:val="20"/>
          <w:color w:val="auto"/>
        </w:rPr>
      </w:pPr>
    </w:p>
    <w:p>
      <w:pPr>
        <w:spacing w:after="0" w:line="201"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Interest is capitalized on all significant capital projects. The Company capitalized $3.1 million and $2.4 million of interest costs during fiscal 2001 and 2000, respectively.</w:t>
      </w:r>
    </w:p>
    <w:p>
      <w:pPr>
        <w:spacing w:after="0" w:line="200"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Goodwill arising from business acquisitions is amortized over its useful life, which is generally 20 to 40 years, on a straight-line basis. Intangible assets include patents, trademarks and other intangible assets which are valued at acquisition through independent appraisals. Patents, trademarks and other intangible assets are being amortized on a straight-line basis over periods varying from 7 to 40 years. Accumulated amortization at September 30, 2001 and 2000 was $150.2 million and $120.6 million, respectively.</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Management assesses the recoverability of property and equipment, goodwill, trademarks and other intangible assets whenever events or changes in circumstances indicate that the carrying amount of an asset may not be recoverable from its future undiscounted cash flows. If it is determined that an impairment has occurred, an impairment loss is recognized for the amount by which the carrying amount of the asset exceeds its estimated fair value.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INTERNAL USE SOFTWARE</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Company accounts for the costs of internal use software in accordance with Statement of Position 98-1, "Accounting for the Costs of Computer Software Developed or Obtained for Internal Use". Accordingly, costs other than reengineering costs are expensed or capitalized depending on whether they are incurred in the preliminary project stage, application development stage, or the post-implementation/ operation stage. As of September 30, 2001 and 2000, the Company had $36.7 million and $37.3 million, respectively, in unamortized capitalized internal use computer software costs. Amortization of these costs was $4.3 million during fiscal 2001 and $0.9 million during fiscal 2000.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CASH AND CASH EQUIVALENTS</w:t>
      </w:r>
    </w:p>
    <w:p>
      <w:pPr>
        <w:spacing w:after="0" w:line="203" w:lineRule="exact"/>
        <w:rPr>
          <w:sz w:val="20"/>
          <w:szCs w:val="20"/>
          <w:color w:val="auto"/>
        </w:rPr>
      </w:pPr>
    </w:p>
    <w:p>
      <w:pPr>
        <w:ind w:right="1979" w:firstLine="515"/>
        <w:spacing w:after="0" w:line="247" w:lineRule="auto"/>
        <w:rPr>
          <w:sz w:val="20"/>
          <w:szCs w:val="20"/>
          <w:color w:val="auto"/>
        </w:rPr>
      </w:pPr>
      <w:r>
        <w:rPr>
          <w:rFonts w:ascii="Courier New" w:cs="Courier New" w:eastAsia="Courier New" w:hAnsi="Courier New"/>
          <w:sz w:val="17"/>
          <w:szCs w:val="17"/>
          <w:color w:val="auto"/>
        </w:rPr>
        <w:t>The Company considers all highly liquid financial instruments with original maturities of three months or less to be cash equivalents.</w:t>
      </w:r>
    </w:p>
    <w:p>
      <w:pPr>
        <w:spacing w:after="0" w:line="19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49</w:t>
      </w:r>
    </w:p>
    <w:p>
      <w:pPr>
        <w:sectPr>
          <w:pgSz w:w="11900" w:h="16838" w:orient="portrait"/>
          <w:cols w:equalWidth="0" w:num="1">
            <w:col w:w="10219"/>
          </w:cols>
          <w:pgMar w:left="240" w:top="511" w:right="1440" w:bottom="919" w:gutter="0" w:footer="0" w:header="0"/>
        </w:sectPr>
      </w:pPr>
    </w:p>
    <w:bookmarkStart w:id="76" w:name="page77"/>
    <w:bookmarkEnd w:id="76"/>
    <w:p>
      <w:pPr>
        <w:ind w:left="1960"/>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ENVIRONMENTAL COSTS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Company recognizes environmental liabilities when conditions requiring remediation are identified. The Company determines its liability on a site by site basis and records a liability at the time when it is probable and can be reasonably estimated. Expenditures which extend the life of the related property or mitigate or prevent future environmental contamination are capitalized. Environmental liabilities are not discounted or reduced for possible recoveries from insurance carriers.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FOREIGN EXCHANGE INSTRUMENTS</w:t>
      </w:r>
    </w:p>
    <w:p>
      <w:pPr>
        <w:spacing w:after="0" w:line="203"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Gains and losses on foreign currency transaction hedges are recognized in income and offset the foreign exchange gains and losses on the underlying transactions. Gains and losses on foreign currency firm commitment hedges are deferred and included in the basis of the transactions underlying the commitments.</w:t>
      </w:r>
    </w:p>
    <w:p>
      <w:pPr>
        <w:spacing w:after="0" w:line="201"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All assets and liabilities in the balance sheets of foreign subsidiaries whose functional currency is other than the U.S. dollar are translated into U.S. dollar equivalents at year-end exchange rates. Translation gains and losses are accumulated as a separate component of other comprehensive income and included in shareholders' equity. Income and expense items are translated at average monthly exchange rates. Foreign currency transaction gains and losses are included in the determination of net income.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DERIVATIVE INSTRUMENTS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the normal course of business, the Company is exposed to fluctuations in interest rates and the value of foreign currencies. The Company has established policies and procedures that govern the management of these exposures through the use of a variety of financial instruments. The Company employs various financial instruments, including forward exchange contracts and swap agreements, to manage certain of the exposures when practical. By policy, the Company does not enter into such contracts for the purpose of speculation or use leveraged financial instruments. The Company's derivatives activities are managed by the chief financial officer and other senior management of the Company in consultation with the Finance Committee of the Board of Directors. These activities include establishing the Company's risk-management philosophy and objectives, providing guidelines for derivative-instrument usage and establishing procedures for control and valuation, counterparty credit approval and the monitoring and reporting of derivative activity. The Company's objective in managing its exposure to fluctuations in interest rates and foreign currency exchange rates is to decrease the volatility of earnings and cash flows associated with changes in the applicable rates and prices. To achieve this objective, the Company primarily enters into forward exchange contracts and swap agreements whose values change in the opposite direction of the anticipated cash flows. Derivative instruments related to forecasted transactions are considered to hedge future cash flows, and the effective portion of any gains or losses is included in other comprehensive income until earnings are affected by the variability of cash flows. Any remaining gain or loss is recognized currently in earnings. The cash flows of the derivative instruments are expected to be highly effective in achieving offsetting cash flows attributable to fluctuations in the cash flows of the hedged risk. If it becomes probable that a forecasted transaction will no longer occur, the derivative will continue to be carried on the balance sheet at fair value, and gains and losses that were accumulated in other comprehensive income will be recognized immediately in earnings.</w:t>
      </w:r>
    </w:p>
    <w:p>
      <w:pPr>
        <w:spacing w:after="0" w:line="215"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To manage certain of its cash flow exposures, the Company has entered into forward exchange contracts and interest rate swap agreements. The forward exchange contracts are designated as hedges of the Company's foreign currency exposure associated with future cash flows. Amounts payable or receivable under forward exchange contracts are recorded as adjustments to selling, general and administrative expense. The interest rate swap agreements are designated as hedges of the Company's interest rate risk associated with certain variable rate debt. Amounts payable or receivable under the swap agreements are recorded as adjustments to interest expense. Unrealized gains or losses resulting from valuing these swaps at fair value are recorded in other comprehensive income.</w:t>
      </w:r>
    </w:p>
    <w:p>
      <w:pPr>
        <w:spacing w:after="0" w:line="20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50</w:t>
      </w:r>
    </w:p>
    <w:p>
      <w:pPr>
        <w:sectPr>
          <w:pgSz w:w="11900" w:h="16838" w:orient="portrait"/>
          <w:cols w:equalWidth="0" w:num="1">
            <w:col w:w="10219"/>
          </w:cols>
          <w:pgMar w:left="240" w:top="511" w:right="1440" w:bottom="1440" w:gutter="0" w:footer="0" w:header="0"/>
        </w:sectPr>
      </w:pPr>
    </w:p>
    <w:bookmarkStart w:id="77" w:name="page78"/>
    <w:bookmarkEnd w:id="77"/>
    <w:p>
      <w:pPr>
        <w:ind w:left="1960"/>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Company adopted Statement of Financial Accounting Standards No. 133 as of October 2000. Since adoption, there have been no gains or losses recognized in earnings for hedge ineffectiveness or due to excluding a portion of the value from measuring effectiveness.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RECLASSIFICATIONS</w:t>
      </w:r>
    </w:p>
    <w:p>
      <w:pPr>
        <w:spacing w:after="0" w:line="203" w:lineRule="exact"/>
        <w:rPr>
          <w:sz w:val="20"/>
          <w:szCs w:val="20"/>
          <w:color w:val="auto"/>
        </w:rPr>
      </w:pPr>
    </w:p>
    <w:p>
      <w:pPr>
        <w:ind w:right="2499" w:firstLine="515"/>
        <w:spacing w:after="0" w:line="247" w:lineRule="auto"/>
        <w:rPr>
          <w:sz w:val="20"/>
          <w:szCs w:val="20"/>
          <w:color w:val="auto"/>
        </w:rPr>
      </w:pPr>
      <w:r>
        <w:rPr>
          <w:rFonts w:ascii="Courier New" w:cs="Courier New" w:eastAsia="Courier New" w:hAnsi="Courier New"/>
          <w:sz w:val="17"/>
          <w:szCs w:val="17"/>
          <w:color w:val="auto"/>
        </w:rPr>
        <w:t>Certain reclassifications have been made to the prior years' financial statements to conform to fiscal 2001 classifications.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2. DETAIL OF CERTAIN FINANCIAL STATEMENT ACCOUNTS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2001 2000 -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780" w:hanging="624"/>
        <w:spacing w:after="0"/>
        <w:tabs>
          <w:tab w:leader="none" w:pos="780" w:val="left"/>
        </w:tabs>
        <w:numPr>
          <w:ilvl w:val="0"/>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millions)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INVENTORIES,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NET:</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Finished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goods $</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295.8 $</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232.9 Raw</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materials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72.6 74.6 -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260" w:right="9039" w:hanging="207"/>
        <w:spacing w:after="0" w:line="262" w:lineRule="auto"/>
        <w:tabs>
          <w:tab w:leader="none" w:pos="466"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$ 368.4 $ 307.5</w:t>
      </w:r>
    </w:p>
    <w:p>
      <w:pPr>
        <w:ind w:left="2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6"/>
          <w:szCs w:val="16"/>
          <w:color w:val="auto"/>
        </w:rPr>
      </w:pPr>
    </w:p>
    <w:p>
      <w:pPr>
        <w:ind w:left="2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2001 2000 -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780" w:hanging="624"/>
        <w:spacing w:after="0"/>
        <w:tabs>
          <w:tab w:leader="none" w:pos="780" w:val="left"/>
        </w:tabs>
        <w:numPr>
          <w:ilvl w:val="0"/>
          <w:numId w:val="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millions)</w:t>
      </w:r>
    </w:p>
    <w:p>
      <w:pPr>
        <w:spacing w:after="0" w:line="5" w:lineRule="exact"/>
        <w:rPr>
          <w:rFonts w:ascii="Courier New" w:cs="Courier New" w:eastAsia="Courier New" w:hAnsi="Courier New"/>
          <w:sz w:val="17"/>
          <w:szCs w:val="17"/>
          <w:color w:val="auto"/>
        </w:rPr>
      </w:pPr>
    </w:p>
    <w:p>
      <w:pPr>
        <w:jc w:val="center"/>
        <w:ind w:left="100" w:right="9079" w:firstLine="51"/>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PROPERTY, PLANT AND EQUIPMENT, NET: Land and</w:t>
      </w:r>
    </w:p>
    <w:p>
      <w:pPr>
        <w:spacing w:after="0" w:line="3"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improvements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$ 38.9 $</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38.5</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Buildings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119.5 109.0</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Machinery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equipment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203.4</w:t>
            </w:r>
          </w:p>
        </w:tc>
        <w:tc>
          <w:tcPr>
            <w:tcW w:w="620" w:type="dxa"/>
            <w:vAlign w:val="bottom"/>
          </w:tcPr>
          <w:p>
            <w:pPr>
              <w:ind w:left="60"/>
              <w:spacing w:after="0"/>
              <w:rPr>
                <w:sz w:val="20"/>
                <w:szCs w:val="20"/>
                <w:color w:val="auto"/>
              </w:rPr>
            </w:pPr>
            <w:r>
              <w:rPr>
                <w:rFonts w:ascii="Courier New" w:cs="Courier New" w:eastAsia="Courier New" w:hAnsi="Courier New"/>
                <w:sz w:val="17"/>
                <w:szCs w:val="17"/>
                <w:color w:val="auto"/>
              </w:rPr>
              <w:t>201.4</w:t>
            </w:r>
          </w:p>
        </w:tc>
      </w:tr>
      <w:tr>
        <w:trPr>
          <w:trHeight w:val="198"/>
        </w:trPr>
        <w:tc>
          <w:tcPr>
            <w:tcW w:w="1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Furniture</w:t>
            </w:r>
          </w:p>
        </w:tc>
      </w:tr>
      <w:tr>
        <w:trPr>
          <w:trHeight w:val="198"/>
        </w:trPr>
        <w:tc>
          <w:tcPr>
            <w:tcW w:w="1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and</w:t>
            </w:r>
          </w:p>
        </w:tc>
      </w:tr>
      <w:tr>
        <w:trPr>
          <w:trHeight w:val="198"/>
        </w:trPr>
        <w:tc>
          <w:tcPr>
            <w:tcW w:w="1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fixtures</w:t>
            </w:r>
          </w:p>
        </w:tc>
      </w:tr>
      <w:tr>
        <w:trPr>
          <w:trHeight w:val="198"/>
        </w:trPr>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31.9</w:t>
            </w:r>
          </w:p>
        </w:tc>
        <w:tc>
          <w:tcPr>
            <w:tcW w:w="620" w:type="dxa"/>
            <w:vAlign w:val="bottom"/>
          </w:tcPr>
          <w:p>
            <w:pPr>
              <w:ind w:left="60"/>
              <w:spacing w:after="0"/>
              <w:rPr>
                <w:sz w:val="20"/>
                <w:szCs w:val="20"/>
                <w:color w:val="auto"/>
              </w:rPr>
            </w:pPr>
            <w:r>
              <w:rPr>
                <w:rFonts w:ascii="Courier New" w:cs="Courier New" w:eastAsia="Courier New" w:hAnsi="Courier New"/>
                <w:sz w:val="17"/>
                <w:szCs w:val="17"/>
                <w:color w:val="auto"/>
              </w:rPr>
              <w:t>30.0</w:t>
            </w:r>
          </w:p>
        </w:tc>
      </w:tr>
      <w:tr>
        <w:trPr>
          <w:trHeight w:val="198"/>
        </w:trPr>
        <w:tc>
          <w:tcPr>
            <w:tcW w:w="1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Software</w:t>
            </w:r>
          </w:p>
        </w:tc>
      </w:tr>
      <w:tr>
        <w:trPr>
          <w:trHeight w:val="198"/>
        </w:trPr>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42.0</w:t>
            </w:r>
          </w:p>
        </w:tc>
        <w:tc>
          <w:tcPr>
            <w:tcW w:w="620" w:type="dxa"/>
            <w:vAlign w:val="bottom"/>
          </w:tcPr>
          <w:p>
            <w:pPr>
              <w:ind w:left="60"/>
              <w:spacing w:after="0"/>
              <w:rPr>
                <w:sz w:val="20"/>
                <w:szCs w:val="20"/>
                <w:color w:val="auto"/>
              </w:rPr>
            </w:pPr>
            <w:r>
              <w:rPr>
                <w:rFonts w:ascii="Courier New" w:cs="Courier New" w:eastAsia="Courier New" w:hAnsi="Courier New"/>
                <w:sz w:val="17"/>
                <w:szCs w:val="17"/>
                <w:color w:val="auto"/>
              </w:rPr>
              <w:t>39.5</w:t>
            </w:r>
          </w:p>
        </w:tc>
      </w:tr>
      <w:tr>
        <w:trPr>
          <w:trHeight w:val="198"/>
        </w:trPr>
        <w:tc>
          <w:tcPr>
            <w:tcW w:w="1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Construction</w:t>
            </w:r>
          </w:p>
        </w:tc>
      </w:tr>
      <w:tr>
        <w:trPr>
          <w:trHeight w:val="198"/>
        </w:trPr>
        <w:tc>
          <w:tcPr>
            <w:tcW w:w="124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99"/>
              </w:rPr>
              <w:t>in progress</w:t>
            </w:r>
          </w:p>
        </w:tc>
      </w:tr>
      <w:tr>
        <w:trPr>
          <w:trHeight w:val="198"/>
        </w:trPr>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79.6</w:t>
            </w:r>
          </w:p>
        </w:tc>
        <w:tc>
          <w:tcPr>
            <w:tcW w:w="620" w:type="dxa"/>
            <w:vAlign w:val="bottom"/>
          </w:tcPr>
          <w:p>
            <w:pPr>
              <w:ind w:left="60"/>
              <w:spacing w:after="0"/>
              <w:rPr>
                <w:sz w:val="20"/>
                <w:szCs w:val="20"/>
                <w:color w:val="auto"/>
              </w:rPr>
            </w:pPr>
            <w:r>
              <w:rPr>
                <w:rFonts w:ascii="Courier New" w:cs="Courier New" w:eastAsia="Courier New" w:hAnsi="Courier New"/>
                <w:sz w:val="17"/>
                <w:szCs w:val="17"/>
                <w:color w:val="auto"/>
              </w:rPr>
              <w:t>54.4</w:t>
            </w:r>
          </w:p>
        </w:tc>
      </w:tr>
    </w:tbl>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Less: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accumulated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depreciation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(204.6)</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(182.3) ---</w:t>
      </w:r>
    </w:p>
    <w:p>
      <w:pPr>
        <w:spacing w:after="0" w:line="5" w:lineRule="exact"/>
        <w:rPr>
          <w:sz w:val="20"/>
          <w:szCs w:val="20"/>
          <w:color w:val="auto"/>
        </w:rPr>
      </w:pPr>
    </w:p>
    <w:p>
      <w:pPr>
        <w:ind w:left="560" w:hanging="507"/>
        <w:spacing w:after="0"/>
        <w:tabs>
          <w:tab w:leader="none" w:pos="560" w:val="left"/>
        </w:tabs>
        <w:numPr>
          <w:ilvl w:val="0"/>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Total $</w:t>
      </w:r>
    </w:p>
    <w:p>
      <w:pPr>
        <w:sectPr>
          <w:pgSz w:w="11900" w:h="16838" w:orient="portrait"/>
          <w:cols w:equalWidth="0" w:num="1">
            <w:col w:w="10219"/>
          </w:cols>
          <w:pgMar w:left="240" w:top="511" w:right="1440" w:bottom="0" w:gutter="0" w:footer="0" w:header="0"/>
        </w:sectPr>
      </w:pPr>
    </w:p>
    <w:bookmarkStart w:id="78" w:name="page79"/>
    <w:bookmarkEnd w:id="78"/>
    <w:p>
      <w:pPr>
        <w:jc w:val="center"/>
        <w:ind w:right="8979"/>
        <w:spacing w:after="0"/>
        <w:rPr>
          <w:sz w:val="20"/>
          <w:szCs w:val="20"/>
          <w:color w:val="auto"/>
        </w:rPr>
      </w:pPr>
      <w:r>
        <w:rPr>
          <w:rFonts w:ascii="Courier New" w:cs="Courier New" w:eastAsia="Courier New" w:hAnsi="Courier New"/>
          <w:sz w:val="17"/>
          <w:szCs w:val="17"/>
          <w:color w:val="auto"/>
        </w:rPr>
        <w:t>310.7 $</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290.5</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2001 2000 -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780" w:hanging="624"/>
        <w:spacing w:after="0"/>
        <w:tabs>
          <w:tab w:leader="none" w:pos="780" w:val="left"/>
        </w:tabs>
        <w:numPr>
          <w:ilvl w:val="0"/>
          <w:numId w:val="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millions)</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INTANGIBLE</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ASSETS,</w:t>
      </w:r>
    </w:p>
    <w:p>
      <w:pPr>
        <w:spacing w:after="0" w:line="5"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NET:</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Goodwill $</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352.3 $</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330.1</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Trademarks</w:t>
      </w:r>
    </w:p>
    <w:p>
      <w:pPr>
        <w:spacing w:after="0" w:line="5" w:lineRule="exact"/>
        <w:rPr>
          <w:sz w:val="20"/>
          <w:szCs w:val="20"/>
          <w:color w:val="auto"/>
        </w:rPr>
      </w:pPr>
    </w:p>
    <w:tbl>
      <w:tblPr>
        <w:tblLayout w:type="fixed"/>
        <w:tblInd w:w="60" w:type="dxa"/>
        <w:tblCellMar>
          <w:top w:w="0" w:type="dxa"/>
          <w:left w:w="0" w:type="dxa"/>
          <w:bottom w:w="0" w:type="dxa"/>
          <w:right w:w="0" w:type="dxa"/>
        </w:tblCellMar>
      </w:tblPr>
      <w:tr>
        <w:trPr>
          <w:trHeight w:val="193"/>
        </w:trPr>
        <w:tc>
          <w:tcPr>
            <w:tcW w:w="560" w:type="dxa"/>
            <w:vAlign w:val="bottom"/>
          </w:tcPr>
          <w:p>
            <w:pPr>
              <w:spacing w:after="0"/>
              <w:rPr>
                <w:sz w:val="20"/>
                <w:szCs w:val="20"/>
                <w:color w:val="auto"/>
              </w:rPr>
            </w:pPr>
            <w:r>
              <w:rPr>
                <w:rFonts w:ascii="Courier New" w:cs="Courier New" w:eastAsia="Courier New" w:hAnsi="Courier New"/>
                <w:sz w:val="17"/>
                <w:szCs w:val="17"/>
                <w:color w:val="auto"/>
              </w:rPr>
              <w:t>385.7</w:t>
            </w:r>
          </w:p>
        </w:tc>
        <w:tc>
          <w:tcPr>
            <w:tcW w:w="560" w:type="dxa"/>
            <w:vAlign w:val="bottom"/>
          </w:tcPr>
          <w:p>
            <w:pPr>
              <w:ind w:left="60"/>
              <w:spacing w:after="0"/>
              <w:rPr>
                <w:sz w:val="20"/>
                <w:szCs w:val="20"/>
                <w:color w:val="auto"/>
              </w:rPr>
            </w:pPr>
            <w:r>
              <w:rPr>
                <w:rFonts w:ascii="Courier New" w:cs="Courier New" w:eastAsia="Courier New" w:hAnsi="Courier New"/>
                <w:sz w:val="17"/>
                <w:szCs w:val="17"/>
                <w:color w:val="auto"/>
                <w:w w:val="94"/>
              </w:rPr>
              <w:t>358.0</w:t>
            </w:r>
          </w:p>
        </w:tc>
      </w:tr>
      <w:tr>
        <w:trPr>
          <w:trHeight w:val="198"/>
        </w:trPr>
        <w:tc>
          <w:tcPr>
            <w:tcW w:w="1120" w:type="dxa"/>
            <w:vAlign w:val="bottom"/>
            <w:gridSpan w:val="2"/>
          </w:tcPr>
          <w:p>
            <w:pPr>
              <w:spacing w:after="0"/>
              <w:rPr>
                <w:sz w:val="20"/>
                <w:szCs w:val="20"/>
                <w:color w:val="auto"/>
              </w:rPr>
            </w:pPr>
            <w:r>
              <w:rPr>
                <w:rFonts w:ascii="Courier New" w:cs="Courier New" w:eastAsia="Courier New" w:hAnsi="Courier New"/>
                <w:sz w:val="17"/>
                <w:szCs w:val="17"/>
                <w:color w:val="auto"/>
                <w:w w:val="97"/>
              </w:rPr>
              <w:t>Other 183.3</w:t>
            </w:r>
          </w:p>
        </w:tc>
      </w:tr>
      <w:tr>
        <w:trPr>
          <w:trHeight w:val="198"/>
        </w:trPr>
        <w:tc>
          <w:tcPr>
            <w:tcW w:w="560" w:type="dxa"/>
            <w:vAlign w:val="bottom"/>
          </w:tcPr>
          <w:p>
            <w:pPr>
              <w:spacing w:after="0"/>
              <w:rPr>
                <w:sz w:val="20"/>
                <w:szCs w:val="20"/>
                <w:color w:val="auto"/>
              </w:rPr>
            </w:pPr>
            <w:r>
              <w:rPr>
                <w:rFonts w:ascii="Courier New" w:cs="Courier New" w:eastAsia="Courier New" w:hAnsi="Courier New"/>
                <w:sz w:val="17"/>
                <w:szCs w:val="17"/>
                <w:color w:val="auto"/>
              </w:rPr>
              <w:t>175.6</w:t>
            </w:r>
          </w:p>
        </w:tc>
        <w:tc>
          <w:tcPr>
            <w:tcW w:w="560" w:type="dxa"/>
            <w:vAlign w:val="bottom"/>
          </w:tcPr>
          <w:p>
            <w:pPr>
              <w:ind w:left="60"/>
              <w:spacing w:after="0"/>
              <w:rPr>
                <w:sz w:val="20"/>
                <w:szCs w:val="20"/>
                <w:color w:val="auto"/>
              </w:rPr>
            </w:pPr>
            <w:r>
              <w:rPr>
                <w:rFonts w:ascii="Courier New" w:cs="Courier New" w:eastAsia="Courier New" w:hAnsi="Courier New"/>
                <w:sz w:val="17"/>
                <w:szCs w:val="17"/>
                <w:color w:val="auto"/>
                <w:w w:val="94"/>
              </w:rPr>
              <w:t>Less:</w:t>
            </w:r>
          </w:p>
        </w:tc>
      </w:tr>
      <w:tr>
        <w:trPr>
          <w:trHeight w:val="198"/>
        </w:trPr>
        <w:tc>
          <w:tcPr>
            <w:tcW w:w="1120" w:type="dxa"/>
            <w:vAlign w:val="bottom"/>
            <w:gridSpan w:val="2"/>
          </w:tcPr>
          <w:p>
            <w:pPr>
              <w:spacing w:after="0"/>
              <w:rPr>
                <w:sz w:val="20"/>
                <w:szCs w:val="20"/>
                <w:color w:val="auto"/>
              </w:rPr>
            </w:pPr>
            <w:r>
              <w:rPr>
                <w:rFonts w:ascii="Courier New" w:cs="Courier New" w:eastAsia="Courier New" w:hAnsi="Courier New"/>
                <w:sz w:val="17"/>
                <w:szCs w:val="17"/>
                <w:color w:val="auto"/>
                <w:w w:val="97"/>
              </w:rPr>
              <w:t>accumulated</w:t>
            </w:r>
          </w:p>
        </w:tc>
      </w:tr>
    </w:tbl>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amortization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(150.2)</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(120.6) ---</w:t>
      </w:r>
    </w:p>
    <w:p>
      <w:pPr>
        <w:spacing w:after="0" w:line="5" w:lineRule="exact"/>
        <w:rPr>
          <w:sz w:val="20"/>
          <w:szCs w:val="20"/>
          <w:color w:val="auto"/>
        </w:rPr>
      </w:pPr>
    </w:p>
    <w:p>
      <w:pPr>
        <w:ind w:left="560" w:hanging="507"/>
        <w:spacing w:after="0"/>
        <w:tabs>
          <w:tab w:leader="none" w:pos="560" w:val="left"/>
        </w:tabs>
        <w:numPr>
          <w:ilvl w:val="0"/>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Total $</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771.1 $</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743.1</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2001 2000 -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(in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millions)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ACCRUED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LIABILITIES: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Payroll and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other</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compensation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accruals $</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35.2 $ 40.5</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Advertising</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and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promotional</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accruals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63.5 62.3</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Restructuring</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accruals</w:t>
      </w:r>
    </w:p>
    <w:p>
      <w:pPr>
        <w:spacing w:after="0" w:line="5" w:lineRule="exact"/>
        <w:rPr>
          <w:sz w:val="20"/>
          <w:szCs w:val="20"/>
          <w:color w:val="auto"/>
        </w:rPr>
      </w:pPr>
    </w:p>
    <w:tbl>
      <w:tblPr>
        <w:tblLayout w:type="fixed"/>
        <w:tblInd w:w="160" w:type="dxa"/>
        <w:tblCellMar>
          <w:top w:w="0" w:type="dxa"/>
          <w:left w:w="0" w:type="dxa"/>
          <w:bottom w:w="0" w:type="dxa"/>
          <w:right w:w="0" w:type="dxa"/>
        </w:tblCellMar>
      </w:tblPr>
      <w:tr>
        <w:trPr>
          <w:trHeight w:val="193"/>
        </w:trPr>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30.1</w:t>
            </w:r>
          </w:p>
        </w:tc>
        <w:tc>
          <w:tcPr>
            <w:tcW w:w="460" w:type="dxa"/>
            <w:vAlign w:val="bottom"/>
          </w:tcPr>
          <w:p>
            <w:pPr>
              <w:ind w:left="60"/>
              <w:spacing w:after="0"/>
              <w:rPr>
                <w:sz w:val="20"/>
                <w:szCs w:val="20"/>
                <w:color w:val="auto"/>
              </w:rPr>
            </w:pPr>
            <w:r>
              <w:rPr>
                <w:rFonts w:ascii="Courier New" w:cs="Courier New" w:eastAsia="Courier New" w:hAnsi="Courier New"/>
                <w:sz w:val="17"/>
                <w:szCs w:val="17"/>
                <w:color w:val="auto"/>
              </w:rPr>
              <w:t>0.0</w:t>
            </w:r>
          </w:p>
        </w:tc>
      </w:tr>
      <w:tr>
        <w:trPr>
          <w:trHeight w:val="198"/>
        </w:trPr>
        <w:tc>
          <w:tcPr>
            <w:tcW w:w="560" w:type="dxa"/>
            <w:vAlign w:val="bottom"/>
          </w:tcPr>
          <w:p>
            <w:pPr>
              <w:jc w:val="right"/>
              <w:spacing w:after="0"/>
              <w:rPr>
                <w:sz w:val="20"/>
                <w:szCs w:val="20"/>
                <w:color w:val="auto"/>
              </w:rPr>
            </w:pPr>
            <w:r>
              <w:rPr>
                <w:rFonts w:ascii="Courier New" w:cs="Courier New" w:eastAsia="Courier New" w:hAnsi="Courier New"/>
                <w:sz w:val="17"/>
                <w:szCs w:val="17"/>
                <w:color w:val="auto"/>
                <w:w w:val="97"/>
              </w:rPr>
              <w:t>Other</w:t>
            </w:r>
          </w:p>
        </w:tc>
        <w:tc>
          <w:tcPr>
            <w:tcW w:w="460" w:type="dxa"/>
            <w:vAlign w:val="bottom"/>
          </w:tcPr>
          <w:p>
            <w:pPr>
              <w:ind w:left="60"/>
              <w:spacing w:after="0"/>
              <w:rPr>
                <w:sz w:val="20"/>
                <w:szCs w:val="20"/>
                <w:color w:val="auto"/>
              </w:rPr>
            </w:pPr>
            <w:r>
              <w:rPr>
                <w:rFonts w:ascii="Courier New" w:cs="Courier New" w:eastAsia="Courier New" w:hAnsi="Courier New"/>
                <w:sz w:val="17"/>
                <w:szCs w:val="17"/>
                <w:color w:val="auto"/>
                <w:w w:val="93"/>
              </w:rPr>
              <w:t>79.2</w:t>
            </w:r>
          </w:p>
        </w:tc>
      </w:tr>
    </w:tbl>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71.5 -------</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Total $</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208.0 $</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174.3</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51</w:t>
      </w:r>
    </w:p>
    <w:p>
      <w:pPr>
        <w:sectPr>
          <w:pgSz w:w="11900" w:h="16838" w:orient="portrait"/>
          <w:cols w:equalWidth="0" w:num="1">
            <w:col w:w="10219"/>
          </w:cols>
          <w:pgMar w:left="240" w:top="142" w:right="1440" w:bottom="893" w:gutter="0" w:footer="0" w:header="0"/>
        </w:sectPr>
      </w:pPr>
    </w:p>
    <w:bookmarkStart w:id="79" w:name="page80"/>
    <w:bookmarkEnd w:id="79"/>
    <w:p>
      <w:pPr>
        <w:ind w:left="1960"/>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2001 2000 -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80" w:hanging="212"/>
        <w:spacing w:after="0"/>
        <w:tabs>
          <w:tab w:leader="none" w:pos="680" w:val="left"/>
        </w:tabs>
        <w:numPr>
          <w:ilvl w:val="0"/>
          <w:numId w:val="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millions)</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OTHER NON-</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CURRENT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LIABILITIES: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Accrued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pension and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postretirement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liabilities $</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62.0 $ 49.8</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Legal and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environmental</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reserves 7.0</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10.5</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Restructuring</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accruals 4.2</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0.0 Other 2.0</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0.0 ------- -</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 Total</w:t>
      </w:r>
    </w:p>
    <w:p>
      <w:pPr>
        <w:spacing w:after="0" w:line="5" w:lineRule="exact"/>
        <w:rPr>
          <w:sz w:val="20"/>
          <w:szCs w:val="20"/>
          <w:color w:val="auto"/>
        </w:rPr>
      </w:pPr>
    </w:p>
    <w:p>
      <w:pPr>
        <w:ind w:left="260" w:hanging="204"/>
        <w:spacing w:after="0"/>
        <w:tabs>
          <w:tab w:leader="none" w:pos="260" w:val="left"/>
        </w:tabs>
        <w:numPr>
          <w:ilvl w:val="0"/>
          <w:numId w:val="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75.2 $ 60.3</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3. MARKETING AGREEMENT</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Effective September 30, 1998, the Company entered into an agreement with Monsanto Company ("Monsanto", now known as Pharmacia Corporation) for exclusive domestic and international marketing and agency rights to Monsanto's consumer Roundup(R) herbicide products. Under the terms of the agreement, the Company is entitled to receive an annual commission from Monsanto in consideration for the performance of its duties as agent. The annual commission is calculated as a percentage of the actual earnings before interest and income taxes (EBIT), as defined in the agreement, of the Roundup(R) business. Each year's percentage varies in accordance with the terms of the agreement based on the achievement of two earnings thresholds and on commission rates that vary by threshold and program year.</w:t>
      </w:r>
    </w:p>
    <w:p>
      <w:pPr>
        <w:spacing w:after="0" w:line="204"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agreement also requires the Company to make fixed annual payments to Monsanto as a contribution against the overall expenses of the Roundup(R) business. The annual fixed payment is defined as $20 million. However, portions of the annual payments for the first three years of the agreement are deferred. No payment was required for the first year (fiscal 1999), a payment of $5 million was required for the second year and a payment of $15 million was required for the third year so that a total of $40 million of the contribution payments were deferred. Beginning in the fifth year of the agreement, the annual payments to Monsanto increase to at least $25 million, which include per annum interest charges at 8%. The annual payments may be increased above $25 million if certain significant earnings targets are exceeded. If all of the deferred contribution amounts are paid prior to 2018, the annual contribution payments revert to $20 million. Regardless of whether the deferred contribution amounts are paid, all contribution payments cease entirely in 2018.</w:t>
      </w:r>
    </w:p>
    <w:p>
      <w:pPr>
        <w:spacing w:after="0" w:line="206"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Company is recognizing a charge each year associated with the annual contribution payments equal to the required payment for that year. The Company is not recognizing a charge for the portions of the contribution payments that are deferred until the time those deferred amounts are paid. The Company considers this method of accounting for the contribution payments to be appropriate after consideration of the likely term of the agreement, the Company's ability to terminate the agreement without paying the deferred amounts, and the fact that approximately $18.6 million of the deferred amount is never paid, even if the agreement is not terminated prior to 2018, unless significant earnings targets are exceeded.</w:t>
      </w:r>
    </w:p>
    <w:p>
      <w:pPr>
        <w:spacing w:after="0" w:line="204"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express terms of the agreement permit the Company to terminate the agreement only upon Material Breach, Material Fraud or Material Willful Misconduct by Monsanto, as such terms are defined in the agreement, or upon the sale of the Roundup business by Monsanto. In such instances, the agreement permits the Company to avoid payment of any deferred contribution and related per annum charge. The Company's basis for not recording a financial liability to Monsanto for the deferred portions of the annual contribution and per annum</w:t>
      </w:r>
    </w:p>
    <w:p>
      <w:pPr>
        <w:sectPr>
          <w:pgSz w:w="11900" w:h="16838" w:orient="portrait"/>
          <w:cols w:equalWidth="0" w:num="1">
            <w:col w:w="10219"/>
          </w:cols>
          <w:pgMar w:left="240" w:top="511" w:right="1440" w:bottom="0" w:gutter="0" w:footer="0" w:header="0"/>
        </w:sectPr>
      </w:pPr>
    </w:p>
    <w:bookmarkStart w:id="80" w:name="page81"/>
    <w:bookmarkEnd w:id="80"/>
    <w:p>
      <w:pPr>
        <w:ind w:right="1979"/>
        <w:spacing w:after="0" w:line="246" w:lineRule="auto"/>
        <w:rPr>
          <w:sz w:val="20"/>
          <w:szCs w:val="20"/>
          <w:color w:val="auto"/>
        </w:rPr>
      </w:pPr>
      <w:r>
        <w:rPr>
          <w:rFonts w:ascii="Courier New" w:cs="Courier New" w:eastAsia="Courier New" w:hAnsi="Courier New"/>
          <w:sz w:val="17"/>
          <w:szCs w:val="17"/>
          <w:color w:val="auto"/>
        </w:rPr>
        <w:t>charge is based on our assessment and consultations with our legal counsel and the Company's independent accountants. In addition, the Company has obtained a legal opinion from The Bayard Firm, P.A., which concluded, subject to certain qualifications, that if the matter were litigated, a Delaware court would likely conclude that the Company is entitled to terminate the agreement at will, with appropriate prior notice, without incurring significant penalty, and avoid paying the unpaid deferred amounts. We have concluded that, should the Company elect to terminate the agreement at any balance sheet date, it will not incur significant economic consequences as a result of such action.</w:t>
      </w:r>
    </w:p>
    <w:p>
      <w:pPr>
        <w:spacing w:after="0" w:line="203" w:lineRule="exact"/>
        <w:rPr>
          <w:sz w:val="20"/>
          <w:szCs w:val="20"/>
          <w:color w:val="auto"/>
        </w:rPr>
      </w:pPr>
    </w:p>
    <w:p>
      <w:pPr>
        <w:ind w:right="2279" w:firstLine="515"/>
        <w:spacing w:after="0" w:line="246" w:lineRule="auto"/>
        <w:rPr>
          <w:sz w:val="20"/>
          <w:szCs w:val="20"/>
          <w:color w:val="auto"/>
        </w:rPr>
      </w:pPr>
      <w:r>
        <w:rPr>
          <w:rFonts w:ascii="Courier New" w:cs="Courier New" w:eastAsia="Courier New" w:hAnsi="Courier New"/>
          <w:sz w:val="17"/>
          <w:szCs w:val="17"/>
          <w:color w:val="auto"/>
        </w:rPr>
        <w:t>The Bayard Firm was special Delaware counsel retained during fiscal 2000 solely for the limited purpose of providing a legal opinion in support of the contingent liability treatment of the agreement previously adopted by the Company and has neither generally represented or advised the Company nor</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52</w:t>
      </w:r>
    </w:p>
    <w:p>
      <w:pPr>
        <w:sectPr>
          <w:pgSz w:w="11900" w:h="16838" w:orient="portrait"/>
          <w:cols w:equalWidth="0" w:num="1">
            <w:col w:w="10219"/>
          </w:cols>
          <w:pgMar w:left="240" w:top="142" w:right="1440" w:bottom="1440" w:gutter="0" w:footer="0" w:header="0"/>
        </w:sectPr>
      </w:pPr>
    </w:p>
    <w:bookmarkStart w:id="81" w:name="page82"/>
    <w:bookmarkEnd w:id="81"/>
    <w:p>
      <w:pPr>
        <w:jc w:val="center"/>
        <w:ind w:right="1979"/>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participated in the preparation or review of the Company's financial statements or any SEC filings. The terms of such opinion specifically limit the parties who are entitled to rely on it.</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Company's conclusion is not free from challenge and, in fact, would likely be challenged if the Company were to terminate the agreement. If it were determined that, upon termination, the Company must pay any remaining deferred contribution amounts and related per annum charges, the resulting charge to earnings could have a material impact on the Company's results of operations and financial position. At September 30, 2001, contribution payments and related per annum charges of approximately $46.4 million had been deferred under the agreement. This amount is considered a contingent obligation and has not been reflected in the financial statements as of and for the year then ended.</w:t>
      </w:r>
    </w:p>
    <w:p>
      <w:pPr>
        <w:spacing w:after="0" w:line="203"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Monsanto has disclosed that it is accruing the $20 million fixed contribution fee per year beginning in the fourth quarter of Monsanto's fiscal year 1998, plus interest on the deferred portion.</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agreement has a term of seven years for all countries within the European Union (at the option of both parties, the agreement can be renewed for up to 20 years for the European Union countries). For countries outside of the European Union, the agreement continues indefinitely unless terminated by either party. The agreement provides Monsanto with the right to terminate the agreement for an event of default (as defined in the agreement) by the Company or a change in control of Monsanto or the sale of the Roundup(R)business. The agreement provides the Company with the right to terminate the agreement in certain circumstances including an event of default by Monsanto or the sale of the Roundup(R) business. Unless Monsanto terminates the agreement for an event of default by the Company, Monsanto is required to pay a termination fee to the Company that varies by program year. The termination fee is $150 million for each of the first five program years, gradually declines to $100 million by year ten of the program and then declines to a minimum of $16 million if the program continues for years 11 through 20.</w:t>
      </w:r>
    </w:p>
    <w:p>
      <w:pPr>
        <w:spacing w:after="0" w:line="207"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In consideration for the rights granted to the Company under the agreement for North America, the Company was required to pay a marketing fee of $32 million to Monsanto. The Company has deferred this amount on the basis that the payment will provide a future benefit through commissions that will be earned under the agreement and is amortizing the balance over ten years, which is the estimated likely term of the agreement.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4. RESTRUCTURING AND OTHER CHARGES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2001 CHARGES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During the third and fourth quarters of fiscal 2001, the Company recorded $75.7 million of restructuring and other charges, primarily associated with the closure or relocation of certain manufacturing and administrative facilities. The $75.7 million in charges is segregated in the Statements of Operations in two components: (i) $7.3 million included in cost of sales for the write-off of inventory that was rendered unusable as a result of the restructuring activities and (ii) $68.4 million included in selling, general and administrative costs. Included in the $68.4 million charge in selling, general and administrative costs is $20.4 million to write-down to fair value certain property and equipment and other assets; $5.8 million of facility exit costs; $27.0 million of severance costs; and $15.2 million in other restructuring and other costs. The severance costs related to reduction in force initiatives and facility closures and consolidations in North America and Europe covering approximately 340 administrative, production, selling and other employees. Severance costs are expected to be paid in fiscal 2002 with some payments extending into 2003. All other fiscal 2001 restructuring related activities and costs are expected to be completed by the end of fiscal 2002.</w:t>
      </w:r>
    </w:p>
    <w:p>
      <w:pPr>
        <w:spacing w:after="0" w:line="20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53</w:t>
      </w:r>
    </w:p>
    <w:p>
      <w:pPr>
        <w:sectPr>
          <w:pgSz w:w="11900" w:h="16838" w:orient="portrait"/>
          <w:cols w:equalWidth="0" w:num="1">
            <w:col w:w="10219"/>
          </w:cols>
          <w:pgMar w:left="240" w:top="511" w:right="1440" w:bottom="1440" w:gutter="0" w:footer="0" w:header="0"/>
        </w:sectPr>
      </w:pPr>
    </w:p>
    <w:bookmarkStart w:id="82" w:name="page83"/>
    <w:bookmarkEnd w:id="82"/>
    <w:p>
      <w:pPr>
        <w:jc w:val="center"/>
        <w:ind w:right="1979"/>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3" w:lineRule="exact"/>
        <w:rPr>
          <w:sz w:val="20"/>
          <w:szCs w:val="20"/>
          <w:color w:val="auto"/>
        </w:rPr>
      </w:pPr>
    </w:p>
    <w:p>
      <w:pPr>
        <w:ind w:right="2399" w:firstLine="515"/>
        <w:spacing w:after="0" w:line="247" w:lineRule="auto"/>
        <w:rPr>
          <w:sz w:val="20"/>
          <w:szCs w:val="20"/>
          <w:color w:val="auto"/>
        </w:rPr>
      </w:pPr>
      <w:r>
        <w:rPr>
          <w:rFonts w:ascii="Courier New" w:cs="Courier New" w:eastAsia="Courier New" w:hAnsi="Courier New"/>
          <w:sz w:val="17"/>
          <w:szCs w:val="17"/>
          <w:color w:val="auto"/>
        </w:rPr>
        <w:t>The following is a rollforward of the restructuring and related charges recorded in the third and fourth quarters of fiscal 2001:</w:t>
      </w:r>
    </w:p>
    <w:p>
      <w:pPr>
        <w:spacing w:after="0" w:line="198"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Description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Type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Classification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Charge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Payment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Balance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Severance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Cash SG&amp;A</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$27.0 $ (1.9)</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$25.1</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Facility exit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costs Cash</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SG&amp;A 5.8</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(0.6) 5.2</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Other related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costs Cash</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SG&amp;A 15.2</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(8.2) 7.0 ---</w:t>
      </w:r>
    </w:p>
    <w:p>
      <w:pPr>
        <w:spacing w:after="0" w:line="5" w:lineRule="exact"/>
        <w:rPr>
          <w:sz w:val="20"/>
          <w:szCs w:val="20"/>
          <w:color w:val="auto"/>
        </w:rPr>
      </w:pPr>
    </w:p>
    <w:p>
      <w:pPr>
        <w:ind w:left="360" w:hanging="304"/>
        <w:spacing w:after="0"/>
        <w:tabs>
          <w:tab w:leader="none" w:pos="360" w:val="left"/>
        </w:tabs>
        <w:numPr>
          <w:ilvl w:val="0"/>
          <w:numId w:val="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jc w:val="both"/>
        <w:ind w:left="100" w:right="8819" w:hanging="44"/>
        <w:spacing w:after="0" w:line="246" w:lineRule="auto"/>
        <w:tabs>
          <w:tab w:leader="none" w:pos="357" w:val="left"/>
        </w:tabs>
        <w:numPr>
          <w:ilvl w:val="0"/>
          <w:numId w:val="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Total cash 48.0 $(10.7) $37.3 -----</w:t>
      </w:r>
    </w:p>
    <w:p>
      <w:pPr>
        <w:spacing w:after="0" w:line="1"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Property and</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equipment</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writedowns</w:t>
      </w:r>
    </w:p>
    <w:p>
      <w:pPr>
        <w:spacing w:after="0" w:line="5" w:lineRule="exact"/>
        <w:rPr>
          <w:rFonts w:ascii="Courier New" w:cs="Courier New" w:eastAsia="Courier New" w:hAnsi="Courier New"/>
          <w:sz w:val="17"/>
          <w:szCs w:val="17"/>
          <w:color w:val="auto"/>
        </w:rPr>
      </w:pPr>
    </w:p>
    <w:p>
      <w:pPr>
        <w:jc w:val="center"/>
        <w:ind w:left="60" w:right="881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Non-Cash SG&amp;A 7.9 Obsolete inventory writeoffs Non-Cash Cost of sales 7.3 Other asset writedowns Non-Cash SG&amp;A 12.5 -----</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Total non-</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cash 27.7 ---</w:t>
      </w:r>
    </w:p>
    <w:p>
      <w:pPr>
        <w:spacing w:after="0" w:line="5" w:lineRule="exact"/>
        <w:rPr>
          <w:rFonts w:ascii="Courier New" w:cs="Courier New" w:eastAsia="Courier New" w:hAnsi="Courier New"/>
          <w:sz w:val="17"/>
          <w:szCs w:val="17"/>
          <w:color w:val="auto"/>
        </w:rPr>
      </w:pPr>
    </w:p>
    <w:p>
      <w:pPr>
        <w:ind w:left="620" w:hanging="307"/>
        <w:spacing w:after="0"/>
        <w:tabs>
          <w:tab w:leader="none" w:pos="620" w:val="left"/>
        </w:tabs>
        <w:numPr>
          <w:ilvl w:val="1"/>
          <w:numId w:val="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Total</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$75.7 =====</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1999 CHARGES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During fiscal 1999, the Company recorded $1.4 million of restructuring charges associated with management's decision to reorganize the North American Professional Business Group to strengthen distribution and technical sales support, integrate brand management across market segments and reduce annual operating expenses. These charges represent costs to sever approximately 60 in-house sales associates who were terminated in fiscal 1999. Approximately $1.1 million of severance payments were made to these former associates during fiscal 1999. Of the remaining $0.3 million, $0.2 million was paid in fiscal 2000, and the remainder was paid in fiscal 2001.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5. ACQUISITIONS AND DIVESTITURES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On January 1, 2001, the Company acquired the Substral(R) brand and consumer plant care business from Henkel KGaA. Substral(R) is a leading consumer fertilizer brand in many European countries including Germany, Austria, Belgium, France and the Nordics. Under the terms of the asset purchase agreement, the Company acquired specified working capital and intangible assets associated with the Substral(R) business. The purchase price will be determined based on the value of the working capital assets acquired and the performance of the business for the period from June 15, 2000 to December 31, 2000. The parties to the transaction are still in the process of determining a final purchase price; however, the Company's management estimates that the final purchase price will be approximately $40 million. On June 29, 2001 and December 29, 2000, the Company advanced $6.4 million and $6.9 million, respectively, to Henkel KGaA</w:t>
      </w:r>
    </w:p>
    <w:p>
      <w:pPr>
        <w:sectPr>
          <w:pgSz w:w="11900" w:h="16838" w:orient="portrait"/>
          <w:cols w:equalWidth="0" w:num="1">
            <w:col w:w="10219"/>
          </w:cols>
          <w:pgMar w:left="240" w:top="511" w:right="1440" w:bottom="0" w:gutter="0" w:footer="0" w:header="0"/>
        </w:sectPr>
      </w:pPr>
    </w:p>
    <w:bookmarkStart w:id="83" w:name="page84"/>
    <w:bookmarkEnd w:id="83"/>
    <w:p>
      <w:pPr>
        <w:spacing w:after="0"/>
        <w:rPr>
          <w:sz w:val="20"/>
          <w:szCs w:val="20"/>
          <w:color w:val="auto"/>
        </w:rPr>
      </w:pPr>
      <w:r>
        <w:rPr>
          <w:rFonts w:ascii="Courier New" w:cs="Courier New" w:eastAsia="Courier New" w:hAnsi="Courier New"/>
          <w:sz w:val="17"/>
          <w:szCs w:val="17"/>
          <w:color w:val="auto"/>
        </w:rPr>
        <w:t>toward the Substral(R) purchase price.</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Substral(R) acquisition was made in exchange for cash and notes due to seller and was accounted for under the purchase method of accounting. Accordingly, Substral's results have been included from the date of its acquisition and the purchase price has been allocated to the assets acquired and liabilities assumed based on their estimated fair values at the date of acquisition. Intangible assets associated with the purchase were $33.7 million.</w:t>
      </w:r>
    </w:p>
    <w:p>
      <w:pPr>
        <w:spacing w:after="0" w:line="202"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Statement of Financial Accounting Standards No. 141, "Business Combinations" was issued in June 2001. This new standard mandates the purchase method of accounting for all business combinations entered into after June 30, 2001. The standard also requires the valuation of intangible assets apart from goodwill for assets that arise as a result of contractual or legal rights or if the right is separable (able to be sold, transferred, leased, licensed, etc.). Goodwill is the residual amount after all tangible and other intangible assets have been valued. All acquisitions in fiscal 2001 were in process or completed prior to the effective date of SFAS No. 141.</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54</w:t>
      </w:r>
    </w:p>
    <w:p>
      <w:pPr>
        <w:sectPr>
          <w:pgSz w:w="11900" w:h="16838" w:orient="portrait"/>
          <w:cols w:equalWidth="0" w:num="1">
            <w:col w:w="10219"/>
          </w:cols>
          <w:pgMar w:left="240" w:top="142" w:right="1440" w:bottom="1440" w:gutter="0" w:footer="0" w:header="0"/>
        </w:sectPr>
      </w:pPr>
    </w:p>
    <w:bookmarkStart w:id="84" w:name="page85"/>
    <w:bookmarkEnd w:id="84"/>
    <w:p>
      <w:pPr>
        <w:ind w:left="1960"/>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3" w:lineRule="exact"/>
        <w:rPr>
          <w:sz w:val="20"/>
          <w:szCs w:val="20"/>
          <w:color w:val="auto"/>
        </w:rPr>
      </w:pPr>
    </w:p>
    <w:p>
      <w:pPr>
        <w:ind w:right="2079" w:firstLine="515"/>
        <w:spacing w:after="0" w:line="247" w:lineRule="auto"/>
        <w:rPr>
          <w:sz w:val="20"/>
          <w:szCs w:val="20"/>
          <w:color w:val="auto"/>
        </w:rPr>
      </w:pPr>
      <w:r>
        <w:rPr>
          <w:rFonts w:ascii="Courier New" w:cs="Courier New" w:eastAsia="Courier New" w:hAnsi="Courier New"/>
          <w:sz w:val="17"/>
          <w:szCs w:val="17"/>
          <w:color w:val="auto"/>
        </w:rPr>
        <w:t>The following unaudited pro forma results of operations give effect to the Substral(R) brand acquisition as if it had occurred on October 1, 1999.</w:t>
      </w:r>
    </w:p>
    <w:p>
      <w:pPr>
        <w:spacing w:after="0" w:line="198"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Fiscal Year</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Ended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30,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2001 2000 -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(in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millions)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Net sales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$1,752.3</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$1,727.2</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Income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before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extraordinary</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loss 16.2</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69.5 Net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income 16.2</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69.5 Basic</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earnings per</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share: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Before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extraordinary</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loss $ .57 $</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2.49 After</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extraordinary</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loss .57</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2.49 Diluted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earnings per</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share: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Before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extraordinary</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loss $ .53 $</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2.34 After</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extraordinary</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loss .53</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2.34</w:t>
      </w:r>
    </w:p>
    <w:p>
      <w:pPr>
        <w:spacing w:after="0" w:line="200" w:lineRule="exact"/>
        <w:rPr>
          <w:sz w:val="20"/>
          <w:szCs w:val="20"/>
          <w:color w:val="auto"/>
        </w:rPr>
      </w:pPr>
    </w:p>
    <w:p>
      <w:pPr>
        <w:spacing w:after="0" w:line="201"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In May 2000, the Company sold its ProTurf(R) business to two buyers. The terms of the agreement included the sale of certain inventory for approximately $16.3 million and an arrangement for the use and eventual purchase of related trademarks by the buyers. A gain of approximately $4.6 million for the sale of this business is reflected in the Company's fiscal 2000 results of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6. RETIREMENT PLANS.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Company offers a defined contribution profit sharing and 401(k) plan for substantially all U.S. employees. Full-time employees may participate in the plan on the first day of the month after being hired. Temporary employees may participate after working at least 1,000 hours in their first twelve months of employment and after reaching the age of 21. The plan allows participants to contribute up to 15% of their compensation in the form of pre-tax or post-tax contributions. The Company provides a matching contribution equivalent to 100% of participants' initial 3% contribution and 50% of the participants' remaining contribution up to 5%. Participants are immediately vested in employee contributions, the Company's matching contributions and the investment return on those monies. The Company also provides a base contribution to employees' accounts regardless of whether employees are active in the plan. The base contribution is 2% of compensation up to 50% of the Social Security taxable wage base plus 4% of compensation in excess of 50% of the Social Security wage base. Participants become vested in the Company's base contribution after three years of service. The Company recorded charges of $10.3 million, $7.4 million and $8.4 million under the plan in fiscal 2001, 2000 and 1999, respectively.</w:t>
      </w:r>
    </w:p>
    <w:p>
      <w:pPr>
        <w:spacing w:after="0" w:line="208"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conjunction with the decision to offer the expanded defined contribution profit sharing and 401(k) plan to domestic Company associates, management decided to freeze benefits under certain defined benefit pension plans. These pension plans covered substantially all full-time U.S. associates who had completed one year of eligible service and reached the age of 21. The benefits</w:t>
      </w:r>
    </w:p>
    <w:p>
      <w:pPr>
        <w:sectPr>
          <w:pgSz w:w="11900" w:h="16838" w:orient="portrait"/>
          <w:cols w:equalWidth="0" w:num="1">
            <w:col w:w="10219"/>
          </w:cols>
          <w:pgMar w:left="240" w:top="511" w:right="1440" w:bottom="0" w:gutter="0" w:footer="0" w:header="0"/>
        </w:sectPr>
      </w:pPr>
    </w:p>
    <w:bookmarkStart w:id="85" w:name="page86"/>
    <w:bookmarkEnd w:id="85"/>
    <w:p>
      <w:pPr>
        <w:ind w:right="1979"/>
        <w:spacing w:after="0" w:line="246" w:lineRule="auto"/>
        <w:rPr>
          <w:sz w:val="20"/>
          <w:szCs w:val="20"/>
          <w:color w:val="auto"/>
        </w:rPr>
      </w:pPr>
      <w:r>
        <w:rPr>
          <w:rFonts w:ascii="Courier New" w:cs="Courier New" w:eastAsia="Courier New" w:hAnsi="Courier New"/>
          <w:sz w:val="17"/>
          <w:szCs w:val="17"/>
          <w:color w:val="auto"/>
        </w:rPr>
        <w:t>under these plans are based on years of service and the associates' average final compensation or stated amounts. The Company's funding policy, consistent with statutory requirements and tax considerations, is based on actuarial computations using the Projected Unit Credit method. The Company also curtailed its non-qualified supplemental pension plan which provides for incremental pension payments from the Company so that total pension payments equal amounts that would have been payable from the Company's pension plans if it were not for limitations imposed by income tax regulations.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Company also sponsors the following pension plans associated with the international businesses it has acquired: Scotts Europe BV, ASEF Europe BV (Netherlands), The Scotts Company (UK) Ltd., Miracle Garden Care, Scotts France SAS, Scotts Celaflor GmbH (Germany) and Scotts Celaflor HG (Austria). These plans generally cover all associates of the respective businesses and retirement benefits are generally based on years of service and compensation levels. The pension plans for Scotts Europe BV, ASEF Europe BV (Netherlands), The Scotts Company (UK) Ltd., and Miracle Garden Care are funded plans. The remaining international pension plans are not funded by separately held plan assets.</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55</w:t>
      </w:r>
    </w:p>
    <w:p>
      <w:pPr>
        <w:sectPr>
          <w:pgSz w:w="11900" w:h="16838" w:orient="portrait"/>
          <w:cols w:equalWidth="0" w:num="1">
            <w:col w:w="10219"/>
          </w:cols>
          <w:pgMar w:left="240" w:top="142" w:right="1440" w:bottom="1440" w:gutter="0" w:footer="0" w:header="0"/>
        </w:sectPr>
      </w:pPr>
    </w:p>
    <w:bookmarkStart w:id="86" w:name="page87"/>
    <w:bookmarkEnd w:id="86"/>
    <w:p>
      <w:pPr>
        <w:jc w:val="center"/>
        <w:ind w:right="1979"/>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3" w:lineRule="exact"/>
        <w:rPr>
          <w:sz w:val="20"/>
          <w:szCs w:val="20"/>
          <w:color w:val="auto"/>
        </w:rPr>
      </w:pPr>
    </w:p>
    <w:p>
      <w:pPr>
        <w:ind w:right="2399" w:firstLine="515"/>
        <w:spacing w:after="0" w:line="246" w:lineRule="auto"/>
        <w:rPr>
          <w:sz w:val="20"/>
          <w:szCs w:val="20"/>
          <w:color w:val="auto"/>
        </w:rPr>
      </w:pPr>
      <w:r>
        <w:rPr>
          <w:rFonts w:ascii="Courier New" w:cs="Courier New" w:eastAsia="Courier New" w:hAnsi="Courier New"/>
          <w:sz w:val="17"/>
          <w:szCs w:val="17"/>
          <w:color w:val="auto"/>
        </w:rPr>
        <w:t>In connection with reduction in force initiatives implemented in fiscal 2001, curtailment (gains) or losses of ($0.2) million and $2.7 million were recorded as components of restructuring expense for the international and domestic defined benefit pension plans, respectively.</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following tables present information about benefit obligations, plan assets, annual expense and other assumptions about the Company's defined benefit pension plans ($ millions):</w:t>
      </w:r>
    </w:p>
    <w:p>
      <w:pPr>
        <w:spacing w:after="0" w:line="200"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Curtailed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Defined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International</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Curtailed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Benefit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Plans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Benefit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Plans Excess</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Plan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60" w:hanging="306"/>
        <w:spacing w:after="0"/>
        <w:tabs>
          <w:tab w:leader="none" w:pos="360" w:val="left"/>
        </w:tabs>
        <w:numPr>
          <w:ilvl w:val="0"/>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2001 2000</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2001 2000</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2001 2000 -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CHANGE IN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BENEFIT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OBLIGATION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Benefit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obligation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at beginning</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of year $</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59.5 $ 59.0</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$ 72.1 $</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73.2 $ 1.9 $</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1.9 Service</w:t>
      </w:r>
    </w:p>
    <w:p>
      <w:pPr>
        <w:spacing w:after="0" w:line="5" w:lineRule="exact"/>
        <w:rPr>
          <w:sz w:val="20"/>
          <w:szCs w:val="20"/>
          <w:color w:val="auto"/>
        </w:rPr>
      </w:pPr>
    </w:p>
    <w:tbl>
      <w:tblPr>
        <w:tblLayout w:type="fixed"/>
        <w:tblInd w:w="60" w:type="dxa"/>
        <w:tblCellMar>
          <w:top w:w="0" w:type="dxa"/>
          <w:left w:w="0" w:type="dxa"/>
          <w:bottom w:w="0" w:type="dxa"/>
          <w:right w:w="0" w:type="dxa"/>
        </w:tblCellMar>
      </w:tblPr>
      <w:tr>
        <w:trPr>
          <w:trHeight w:val="193"/>
        </w:trPr>
        <w:tc>
          <w:tcPr>
            <w:tcW w:w="860" w:type="dxa"/>
            <w:vAlign w:val="bottom"/>
            <w:gridSpan w:val="2"/>
          </w:tcPr>
          <w:p>
            <w:pPr>
              <w:spacing w:after="0"/>
              <w:rPr>
                <w:sz w:val="20"/>
                <w:szCs w:val="20"/>
                <w:color w:val="auto"/>
              </w:rPr>
            </w:pPr>
            <w:r>
              <w:rPr>
                <w:rFonts w:ascii="Courier New" w:cs="Courier New" w:eastAsia="Courier New" w:hAnsi="Courier New"/>
                <w:sz w:val="17"/>
                <w:szCs w:val="17"/>
                <w:color w:val="auto"/>
              </w:rPr>
              <w:t>cost 3.6</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2.9</w:t>
            </w:r>
          </w:p>
        </w:tc>
      </w:tr>
      <w:tr>
        <w:trPr>
          <w:trHeight w:val="198"/>
        </w:trPr>
        <w:tc>
          <w:tcPr>
            <w:tcW w:w="1220" w:type="dxa"/>
            <w:vAlign w:val="bottom"/>
            <w:gridSpan w:val="3"/>
          </w:tcPr>
          <w:p>
            <w:pPr>
              <w:jc w:val="right"/>
              <w:ind w:right="114"/>
              <w:spacing w:after="0"/>
              <w:rPr>
                <w:sz w:val="20"/>
                <w:szCs w:val="20"/>
                <w:color w:val="auto"/>
              </w:rPr>
            </w:pPr>
            <w:r>
              <w:rPr>
                <w:rFonts w:ascii="Courier New" w:cs="Courier New" w:eastAsia="Courier New" w:hAnsi="Courier New"/>
                <w:sz w:val="17"/>
                <w:szCs w:val="17"/>
                <w:color w:val="auto"/>
              </w:rPr>
              <w:t>Interest</w:t>
            </w:r>
          </w:p>
        </w:tc>
      </w:tr>
      <w:tr>
        <w:trPr>
          <w:trHeight w:val="198"/>
        </w:trPr>
        <w:tc>
          <w:tcPr>
            <w:tcW w:w="860" w:type="dxa"/>
            <w:vAlign w:val="bottom"/>
            <w:gridSpan w:val="2"/>
          </w:tcPr>
          <w:p>
            <w:pPr>
              <w:spacing w:after="0"/>
              <w:rPr>
                <w:sz w:val="20"/>
                <w:szCs w:val="20"/>
                <w:color w:val="auto"/>
              </w:rPr>
            </w:pPr>
            <w:r>
              <w:rPr>
                <w:rFonts w:ascii="Courier New" w:cs="Courier New" w:eastAsia="Courier New" w:hAnsi="Courier New"/>
                <w:sz w:val="17"/>
                <w:szCs w:val="17"/>
                <w:color w:val="auto"/>
              </w:rPr>
              <w:t>cost 4.6</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4.1</w:t>
            </w:r>
          </w:p>
        </w:tc>
      </w:tr>
      <w:tr>
        <w:trPr>
          <w:trHeight w:val="198"/>
        </w:trPr>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4.0</w:t>
            </w:r>
          </w:p>
        </w:tc>
        <w:tc>
          <w:tcPr>
            <w:tcW w:w="8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3.7 0.1</w:t>
            </w:r>
          </w:p>
        </w:tc>
      </w:tr>
    </w:tbl>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0.1 Plan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participants'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contributions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0.7 0.8</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Curtailment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loss (gain)</w:t>
      </w:r>
    </w:p>
    <w:p>
      <w:pPr>
        <w:spacing w:after="0" w:line="5"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460" w:type="dxa"/>
            <w:vAlign w:val="bottom"/>
          </w:tcPr>
          <w:p>
            <w:pPr>
              <w:ind w:left="100"/>
              <w:spacing w:after="0"/>
              <w:rPr>
                <w:sz w:val="20"/>
                <w:szCs w:val="20"/>
                <w:color w:val="auto"/>
              </w:rPr>
            </w:pPr>
            <w:r>
              <w:rPr>
                <w:rFonts w:ascii="Courier New" w:cs="Courier New" w:eastAsia="Courier New" w:hAnsi="Courier New"/>
                <w:sz w:val="17"/>
                <w:szCs w:val="17"/>
                <w:color w:val="auto"/>
              </w:rPr>
              <w:t>2.7</w:t>
            </w:r>
          </w:p>
        </w:tc>
        <w:tc>
          <w:tcPr>
            <w:tcW w:w="6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(0.2)</w:t>
            </w:r>
          </w:p>
        </w:tc>
      </w:tr>
      <w:tr>
        <w:trPr>
          <w:trHeight w:val="198"/>
        </w:trPr>
        <w:tc>
          <w:tcPr>
            <w:tcW w:w="11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Actuarial</w:t>
            </w:r>
          </w:p>
        </w:tc>
      </w:tr>
      <w:tr>
        <w:trPr>
          <w:trHeight w:val="198"/>
        </w:trPr>
        <w:tc>
          <w:tcPr>
            <w:tcW w:w="1140" w:type="dxa"/>
            <w:vAlign w:val="bottom"/>
            <w:gridSpan w:val="2"/>
          </w:tcPr>
          <w:p>
            <w:pPr>
              <w:spacing w:after="0"/>
              <w:rPr>
                <w:sz w:val="20"/>
                <w:szCs w:val="20"/>
                <w:color w:val="auto"/>
              </w:rPr>
            </w:pPr>
            <w:r>
              <w:rPr>
                <w:rFonts w:ascii="Courier New" w:cs="Courier New" w:eastAsia="Courier New" w:hAnsi="Courier New"/>
                <w:sz w:val="17"/>
                <w:szCs w:val="17"/>
                <w:color w:val="auto"/>
                <w:w w:val="99"/>
              </w:rPr>
              <w:t>(gain) loss</w:t>
            </w:r>
          </w:p>
        </w:tc>
      </w:tr>
      <w:tr>
        <w:trPr>
          <w:trHeight w:val="198"/>
        </w:trPr>
        <w:tc>
          <w:tcPr>
            <w:tcW w:w="460" w:type="dxa"/>
            <w:vAlign w:val="bottom"/>
          </w:tcPr>
          <w:p>
            <w:pPr>
              <w:ind w:left="100"/>
              <w:spacing w:after="0"/>
              <w:rPr>
                <w:sz w:val="20"/>
                <w:szCs w:val="20"/>
                <w:color w:val="auto"/>
              </w:rPr>
            </w:pPr>
            <w:r>
              <w:rPr>
                <w:rFonts w:ascii="Courier New" w:cs="Courier New" w:eastAsia="Courier New" w:hAnsi="Courier New"/>
                <w:sz w:val="17"/>
                <w:szCs w:val="17"/>
                <w:color w:val="auto"/>
              </w:rPr>
              <w:t>4.3</w:t>
            </w:r>
          </w:p>
        </w:tc>
        <w:tc>
          <w:tcPr>
            <w:tcW w:w="6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(2.7)</w:t>
            </w:r>
          </w:p>
        </w:tc>
      </w:tr>
    </w:tbl>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(0.4) (0.1)</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(0.1)</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Benefits</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paid (3.9)</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(3.6) (1.7)</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(1.6)</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Foreign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currency</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translation</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0.3 (6.5) --</w:t>
      </w:r>
    </w:p>
    <w:p>
      <w:pPr>
        <w:spacing w:after="0" w:line="5" w:lineRule="exact"/>
        <w:rPr>
          <w:sz w:val="20"/>
          <w:szCs w:val="20"/>
          <w:color w:val="auto"/>
        </w:rPr>
      </w:pPr>
    </w:p>
    <w:p>
      <w:pPr>
        <w:ind w:left="620" w:hanging="514"/>
        <w:spacing w:after="0"/>
        <w:tabs>
          <w:tab w:leader="none" w:pos="620" w:val="left"/>
        </w:tabs>
        <w:numPr>
          <w:ilvl w:val="0"/>
          <w:numId w:val="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Benefit</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obligation</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at end of</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year $ 67.2</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$ 59.5 $</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76.1 $ 72.1</w:t>
      </w:r>
    </w:p>
    <w:p>
      <w:pPr>
        <w:sectPr>
          <w:pgSz w:w="11900" w:h="16838" w:orient="portrait"/>
          <w:cols w:equalWidth="0" w:num="1">
            <w:col w:w="10219"/>
          </w:cols>
          <w:pgMar w:left="240" w:top="511" w:right="1440" w:bottom="0" w:gutter="0" w:footer="0" w:header="0"/>
        </w:sectPr>
      </w:pPr>
    </w:p>
    <w:bookmarkStart w:id="87" w:name="page88"/>
    <w:bookmarkEnd w:id="87"/>
    <w:p>
      <w:pPr>
        <w:ind w:left="320" w:hanging="214"/>
        <w:spacing w:after="0"/>
        <w:tabs>
          <w:tab w:leader="none" w:pos="320" w:val="left"/>
        </w:tabs>
        <w:numPr>
          <w:ilvl w:val="0"/>
          <w:numId w:val="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1.9 $ 1.9</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CHANGE IN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PLAN ASSETS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Fair value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of plan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assets at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beginning of</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year 56.2</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56.8 64.3</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59.9 Actual</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return 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plan assets</w:t>
      </w:r>
    </w:p>
    <w:p>
      <w:pPr>
        <w:spacing w:after="0" w:line="5" w:lineRule="exact"/>
        <w:rPr>
          <w:sz w:val="20"/>
          <w:szCs w:val="20"/>
          <w:color w:val="auto"/>
        </w:rPr>
      </w:pPr>
    </w:p>
    <w:tbl>
      <w:tblPr>
        <w:tblLayout w:type="fixed"/>
        <w:tblInd w:w="160" w:type="dxa"/>
        <w:tblCellMar>
          <w:top w:w="0" w:type="dxa"/>
          <w:left w:w="0" w:type="dxa"/>
          <w:bottom w:w="0" w:type="dxa"/>
          <w:right w:w="0" w:type="dxa"/>
        </w:tblCellMar>
      </w:tblPr>
      <w:tr>
        <w:trPr>
          <w:trHeight w:val="193"/>
        </w:trPr>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4.5</w:t>
            </w:r>
          </w:p>
        </w:tc>
        <w:tc>
          <w:tcPr>
            <w:tcW w:w="500" w:type="dxa"/>
            <w:vAlign w:val="bottom"/>
            <w:gridSpan w:val="2"/>
          </w:tcPr>
          <w:p>
            <w:pPr>
              <w:jc w:val="right"/>
              <w:ind w:right="54"/>
              <w:spacing w:after="0"/>
              <w:rPr>
                <w:sz w:val="20"/>
                <w:szCs w:val="20"/>
                <w:color w:val="auto"/>
              </w:rPr>
            </w:pPr>
            <w:r>
              <w:rPr>
                <w:rFonts w:ascii="Courier New" w:cs="Courier New" w:eastAsia="Courier New" w:hAnsi="Courier New"/>
                <w:sz w:val="17"/>
                <w:szCs w:val="17"/>
                <w:color w:val="auto"/>
              </w:rPr>
              <w:t>3.0</w:t>
            </w:r>
          </w:p>
        </w:tc>
      </w:tr>
      <w:tr>
        <w:trPr>
          <w:trHeight w:val="198"/>
        </w:trPr>
        <w:tc>
          <w:tcPr>
            <w:tcW w:w="66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7"/>
              </w:rPr>
              <w:t>(13.7)</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7.6</w:t>
            </w:r>
          </w:p>
        </w:tc>
      </w:tr>
      <w:tr>
        <w:trPr>
          <w:trHeight w:val="198"/>
        </w:trPr>
        <w:tc>
          <w:tcPr>
            <w:tcW w:w="1020" w:type="dxa"/>
            <w:vAlign w:val="bottom"/>
            <w:gridSpan w:val="3"/>
          </w:tcPr>
          <w:p>
            <w:pPr>
              <w:jc w:val="right"/>
              <w:ind w:right="14"/>
              <w:spacing w:after="0"/>
              <w:rPr>
                <w:sz w:val="20"/>
                <w:szCs w:val="20"/>
                <w:color w:val="auto"/>
              </w:rPr>
            </w:pPr>
            <w:r>
              <w:rPr>
                <w:rFonts w:ascii="Courier New" w:cs="Courier New" w:eastAsia="Courier New" w:hAnsi="Courier New"/>
                <w:sz w:val="17"/>
                <w:szCs w:val="17"/>
                <w:color w:val="auto"/>
              </w:rPr>
              <w:t>Employer</w:t>
            </w:r>
          </w:p>
        </w:tc>
      </w:tr>
    </w:tbl>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contribution</w:t>
      </w:r>
    </w:p>
    <w:p>
      <w:pPr>
        <w:spacing w:after="0" w:line="5"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340" w:type="dxa"/>
            <w:vAlign w:val="bottom"/>
          </w:tcPr>
          <w:p>
            <w:pPr>
              <w:jc w:val="right"/>
              <w:spacing w:after="0"/>
              <w:rPr>
                <w:sz w:val="20"/>
                <w:szCs w:val="20"/>
                <w:color w:val="auto"/>
              </w:rPr>
            </w:pPr>
            <w:r>
              <w:rPr>
                <w:rFonts w:ascii="Courier New" w:cs="Courier New" w:eastAsia="Courier New" w:hAnsi="Courier New"/>
                <w:sz w:val="17"/>
                <w:szCs w:val="17"/>
                <w:color w:val="auto"/>
                <w:w w:val="97"/>
              </w:rPr>
              <w:t>0.1</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2.8 1.2</w:t>
            </w:r>
          </w:p>
        </w:tc>
      </w:tr>
      <w:tr>
        <w:trPr>
          <w:trHeight w:val="198"/>
        </w:trPr>
        <w:tc>
          <w:tcPr>
            <w:tcW w:w="340" w:type="dxa"/>
            <w:vAlign w:val="bottom"/>
          </w:tcPr>
          <w:p>
            <w:pPr>
              <w:spacing w:after="0"/>
              <w:rPr>
                <w:sz w:val="17"/>
                <w:szCs w:val="17"/>
                <w:color w:val="auto"/>
              </w:rPr>
            </w:pPr>
          </w:p>
        </w:tc>
        <w:tc>
          <w:tcPr>
            <w:tcW w:w="80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Plan</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participants'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contributions</w:t>
      </w:r>
    </w:p>
    <w:p>
      <w:pPr>
        <w:spacing w:after="0" w:line="5"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0.7</w:t>
            </w:r>
          </w:p>
        </w:tc>
        <w:tc>
          <w:tcPr>
            <w:tcW w:w="560" w:type="dxa"/>
            <w:vAlign w:val="bottom"/>
          </w:tcPr>
          <w:p>
            <w:pPr>
              <w:ind w:left="40"/>
              <w:spacing w:after="0"/>
              <w:rPr>
                <w:sz w:val="20"/>
                <w:szCs w:val="20"/>
                <w:color w:val="auto"/>
              </w:rPr>
            </w:pPr>
            <w:r>
              <w:rPr>
                <w:rFonts w:ascii="Courier New" w:cs="Courier New" w:eastAsia="Courier New" w:hAnsi="Courier New"/>
                <w:sz w:val="17"/>
                <w:szCs w:val="17"/>
                <w:color w:val="auto"/>
              </w:rPr>
              <w:t>0.9</w:t>
            </w:r>
          </w:p>
        </w:tc>
      </w:tr>
      <w:tr>
        <w:trPr>
          <w:trHeight w:val="198"/>
        </w:trPr>
        <w:tc>
          <w:tcPr>
            <w:tcW w:w="11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Benefits</w:t>
            </w:r>
          </w:p>
        </w:tc>
      </w:tr>
      <w:tr>
        <w:trPr>
          <w:trHeight w:val="198"/>
        </w:trPr>
        <w:tc>
          <w:tcPr>
            <w:tcW w:w="114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99"/>
              </w:rPr>
              <w:t>paid (3.9)</w:t>
            </w:r>
          </w:p>
        </w:tc>
      </w:tr>
      <w:tr>
        <w:trPr>
          <w:trHeight w:val="198"/>
        </w:trPr>
        <w:tc>
          <w:tcPr>
            <w:tcW w:w="580" w:type="dxa"/>
            <w:vAlign w:val="bottom"/>
          </w:tcPr>
          <w:p>
            <w:pPr>
              <w:jc w:val="right"/>
              <w:spacing w:after="0"/>
              <w:rPr>
                <w:sz w:val="20"/>
                <w:szCs w:val="20"/>
                <w:color w:val="auto"/>
              </w:rPr>
            </w:pPr>
            <w:r>
              <w:rPr>
                <w:rFonts w:ascii="Courier New" w:cs="Courier New" w:eastAsia="Courier New" w:hAnsi="Courier New"/>
                <w:sz w:val="17"/>
                <w:szCs w:val="17"/>
                <w:color w:val="auto"/>
                <w:w w:val="97"/>
              </w:rPr>
              <w:t>(3.6)</w:t>
            </w:r>
          </w:p>
        </w:tc>
        <w:tc>
          <w:tcPr>
            <w:tcW w:w="560" w:type="dxa"/>
            <w:vAlign w:val="bottom"/>
          </w:tcPr>
          <w:p>
            <w:pPr>
              <w:ind w:left="40"/>
              <w:spacing w:after="0"/>
              <w:rPr>
                <w:sz w:val="20"/>
                <w:szCs w:val="20"/>
                <w:color w:val="auto"/>
              </w:rPr>
            </w:pPr>
            <w:r>
              <w:rPr>
                <w:rFonts w:ascii="Courier New" w:cs="Courier New" w:eastAsia="Courier New" w:hAnsi="Courier New"/>
                <w:sz w:val="17"/>
                <w:szCs w:val="17"/>
                <w:color w:val="auto"/>
                <w:w w:val="97"/>
              </w:rPr>
              <w:t>(1.7)</w:t>
            </w:r>
          </w:p>
        </w:tc>
      </w:tr>
      <w:tr>
        <w:trPr>
          <w:trHeight w:val="198"/>
        </w:trPr>
        <w:tc>
          <w:tcPr>
            <w:tcW w:w="114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97"/>
              </w:rPr>
              <w:t>(0.6)</w:t>
            </w:r>
          </w:p>
        </w:tc>
      </w:tr>
    </w:tbl>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Foreign</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currency</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translation</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(0.6) (4.7)</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Fair</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value of</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plan assets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at end of</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year $ 56.9</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$ 56.2 $</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51.8 $ 64.3</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AMOUNTS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RECOGNIZED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IN THE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STATEMENT OF</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FINANCIAL</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POSITION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CONSIST OF:</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Funded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status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(10.3) (3.3)</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(24.3) (7.8)</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(1.9) (1.9)</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Unrecognized</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losses 12.1</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8.3 15.8 0.7</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0.3 0.3 ----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460" w:hanging="406"/>
        <w:spacing w:after="0"/>
        <w:tabs>
          <w:tab w:leader="none" w:pos="460" w:val="left"/>
        </w:tabs>
        <w:numPr>
          <w:ilvl w:val="0"/>
          <w:numId w:val="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820" w:hanging="611"/>
        <w:spacing w:after="0"/>
        <w:tabs>
          <w:tab w:leader="none" w:pos="820" w:val="left"/>
        </w:tabs>
        <w:numPr>
          <w:ilvl w:val="1"/>
          <w:numId w:val="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Net</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amount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recognized $</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1.8 $ 5.0 $</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(8.5) $</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(7.1) $</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(1.6) $</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(1.6) ======</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2001 2000</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1999 2001</w:t>
      </w:r>
    </w:p>
    <w:p>
      <w:pPr>
        <w:sectPr>
          <w:pgSz w:w="11900" w:h="16838" w:orient="portrait"/>
          <w:cols w:equalWidth="0" w:num="1">
            <w:col w:w="10219"/>
          </w:cols>
          <w:pgMar w:left="240" w:top="142" w:right="1440" w:bottom="0" w:gutter="0" w:footer="0" w:header="0"/>
        </w:sectPr>
      </w:pPr>
    </w:p>
    <w:bookmarkStart w:id="88" w:name="page89"/>
    <w:bookmarkEnd w:id="88"/>
    <w:p>
      <w:pPr>
        <w:jc w:val="center"/>
        <w:ind w:right="8979"/>
        <w:spacing w:after="0"/>
        <w:rPr>
          <w:sz w:val="20"/>
          <w:szCs w:val="20"/>
          <w:color w:val="auto"/>
        </w:rPr>
      </w:pPr>
      <w:r>
        <w:rPr>
          <w:rFonts w:ascii="Courier New" w:cs="Courier New" w:eastAsia="Courier New" w:hAnsi="Courier New"/>
          <w:sz w:val="17"/>
          <w:szCs w:val="17"/>
          <w:color w:val="auto"/>
        </w:rPr>
        <w:t>2000 1999</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2001 2000 -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COMPONENTS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OF NET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PERIODIC</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BENEFIT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COST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Service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cost $ $ $</w:t>
      </w:r>
    </w:p>
    <w:p>
      <w:pPr>
        <w:spacing w:after="0" w:line="5" w:lineRule="exact"/>
        <w:rPr>
          <w:sz w:val="20"/>
          <w:szCs w:val="20"/>
          <w:color w:val="auto"/>
        </w:rPr>
      </w:pPr>
    </w:p>
    <w:p>
      <w:pPr>
        <w:ind w:left="160" w:right="9039" w:hanging="107"/>
        <w:spacing w:after="0" w:line="262" w:lineRule="auto"/>
        <w:tabs>
          <w:tab w:leader="none" w:pos="263"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3.6 $ 3.5 $ 3.2 $ $ Interest cost 4.6</w:t>
      </w:r>
    </w:p>
    <w:tbl>
      <w:tblPr>
        <w:tblLayout w:type="fixed"/>
        <w:tblInd w:w="60" w:type="dxa"/>
        <w:tblCellMar>
          <w:top w:w="0" w:type="dxa"/>
          <w:left w:w="0" w:type="dxa"/>
          <w:bottom w:w="0" w:type="dxa"/>
          <w:right w:w="0" w:type="dxa"/>
        </w:tblCellMar>
      </w:tblPr>
      <w:tr>
        <w:trPr>
          <w:trHeight w:val="193"/>
        </w:trPr>
        <w:tc>
          <w:tcPr>
            <w:tcW w:w="360" w:type="dxa"/>
            <w:vAlign w:val="bottom"/>
          </w:tcPr>
          <w:p>
            <w:pPr>
              <w:jc w:val="right"/>
              <w:spacing w:after="0"/>
              <w:rPr>
                <w:sz w:val="20"/>
                <w:szCs w:val="20"/>
                <w:color w:val="auto"/>
              </w:rPr>
            </w:pPr>
            <w:r>
              <w:rPr>
                <w:rFonts w:ascii="Courier New" w:cs="Courier New" w:eastAsia="Courier New" w:hAnsi="Courier New"/>
                <w:sz w:val="17"/>
                <w:szCs w:val="17"/>
                <w:color w:val="auto"/>
                <w:w w:val="91"/>
              </w:rPr>
              <w:t>4.1</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4.2</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4.0</w:t>
            </w:r>
          </w:p>
        </w:tc>
      </w:tr>
      <w:tr>
        <w:trPr>
          <w:trHeight w:val="198"/>
        </w:trPr>
        <w:tc>
          <w:tcPr>
            <w:tcW w:w="360" w:type="dxa"/>
            <w:vAlign w:val="bottom"/>
          </w:tcPr>
          <w:p>
            <w:pPr>
              <w:jc w:val="right"/>
              <w:spacing w:after="0"/>
              <w:rPr>
                <w:sz w:val="20"/>
                <w:szCs w:val="20"/>
                <w:color w:val="auto"/>
              </w:rPr>
            </w:pPr>
            <w:r>
              <w:rPr>
                <w:rFonts w:ascii="Courier New" w:cs="Courier New" w:eastAsia="Courier New" w:hAnsi="Courier New"/>
                <w:sz w:val="17"/>
                <w:szCs w:val="17"/>
                <w:color w:val="auto"/>
                <w:w w:val="91"/>
              </w:rPr>
              <w:t>4.0</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3.6</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0.1</w:t>
            </w:r>
          </w:p>
        </w:tc>
      </w:tr>
    </w:tbl>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0.1</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Expected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return on</w:t>
            </w:r>
          </w:p>
        </w:tc>
      </w:tr>
      <w:tr>
        <w:trPr>
          <w:trHeight w:val="198"/>
        </w:trPr>
        <w:tc>
          <w:tcPr>
            <w:tcW w:w="124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99"/>
              </w:rPr>
              <w:t>plan assets</w:t>
            </w:r>
          </w:p>
        </w:tc>
      </w:tr>
      <w:tr>
        <w:trPr>
          <w:trHeight w:val="198"/>
        </w:trPr>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(4.3)</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(4.4)</w:t>
            </w:r>
          </w:p>
        </w:tc>
      </w:tr>
      <w:tr>
        <w:trPr>
          <w:trHeight w:val="198"/>
        </w:trPr>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(4.5)</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(4.8)</w:t>
            </w:r>
          </w:p>
        </w:tc>
      </w:tr>
      <w:tr>
        <w:trPr>
          <w:trHeight w:val="198"/>
        </w:trPr>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(5.5)</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(3.7)</w:t>
            </w:r>
          </w:p>
        </w:tc>
      </w:tr>
      <w:tr>
        <w:trPr>
          <w:trHeight w:val="198"/>
        </w:trPr>
        <w:tc>
          <w:tcPr>
            <w:tcW w:w="1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Net</w:t>
            </w:r>
          </w:p>
        </w:tc>
      </w:tr>
      <w:tr>
        <w:trPr>
          <w:trHeight w:val="198"/>
        </w:trPr>
        <w:tc>
          <w:tcPr>
            <w:tcW w:w="1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amortization</w:t>
            </w:r>
          </w:p>
        </w:tc>
      </w:tr>
      <w:tr>
        <w:trPr>
          <w:trHeight w:val="198"/>
        </w:trPr>
        <w:tc>
          <w:tcPr>
            <w:tcW w:w="1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and</w:t>
            </w:r>
          </w:p>
        </w:tc>
      </w:tr>
      <w:tr>
        <w:trPr>
          <w:trHeight w:val="198"/>
        </w:trPr>
        <w:tc>
          <w:tcPr>
            <w:tcW w:w="1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deferral</w:t>
            </w:r>
          </w:p>
        </w:tc>
      </w:tr>
    </w:tbl>
    <w:p>
      <w:pPr>
        <w:spacing w:after="0" w:line="5" w:lineRule="exact"/>
        <w:rPr>
          <w:sz w:val="20"/>
          <w:szCs w:val="20"/>
          <w:color w:val="auto"/>
        </w:rPr>
      </w:pPr>
    </w:p>
    <w:tbl>
      <w:tblPr>
        <w:tblLayout w:type="fixed"/>
        <w:tblInd w:w="60" w:type="dxa"/>
        <w:tblCellMar>
          <w:top w:w="0" w:type="dxa"/>
          <w:left w:w="0" w:type="dxa"/>
          <w:bottom w:w="0" w:type="dxa"/>
          <w:right w:w="0" w:type="dxa"/>
        </w:tblCellMar>
      </w:tblPr>
      <w:tr>
        <w:trPr>
          <w:trHeight w:val="193"/>
        </w:trPr>
        <w:tc>
          <w:tcPr>
            <w:tcW w:w="360" w:type="dxa"/>
            <w:vAlign w:val="bottom"/>
          </w:tcPr>
          <w:p>
            <w:pPr>
              <w:jc w:val="right"/>
              <w:spacing w:after="0"/>
              <w:rPr>
                <w:sz w:val="20"/>
                <w:szCs w:val="20"/>
                <w:color w:val="auto"/>
              </w:rPr>
            </w:pPr>
            <w:r>
              <w:rPr>
                <w:rFonts w:ascii="Courier New" w:cs="Courier New" w:eastAsia="Courier New" w:hAnsi="Courier New"/>
                <w:sz w:val="17"/>
                <w:szCs w:val="17"/>
                <w:color w:val="auto"/>
                <w:w w:val="91"/>
              </w:rPr>
              <w:t>0.3</w:t>
            </w:r>
          </w:p>
        </w:tc>
        <w:tc>
          <w:tcPr>
            <w:tcW w:w="400" w:type="dxa"/>
            <w:vAlign w:val="bottom"/>
          </w:tcPr>
          <w:p>
            <w:pPr>
              <w:jc w:val="center"/>
              <w:spacing w:after="0"/>
              <w:rPr>
                <w:sz w:val="20"/>
                <w:szCs w:val="20"/>
                <w:color w:val="auto"/>
              </w:rPr>
            </w:pPr>
            <w:r>
              <w:rPr>
                <w:rFonts w:ascii="Courier New" w:cs="Courier New" w:eastAsia="Courier New" w:hAnsi="Courier New"/>
                <w:sz w:val="17"/>
                <w:szCs w:val="17"/>
                <w:color w:val="auto"/>
              </w:rPr>
              <w:t>0.4</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0.6</w:t>
            </w:r>
          </w:p>
        </w:tc>
      </w:tr>
      <w:tr>
        <w:trPr>
          <w:trHeight w:val="198"/>
        </w:trPr>
        <w:tc>
          <w:tcPr>
            <w:tcW w:w="360" w:type="dxa"/>
            <w:vAlign w:val="bottom"/>
          </w:tcPr>
          <w:p>
            <w:pPr>
              <w:spacing w:after="0"/>
              <w:rPr>
                <w:sz w:val="17"/>
                <w:szCs w:val="17"/>
                <w:color w:val="auto"/>
              </w:rPr>
            </w:pPr>
          </w:p>
        </w:tc>
        <w:tc>
          <w:tcPr>
            <w:tcW w:w="400" w:type="dxa"/>
            <w:vAlign w:val="bottom"/>
          </w:tcPr>
          <w:p>
            <w:pPr>
              <w:jc w:val="center"/>
              <w:spacing w:after="0"/>
              <w:rPr>
                <w:sz w:val="20"/>
                <w:szCs w:val="20"/>
                <w:color w:val="auto"/>
              </w:rPr>
            </w:pPr>
            <w:r>
              <w:rPr>
                <w:rFonts w:ascii="Courier New" w:cs="Courier New" w:eastAsia="Courier New" w:hAnsi="Courier New"/>
                <w:sz w:val="17"/>
                <w:szCs w:val="17"/>
                <w:color w:val="auto"/>
              </w:rPr>
              <w:t>0.3</w:t>
            </w:r>
          </w:p>
        </w:tc>
        <w:tc>
          <w:tcPr>
            <w:tcW w:w="360" w:type="dxa"/>
            <w:vAlign w:val="bottom"/>
          </w:tcPr>
          <w:p>
            <w:pPr>
              <w:spacing w:after="0"/>
              <w:rPr>
                <w:sz w:val="17"/>
                <w:szCs w:val="17"/>
                <w:color w:val="auto"/>
              </w:rPr>
            </w:pPr>
          </w:p>
        </w:tc>
      </w:tr>
      <w:tr>
        <w:trPr>
          <w:trHeight w:val="198"/>
        </w:trPr>
        <w:tc>
          <w:tcPr>
            <w:tcW w:w="1120" w:type="dxa"/>
            <w:vAlign w:val="bottom"/>
            <w:gridSpan w:val="3"/>
          </w:tcPr>
          <w:p>
            <w:pPr>
              <w:jc w:val="center"/>
              <w:spacing w:after="0"/>
              <w:rPr>
                <w:sz w:val="20"/>
                <w:szCs w:val="20"/>
                <w:color w:val="auto"/>
              </w:rPr>
            </w:pPr>
            <w:r>
              <w:rPr>
                <w:rFonts w:ascii="Courier New" w:cs="Courier New" w:eastAsia="Courier New" w:hAnsi="Courier New"/>
                <w:sz w:val="17"/>
                <w:szCs w:val="17"/>
                <w:color w:val="auto"/>
                <w:w w:val="99"/>
              </w:rPr>
              <w:t>Curtailment</w:t>
            </w:r>
          </w:p>
        </w:tc>
      </w:tr>
    </w:tbl>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loss (gain)</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2.7 (0.2)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260" w:hanging="207"/>
        <w:spacing w:after="0"/>
        <w:tabs>
          <w:tab w:leader="none" w:pos="260" w:val="left"/>
        </w:tabs>
        <w:numPr>
          <w:ilvl w:val="0"/>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spacing w:after="0" w:line="5" w:lineRule="exact"/>
        <w:rPr>
          <w:rFonts w:ascii="Courier New" w:cs="Courier New" w:eastAsia="Courier New" w:hAnsi="Courier New"/>
          <w:sz w:val="17"/>
          <w:szCs w:val="17"/>
          <w:color w:val="auto"/>
        </w:rPr>
      </w:pPr>
    </w:p>
    <w:p>
      <w:pPr>
        <w:jc w:val="both"/>
        <w:ind w:left="200" w:right="9139" w:hanging="44"/>
        <w:spacing w:after="0" w:line="246" w:lineRule="auto"/>
        <w:tabs>
          <w:tab w:leader="none" w:pos="766" w:val="left"/>
        </w:tabs>
        <w:numPr>
          <w:ilvl w:val="1"/>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Net periodic benefit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cost $ 3.3</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 (0.3) $</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0.1 $ 2.6 $</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2.6 $ 3.4 $</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0.1 $ 0.1</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1999 -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COMPONENTS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OF NET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PERIODIC</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BENEFIT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COST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Service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cost $</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Interest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cost 0.1</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Expected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return 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plan assets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Net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amortization</w:t>
      </w:r>
    </w:p>
    <w:p>
      <w:pPr>
        <w:sectPr>
          <w:pgSz w:w="11900" w:h="16838" w:orient="portrait"/>
          <w:cols w:equalWidth="0" w:num="1">
            <w:col w:w="10219"/>
          </w:cols>
          <w:pgMar w:left="240" w:top="142" w:right="1440" w:bottom="0" w:gutter="0" w:footer="0" w:header="0"/>
        </w:sectPr>
      </w:pPr>
    </w:p>
    <w:bookmarkStart w:id="89" w:name="page90"/>
    <w:bookmarkEnd w:id="89"/>
    <w:p>
      <w:pPr>
        <w:jc w:val="center"/>
        <w:ind w:right="8979"/>
        <w:spacing w:after="0"/>
        <w:rPr>
          <w:sz w:val="20"/>
          <w:szCs w:val="20"/>
          <w:color w:val="auto"/>
        </w:rPr>
      </w:pPr>
      <w:r>
        <w:rPr>
          <w:rFonts w:ascii="Courier New" w:cs="Courier New" w:eastAsia="Courier New" w:hAnsi="Courier New"/>
          <w:sz w:val="17"/>
          <w:szCs w:val="17"/>
          <w:color w:val="auto"/>
        </w:rPr>
        <w:t>and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deferral</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Curtailment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loss (gain)</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 Net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periodic</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benefit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cost $ 0.1</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2001 2000</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2001 2000</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2001 2000 -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Weighted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average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assumptions: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Discount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rate 7.5%</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7.75% 5.5-</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6.5% 5.4-</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6.5% 7.5%</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7.75%</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Expected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return 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plan assets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8.0% 8.0%</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4.0-8.0%</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4.0-8.0%</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8.0% 8.0%</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Rate of</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compensation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increase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n/a n/a</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2.5-4.0%</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1.5-4.0%</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n/a n/a</w:t>
      </w:r>
    </w:p>
    <w:p>
      <w:pPr>
        <w:spacing w:after="0" w:line="200" w:lineRule="exact"/>
        <w:rPr>
          <w:sz w:val="20"/>
          <w:szCs w:val="20"/>
          <w:color w:val="auto"/>
        </w:rPr>
      </w:pPr>
    </w:p>
    <w:p>
      <w:pPr>
        <w:spacing w:after="0" w:line="201"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56</w:t>
      </w:r>
    </w:p>
    <w:p>
      <w:pPr>
        <w:sectPr>
          <w:pgSz w:w="11900" w:h="16838" w:orient="portrait"/>
          <w:cols w:equalWidth="0" w:num="1">
            <w:col w:w="10219"/>
          </w:cols>
          <w:pgMar w:left="240" w:top="142" w:right="1440" w:bottom="1440" w:gutter="0" w:footer="0" w:header="0"/>
        </w:sectPr>
      </w:pPr>
    </w:p>
    <w:bookmarkStart w:id="90" w:name="page91"/>
    <w:bookmarkEnd w:id="90"/>
    <w:p>
      <w:pPr>
        <w:ind w:left="1960"/>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3" w:lineRule="exact"/>
        <w:rPr>
          <w:sz w:val="20"/>
          <w:szCs w:val="20"/>
          <w:color w:val="auto"/>
        </w:rPr>
      </w:pPr>
    </w:p>
    <w:p>
      <w:pPr>
        <w:ind w:right="2799" w:firstLine="515"/>
        <w:spacing w:after="0" w:line="247" w:lineRule="auto"/>
        <w:rPr>
          <w:sz w:val="20"/>
          <w:szCs w:val="20"/>
          <w:color w:val="auto"/>
        </w:rPr>
      </w:pPr>
      <w:r>
        <w:rPr>
          <w:rFonts w:ascii="Courier New" w:cs="Courier New" w:eastAsia="Courier New" w:hAnsi="Courier New"/>
          <w:sz w:val="17"/>
          <w:szCs w:val="17"/>
          <w:color w:val="auto"/>
        </w:rPr>
        <w:t>At September 30, 2001, the status of the international plans was as follows:</w:t>
      </w:r>
    </w:p>
    <w:p>
      <w:pPr>
        <w:spacing w:after="0" w:line="198"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2001 2000 -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20" w:right="9079" w:hanging="315"/>
        <w:spacing w:after="0" w:line="246" w:lineRule="auto"/>
        <w:tabs>
          <w:tab w:leader="none" w:pos="626" w:val="left"/>
        </w:tabs>
        <w:numPr>
          <w:ilvl w:val="0"/>
          <w:numId w:val="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Plans with</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benefit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obligations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 excess</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of plan</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assets: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Aggregate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projected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benefit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obligations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$73.9 $17.2</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Aggregate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fair value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of plan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assets 49.7</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4.7 Plans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with plan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assets in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excess of</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benefit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obligations: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Aggregate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projected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benefit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obligations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2.1 54.9</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Aggregate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fair value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of plan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assets 2.1</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59.6</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7. ASSOCIATE BENEFITS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Company provides comprehensive major medical benefits to certain of its retired associates and their dependents. Substantially all of the Company's domestic associates become eligible for these benefits if they retire at age 55 or older with more than ten years of service. The plan requires certain minimum contributions from retired associates and includes provisions to limit the overall cost increases the Company is required to cover. The Company funds its portion of retiree medical benefits on a pay-as-you-go basis.</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Prior to October 1, 1993, the Company effected several changes in plan provisions, primarily related to current and ultimate levels of retiree and dependent contributions. Retirees as of October 1, 1993 are entitled to benefits existing prior to these plan changes. These plan changes resulted in a reduction in unrecognized prior service cost, which is being amortized over future years.</w:t>
      </w:r>
    </w:p>
    <w:p>
      <w:pPr>
        <w:spacing w:after="0" w:line="201"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connection with the reduction in force in fiscal 2001, the plan incurred a curtailment expense of $3.7 million which was included in restructuring expense.</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The following table set for the information about the retiree medical plan:</w:t>
      </w:r>
    </w:p>
    <w:p>
      <w:pPr>
        <w:spacing w:after="0" w:line="203"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2001 2000 -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(in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millions)</w:t>
      </w:r>
    </w:p>
    <w:p>
      <w:pPr>
        <w:sectPr>
          <w:pgSz w:w="11900" w:h="16838" w:orient="portrait"/>
          <w:cols w:equalWidth="0" w:num="1">
            <w:col w:w="10219"/>
          </w:cols>
          <w:pgMar w:left="240" w:top="511" w:right="1440" w:bottom="0" w:gutter="0" w:footer="0" w:header="0"/>
        </w:sectPr>
      </w:pPr>
    </w:p>
    <w:bookmarkStart w:id="91" w:name="page92"/>
    <w:bookmarkEnd w:id="91"/>
    <w:p>
      <w:pPr>
        <w:jc w:val="center"/>
        <w:ind w:right="8879"/>
        <w:spacing w:after="0"/>
        <w:rPr>
          <w:sz w:val="20"/>
          <w:szCs w:val="20"/>
          <w:color w:val="auto"/>
        </w:rPr>
      </w:pPr>
      <w:r>
        <w:rPr>
          <w:rFonts w:ascii="Courier New" w:cs="Courier New" w:eastAsia="Courier New" w:hAnsi="Courier New"/>
          <w:sz w:val="17"/>
          <w:szCs w:val="17"/>
          <w:color w:val="auto"/>
        </w:rPr>
        <w:t>CHANGE IN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BENEFIT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OBLIGATION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Benefit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obligation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at beginning</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of year $</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18.0 $ 15.8</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Service cost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0.3 0.4</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Interest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cost 1.4 1.3</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Plan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participants'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contributions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0.3 0.3</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Curtailment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loss 3.7</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Actuarial</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loss 1.2</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Benefits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paid (1.2)</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(1.0) ------</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Benefit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obligation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at end of</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year $ 22.5</w:t>
      </w:r>
    </w:p>
    <w:p>
      <w:pPr>
        <w:spacing w:after="0" w:line="5" w:lineRule="exact"/>
        <w:rPr>
          <w:sz w:val="20"/>
          <w:szCs w:val="20"/>
          <w:color w:val="auto"/>
        </w:rPr>
      </w:pPr>
    </w:p>
    <w:p>
      <w:pPr>
        <w:ind w:left="560" w:hanging="197"/>
        <w:spacing w:after="0"/>
        <w:tabs>
          <w:tab w:leader="none" w:pos="560" w:val="left"/>
        </w:tabs>
        <w:numPr>
          <w:ilvl w:val="0"/>
          <w:numId w:val="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18.0</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CHANGE IN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PLAN ASSETS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Fair value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of plan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assets at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beginning of</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year $ $</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Employer</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contribution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0.9 0.7 Plan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participants'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contributions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0.3 0.3</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Benefits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paid (1.2)</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(1.0) ------</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 Fair</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value of</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plan assets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at end of</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year $ -- $</w:t>
      </w:r>
    </w:p>
    <w:p>
      <w:pPr>
        <w:spacing w:after="0" w:line="5" w:lineRule="exact"/>
        <w:rPr>
          <w:sz w:val="20"/>
          <w:szCs w:val="20"/>
          <w:color w:val="auto"/>
        </w:rPr>
      </w:pPr>
    </w:p>
    <w:p>
      <w:pPr>
        <w:ind w:left="520" w:hanging="311"/>
        <w:spacing w:after="0"/>
        <w:tabs>
          <w:tab w:leader="none" w:pos="520" w:val="left"/>
        </w:tabs>
        <w:numPr>
          <w:ilvl w:val="0"/>
          <w:numId w:val="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AMOUNTS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RECOGNIZED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IN THE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STATEMENT OF</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FINANCIAL</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POSITION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CONSIST OF:</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Funded</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status</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$(22.5)</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$(18.0)</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Unrecognized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prior</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service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costs (1.7)</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(3.0)</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Unrecognized</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prior gain</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(0.3) (4.0)</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160" w:right="8939" w:hanging="106"/>
        <w:spacing w:after="0" w:line="262" w:lineRule="auto"/>
        <w:tabs>
          <w:tab w:leader="none" w:pos="263"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amount recognized $(24.5) $(25.0)</w:t>
      </w:r>
    </w:p>
    <w:p>
      <w:pPr>
        <w:ind w:left="3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6"/>
          <w:szCs w:val="16"/>
          <w:color w:val="auto"/>
        </w:rPr>
      </w:pPr>
    </w:p>
    <w:p>
      <w:pPr>
        <w:ind w:left="3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142" w:right="1440" w:bottom="299" w:gutter="0" w:footer="0" w:header="0"/>
        </w:sectPr>
      </w:pPr>
    </w:p>
    <w:bookmarkStart w:id="92" w:name="page93"/>
    <w:bookmarkEnd w:id="92"/>
    <w:p>
      <w:pPr>
        <w:ind w:left="2720"/>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ind w:left="2820"/>
        <w:spacing w:after="0"/>
        <w:rPr>
          <w:sz w:val="20"/>
          <w:szCs w:val="20"/>
          <w:color w:val="auto"/>
        </w:rPr>
      </w:pPr>
      <w:r>
        <w:rPr>
          <w:rFonts w:ascii="Courier New" w:cs="Courier New" w:eastAsia="Courier New" w:hAnsi="Courier New"/>
          <w:sz w:val="17"/>
          <w:szCs w:val="17"/>
          <w:color w:val="auto"/>
        </w:rPr>
        <w:t>57</w:t>
      </w:r>
    </w:p>
    <w:p>
      <w:pPr>
        <w:sectPr>
          <w:pgSz w:w="11900" w:h="16838" w:orient="portrait"/>
          <w:cols w:equalWidth="0" w:num="1">
            <w:col w:w="9019"/>
          </w:cols>
          <w:pgMar w:left="1440" w:top="142" w:right="1440" w:bottom="1440" w:gutter="0" w:footer="0" w:header="0"/>
        </w:sectPr>
      </w:pPr>
    </w:p>
    <w:bookmarkStart w:id="93" w:name="page94"/>
    <w:bookmarkEnd w:id="93"/>
    <w:p>
      <w:pPr>
        <w:jc w:val="center"/>
        <w:ind w:right="1979"/>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discount rates used in determining the accumulated postretirement benefit obligation were 7.5% and 7.75% in fiscal 2001 and 2000, respectively. For measurement purposes, annual rates of increase in per capita cost of covered retiree medical benefits assumed for fiscal 2001 and 2000 were 9.50% and 8.50%, respectively. The rate was assumed to decrease gradually to 5.5% through the year 2010 and remain at that level thereafter. A 1% increase in health cost trend rate assumptions would increase the accumulated postretirement benefit obligation (APBO) as of September 30, 2001 and 2000 by $0.5 million and $0.7 million, respectively. A 1% increase or decrease in the same rate would not have a material effect on service or interest costs.</w:t>
      </w:r>
    </w:p>
    <w:p>
      <w:pPr>
        <w:spacing w:after="0" w:line="204"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Company is self-insured for certain health benefits up to $0.2 million per occurrence per individual. The cost of such benefits is recognized as expense in the period the claim is incurred. This cost was $14.7 million, $9.9 million and $11.0 million in fiscal 2001, 2000 and 1999, respectively. The Company is self-insured for State of Ohio workers compensation up to $0.5 million per claim. Claims in excess of stated limits of liability and claims for workers compensation outside of the State of Ohio are insured with commercial carriers.</w:t>
      </w:r>
    </w:p>
    <w:p>
      <w:pPr>
        <w:spacing w:after="0" w:line="203"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NOTE 8. DEBT</w:t>
      </w:r>
    </w:p>
    <w:p>
      <w:pPr>
        <w:spacing w:after="0" w:line="203"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30,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2001 2000 -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720" w:hanging="513"/>
        <w:spacing w:after="0"/>
        <w:tabs>
          <w:tab w:leader="none" w:pos="720" w:val="left"/>
        </w:tabs>
        <w:numPr>
          <w:ilvl w:val="0"/>
          <w:numId w:val="1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w:t>
      </w:r>
    </w:p>
    <w:p>
      <w:pPr>
        <w:spacing w:after="0" w:line="5" w:lineRule="exact"/>
        <w:rPr>
          <w:rFonts w:ascii="Courier New" w:cs="Courier New" w:eastAsia="Courier New" w:hAnsi="Courier New"/>
          <w:sz w:val="17"/>
          <w:szCs w:val="17"/>
          <w:color w:val="auto"/>
        </w:rPr>
      </w:pPr>
    </w:p>
    <w:p>
      <w:pPr>
        <w:jc w:val="both"/>
        <w:ind w:left="160" w:right="913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millions) Revolving</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loans under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credit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facility $</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94.7 $ 37.3</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Term loans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under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credit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facility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398.6 452.2</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Senior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subordinated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notes 320.5</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319.2 Notes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due to</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sellers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53.7 36.4</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Foreign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bank</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borrowings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and term</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loans 9.4</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7.1 Capital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lease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obligations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and other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10.9 10.6 -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460" w:hanging="201"/>
        <w:spacing w:after="0"/>
        <w:tabs>
          <w:tab w:leader="none" w:pos="460" w:val="left"/>
        </w:tabs>
        <w:numPr>
          <w:ilvl w:val="0"/>
          <w:numId w:val="1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887.8</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862.8 Less</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current</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portions</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71.3 49.4 -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320" w:right="9179" w:hanging="113"/>
        <w:spacing w:after="0" w:line="246" w:lineRule="auto"/>
        <w:tabs>
          <w:tab w:leader="none" w:pos="423" w:val="left"/>
        </w:tabs>
        <w:numPr>
          <w:ilvl w:val="0"/>
          <w:numId w:val="1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$816.5 $813.4</w:t>
      </w:r>
    </w:p>
    <w:p>
      <w:pPr>
        <w:spacing w:after="0" w:line="1"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Maturities of short- and long-term debt, including capital leases for the</w:t>
      </w:r>
    </w:p>
    <w:p>
      <w:pPr>
        <w:sectPr>
          <w:pgSz w:w="11900" w:h="16838" w:orient="portrait"/>
          <w:cols w:equalWidth="0" w:num="1">
            <w:col w:w="10219"/>
          </w:cols>
          <w:pgMar w:left="240" w:top="511" w:right="1440" w:bottom="0" w:gutter="0" w:footer="0" w:header="0"/>
        </w:sectPr>
      </w:pPr>
    </w:p>
    <w:bookmarkStart w:id="94" w:name="page95"/>
    <w:bookmarkEnd w:id="94"/>
    <w:p>
      <w:pPr>
        <w:spacing w:after="0"/>
        <w:rPr>
          <w:sz w:val="20"/>
          <w:szCs w:val="20"/>
          <w:color w:val="auto"/>
        </w:rPr>
      </w:pPr>
      <w:r>
        <w:rPr>
          <w:rFonts w:ascii="Courier New" w:cs="Courier New" w:eastAsia="Courier New" w:hAnsi="Courier New"/>
          <w:sz w:val="17"/>
          <w:szCs w:val="17"/>
          <w:color w:val="auto"/>
        </w:rPr>
        <w:t>next five fiscal years and thereafter are as follows:</w:t>
      </w:r>
    </w:p>
    <w:p>
      <w:pPr>
        <w:spacing w:after="0" w:line="203"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Capital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Leases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Other and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Other Debt</w:t>
      </w:r>
    </w:p>
    <w:p>
      <w:pPr>
        <w:spacing w:after="0" w:line="5" w:lineRule="exact"/>
        <w:rPr>
          <w:sz w:val="20"/>
          <w:szCs w:val="20"/>
          <w:color w:val="auto"/>
        </w:rPr>
      </w:pPr>
    </w:p>
    <w:p>
      <w:pPr>
        <w:ind w:left="260" w:hanging="207"/>
        <w:spacing w:after="0"/>
        <w:tabs>
          <w:tab w:leader="none" w:pos="260" w:val="left"/>
        </w:tabs>
        <w:numPr>
          <w:ilvl w:val="0"/>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4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millions)</w:t>
      </w:r>
    </w:p>
    <w:p>
      <w:pPr>
        <w:spacing w:after="0" w:line="5" w:lineRule="exact"/>
        <w:rPr>
          <w:rFonts w:ascii="Courier New" w:cs="Courier New" w:eastAsia="Courier New" w:hAnsi="Courier New"/>
          <w:sz w:val="17"/>
          <w:szCs w:val="17"/>
          <w:color w:val="auto"/>
        </w:rPr>
      </w:pPr>
    </w:p>
    <w:p>
      <w:pPr>
        <w:jc w:val="center"/>
        <w:ind w:left="60" w:right="9039" w:firstLine="52"/>
        <w:spacing w:after="0" w:line="262"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2002 $ 2.3 $ 70.7 2003 1.0 54.8 2004 0.8 36.8 2005 0.5 139.7 2006 0.3 1.1 Thereafter 6.3 585.0 -</w:t>
      </w:r>
    </w:p>
    <w:p>
      <w:pPr>
        <w:spacing w:after="0" w:line="1"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$11.2</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$888.1</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Less:</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amounts</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representing</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future</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interest</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(0.3)</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(11.2) ----</w:t>
      </w:r>
    </w:p>
    <w:p>
      <w:pPr>
        <w:spacing w:after="0" w:line="5" w:lineRule="exact"/>
        <w:rPr>
          <w:sz w:val="20"/>
          <w:szCs w:val="20"/>
          <w:color w:val="auto"/>
        </w:rPr>
      </w:pPr>
    </w:p>
    <w:p>
      <w:pPr>
        <w:ind w:left="420" w:hanging="213"/>
        <w:spacing w:after="0"/>
        <w:tabs>
          <w:tab w:leader="none" w:pos="420" w:val="left"/>
        </w:tabs>
        <w:numPr>
          <w:ilvl w:val="0"/>
          <w:numId w:val="1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$10.9</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$876.9</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On December 4, 1998, The Scotts Company and certain of its subsidiaries entered into a credit facility (the "Original Credit Agreement") which provided for borrowings in the aggregate principal amount of $1.025 billion and consisted of term loan facilities in the aggregate amount of $525 million and a revolving credit facility in the amount of $500 million. Proceeds from borrowings under the Original Credit Agreement of approximately $241.0 million were used to repay amounts outstanding under the then existing credit</w:t>
      </w:r>
    </w:p>
    <w:p>
      <w:pPr>
        <w:spacing w:after="0" w:line="20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58</w:t>
      </w:r>
    </w:p>
    <w:p>
      <w:pPr>
        <w:sectPr>
          <w:pgSz w:w="11900" w:h="16838" w:orient="portrait"/>
          <w:cols w:equalWidth="0" w:num="1">
            <w:col w:w="10219"/>
          </w:cols>
          <w:pgMar w:left="240" w:top="142" w:right="1440" w:bottom="1440" w:gutter="0" w:footer="0" w:header="0"/>
        </w:sectPr>
      </w:pPr>
    </w:p>
    <w:bookmarkStart w:id="95" w:name="page96"/>
    <w:bookmarkEnd w:id="95"/>
    <w:p>
      <w:pPr>
        <w:jc w:val="center"/>
        <w:ind w:right="1979"/>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3" w:lineRule="exact"/>
        <w:rPr>
          <w:sz w:val="20"/>
          <w:szCs w:val="20"/>
          <w:color w:val="auto"/>
        </w:rPr>
      </w:pPr>
    </w:p>
    <w:p>
      <w:pPr>
        <w:ind w:right="1979"/>
        <w:spacing w:after="0" w:line="247" w:lineRule="auto"/>
        <w:rPr>
          <w:sz w:val="20"/>
          <w:szCs w:val="20"/>
          <w:color w:val="auto"/>
        </w:rPr>
      </w:pPr>
      <w:r>
        <w:rPr>
          <w:rFonts w:ascii="Courier New" w:cs="Courier New" w:eastAsia="Courier New" w:hAnsi="Courier New"/>
          <w:sz w:val="17"/>
          <w:szCs w:val="17"/>
          <w:color w:val="auto"/>
        </w:rPr>
        <w:t>facility. The Company recorded a $0.4 million extraordinary loss, net of tax, in connection with the retirement of the previous facility.</w:t>
      </w:r>
    </w:p>
    <w:p>
      <w:pPr>
        <w:spacing w:after="0" w:line="198"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On December 5, 2000, The Scotts Company and certain of its subsidiaries entered into an Amended and Restated Credit Agreement (the "Amended Credit Agreement"), amending and restating in its entirety the Original Credit Agreement. Under the terms of the Amended Credit Agreement, the revolving credit facility was increased from $500 million to $575 million and the net worth covenant was amended.</w:t>
      </w:r>
    </w:p>
    <w:p>
      <w:pPr>
        <w:spacing w:after="0" w:line="202"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 term loan facilities consist of two tranches. The Tranche A Term Loan Facility consists of three sub-tranches of French Francs, German Deutsche Marks and British Pounds Sterling in an aggregate principal amount of $265 million which are to be repaid quarterly over a 6 1/2 year period. The Tranche B Term Loan Facility replaced the Tranche B and Tranche C facilities from the Original Credit Agreement. Those facilities were prepayable without penalty. The new Tranche B Term Loan Facility has an aggregate principal amount of $260 million and is repayable in installments as follows: quarterly installments of $0.25 million beginning June 30, 2001 through December 31, 2006, quarterly installments of $63.5 million beginning March 31, 2007 through September 30, 2007 and a final quarterly installment of $63.8 million on December 31, 2007.</w:t>
      </w:r>
    </w:p>
    <w:p>
      <w:pPr>
        <w:spacing w:after="0" w:line="204"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revolving credit facility provides for borrowings of up to $575 million, which are available on a revolving basis over a term of 6 1/2 years. A portion of the revolving credit facility not to exceed $100 million is available for the issuance of letters of credit. A portion of the facility not to exceed $258.8 million is available for borrowings in optional currencies, including German Deutsche Marks, British Pounds Sterling, French Francs, Belgian Francs, Italian Lira and other specified currencies, provided that the outstanding revolving loans in optional currencies other than British Pounds Sterling does not exceed $138 million. The outstanding principal amount of all revolving credit loans may not exceed $150 million for at least 30 consecutive days during any calendar year.</w:t>
      </w:r>
    </w:p>
    <w:p>
      <w:pPr>
        <w:spacing w:after="0" w:line="204"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Interest rates and commitment fees under the Amended Credit Agreement vary according to the Company's leverage ratios and interest rates also vary within tranches. The weighted-average interest rate on the Company's variable rate borrowings at September 30, 2001 was 7.85% and at September 30, 2000 was 8.78%. In addition, the Amended Credit Agreement requires that Scotts enter into hedge agreements to the extent necessary to provide that at least 50% of the aggregate principal amount of the 8 5/8% Senior Subordinated Notes due 2009 and term loan facilities is subject to a fixed interest rate or interest rate protection for a period of not less than three years. Financial covenants include minimum net worth, interest coverage and net leverage ratios. Other covenants include limitations on indebtedness, liens, mergers, consolidations, liquidations and dissolutions, sale of assets, leases, dividends, capital expenditures, and investments. The Scotts Company and all of its domestic subsidiaries pledged substantially all of their personal, real and intellectual property assets as collateral for the borrowings under the Amended Credit Agreement. The Scotts Company and its subsidiaries also pledged the stock in foreign subsidiaries that borrow under the Amended Credit Agreement.</w:t>
      </w:r>
    </w:p>
    <w:p>
      <w:pPr>
        <w:spacing w:after="0" w:line="208"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At September 30, 2001, primarily due to the restructuring charges recorded in fiscal 2001, Scotts was in default of the covenants in the Amended Credit Agreement pertaining to net worth, leverage and interest coverage. The defaults were waived to and including December 31, 2001 and the Company is now in compliance at September 30, 2001 with the covenants as modified by the December 2001 amendment. See Note 22 regarding the December 2001 amendment to the Amended Credit Agreement.</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Approximately $15.1 million of financing costs associated with the revolving credit facility have been deferred as of September 30, 2001 and are being amortized over a period of approximately 7 years, beginning in fiscal year 1999.</w:t>
      </w:r>
    </w:p>
    <w:p>
      <w:pPr>
        <w:spacing w:after="0" w:line="200"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In January 1999, The Scotts Company completed an offering of $330 million of 8 5/8% Senior Subordinated Notes due 2009. The net proceeds from the offering, together with borrowings under the Original Credit Agreement, were used to fund the Ortho acquisition and to repurchase approximately $97 million of outstanding 9 7/8% Senior Subordinated Notes due August 2004. The Company recorded an extraordinary loss before tax on the extinguishment of the 9 7/8% Notes of approximately $9.3 million, including a call premium of $7.2 million and the write-off of unamortized issuance costs and discounts of</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59</w:t>
      </w:r>
    </w:p>
    <w:p>
      <w:pPr>
        <w:sectPr>
          <w:pgSz w:w="11900" w:h="16838" w:orient="portrait"/>
          <w:cols w:equalWidth="0" w:num="1">
            <w:col w:w="10219"/>
          </w:cols>
          <w:pgMar w:left="240" w:top="511" w:right="1440" w:bottom="325" w:gutter="0" w:footer="0" w:header="0"/>
        </w:sectPr>
      </w:pPr>
    </w:p>
    <w:bookmarkStart w:id="96" w:name="page97"/>
    <w:bookmarkEnd w:id="96"/>
    <w:p>
      <w:pPr>
        <w:ind w:left="1960"/>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3"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$2.1 million. In August 1999, Scotts repurchased the remaining $2.9 million of the 9 7/8% Notes, resulting in an extraordinary loss, net of tax, of $0.1 million.</w:t>
      </w:r>
    </w:p>
    <w:p>
      <w:pPr>
        <w:spacing w:after="0" w:line="200"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Scotts entered into two interest rate locks in fiscal 1998 to hedge its anticipated interest rate exposure on the 8 5/8% Notes offering. The total amount paid under the interest rate locks of $12.9 million has been recorded as a reduction of the 8 5/8% Notes' carrying value and is being amortized over the life of the 8 5/8% Notes as interest expense. Approximately $11.8 million of issuance costs associated with the 8 5/8% Notes were deferred and are being amortized over the term of the Notes.</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conjunction with the acquisitions of Rhone-Poulenc Jardin and Sanford Scientific, notes were issued for certain portions of the total purchase price that are to be paid in annual installments over a four-year period. The present value of the remaining note payments is $16.0 million and $4.4 million, respectively. The Company is imputing interest on the non-interest bearing notes using an interest rate prevalent for similar instruments at the time of acquisition (approximately 9% and 8%, respectively). In conjunction with other acquisitions, notes were issued for certain portions of the total purchase price that are to be paid in annual installments over periods ranging from four to five years. The present value of remaining note payments is $14.4 million. The Company is imputing interest on the non-interest bearing notes using an interest rate prevalent for similar instruments at the time of the acquisitions (approximately 8%).</w:t>
      </w:r>
    </w:p>
    <w:p>
      <w:pPr>
        <w:spacing w:after="0" w:line="206"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In conjunction with the Substral(R) acquisition, notes were issued for certain portions of the total purchase price that are to be paid in semi-annual installments over a two-year period. The remaining note payments total $21.5 million. The interest rate on these notes is of 5.5%.</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foreign term loans of $6.0 million issued on December 12, 1997, have an 8-year term and bear interest at 1% below LIBOR. The present value of these loans at September 30, 2001 and 2000 was $2.8 million and $3.2 million, respectively. The loans are denominated in British Pounds Sterling and can be redeemed, on demand, by the note holder. The foreign bank borrowings of $6.6 million at September 30, 2001 and $3.9 million at September 30, 2000 represent lines of credit for foreign operations and are primarily denominated in French Francs.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9. SHAREHOLDERS' EQUITY</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2001 2000</w:t>
      </w:r>
    </w:p>
    <w:p>
      <w:pPr>
        <w:spacing w:after="0" w:line="5" w:lineRule="exact"/>
        <w:rPr>
          <w:sz w:val="20"/>
          <w:szCs w:val="20"/>
          <w:color w:val="auto"/>
        </w:rPr>
      </w:pPr>
    </w:p>
    <w:p>
      <w:pPr>
        <w:ind w:left="220" w:hanging="214"/>
        <w:spacing w:after="0"/>
        <w:tabs>
          <w:tab w:leader="none" w:pos="220" w:val="left"/>
        </w:tabs>
        <w:numPr>
          <w:ilvl w:val="0"/>
          <w:numId w:val="1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millions)</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STOCK</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Preferred</w:t>
      </w:r>
    </w:p>
    <w:p>
      <w:pPr>
        <w:spacing w:after="0" w:line="5" w:lineRule="exact"/>
        <w:rPr>
          <w:rFonts w:ascii="Courier New" w:cs="Courier New" w:eastAsia="Courier New" w:hAnsi="Courier New"/>
          <w:sz w:val="17"/>
          <w:szCs w:val="17"/>
          <w:color w:val="auto"/>
        </w:rPr>
      </w:pPr>
    </w:p>
    <w:p>
      <w:pPr>
        <w:jc w:val="both"/>
        <w:ind w:right="91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shares, no par value: Authorized 0.2 shares</w:t>
      </w:r>
    </w:p>
    <w:p>
      <w:pPr>
        <w:spacing w:after="0" w:line="2" w:lineRule="exact"/>
        <w:rPr>
          <w:rFonts w:ascii="Courier New" w:cs="Courier New" w:eastAsia="Courier New" w:hAnsi="Courier New"/>
          <w:sz w:val="17"/>
          <w:szCs w:val="17"/>
          <w:color w:val="auto"/>
        </w:rPr>
      </w:pPr>
    </w:p>
    <w:p>
      <w:pPr>
        <w:jc w:val="center"/>
        <w:ind w:right="91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0.2 shares Issued 0.0 shares 0.0 shares Common shares, no par value Authorized 100.0 shares 100.0 shares Issued 31.3 shares 31.3 shares</w:t>
      </w:r>
    </w:p>
    <w:p>
      <w:pPr>
        <w:sectPr>
          <w:pgSz w:w="11900" w:h="16838" w:orient="portrait"/>
          <w:cols w:equalWidth="0" w:num="1">
            <w:col w:w="10219"/>
          </w:cols>
          <w:pgMar w:left="240" w:top="511" w:right="1440" w:bottom="132" w:gutter="0" w:footer="0" w:header="0"/>
        </w:sectPr>
      </w:pPr>
    </w:p>
    <w:bookmarkStart w:id="97" w:name="page98"/>
    <w:bookmarkEnd w:id="97"/>
    <w:p>
      <w:pPr>
        <w:ind w:right="1979" w:firstLine="515"/>
        <w:spacing w:after="0" w:line="246" w:lineRule="auto"/>
        <w:rPr>
          <w:sz w:val="20"/>
          <w:szCs w:val="20"/>
          <w:color w:val="auto"/>
        </w:rPr>
      </w:pPr>
      <w:r>
        <w:rPr>
          <w:rFonts w:ascii="Courier New" w:cs="Courier New" w:eastAsia="Courier New" w:hAnsi="Courier New"/>
          <w:sz w:val="17"/>
          <w:szCs w:val="17"/>
          <w:color w:val="auto"/>
        </w:rPr>
        <w:t>Class A Convertible Preferred Stock ("Preferred Shares") with a liquidation preference of $195.0 million was issued in conjunction with the 1995 Miracle-Gro merger transactions. These Preferred Shares had a 5% dividend yield and were convertible upon shareholder demand into common shares at any time and at The Scotts Company's option after May 2000 at $19.00 per common share. The conversion feature associated with the Preferred Shares issued in connection with the Miracle-Gro merger transactions was negotiated as an integral part of the overall transaction. The conversion price exceeded the fair market value of The Scotts Company's common shares on the date the two companies reached agreement and, therefore, the Preferred Shares did not provide for a beneficial conversion feature. Additionally, warrants to purchase 3.0 million common shares of The Scotts Company were issued as part of the purchase price. The warrants are exercisable upon shareholder demand for 1.0 million common shares at $21.00 per share, 1.0 million common shares at $25.00 per share and 1.0 million common shares at $29.00 per share. The exercise term for the warrants expires November 2003. The fair value of the warrants at issuance has been included in capital in excess of par value in the Company's Consolidated Balance Sheets.</w:t>
      </w:r>
    </w:p>
    <w:p>
      <w:pPr>
        <w:spacing w:after="0" w:line="20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60</w:t>
      </w:r>
    </w:p>
    <w:p>
      <w:pPr>
        <w:sectPr>
          <w:pgSz w:w="11900" w:h="16838" w:orient="portrait"/>
          <w:cols w:equalWidth="0" w:num="1">
            <w:col w:w="10219"/>
          </w:cols>
          <w:pgMar w:left="240" w:top="142" w:right="1440" w:bottom="1440" w:gutter="0" w:footer="0" w:header="0"/>
        </w:sectPr>
      </w:pPr>
    </w:p>
    <w:bookmarkStart w:id="98" w:name="page99"/>
    <w:bookmarkEnd w:id="98"/>
    <w:p>
      <w:pPr>
        <w:jc w:val="center"/>
        <w:ind w:right="1979"/>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fiscal 1999, certain of the Preferred Shares were converted into 0.2 million common shares at the holder's option. In October 1999, all of the then outstanding Preferred Shares were converted into 10.0 million common shares. In exchange for the early conversion, The Scotts Company paid the holders of the Preferred Shares $6.4 million. That amount represents the dividends on the Preferred Shares that otherwise would have been payable from the conversion date through May 2000, the month during which the Preferred Shares could first be redeemed by The Scotts Company. In addition, The Scotts Company agreed to accelerate the termination of many of the standstill provisions in the Miracle-Gro merger agreement that would otherwise have terminated in May 2000. These standstill provisions include the provisions related to the Board of Directors and voting restrictions, as well as restrictions on transfer. Therefore, the former shareholders of Stern's Miracle-Gro Products, Inc., including Hagedorn Partnership, L.P., may vote their common shares freely in the election of directors and generally on all matters brought before The Scotts Company's shareholders. Following the conversion and the termination of the standstill provisions described above, the former shareholders of Miracle-Gro own approximately 40% of The Scotts Company's outstanding common shares and have the ability to significantly influence the election of directors and approval of other actions requiring the approval of The Scotts Company's shareholders.</w:t>
      </w:r>
    </w:p>
    <w:p>
      <w:pPr>
        <w:spacing w:after="0" w:line="210"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In January 2001, the Amended Articles of Incorporation of The Scotts Company were amended to change the authorized preferred stock from 195,000 shares of Class A Convertible Preferred Stock to 195,000 preferred shares, each without par value.</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limitations on the ability of the former shareholders of Miracle-Gro to acquire additional voting securities of The Scotts Company contained in the merger agreement terminated as of October 1, 1999, except for the restriction under which the former shareholders of Miracle-Gro may not acquire, directly or indirectly, beneficial ownership of Voting Stock (as that term is defined in the Miracle-Gro merger agreement) representing more than 49% of the total voting power of the outstanding Voting Stock, except pursuant to a tender offer for 100% of that total voting power, which tender offer is made at a price per share which is not less than the market price per share on the last trading day before the announcement of the tender offer and is conditioned upon the receipt of at least 50% of the Voting Stock beneficially owned by shareholders of The Scotts Company other than the former shareholders of Miracle-Gro and their affiliates and associates.</w:t>
      </w:r>
    </w:p>
    <w:p>
      <w:pPr>
        <w:spacing w:after="0" w:line="206"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Under The Scotts Company 1992 Long Term Incentive Plan (the "1992 Plan"), stock options and performance share awards were granted to officers and other key employees of the Company. The 1992 Plan also provided for the grant of stock options to non-employee directors of Scotts. The maximum number of common shares that may be issued under the 1992 Plan is 1.7 million, plus the number of common shares surrendered to exercise options (other than non-employee director options) granted under the 1992 Plan, up to a maximum of 1.0 million surrendered common shares. Vesting periods under the 1992 Plan vary and were determined by the Compensation and Organization Committee of the Board of Directors.</w:t>
      </w:r>
    </w:p>
    <w:p>
      <w:pPr>
        <w:spacing w:after="0" w:line="203"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Under The Scotts Company 1996 Stock Option Plan (the "1996 Plan"), stock options may be granted to officers and other key employees of the Company and non-employee directors of The Scotts Company. The maximum number of common shares that may be issued under the 1996 Plan is 5.5 million. Vesting periods under the 1996 Plan vary. Generally, a 3-year cliff vesting schedule is used unless decided otherwise by the Compensation and Organization Committee of the Board of Directors.</w:t>
      </w:r>
    </w:p>
    <w:p>
      <w:pPr>
        <w:spacing w:after="0" w:line="20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61</w:t>
      </w:r>
    </w:p>
    <w:p>
      <w:pPr>
        <w:sectPr>
          <w:pgSz w:w="11900" w:h="16838" w:orient="portrait"/>
          <w:cols w:equalWidth="0" w:num="1">
            <w:col w:w="10219"/>
          </w:cols>
          <w:pgMar w:left="240" w:top="511" w:right="1440" w:bottom="1440" w:gutter="0" w:footer="0" w:header="0"/>
        </w:sectPr>
      </w:pPr>
    </w:p>
    <w:bookmarkStart w:id="99" w:name="page100"/>
    <w:bookmarkEnd w:id="99"/>
    <w:p>
      <w:pPr>
        <w:ind w:left="1960"/>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3" w:lineRule="exact"/>
        <w:rPr>
          <w:sz w:val="20"/>
          <w:szCs w:val="20"/>
          <w:color w:val="auto"/>
        </w:rPr>
      </w:pPr>
    </w:p>
    <w:p>
      <w:pPr>
        <w:ind w:right="2699" w:firstLine="515"/>
        <w:spacing w:after="0" w:line="247" w:lineRule="auto"/>
        <w:rPr>
          <w:sz w:val="20"/>
          <w:szCs w:val="20"/>
          <w:color w:val="auto"/>
        </w:rPr>
      </w:pPr>
      <w:r>
        <w:rPr>
          <w:rFonts w:ascii="Courier New" w:cs="Courier New" w:eastAsia="Courier New" w:hAnsi="Courier New"/>
          <w:sz w:val="17"/>
          <w:szCs w:val="17"/>
          <w:color w:val="auto"/>
        </w:rPr>
        <w:t>Aggregate stock option activity consists of the following (shares in millions):</w:t>
      </w:r>
    </w:p>
    <w:p>
      <w:pPr>
        <w:spacing w:after="0" w:line="19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Fiscal</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Year Ended</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30,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560" w:hanging="405"/>
        <w:spacing w:after="0"/>
        <w:tabs>
          <w:tab w:leader="none" w:pos="560" w:val="left"/>
        </w:tabs>
        <w:numPr>
          <w:ilvl w:val="1"/>
          <w:numId w:val="1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2001</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2000 1999</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60" w:hanging="208"/>
        <w:spacing w:after="0"/>
        <w:tabs>
          <w:tab w:leader="none" w:pos="260" w:val="left"/>
        </w:tabs>
        <w:numPr>
          <w:ilvl w:val="0"/>
          <w:numId w:val="1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3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jc w:val="center"/>
        <w:ind w:left="60" w:right="9139" w:firstLine="51"/>
        <w:spacing w:after="0" w:line="262"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Number of Number of Number of Common WTD. Avg. Common WTD. Avg. Common WTD. Avg. Shares Price Shares Price Shares Price - --</w:t>
      </w:r>
    </w:p>
    <w:p>
      <w:pPr>
        <w:spacing w:after="0" w:line="1"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3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Beginning</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balance</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4.9 $26.67</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4.9 $26.33</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3.8 $20.70</w:t>
      </w:r>
    </w:p>
    <w:p>
      <w:pPr>
        <w:spacing w:after="0" w:line="5" w:lineRule="exact"/>
        <w:rPr>
          <w:rFonts w:ascii="Courier New" w:cs="Courier New" w:eastAsia="Courier New" w:hAnsi="Courier New"/>
          <w:sz w:val="17"/>
          <w:szCs w:val="17"/>
          <w:color w:val="auto"/>
        </w:rPr>
      </w:pPr>
    </w:p>
    <w:p>
      <w:pPr>
        <w:jc w:val="center"/>
        <w:ind w:left="100" w:right="9199" w:firstLine="103"/>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Options granted 0.9 28.66</w:t>
      </w:r>
    </w:p>
    <w:p>
      <w:pPr>
        <w:spacing w:after="0" w:line="1"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0.3 37.39</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1.4 35.70</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Options</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exercised</w:t>
      </w:r>
    </w:p>
    <w:p>
      <w:pPr>
        <w:spacing w:after="0" w:line="5" w:lineRule="exact"/>
        <w:rPr>
          <w:rFonts w:ascii="Courier New" w:cs="Courier New" w:eastAsia="Courier New" w:hAnsi="Courier New"/>
          <w:sz w:val="17"/>
          <w:szCs w:val="17"/>
          <w:color w:val="auto"/>
        </w:rPr>
      </w:pPr>
    </w:p>
    <w:p>
      <w:pPr>
        <w:ind w:left="3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(0.8)</w:t>
      </w:r>
    </w:p>
    <w:p>
      <w:pPr>
        <w:spacing w:after="0" w:line="5" w:lineRule="exact"/>
        <w:rPr>
          <w:rFonts w:ascii="Courier New" w:cs="Courier New" w:eastAsia="Courier New" w:hAnsi="Courier New"/>
          <w:sz w:val="17"/>
          <w:szCs w:val="17"/>
          <w:color w:val="auto"/>
        </w:rPr>
      </w:pPr>
    </w:p>
    <w:p>
      <w:pPr>
        <w:ind w:left="3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21.24</w:t>
      </w:r>
    </w:p>
    <w:p>
      <w:pPr>
        <w:spacing w:after="0" w:line="5" w:lineRule="exact"/>
        <w:rPr>
          <w:rFonts w:ascii="Courier New" w:cs="Courier New" w:eastAsia="Courier New" w:hAnsi="Courier New"/>
          <w:sz w:val="17"/>
          <w:szCs w:val="17"/>
          <w:color w:val="auto"/>
        </w:rPr>
      </w:pPr>
    </w:p>
    <w:p>
      <w:pPr>
        <w:ind w:left="3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(0.1)</w:t>
      </w:r>
    </w:p>
    <w:p>
      <w:pPr>
        <w:spacing w:after="0" w:line="5" w:lineRule="exact"/>
        <w:rPr>
          <w:rFonts w:ascii="Courier New" w:cs="Courier New" w:eastAsia="Courier New" w:hAnsi="Courier New"/>
          <w:sz w:val="17"/>
          <w:szCs w:val="17"/>
          <w:color w:val="auto"/>
        </w:rPr>
      </w:pPr>
    </w:p>
    <w:p>
      <w:pPr>
        <w:ind w:left="3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19.46</w:t>
      </w:r>
    </w:p>
    <w:p>
      <w:pPr>
        <w:spacing w:after="0" w:line="5" w:lineRule="exact"/>
        <w:rPr>
          <w:rFonts w:ascii="Courier New" w:cs="Courier New" w:eastAsia="Courier New" w:hAnsi="Courier New"/>
          <w:sz w:val="17"/>
          <w:szCs w:val="17"/>
          <w:color w:val="auto"/>
        </w:rPr>
      </w:pPr>
    </w:p>
    <w:p>
      <w:pPr>
        <w:ind w:left="3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(0.2)</w:t>
      </w:r>
    </w:p>
    <w:p>
      <w:pPr>
        <w:spacing w:after="0" w:line="5" w:lineRule="exact"/>
        <w:rPr>
          <w:rFonts w:ascii="Courier New" w:cs="Courier New" w:eastAsia="Courier New" w:hAnsi="Courier New"/>
          <w:sz w:val="17"/>
          <w:szCs w:val="17"/>
          <w:color w:val="auto"/>
        </w:rPr>
      </w:pPr>
    </w:p>
    <w:p>
      <w:pPr>
        <w:ind w:left="3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16.51</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Options</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canceled</w:t>
      </w:r>
    </w:p>
    <w:p>
      <w:pPr>
        <w:spacing w:after="0" w:line="5" w:lineRule="exact"/>
        <w:rPr>
          <w:rFonts w:ascii="Courier New" w:cs="Courier New" w:eastAsia="Courier New" w:hAnsi="Courier New"/>
          <w:sz w:val="17"/>
          <w:szCs w:val="17"/>
          <w:color w:val="auto"/>
        </w:rPr>
      </w:pPr>
    </w:p>
    <w:p>
      <w:pPr>
        <w:ind w:left="3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(0.4)</w:t>
      </w:r>
    </w:p>
    <w:p>
      <w:pPr>
        <w:spacing w:after="0" w:line="5" w:lineRule="exact"/>
        <w:rPr>
          <w:rFonts w:ascii="Courier New" w:cs="Courier New" w:eastAsia="Courier New" w:hAnsi="Courier New"/>
          <w:sz w:val="17"/>
          <w:szCs w:val="17"/>
          <w:color w:val="auto"/>
        </w:rPr>
      </w:pPr>
    </w:p>
    <w:p>
      <w:pPr>
        <w:ind w:left="3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27.96</w:t>
      </w:r>
    </w:p>
    <w:p>
      <w:pPr>
        <w:spacing w:after="0" w:line="5" w:lineRule="exact"/>
        <w:rPr>
          <w:rFonts w:ascii="Courier New" w:cs="Courier New" w:eastAsia="Courier New" w:hAnsi="Courier New"/>
          <w:sz w:val="17"/>
          <w:szCs w:val="17"/>
          <w:color w:val="auto"/>
        </w:rPr>
      </w:pPr>
    </w:p>
    <w:p>
      <w:pPr>
        <w:ind w:left="3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(0.2)</w:t>
      </w:r>
    </w:p>
    <w:p>
      <w:pPr>
        <w:spacing w:after="0" w:line="5" w:lineRule="exact"/>
        <w:rPr>
          <w:rFonts w:ascii="Courier New" w:cs="Courier New" w:eastAsia="Courier New" w:hAnsi="Courier New"/>
          <w:sz w:val="17"/>
          <w:szCs w:val="17"/>
          <w:color w:val="auto"/>
        </w:rPr>
      </w:pPr>
    </w:p>
    <w:p>
      <w:pPr>
        <w:ind w:left="3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36.87</w:t>
      </w:r>
    </w:p>
    <w:p>
      <w:pPr>
        <w:spacing w:after="0" w:line="5" w:lineRule="exact"/>
        <w:rPr>
          <w:rFonts w:ascii="Courier New" w:cs="Courier New" w:eastAsia="Courier New" w:hAnsi="Courier New"/>
          <w:sz w:val="17"/>
          <w:szCs w:val="17"/>
          <w:color w:val="auto"/>
        </w:rPr>
      </w:pPr>
    </w:p>
    <w:p>
      <w:pPr>
        <w:ind w:left="3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(0.1)</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30.94 ----</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Ending</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balance</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4.6 27.94</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4.9 26.67</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4.9 26.33</w:t>
      </w:r>
    </w:p>
    <w:p>
      <w:pPr>
        <w:sectPr>
          <w:pgSz w:w="11900" w:h="16838" w:orient="portrait"/>
          <w:cols w:equalWidth="0" w:num="1">
            <w:col w:w="10219"/>
          </w:cols>
          <w:pgMar w:left="240" w:top="511" w:right="1440" w:bottom="0" w:gutter="0" w:footer="0" w:header="0"/>
        </w:sectPr>
      </w:pPr>
    </w:p>
    <w:bookmarkStart w:id="100" w:name="page101"/>
    <w:bookmarkEnd w:id="100"/>
    <w:p>
      <w:pPr>
        <w:ind w:left="10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Exercisable</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at</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ind w:left="560" w:hanging="302"/>
        <w:spacing w:after="0"/>
        <w:tabs>
          <w:tab w:leader="none" w:pos="560" w:val="left"/>
        </w:tabs>
        <w:numPr>
          <w:ilvl w:val="0"/>
          <w:numId w:val="1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3.0</w:t>
      </w:r>
    </w:p>
    <w:p>
      <w:pPr>
        <w:spacing w:after="0" w:line="5" w:lineRule="exact"/>
        <w:rPr>
          <w:rFonts w:ascii="Courier New" w:cs="Courier New" w:eastAsia="Courier New" w:hAnsi="Courier New"/>
          <w:sz w:val="17"/>
          <w:szCs w:val="17"/>
          <w:color w:val="auto"/>
        </w:rPr>
      </w:pPr>
    </w:p>
    <w:p>
      <w:pPr>
        <w:jc w:val="center"/>
        <w:ind w:left="60" w:right="9139"/>
        <w:spacing w:after="0" w:line="269"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$24.96 2.7 $21.45 1.9 $19.77</w:t>
      </w:r>
    </w:p>
    <w:p>
      <w:pPr>
        <w:spacing w:after="0" w:line="380" w:lineRule="exact"/>
        <w:rPr>
          <w:sz w:val="20"/>
          <w:szCs w:val="20"/>
          <w:color w:val="auto"/>
        </w:rPr>
      </w:pPr>
    </w:p>
    <w:p>
      <w:pPr>
        <w:ind w:right="2279" w:firstLine="515"/>
        <w:spacing w:after="0" w:line="247" w:lineRule="auto"/>
        <w:rPr>
          <w:sz w:val="20"/>
          <w:szCs w:val="20"/>
          <w:color w:val="auto"/>
        </w:rPr>
      </w:pPr>
      <w:r>
        <w:rPr>
          <w:rFonts w:ascii="Courier New" w:cs="Courier New" w:eastAsia="Courier New" w:hAnsi="Courier New"/>
          <w:sz w:val="17"/>
          <w:szCs w:val="17"/>
          <w:color w:val="auto"/>
        </w:rPr>
        <w:t>The following summarizes certain information pertaining to stock options outstanding and exercisable at September 30, 2001 (shares in millions):</w:t>
      </w:r>
    </w:p>
    <w:p>
      <w:pPr>
        <w:spacing w:after="0" w:line="19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Options</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Outstanding</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Options</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Exercisable</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60" w:hanging="208"/>
        <w:spacing w:after="0"/>
        <w:tabs>
          <w:tab w:leader="none" w:pos="260" w:val="left"/>
        </w:tabs>
        <w:numPr>
          <w:ilvl w:val="0"/>
          <w:numId w:val="1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right="9139" w:firstLine="146"/>
        <w:spacing w:after="0" w:line="262" w:lineRule="auto"/>
        <w:tabs>
          <w:tab w:leader="none" w:pos="523" w:val="left"/>
        </w:tabs>
        <w:numPr>
          <w:ilvl w:val="1"/>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WTD. Avg. WTD. Avg. WTD. Avg. Range of No. of Remaining Exercise</w:t>
      </w:r>
    </w:p>
    <w:p>
      <w:pPr>
        <w:ind w:left="2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No. of</w:t>
      </w:r>
    </w:p>
    <w:p>
      <w:pPr>
        <w:spacing w:after="0" w:line="5" w:lineRule="exact"/>
        <w:rPr>
          <w:rFonts w:ascii="Courier New" w:cs="Courier New" w:eastAsia="Courier New" w:hAnsi="Courier New"/>
          <w:sz w:val="16"/>
          <w:szCs w:val="16"/>
          <w:color w:val="auto"/>
        </w:rPr>
      </w:pPr>
    </w:p>
    <w:p>
      <w:pPr>
        <w:jc w:val="center"/>
        <w:ind w:left="60" w:right="9139" w:firstLine="103"/>
        <w:spacing w:after="0" w:line="26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Exercise Price Options Life Price Options Price - --</w:t>
      </w:r>
    </w:p>
    <w:p>
      <w:pPr>
        <w:ind w:left="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6"/>
          <w:szCs w:val="16"/>
          <w:color w:val="auto"/>
        </w:rPr>
      </w:pPr>
    </w:p>
    <w:p>
      <w:pPr>
        <w:ind w:left="3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6"/>
          <w:szCs w:val="16"/>
          <w:color w:val="auto"/>
        </w:rPr>
      </w:pPr>
    </w:p>
    <w:p>
      <w:pPr>
        <w:ind w:left="1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$15.00 -</w:t>
      </w:r>
    </w:p>
    <w:p>
      <w:pPr>
        <w:spacing w:after="0" w:line="5"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$20.00 1.2</w:t>
      </w:r>
    </w:p>
    <w:p>
      <w:pPr>
        <w:spacing w:after="0" w:line="5" w:lineRule="exact"/>
        <w:rPr>
          <w:rFonts w:ascii="Courier New" w:cs="Courier New" w:eastAsia="Courier New" w:hAnsi="Courier New"/>
          <w:sz w:val="16"/>
          <w:szCs w:val="16"/>
          <w:color w:val="auto"/>
        </w:rPr>
      </w:pPr>
    </w:p>
    <w:p>
      <w:pPr>
        <w:ind w:left="3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4.18</w:t>
      </w:r>
    </w:p>
    <w:p>
      <w:pPr>
        <w:spacing w:after="0" w:line="5"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$17.84 1.2</w:t>
      </w:r>
    </w:p>
    <w:p>
      <w:pPr>
        <w:spacing w:after="0" w:line="5" w:lineRule="exact"/>
        <w:rPr>
          <w:rFonts w:ascii="Courier New" w:cs="Courier New" w:eastAsia="Courier New" w:hAnsi="Courier New"/>
          <w:sz w:val="16"/>
          <w:szCs w:val="16"/>
          <w:color w:val="auto"/>
        </w:rPr>
      </w:pPr>
    </w:p>
    <w:p>
      <w:pPr>
        <w:ind w:left="2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$17.84</w:t>
      </w:r>
    </w:p>
    <w:p>
      <w:pPr>
        <w:spacing w:after="0" w:line="5" w:lineRule="exact"/>
        <w:rPr>
          <w:rFonts w:ascii="Courier New" w:cs="Courier New" w:eastAsia="Courier New" w:hAnsi="Courier New"/>
          <w:sz w:val="16"/>
          <w:szCs w:val="16"/>
          <w:color w:val="auto"/>
        </w:rPr>
      </w:pPr>
    </w:p>
    <w:p>
      <w:pPr>
        <w:ind w:left="1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$20.00 -</w:t>
      </w:r>
    </w:p>
    <w:p>
      <w:pPr>
        <w:spacing w:after="0" w:line="5" w:lineRule="exact"/>
        <w:rPr>
          <w:rFonts w:ascii="Courier New" w:cs="Courier New" w:eastAsia="Courier New" w:hAnsi="Courier New"/>
          <w:sz w:val="16"/>
          <w:szCs w:val="16"/>
          <w:color w:val="auto"/>
        </w:rPr>
      </w:pPr>
    </w:p>
    <w:p>
      <w:pPr>
        <w:jc w:val="center"/>
        <w:ind w:left="60" w:right="9139"/>
        <w:spacing w:after="0" w:line="26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$25.00 0.2 4.48 21.51 0.2 21.51 $25.00 - $30.00 0.5 6.23 27.25 0.5 27.12 $30.00 - $35.00 1.6 8.02 31.03 0.8 31.09 $35.00 - $40.00 1.0 7.98 36.36 0.3 36.80 $40.00 - $46.38 0.1 8.02 40.75 0.0 40.13</w:t>
      </w:r>
    </w:p>
    <w:p>
      <w:pPr>
        <w:spacing w:after="0" w:line="2"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4.6 $27.94</w:t>
      </w:r>
    </w:p>
    <w:p>
      <w:pPr>
        <w:spacing w:after="0" w:line="5"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3.0 $24.96</w:t>
      </w:r>
    </w:p>
    <w:p>
      <w:pPr>
        <w:spacing w:after="0" w:line="5"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line="201" w:lineRule="exact"/>
        <w:rPr>
          <w:sz w:val="20"/>
          <w:szCs w:val="20"/>
          <w:color w:val="auto"/>
        </w:rPr>
      </w:pPr>
    </w:p>
    <w:p>
      <w:pPr>
        <w:jc w:val="both"/>
        <w:ind w:right="2179" w:firstLine="515"/>
        <w:spacing w:after="0" w:line="247" w:lineRule="auto"/>
        <w:rPr>
          <w:sz w:val="20"/>
          <w:szCs w:val="20"/>
          <w:color w:val="auto"/>
        </w:rPr>
      </w:pPr>
      <w:r>
        <w:rPr>
          <w:rFonts w:ascii="Courier New" w:cs="Courier New" w:eastAsia="Courier New" w:hAnsi="Courier New"/>
          <w:sz w:val="17"/>
          <w:szCs w:val="17"/>
          <w:color w:val="auto"/>
        </w:rPr>
        <w:t>In October 1995, the Financial Accounting Standards Board issued SFAS No. 123, "Accounting for Stock-Based Compensation," which changes the measurement,</w:t>
      </w:r>
    </w:p>
    <w:p>
      <w:pPr>
        <w:sectPr>
          <w:pgSz w:w="11900" w:h="16838" w:orient="portrait"/>
          <w:cols w:equalWidth="0" w:num="1">
            <w:col w:w="10219"/>
          </w:cols>
          <w:pgMar w:left="240" w:top="142" w:right="1440" w:bottom="0" w:gutter="0" w:footer="0" w:header="0"/>
        </w:sectPr>
      </w:pPr>
    </w:p>
    <w:bookmarkStart w:id="101" w:name="page102"/>
    <w:bookmarkEnd w:id="101"/>
    <w:p>
      <w:pPr>
        <w:ind w:right="2079"/>
        <w:spacing w:after="0" w:line="247" w:lineRule="auto"/>
        <w:rPr>
          <w:sz w:val="20"/>
          <w:szCs w:val="20"/>
          <w:color w:val="auto"/>
        </w:rPr>
      </w:pPr>
      <w:r>
        <w:rPr>
          <w:rFonts w:ascii="Courier New" w:cs="Courier New" w:eastAsia="Courier New" w:hAnsi="Courier New"/>
          <w:sz w:val="17"/>
          <w:szCs w:val="17"/>
          <w:color w:val="auto"/>
        </w:rPr>
        <w:t>recognition and disclosure standards for stock-based compensation. The Company, as allowable, has adopted SFAS No. 123 for disclosure purposes only.</w:t>
      </w:r>
    </w:p>
    <w:p>
      <w:pPr>
        <w:spacing w:after="0" w:line="198"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 fair value of each option granted has been estimated on the grant date using the Black-Scholes option-pricing model based on the following assumptions for those granted in fiscal 2001, 2000 and 1999: (1) expected market-price volatility of 29.5%, 27.05% and 24.44%, respectively; (2) risk-free interest rates of 4.4%, 6.0% and 6.0%, respectively; and (3) expected life of options of 6 years. Options are generally granted with a ten-year term. The estimated weighted-average fair value per share of options granted during fiscal 2001, 2000 and 1999 was $11.74, $14.94 and $13.64, respectively.</w:t>
      </w:r>
    </w:p>
    <w:p>
      <w:pPr>
        <w:spacing w:after="0" w:line="203" w:lineRule="exact"/>
        <w:rPr>
          <w:sz w:val="20"/>
          <w:szCs w:val="20"/>
          <w:color w:val="auto"/>
        </w:rPr>
      </w:pPr>
    </w:p>
    <w:p>
      <w:pPr>
        <w:jc w:val="both"/>
        <w:ind w:right="2079" w:firstLine="515"/>
        <w:spacing w:after="0" w:line="246" w:lineRule="auto"/>
        <w:rPr>
          <w:sz w:val="20"/>
          <w:szCs w:val="20"/>
          <w:color w:val="auto"/>
        </w:rPr>
      </w:pPr>
      <w:r>
        <w:rPr>
          <w:rFonts w:ascii="Courier New" w:cs="Courier New" w:eastAsia="Courier New" w:hAnsi="Courier New"/>
          <w:sz w:val="17"/>
          <w:szCs w:val="17"/>
          <w:color w:val="auto"/>
        </w:rPr>
        <w:t>Had compensation expense been recognized for fiscal 2001, 2000 and 1999 in accordance with provisions of SFAS No. 123, the Company would have recorded net income and earnings per share as follows:</w:t>
      </w:r>
    </w:p>
    <w:p>
      <w:pPr>
        <w:spacing w:after="0" w:line="20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2001 2000</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1999 -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60" w:hanging="505"/>
        <w:spacing w:after="0"/>
        <w:tabs>
          <w:tab w:leader="none" w:pos="660" w:val="left"/>
        </w:tabs>
        <w:numPr>
          <w:ilvl w:val="0"/>
          <w:numId w:val="1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millions,</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except per</w:t>
      </w:r>
    </w:p>
    <w:p>
      <w:pPr>
        <w:spacing w:after="0" w:line="5" w:lineRule="exact"/>
        <w:rPr>
          <w:rFonts w:ascii="Courier New" w:cs="Courier New" w:eastAsia="Courier New" w:hAnsi="Courier New"/>
          <w:sz w:val="17"/>
          <w:szCs w:val="17"/>
          <w:color w:val="auto"/>
        </w:rPr>
      </w:pPr>
    </w:p>
    <w:p>
      <w:pPr>
        <w:ind w:left="3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share</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data) Net</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income</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used in</w:t>
      </w:r>
    </w:p>
    <w:p>
      <w:pPr>
        <w:spacing w:after="0" w:line="5" w:lineRule="exact"/>
        <w:rPr>
          <w:rFonts w:ascii="Courier New" w:cs="Courier New" w:eastAsia="Courier New" w:hAnsi="Courier New"/>
          <w:sz w:val="17"/>
          <w:szCs w:val="17"/>
          <w:color w:val="auto"/>
        </w:rPr>
      </w:pPr>
    </w:p>
    <w:p>
      <w:pPr>
        <w:ind w:left="3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basic</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earnings</w:t>
      </w:r>
    </w:p>
    <w:p>
      <w:pPr>
        <w:spacing w:after="0" w:line="5" w:lineRule="exact"/>
        <w:rPr>
          <w:rFonts w:ascii="Courier New" w:cs="Courier New" w:eastAsia="Courier New" w:hAnsi="Courier New"/>
          <w:sz w:val="17"/>
          <w:szCs w:val="17"/>
          <w:color w:val="auto"/>
        </w:rPr>
      </w:pPr>
    </w:p>
    <w:p>
      <w:pPr>
        <w:jc w:val="center"/>
        <w:ind w:right="9079" w:firstLine="98"/>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per share calculation $10.8 $ 59.4 $ 55.3 Net income used in diluted earnings per share calculation $10.8 $ 59.4 $ 45.3 Earnings per share: Basic $0.38 $ 2.12 $ 2.50 Diluted $0.35 $ 2.00 $ 1.82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62</w:t>
      </w:r>
    </w:p>
    <w:p>
      <w:pPr>
        <w:sectPr>
          <w:pgSz w:w="11900" w:h="16838" w:orient="portrait"/>
          <w:cols w:equalWidth="0" w:num="1">
            <w:col w:w="10219"/>
          </w:cols>
          <w:pgMar w:left="240" w:top="142" w:right="1440" w:bottom="1440" w:gutter="0" w:footer="0" w:header="0"/>
        </w:sectPr>
      </w:pPr>
    </w:p>
    <w:bookmarkStart w:id="102" w:name="page103"/>
    <w:bookmarkEnd w:id="102"/>
    <w:p>
      <w:pPr>
        <w:ind w:left="1960"/>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pro forma amounts shown above are not necessarily representative of the impact on net income in future years as additional option grants may be made each year.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10. EARNINGS PER COMMON SHARE</w:t>
      </w:r>
    </w:p>
    <w:p>
      <w:pPr>
        <w:spacing w:after="0" w:line="203" w:lineRule="exact"/>
        <w:rPr>
          <w:sz w:val="20"/>
          <w:szCs w:val="20"/>
          <w:color w:val="auto"/>
        </w:rPr>
      </w:pPr>
    </w:p>
    <w:p>
      <w:pPr>
        <w:ind w:right="2179" w:firstLine="515"/>
        <w:spacing w:after="0" w:line="247" w:lineRule="auto"/>
        <w:rPr>
          <w:sz w:val="20"/>
          <w:szCs w:val="20"/>
          <w:color w:val="auto"/>
        </w:rPr>
      </w:pPr>
      <w:r>
        <w:rPr>
          <w:rFonts w:ascii="Courier New" w:cs="Courier New" w:eastAsia="Courier New" w:hAnsi="Courier New"/>
          <w:sz w:val="17"/>
          <w:szCs w:val="17"/>
          <w:color w:val="auto"/>
        </w:rPr>
        <w:t>The following table presents information necessary to calculate basic and diluted earnings per common share.</w:t>
      </w:r>
    </w:p>
    <w:p>
      <w:pPr>
        <w:spacing w:after="0" w:line="198"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Year Ended</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30,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2001 2000</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1999 -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720" w:hanging="408"/>
        <w:spacing w:after="0"/>
        <w:tabs>
          <w:tab w:leader="none" w:pos="720" w:val="left"/>
        </w:tabs>
        <w:numPr>
          <w:ilvl w:val="0"/>
          <w:numId w:val="1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millions,</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except per</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share data)</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BASIC</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EARNINGS PER</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COMMON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SHARE: Net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income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before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extraordinary</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loss $15.5</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$73.1 $69.1</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Net income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15.5 73.1</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63.2 Class A</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Convertible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Preferred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Stock</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dividend 0.0</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(6.4) (9.7)</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jc w:val="right"/>
        <w:ind w:left="60" w:right="8939" w:hanging="6"/>
        <w:spacing w:after="0" w:line="262" w:lineRule="auto"/>
        <w:tabs>
          <w:tab w:leader="none" w:pos="678"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available to</w:t>
      </w:r>
    </w:p>
    <w:p>
      <w:pPr>
        <w:ind w:left="3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common</w:t>
      </w:r>
    </w:p>
    <w:p>
      <w:pPr>
        <w:spacing w:after="0" w:line="5"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shareholders</w:t>
      </w:r>
    </w:p>
    <w:p>
      <w:pPr>
        <w:spacing w:after="0" w:line="5" w:lineRule="exact"/>
        <w:rPr>
          <w:rFonts w:ascii="Courier New" w:cs="Courier New" w:eastAsia="Courier New" w:hAnsi="Courier New"/>
          <w:sz w:val="16"/>
          <w:szCs w:val="16"/>
          <w:color w:val="auto"/>
        </w:rPr>
      </w:pPr>
    </w:p>
    <w:p>
      <w:pPr>
        <w:ind w:left="2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15.5 66.7</w:t>
      </w:r>
    </w:p>
    <w:p>
      <w:pPr>
        <w:spacing w:after="0" w:line="5" w:lineRule="exact"/>
        <w:rPr>
          <w:rFonts w:ascii="Courier New" w:cs="Courier New" w:eastAsia="Courier New" w:hAnsi="Courier New"/>
          <w:sz w:val="16"/>
          <w:szCs w:val="16"/>
          <w:color w:val="auto"/>
        </w:rPr>
      </w:pPr>
    </w:p>
    <w:p>
      <w:pPr>
        <w:ind w:left="4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53.5</w:t>
      </w:r>
    </w:p>
    <w:p>
      <w:pPr>
        <w:spacing w:after="0" w:line="5" w:lineRule="exact"/>
        <w:rPr>
          <w:rFonts w:ascii="Courier New" w:cs="Courier New" w:eastAsia="Courier New" w:hAnsi="Courier New"/>
          <w:sz w:val="16"/>
          <w:szCs w:val="16"/>
          <w:color w:val="auto"/>
        </w:rPr>
      </w:pPr>
    </w:p>
    <w:p>
      <w:pPr>
        <w:ind w:left="2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Weighted-</w:t>
      </w:r>
    </w:p>
    <w:p>
      <w:pPr>
        <w:spacing w:after="0" w:line="5"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average</w:t>
      </w:r>
    </w:p>
    <w:p>
      <w:pPr>
        <w:spacing w:after="0" w:line="5" w:lineRule="exact"/>
        <w:rPr>
          <w:rFonts w:ascii="Courier New" w:cs="Courier New" w:eastAsia="Courier New" w:hAnsi="Courier New"/>
          <w:sz w:val="16"/>
          <w:szCs w:val="16"/>
          <w:color w:val="auto"/>
        </w:rPr>
      </w:pPr>
    </w:p>
    <w:p>
      <w:pPr>
        <w:jc w:val="center"/>
        <w:ind w:right="8879" w:firstLine="358"/>
        <w:spacing w:after="0" w:line="24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common shares outstanding during the period 28.4 27.9 18.3 Basic earnings per common share Before extraordinary item $0.55 $2.39 $3.25 After extraordinary item $0.55 $2.39 $2.93</w:t>
      </w:r>
    </w:p>
    <w:p>
      <w:pPr>
        <w:spacing w:after="0" w:line="10"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DILUTED</w:t>
      </w:r>
    </w:p>
    <w:p>
      <w:pPr>
        <w:spacing w:after="0" w:line="5"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EARNINGS PER</w:t>
      </w:r>
    </w:p>
    <w:p>
      <w:pPr>
        <w:spacing w:after="0" w:line="5" w:lineRule="exact"/>
        <w:rPr>
          <w:rFonts w:ascii="Courier New" w:cs="Courier New" w:eastAsia="Courier New" w:hAnsi="Courier New"/>
          <w:sz w:val="16"/>
          <w:szCs w:val="16"/>
          <w:color w:val="auto"/>
        </w:rPr>
      </w:pPr>
    </w:p>
    <w:p>
      <w:pPr>
        <w:ind w:left="3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COMMON</w:t>
      </w:r>
    </w:p>
    <w:p>
      <w:pPr>
        <w:spacing w:after="0" w:line="5" w:lineRule="exact"/>
        <w:rPr>
          <w:rFonts w:ascii="Courier New" w:cs="Courier New" w:eastAsia="Courier New" w:hAnsi="Courier New"/>
          <w:sz w:val="16"/>
          <w:szCs w:val="16"/>
          <w:color w:val="auto"/>
        </w:rPr>
      </w:pPr>
    </w:p>
    <w:p>
      <w:pPr>
        <w:jc w:val="center"/>
        <w:ind w:left="60" w:right="8939" w:firstLine="103"/>
        <w:spacing w:after="0" w:line="26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SHARE: Net income used in diluted earnings per</w:t>
      </w:r>
    </w:p>
    <w:p>
      <w:pPr>
        <w:sectPr>
          <w:pgSz w:w="11900" w:h="16838" w:orient="portrait"/>
          <w:cols w:equalWidth="0" w:num="1">
            <w:col w:w="10219"/>
          </w:cols>
          <w:pgMar w:left="240" w:top="511" w:right="1440" w:bottom="0" w:gutter="0" w:footer="0" w:header="0"/>
        </w:sectPr>
      </w:pPr>
    </w:p>
    <w:bookmarkStart w:id="103" w:name="page104"/>
    <w:bookmarkEnd w:id="103"/>
    <w:p>
      <w:pPr>
        <w:jc w:val="center"/>
        <w:ind w:right="8879"/>
        <w:spacing w:after="0"/>
        <w:rPr>
          <w:sz w:val="20"/>
          <w:szCs w:val="20"/>
          <w:color w:val="auto"/>
        </w:rPr>
      </w:pPr>
      <w:r>
        <w:rPr>
          <w:rFonts w:ascii="Courier New" w:cs="Courier New" w:eastAsia="Courier New" w:hAnsi="Courier New"/>
          <w:sz w:val="17"/>
          <w:szCs w:val="17"/>
          <w:color w:val="auto"/>
        </w:rPr>
        <w:t>common share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calculation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$15.5 $66.7</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$63.2</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Weighted-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average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common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shares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outstanding</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during the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period 28.4</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27.9 18.3</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Potential</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common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shares: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Assuming</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conversion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of Class A</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Convertible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Preferred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Stock 0.0</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0.0 10.2</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Assuming</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exercise of</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options 0.9</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0.8 1.0</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Assuming</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exercise of</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warrants 1.1</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0.9 1.0 ----</w:t>
      </w:r>
    </w:p>
    <w:p>
      <w:pPr>
        <w:spacing w:after="0" w:line="5" w:lineRule="exact"/>
        <w:rPr>
          <w:sz w:val="20"/>
          <w:szCs w:val="20"/>
          <w:color w:val="auto"/>
        </w:rPr>
      </w:pPr>
    </w:p>
    <w:p>
      <w:pPr>
        <w:ind w:left="260" w:hanging="206"/>
        <w:spacing w:after="0"/>
        <w:tabs>
          <w:tab w:leader="none" w:pos="260" w:val="left"/>
        </w:tabs>
        <w:numPr>
          <w:ilvl w:val="0"/>
          <w:numId w:val="1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320" w:right="8979" w:hanging="214"/>
        <w:spacing w:after="0" w:line="246" w:lineRule="auto"/>
        <w:tabs>
          <w:tab w:leader="none" w:pos="320" w:val="left"/>
        </w:tabs>
        <w:numPr>
          <w:ilvl w:val="1"/>
          <w:numId w:val="1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Weighted-average</w:t>
      </w:r>
    </w:p>
    <w:p>
      <w:pPr>
        <w:spacing w:after="0" w:line="1"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number of</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common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shares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outstanding</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and dilutive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potential</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common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shares 30.4</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29.6 30.5</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Diluted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earnings per</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common share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Before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extraordinary</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item $0.51</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$2.25 $2.27</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After</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extraordinary</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item $0.51</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$2.25 $2.08</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11. INCOME TAXES</w:t>
      </w:r>
    </w:p>
    <w:p>
      <w:pPr>
        <w:spacing w:after="0" w:line="203" w:lineRule="exact"/>
        <w:rPr>
          <w:sz w:val="20"/>
          <w:szCs w:val="20"/>
          <w:color w:val="auto"/>
        </w:rPr>
      </w:pPr>
    </w:p>
    <w:p>
      <w:pPr>
        <w:ind w:right="2399" w:firstLine="515"/>
        <w:spacing w:after="0" w:line="247" w:lineRule="auto"/>
        <w:rPr>
          <w:sz w:val="20"/>
          <w:szCs w:val="20"/>
          <w:color w:val="auto"/>
        </w:rPr>
      </w:pPr>
      <w:r>
        <w:rPr>
          <w:rFonts w:ascii="Courier New" w:cs="Courier New" w:eastAsia="Courier New" w:hAnsi="Courier New"/>
          <w:sz w:val="17"/>
          <w:szCs w:val="17"/>
          <w:color w:val="auto"/>
        </w:rPr>
        <w:t>The provision for income taxes, net of tax benefits associated with the 1999 extraordinary losses of $4.1 million consists of the following:</w:t>
      </w:r>
    </w:p>
    <w:p>
      <w:pPr>
        <w:spacing w:after="0" w:line="198"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Year</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Ended</w:t>
      </w:r>
    </w:p>
    <w:p>
      <w:pPr>
        <w:spacing w:after="0" w:line="5"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30,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2001</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2000</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1999 -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142" w:right="1440" w:bottom="0" w:gutter="0" w:footer="0" w:header="0"/>
        </w:sectPr>
      </w:pPr>
    </w:p>
    <w:bookmarkStart w:id="104" w:name="page105"/>
    <w:bookmarkEnd w:id="104"/>
    <w:p>
      <w:pPr>
        <w:ind w:left="1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(in</w:t>
      </w:r>
    </w:p>
    <w:p>
      <w:pPr>
        <w:spacing w:after="0" w:line="5"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millions)</w:t>
      </w:r>
    </w:p>
    <w:p>
      <w:pPr>
        <w:spacing w:after="0" w:line="5"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Currently</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payable:</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Federal</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$29.9</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$27.8</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$34.5</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State</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2.9 3.6</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4.4</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Foreign</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0.3 4.3</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4.4</w:t>
      </w:r>
    </w:p>
    <w:p>
      <w:pPr>
        <w:spacing w:after="0" w:line="5"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Deferred:</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Federal</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(18.1)</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6.9 0.5</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State</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(1.8)</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0.6 0.0</w:t>
      </w:r>
    </w:p>
    <w:p>
      <w:pPr>
        <w:spacing w:after="0" w:line="5" w:lineRule="exact"/>
        <w:rPr>
          <w:sz w:val="20"/>
          <w:szCs w:val="20"/>
          <w:color w:val="auto"/>
        </w:rPr>
      </w:pPr>
    </w:p>
    <w:p>
      <w:pPr>
        <w:ind w:left="680" w:hanging="624"/>
        <w:spacing w:after="0"/>
        <w:tabs>
          <w:tab w:leader="none" w:pos="680" w:val="left"/>
        </w:tabs>
        <w:numPr>
          <w:ilvl w:val="0"/>
          <w:numId w:val="1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Income</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tax</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expense</w:t>
      </w:r>
    </w:p>
    <w:p>
      <w:pPr>
        <w:spacing w:after="0" w:line="5" w:lineRule="exact"/>
        <w:rPr>
          <w:rFonts w:ascii="Courier New" w:cs="Courier New" w:eastAsia="Courier New" w:hAnsi="Courier New"/>
          <w:sz w:val="17"/>
          <w:szCs w:val="17"/>
          <w:color w:val="auto"/>
        </w:rPr>
      </w:pPr>
    </w:p>
    <w:p>
      <w:pPr>
        <w:jc w:val="both"/>
        <w:ind w:left="220" w:right="9499"/>
        <w:spacing w:after="0" w:line="262"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$13.2 $43.2 $43.8</w:t>
      </w: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63</w:t>
      </w:r>
    </w:p>
    <w:p>
      <w:pPr>
        <w:sectPr>
          <w:pgSz w:w="11900" w:h="16838" w:orient="portrait"/>
          <w:cols w:equalWidth="0" w:num="1">
            <w:col w:w="10219"/>
          </w:cols>
          <w:pgMar w:left="240" w:top="142" w:right="1440" w:bottom="1440" w:gutter="0" w:footer="0" w:header="0"/>
        </w:sectPr>
      </w:pPr>
    </w:p>
    <w:bookmarkStart w:id="105" w:name="page106"/>
    <w:bookmarkEnd w:id="105"/>
    <w:p>
      <w:pPr>
        <w:ind w:left="1960"/>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The domestic and foreign components of income before taxes are as follows:</w:t>
      </w:r>
    </w:p>
    <w:p>
      <w:pPr>
        <w:spacing w:after="0" w:line="203"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Year</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Ended</w:t>
      </w:r>
    </w:p>
    <w:p>
      <w:pPr>
        <w:spacing w:after="0" w:line="5"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30,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60" w:hanging="201"/>
        <w:spacing w:after="0"/>
        <w:tabs>
          <w:tab w:leader="none" w:pos="360" w:val="left"/>
        </w:tabs>
        <w:numPr>
          <w:ilvl w:val="0"/>
          <w:numId w:val="1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2001</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2000</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1999 -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(in</w:t>
      </w:r>
    </w:p>
    <w:p>
      <w:pPr>
        <w:spacing w:after="0" w:line="5"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millions)</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Domestic</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$30.3</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$107.1</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$100.0</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Foreign</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(1.6)</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9.2 6.9</w:t>
      </w:r>
    </w:p>
    <w:p>
      <w:pPr>
        <w:spacing w:after="0" w:line="5" w:lineRule="exact"/>
        <w:rPr>
          <w:sz w:val="20"/>
          <w:szCs w:val="20"/>
          <w:color w:val="auto"/>
        </w:rPr>
      </w:pPr>
    </w:p>
    <w:p>
      <w:pPr>
        <w:ind w:left="680" w:hanging="624"/>
        <w:spacing w:after="0"/>
        <w:tabs>
          <w:tab w:leader="none" w:pos="680" w:val="left"/>
        </w:tabs>
        <w:numPr>
          <w:ilvl w:val="0"/>
          <w:numId w:val="1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jc w:val="both"/>
        <w:ind w:left="160" w:right="943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Income before taxes $28.7 $116.3 $106.9</w:t>
      </w:r>
    </w:p>
    <w:p>
      <w:pPr>
        <w:spacing w:after="0" w:line="3"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right="1979" w:firstLine="515"/>
        <w:spacing w:after="0" w:line="247" w:lineRule="auto"/>
        <w:rPr>
          <w:sz w:val="20"/>
          <w:szCs w:val="20"/>
          <w:color w:val="auto"/>
        </w:rPr>
      </w:pPr>
      <w:r>
        <w:rPr>
          <w:rFonts w:ascii="Courier New" w:cs="Courier New" w:eastAsia="Courier New" w:hAnsi="Courier New"/>
          <w:sz w:val="17"/>
          <w:szCs w:val="17"/>
          <w:color w:val="auto"/>
        </w:rPr>
        <w:t>A reconciliation of the federal corporate income tax rate and the effective tax rate on income before income taxes is summarized below:</w:t>
      </w:r>
    </w:p>
    <w:p>
      <w:pPr>
        <w:spacing w:after="0" w:line="198"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Year Ended</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30,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2001 2000</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1999 -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Statutory</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income tax</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rate 35.0%</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35.0% 35.0%</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Effect of</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foreign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operations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2.6 (0.3)</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(0.7)</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Goodwill</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amortization</w:t>
      </w:r>
    </w:p>
    <w:p>
      <w:pPr>
        <w:sectPr>
          <w:pgSz w:w="11900" w:h="16838" w:orient="portrait"/>
          <w:cols w:equalWidth="0" w:num="1">
            <w:col w:w="10219"/>
          </w:cols>
          <w:pgMar w:left="240" w:top="511" w:right="1440" w:bottom="0" w:gutter="0" w:footer="0" w:header="0"/>
        </w:sectPr>
      </w:pPr>
    </w:p>
    <w:bookmarkStart w:id="106" w:name="page107"/>
    <w:bookmarkEnd w:id="106"/>
    <w:p>
      <w:pPr>
        <w:jc w:val="center"/>
        <w:ind w:right="8879"/>
        <w:spacing w:after="0"/>
        <w:rPr>
          <w:sz w:val="20"/>
          <w:szCs w:val="20"/>
          <w:color w:val="auto"/>
        </w:rPr>
      </w:pPr>
      <w:r>
        <w:rPr>
          <w:rFonts w:ascii="Courier New" w:cs="Courier New" w:eastAsia="Courier New" w:hAnsi="Courier New"/>
          <w:sz w:val="17"/>
          <w:szCs w:val="17"/>
          <w:color w:val="auto"/>
        </w:rPr>
        <w:t>and other</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effects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resulting</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from</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purchase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accounting</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7.5 2.7 3.0</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State taxes,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net of</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federal</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benefit 2.5</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2.4 2.6</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Resolution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of previous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contingencies</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 (2.8) --</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Other (1.6)</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0.1 1.1 ----</w:t>
      </w:r>
    </w:p>
    <w:p>
      <w:pPr>
        <w:spacing w:after="0" w:line="5" w:lineRule="exact"/>
        <w:rPr>
          <w:sz w:val="20"/>
          <w:szCs w:val="20"/>
          <w:color w:val="auto"/>
        </w:rPr>
      </w:pPr>
    </w:p>
    <w:p>
      <w:pPr>
        <w:ind w:left="260" w:hanging="206"/>
        <w:spacing w:after="0"/>
        <w:tabs>
          <w:tab w:leader="none" w:pos="260" w:val="left"/>
        </w:tabs>
        <w:numPr>
          <w:ilvl w:val="0"/>
          <w:numId w:val="1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jc w:val="both"/>
        <w:ind w:left="160" w:right="8979" w:hanging="54"/>
        <w:spacing w:after="0" w:line="246" w:lineRule="auto"/>
        <w:tabs>
          <w:tab w:leader="none" w:pos="314" w:val="left"/>
        </w:tabs>
        <w:numPr>
          <w:ilvl w:val="1"/>
          <w:numId w:val="1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Effective income tax</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rate 46.0%</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37.1% 41.0%</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right="2799" w:firstLine="515"/>
        <w:spacing w:after="0" w:line="247" w:lineRule="auto"/>
        <w:rPr>
          <w:sz w:val="20"/>
          <w:szCs w:val="20"/>
          <w:color w:val="auto"/>
        </w:rPr>
      </w:pPr>
      <w:r>
        <w:rPr>
          <w:rFonts w:ascii="Courier New" w:cs="Courier New" w:eastAsia="Courier New" w:hAnsi="Courier New"/>
          <w:sz w:val="17"/>
          <w:szCs w:val="17"/>
          <w:color w:val="auto"/>
        </w:rPr>
        <w:t>The net current and non-current components of deferred income taxes recognized in the Consolidated Balance Sheets at September 30 are:</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30,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60" w:hanging="201"/>
        <w:spacing w:after="0"/>
        <w:tabs>
          <w:tab w:leader="none" w:pos="360" w:val="left"/>
        </w:tabs>
        <w:numPr>
          <w:ilvl w:val="0"/>
          <w:numId w:val="1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2001</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2000 -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millions,</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except</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per</w:t>
      </w:r>
    </w:p>
    <w:p>
      <w:pPr>
        <w:spacing w:after="0" w:line="5" w:lineRule="exact"/>
        <w:rPr>
          <w:rFonts w:ascii="Courier New" w:cs="Courier New" w:eastAsia="Courier New" w:hAnsi="Courier New"/>
          <w:sz w:val="17"/>
          <w:szCs w:val="17"/>
          <w:color w:val="auto"/>
        </w:rPr>
      </w:pPr>
    </w:p>
    <w:p>
      <w:pPr>
        <w:jc w:val="center"/>
        <w:ind w:left="60" w:right="9339" w:firstLine="154"/>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share data) Net current assets $ 52.2 $ 25.1 Net non-current assets 15.4 16.2 ---</w:t>
      </w:r>
    </w:p>
    <w:p>
      <w:pPr>
        <w:spacing w:after="0" w:line="7"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Net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assets $</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67.6 $</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41.3</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The components of the net deferred tax asset are as follows: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September 30,</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60" w:hanging="404"/>
        <w:spacing w:after="0"/>
        <w:tabs>
          <w:tab w:leader="none" w:pos="460" w:val="left"/>
        </w:tabs>
        <w:numPr>
          <w:ilvl w:val="0"/>
          <w:numId w:val="1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2001 2000</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142" w:right="1440" w:bottom="0" w:gutter="0" w:footer="0" w:header="0"/>
        </w:sectPr>
      </w:pPr>
    </w:p>
    <w:bookmarkStart w:id="107" w:name="page108"/>
    <w:bookmarkEnd w:id="107"/>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880" w:hanging="618"/>
        <w:spacing w:after="0"/>
        <w:tabs>
          <w:tab w:leader="none" w:pos="880" w:val="left"/>
        </w:tabs>
        <w:numPr>
          <w:ilvl w:val="0"/>
          <w:numId w:val="1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millions)</w:t>
      </w:r>
    </w:p>
    <w:p>
      <w:pPr>
        <w:spacing w:after="0" w:line="5"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ASSETS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Inventories $</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14.7 $ 11.5</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Accrued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liabilities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56.1 33.3</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Postretirement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benefits 20.5</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14.3 Foreign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net operating</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losses 1.6</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1.9 Other</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11.8 12.9 ---</w:t>
      </w:r>
    </w:p>
    <w:p>
      <w:pPr>
        <w:spacing w:after="0" w:line="5" w:lineRule="exact"/>
        <w:rPr>
          <w:sz w:val="20"/>
          <w:szCs w:val="20"/>
          <w:color w:val="auto"/>
        </w:rPr>
      </w:pPr>
    </w:p>
    <w:p>
      <w:pPr>
        <w:ind w:left="620" w:hanging="410"/>
        <w:spacing w:after="0"/>
        <w:tabs>
          <w:tab w:leader="none" w:pos="620" w:val="left"/>
        </w:tabs>
        <w:numPr>
          <w:ilvl w:val="0"/>
          <w:numId w:val="1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4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Gross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deferred tax</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assets 104.7</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73.9</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Valuation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allowance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(1.0) (1.1) -</w:t>
      </w:r>
    </w:p>
    <w:p>
      <w:pPr>
        <w:spacing w:after="0" w:line="5" w:lineRule="exact"/>
        <w:rPr>
          <w:sz w:val="20"/>
          <w:szCs w:val="20"/>
          <w:color w:val="auto"/>
        </w:rPr>
      </w:pPr>
    </w:p>
    <w:p>
      <w:pPr>
        <w:ind w:left="720" w:hanging="613"/>
        <w:spacing w:after="0"/>
        <w:tabs>
          <w:tab w:leader="none" w:pos="720" w:val="left"/>
        </w:tabs>
        <w:numPr>
          <w:ilvl w:val="0"/>
          <w:numId w:val="1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Net deferred</w:t>
      </w:r>
    </w:p>
    <w:p>
      <w:pPr>
        <w:spacing w:after="0" w:line="5" w:lineRule="exact"/>
        <w:rPr>
          <w:rFonts w:ascii="Courier New" w:cs="Courier New" w:eastAsia="Courier New" w:hAnsi="Courier New"/>
          <w:sz w:val="17"/>
          <w:szCs w:val="17"/>
          <w:color w:val="auto"/>
        </w:rPr>
      </w:pPr>
    </w:p>
    <w:p>
      <w:pPr>
        <w:jc w:val="center"/>
        <w:ind w:left="60" w:right="8819" w:firstLine="154"/>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tax assets 103.7 72.8 LIABILITIES Property, plant and equipment (21.8) (18.2) Other (14.3) (13.3) ------</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Net</w:t>
      </w:r>
    </w:p>
    <w:p>
      <w:pPr>
        <w:spacing w:after="0" w:line="5" w:lineRule="exact"/>
        <w:rPr>
          <w:rFonts w:ascii="Courier New" w:cs="Courier New" w:eastAsia="Courier New" w:hAnsi="Courier New"/>
          <w:sz w:val="17"/>
          <w:szCs w:val="17"/>
          <w:color w:val="auto"/>
        </w:rPr>
      </w:pPr>
    </w:p>
    <w:p>
      <w:pPr>
        <w:jc w:val="both"/>
        <w:ind w:left="60" w:right="881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assets $ 67.6 $ 41.3 ======</w:t>
      </w:r>
    </w:p>
    <w:p>
      <w:pPr>
        <w:spacing w:after="0" w:line="1"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64</w:t>
      </w:r>
    </w:p>
    <w:p>
      <w:pPr>
        <w:sectPr>
          <w:pgSz w:w="11900" w:h="16838" w:orient="portrait"/>
          <w:cols w:equalWidth="0" w:num="1">
            <w:col w:w="10219"/>
          </w:cols>
          <w:pgMar w:left="240" w:top="142" w:right="1440" w:bottom="1440" w:gutter="0" w:footer="0" w:header="0"/>
        </w:sectPr>
      </w:pPr>
    </w:p>
    <w:bookmarkStart w:id="108" w:name="page109"/>
    <w:bookmarkEnd w:id="108"/>
    <w:p>
      <w:pPr>
        <w:ind w:left="1960"/>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Net operating loss carryforwards in foreign jurisdictions were $5.2 million and $6.2 million at September 30, 2001 and 2000, respectively. The use of these acquired carryforwards is subject to limitations imposed by the tax laws of each applicable country.</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valuation allowance of $1.0 million at September 30, 2001 and September 30, 2000 is to provide for operating losses for which the benefits are not expected to be realized. Foreign net operating losses of $1.9 million can be carried forward indefinitely.</w:t>
      </w:r>
    </w:p>
    <w:p>
      <w:pPr>
        <w:spacing w:after="0" w:line="200"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Deferred taxes have not been provided on unremitted earnings of certain foreign subsidiaries and foreign corporate joint ventures that arose in fiscal years beginning on or before September 2001 as such earnings have been permanently reinvested.</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12. FINANCIAL INSTRUMENTS</w:t>
      </w:r>
    </w:p>
    <w:p>
      <w:pPr>
        <w:spacing w:after="0" w:line="203" w:lineRule="exact"/>
        <w:rPr>
          <w:sz w:val="20"/>
          <w:szCs w:val="20"/>
          <w:color w:val="auto"/>
        </w:rPr>
      </w:pPr>
    </w:p>
    <w:p>
      <w:pPr>
        <w:ind w:right="2279" w:firstLine="515"/>
        <w:spacing w:after="0" w:line="247" w:lineRule="auto"/>
        <w:rPr>
          <w:sz w:val="20"/>
          <w:szCs w:val="20"/>
          <w:color w:val="auto"/>
        </w:rPr>
      </w:pPr>
      <w:r>
        <w:rPr>
          <w:rFonts w:ascii="Courier New" w:cs="Courier New" w:eastAsia="Courier New" w:hAnsi="Courier New"/>
          <w:sz w:val="17"/>
          <w:szCs w:val="17"/>
          <w:color w:val="auto"/>
        </w:rPr>
        <w:t>A description of the Company's financial instruments and the methods and assumptions used to estimate their fair values is as follows: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LONG-TERM DEBT</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At September 30, 2001 and 2000, Scotts had $330 million outstanding of 8 5/8% Senior Subordinated Notes due 2009. The fair value of these notes was estimated based on recent trading information. Variable rate debt outstanding at September 30, 2001 and 2000 consisted of revolving borrowings and term loans under the Company's credit facility and local bank borrowings for certain of the Company's foreign operations. The carrying amounts of these borrowings are considered to approximate their fair values.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INTEREST RATE SWAP AGREEMENTS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At September 30, 2001 and 2000, Scotts had outstanding five interest rate swaps with major financial institutions that effectively convert variable-rate debt to a fixed rate. One swap has a notional amount of 20.0 million British Pounds Sterling under a five-year term expiring in April 2002 whereby Scotts pays 7.6% and receives three-month LIBOR. The remaining four swaps have notional amounts between $20 million and $35 million ($105 million in total) with three, four or five year terms commencing in January 1999. Under the terms of these swaps, the Company pays rates ranging from 5.05% to 5.18% and receives three-month LIBOR.</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Scotts enters into interest rate swap agreements as a means to hedge its interest rate exposure on debt instruments. In addition, the Company's Amended Credit Agreement requires that Scotts enter into hedge agreements to the extent necessary to provide that at least 50% of the aggregate principal amount of the 8 5/8% Senior Subordinated Notes due 2009 and term loan facilities subject to a fixed interest rate or interest rate protection for a period of not less than three years. Since the interest rate swaps have been designated as hedging instruments, their fair values are reflected in the Company's Consolidated Balance Sheets. Net amounts to be received or paid under the swap agreements are reflected as adjustments to interest expense. The fair value of the swap agreements was determined based on the present value of the estimated future net cash flows using implied rates in the applicable yield curve as of the valuation date.</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INTEREST RATE LOCKS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fiscal 1998, Scotts entered into two contracts, each with notional amounts of $100.0 million, to lock the treasury rate component of Scotts' anticipated offering of debt securities in the first quarter of fiscal 1999. One of the interest rate locks expired in October 1998 and was rolled over into a new rate lock that expired in February 1999. The other rate lock expired in February 1999.</w:t>
      </w:r>
    </w:p>
    <w:p>
      <w:pPr>
        <w:spacing w:after="0" w:line="202"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Scotts entered into the interest rate locks to hedge its interest rate exposure on the offering of the 8 5/8% Senior Subordinated Notes due 2009. The net amount paid under the interest rate locks is reflected as an adjustment to the carrying amount of the 8 5/8% Senior Subordinated Notes.</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65</w:t>
      </w:r>
    </w:p>
    <w:p>
      <w:pPr>
        <w:sectPr>
          <w:pgSz w:w="11900" w:h="16838" w:orient="portrait"/>
          <w:cols w:equalWidth="0" w:num="1">
            <w:col w:w="10219"/>
          </w:cols>
          <w:pgMar w:left="240" w:top="511" w:right="1440" w:bottom="1117" w:gutter="0" w:footer="0" w:header="0"/>
        </w:sectPr>
      </w:pPr>
    </w:p>
    <w:bookmarkStart w:id="109" w:name="page110"/>
    <w:bookmarkEnd w:id="109"/>
    <w:p>
      <w:pPr>
        <w:jc w:val="center"/>
        <w:ind w:right="1959"/>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3" w:lineRule="exact"/>
        <w:rPr>
          <w:sz w:val="20"/>
          <w:szCs w:val="20"/>
          <w:color w:val="auto"/>
        </w:rPr>
      </w:pPr>
    </w:p>
    <w:p>
      <w:pPr>
        <w:ind w:right="2399" w:firstLine="515"/>
        <w:spacing w:after="0" w:line="247" w:lineRule="auto"/>
        <w:rPr>
          <w:sz w:val="20"/>
          <w:szCs w:val="20"/>
          <w:color w:val="auto"/>
        </w:rPr>
      </w:pPr>
      <w:r>
        <w:rPr>
          <w:rFonts w:ascii="Courier New" w:cs="Courier New" w:eastAsia="Courier New" w:hAnsi="Courier New"/>
          <w:sz w:val="17"/>
          <w:szCs w:val="17"/>
          <w:color w:val="auto"/>
        </w:rPr>
        <w:t>The estimated fair values of the Company's financial instruments are as follows for the fiscal years ended September 30:</w:t>
      </w:r>
    </w:p>
    <w:p>
      <w:pPr>
        <w:spacing w:after="0" w:line="198"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2001 2000 -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Carrying</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Fair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Carrying</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Fair Amount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Value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Amount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Value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780" w:hanging="624"/>
        <w:spacing w:after="0"/>
        <w:tabs>
          <w:tab w:leader="none" w:pos="780" w:val="left"/>
        </w:tabs>
        <w:numPr>
          <w:ilvl w:val="0"/>
          <w:numId w:val="1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w:t>
      </w:r>
    </w:p>
    <w:p>
      <w:pPr>
        <w:spacing w:after="0" w:line="5" w:lineRule="exact"/>
        <w:rPr>
          <w:rFonts w:ascii="Courier New" w:cs="Courier New" w:eastAsia="Courier New" w:hAnsi="Courier New"/>
          <w:sz w:val="17"/>
          <w:szCs w:val="17"/>
          <w:color w:val="auto"/>
        </w:rPr>
      </w:pPr>
    </w:p>
    <w:p>
      <w:pPr>
        <w:jc w:val="both"/>
        <w:ind w:left="160" w:right="913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millions) Revolving and term</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loans under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credit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facility</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$493.3</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$493.3</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$489.5</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$489.5</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Senior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subordinated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notes 330.0</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320.5 330.0</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319.2</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Foreign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bank</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borrowings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and term</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loans 9.4</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9.4 7.1 7.1</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Interest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rate swap</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agreements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(2.7) (2.7)</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-- 2.6</w:t>
      </w:r>
    </w:p>
    <w:p>
      <w:pPr>
        <w:spacing w:after="0" w:line="200" w:lineRule="exact"/>
        <w:rPr>
          <w:sz w:val="20"/>
          <w:szCs w:val="20"/>
          <w:color w:val="auto"/>
        </w:rPr>
      </w:pPr>
    </w:p>
    <w:p>
      <w:pPr>
        <w:spacing w:after="0" w:line="201" w:lineRule="exact"/>
        <w:rPr>
          <w:sz w:val="20"/>
          <w:szCs w:val="20"/>
          <w:color w:val="auto"/>
        </w:rPr>
      </w:pPr>
    </w:p>
    <w:p>
      <w:pPr>
        <w:ind w:right="2179" w:firstLine="515"/>
        <w:spacing w:after="0" w:line="247" w:lineRule="auto"/>
        <w:rPr>
          <w:sz w:val="20"/>
          <w:szCs w:val="20"/>
          <w:color w:val="auto"/>
        </w:rPr>
      </w:pPr>
      <w:r>
        <w:rPr>
          <w:rFonts w:ascii="Courier New" w:cs="Courier New" w:eastAsia="Courier New" w:hAnsi="Courier New"/>
          <w:sz w:val="17"/>
          <w:szCs w:val="17"/>
          <w:color w:val="auto"/>
        </w:rPr>
        <w:t>Excluded from the fair value table above are the following items that are included in the Company's total debt balances at September 30, 2001 and 2000:</w:t>
      </w:r>
    </w:p>
    <w:p>
      <w:pPr>
        <w:spacing w:after="0" w:line="198"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2001 2000</w:t>
      </w:r>
    </w:p>
    <w:p>
      <w:pPr>
        <w:spacing w:after="0" w:line="5" w:lineRule="exact"/>
        <w:rPr>
          <w:sz w:val="20"/>
          <w:szCs w:val="20"/>
          <w:color w:val="auto"/>
        </w:rPr>
      </w:pPr>
    </w:p>
    <w:p>
      <w:pPr>
        <w:ind w:left="260" w:hanging="208"/>
        <w:spacing w:after="0"/>
        <w:tabs>
          <w:tab w:leader="none" w:pos="260" w:val="left"/>
        </w:tabs>
        <w:numPr>
          <w:ilvl w:val="0"/>
          <w:numId w:val="1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(in</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millions)</w:t>
      </w:r>
    </w:p>
    <w:p>
      <w:pPr>
        <w:spacing w:after="0" w:line="5" w:lineRule="exact"/>
        <w:rPr>
          <w:rFonts w:ascii="Courier New" w:cs="Courier New" w:eastAsia="Courier New" w:hAnsi="Courier New"/>
          <w:sz w:val="17"/>
          <w:szCs w:val="17"/>
          <w:color w:val="auto"/>
        </w:rPr>
      </w:pPr>
    </w:p>
    <w:p>
      <w:pPr>
        <w:jc w:val="center"/>
        <w:ind w:left="60" w:right="9139" w:firstLine="154"/>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Amounts paid to settle treasury locks $ (9.5) $(10.8) Non-interest bearing notes 53.7 36.4</w:t>
      </w:r>
    </w:p>
    <w:p>
      <w:pPr>
        <w:sectPr>
          <w:pgSz w:w="11900" w:h="16838" w:orient="portrait"/>
          <w:cols w:equalWidth="0" w:num="1">
            <w:col w:w="10219"/>
          </w:cols>
          <w:pgMar w:left="240" w:top="511" w:right="1440" w:bottom="0" w:gutter="0" w:footer="0" w:header="0"/>
        </w:sectPr>
      </w:pPr>
    </w:p>
    <w:bookmarkStart w:id="110" w:name="page111"/>
    <w:bookmarkEnd w:id="110"/>
    <w:p>
      <w:pPr>
        <w:jc w:val="center"/>
        <w:ind w:right="9079"/>
        <w:spacing w:after="0"/>
        <w:rPr>
          <w:sz w:val="20"/>
          <w:szCs w:val="20"/>
          <w:color w:val="auto"/>
        </w:rPr>
      </w:pPr>
      <w:r>
        <w:rPr>
          <w:rFonts w:ascii="Courier New" w:cs="Courier New" w:eastAsia="Courier New" w:hAnsi="Courier New"/>
          <w:sz w:val="17"/>
          <w:szCs w:val="17"/>
          <w:color w:val="auto"/>
        </w:rPr>
        <w:t>Capital</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lease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obligations</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and other</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10.9 10.6</w:t>
      </w:r>
    </w:p>
    <w:p>
      <w:pPr>
        <w:spacing w:after="0" w:line="200" w:lineRule="exact"/>
        <w:rPr>
          <w:sz w:val="20"/>
          <w:szCs w:val="20"/>
          <w:color w:val="auto"/>
        </w:rPr>
      </w:pPr>
    </w:p>
    <w:p>
      <w:pPr>
        <w:spacing w:after="0" w:line="201"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 fair value of the non-interest bearing notes is not considered determinable since there is no established market for notes with similar characteristics and since they represent notes that were negotiated between the Company and the seller as part of transactions to acquire businesses.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13. OPERATING LEASES</w:t>
      </w:r>
    </w:p>
    <w:p>
      <w:pPr>
        <w:spacing w:after="0" w:line="203"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The Company leases buildings, land and equipment under various noncancellable lease agreements for periods of two to six years. The lease agreements generally provide that the Company pay taxes, insurance and maintenance expenses related to the leased assets. Certain lease agreements contain purchase options. At September 30, 2001, future minimum lease payments were as follows:</w:t>
      </w:r>
    </w:p>
    <w:p>
      <w:pPr>
        <w:spacing w:after="0" w:line="20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7"/>
          <w:szCs w:val="17"/>
          <w:color w:val="auto"/>
        </w:rPr>
        <w:t>(in</w:t>
      </w:r>
    </w:p>
    <w:p>
      <w:pPr>
        <w:spacing w:after="0" w:line="5"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7"/>
          <w:szCs w:val="17"/>
          <w:color w:val="auto"/>
        </w:rPr>
        <w:t>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0" w:type="dxa"/>
            <w:vAlign w:val="bottom"/>
          </w:tcPr>
          <w:p>
            <w:pPr>
              <w:spacing w:after="0"/>
              <w:rPr>
                <w:sz w:val="20"/>
                <w:szCs w:val="20"/>
                <w:color w:val="auto"/>
              </w:rPr>
            </w:pPr>
            <w:r>
              <w:rPr>
                <w:rFonts w:ascii="Courier New" w:cs="Courier New" w:eastAsia="Courier New" w:hAnsi="Courier New"/>
                <w:sz w:val="17"/>
                <w:szCs w:val="17"/>
                <w:color w:val="auto"/>
              </w:rPr>
              <w:t>2002</w:t>
            </w:r>
          </w:p>
        </w:tc>
        <w:tc>
          <w:tcPr>
            <w:tcW w:w="520" w:type="dxa"/>
            <w:vAlign w:val="bottom"/>
          </w:tcPr>
          <w:p>
            <w:pPr>
              <w:jc w:val="center"/>
              <w:spacing w:after="0"/>
              <w:rPr>
                <w:sz w:val="20"/>
                <w:szCs w:val="20"/>
                <w:color w:val="auto"/>
              </w:rPr>
            </w:pPr>
            <w:r>
              <w:rPr>
                <w:rFonts w:ascii="Courier New" w:cs="Courier New" w:eastAsia="Courier New" w:hAnsi="Courier New"/>
                <w:sz w:val="17"/>
                <w:szCs w:val="17"/>
                <w:color w:val="auto"/>
              </w:rPr>
              <w:t>$15.6</w:t>
            </w:r>
          </w:p>
        </w:tc>
      </w:tr>
      <w:tr>
        <w:trPr>
          <w:trHeight w:val="198"/>
        </w:trPr>
        <w:tc>
          <w:tcPr>
            <w:tcW w:w="10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2003 10.0</w:t>
            </w:r>
          </w:p>
        </w:tc>
      </w:tr>
      <w:tr>
        <w:trPr>
          <w:trHeight w:val="198"/>
        </w:trPr>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2004</w:t>
            </w:r>
          </w:p>
        </w:tc>
        <w:tc>
          <w:tcPr>
            <w:tcW w:w="520" w:type="dxa"/>
            <w:vAlign w:val="bottom"/>
          </w:tcPr>
          <w:p>
            <w:pPr>
              <w:jc w:val="center"/>
              <w:spacing w:after="0"/>
              <w:rPr>
                <w:sz w:val="20"/>
                <w:szCs w:val="20"/>
                <w:color w:val="auto"/>
              </w:rPr>
            </w:pPr>
            <w:r>
              <w:rPr>
                <w:rFonts w:ascii="Courier New" w:cs="Courier New" w:eastAsia="Courier New" w:hAnsi="Courier New"/>
                <w:sz w:val="17"/>
                <w:szCs w:val="17"/>
                <w:color w:val="auto"/>
              </w:rPr>
              <w:t>6.4</w:t>
            </w:r>
          </w:p>
        </w:tc>
      </w:tr>
      <w:tr>
        <w:trPr>
          <w:trHeight w:val="198"/>
        </w:trPr>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2005</w:t>
            </w:r>
          </w:p>
        </w:tc>
        <w:tc>
          <w:tcPr>
            <w:tcW w:w="520" w:type="dxa"/>
            <w:vAlign w:val="bottom"/>
          </w:tcPr>
          <w:p>
            <w:pPr>
              <w:jc w:val="center"/>
              <w:spacing w:after="0"/>
              <w:rPr>
                <w:sz w:val="20"/>
                <w:szCs w:val="20"/>
                <w:color w:val="auto"/>
              </w:rPr>
            </w:pPr>
            <w:r>
              <w:rPr>
                <w:rFonts w:ascii="Courier New" w:cs="Courier New" w:eastAsia="Courier New" w:hAnsi="Courier New"/>
                <w:sz w:val="17"/>
                <w:szCs w:val="17"/>
                <w:color w:val="auto"/>
              </w:rPr>
              <w:t>4.2</w:t>
            </w:r>
          </w:p>
        </w:tc>
      </w:tr>
      <w:tr>
        <w:trPr>
          <w:trHeight w:val="198"/>
        </w:trPr>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2006</w:t>
            </w:r>
          </w:p>
        </w:tc>
        <w:tc>
          <w:tcPr>
            <w:tcW w:w="520" w:type="dxa"/>
            <w:vAlign w:val="bottom"/>
          </w:tcPr>
          <w:p>
            <w:pPr>
              <w:jc w:val="center"/>
              <w:spacing w:after="0"/>
              <w:rPr>
                <w:sz w:val="20"/>
                <w:szCs w:val="20"/>
                <w:color w:val="auto"/>
              </w:rPr>
            </w:pPr>
            <w:r>
              <w:rPr>
                <w:rFonts w:ascii="Courier New" w:cs="Courier New" w:eastAsia="Courier New" w:hAnsi="Courier New"/>
                <w:sz w:val="17"/>
                <w:szCs w:val="17"/>
                <w:color w:val="auto"/>
              </w:rPr>
              <w:t>3.1</w:t>
            </w:r>
          </w:p>
        </w:tc>
      </w:tr>
      <w:tr>
        <w:trPr>
          <w:trHeight w:val="198"/>
        </w:trPr>
        <w:tc>
          <w:tcPr>
            <w:tcW w:w="10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Thereafter</w:t>
            </w:r>
          </w:p>
        </w:tc>
      </w:tr>
      <w:tr>
        <w:trPr>
          <w:trHeight w:val="198"/>
        </w:trPr>
        <w:tc>
          <w:tcPr>
            <w:tcW w:w="1040" w:type="dxa"/>
            <w:vAlign w:val="bottom"/>
            <w:gridSpan w:val="2"/>
          </w:tcPr>
          <w:p>
            <w:pPr>
              <w:spacing w:after="0"/>
              <w:rPr>
                <w:sz w:val="20"/>
                <w:szCs w:val="20"/>
                <w:color w:val="auto"/>
              </w:rPr>
            </w:pPr>
            <w:r>
              <w:rPr>
                <w:rFonts w:ascii="Courier New" w:cs="Courier New" w:eastAsia="Courier New" w:hAnsi="Courier New"/>
                <w:sz w:val="17"/>
                <w:szCs w:val="17"/>
                <w:color w:val="auto"/>
                <w:w w:val="99"/>
              </w:rPr>
              <w:t>26.5 -----</w:t>
            </w:r>
          </w:p>
        </w:tc>
      </w:tr>
      <w:tr>
        <w:trPr>
          <w:trHeight w:val="198"/>
        </w:trPr>
        <w:tc>
          <w:tcPr>
            <w:tcW w:w="10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Total</w:t>
            </w:r>
          </w:p>
        </w:tc>
      </w:tr>
    </w:tbl>
    <w:p>
      <w:pPr>
        <w:spacing w:after="0" w:line="5"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7"/>
          <w:szCs w:val="17"/>
          <w:color w:val="auto"/>
        </w:rPr>
        <w:t>minimum</w:t>
      </w:r>
    </w:p>
    <w:p>
      <w:pPr>
        <w:spacing w:after="0" w:line="5"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7"/>
          <w:szCs w:val="17"/>
          <w:color w:val="auto"/>
        </w:rPr>
        <w:t>lease</w:t>
      </w:r>
    </w:p>
    <w:p>
      <w:pPr>
        <w:spacing w:after="0" w:line="5"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7"/>
          <w:szCs w:val="17"/>
          <w:color w:val="auto"/>
        </w:rPr>
        <w:t>payments</w:t>
      </w:r>
    </w:p>
    <w:p>
      <w:pPr>
        <w:spacing w:after="0" w:line="5"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7"/>
          <w:szCs w:val="17"/>
          <w:color w:val="auto"/>
        </w:rPr>
        <w:t>$65.8</w:t>
      </w:r>
    </w:p>
    <w:p>
      <w:pPr>
        <w:spacing w:after="0" w:line="5"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Company also leases transportation and production equipment under various one-year operating leases, which provide for the extension of the initial term on a monthly or annual basis. Total rental expenses for operating leases were $22.0 million, $17.8 million and $18.5 million for fiscal 2001, 2000 and 1999, respectively. The total to be received from sublease rentals in place at September 30, 2001 is $0.6 million. The future minimum lease payments of $1.2 million related to the prior World Headquarters office lease are included in restructuring expense.</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66</w:t>
      </w:r>
    </w:p>
    <w:p>
      <w:pPr>
        <w:sectPr>
          <w:pgSz w:w="11900" w:h="16838" w:orient="portrait"/>
          <w:cols w:equalWidth="0" w:num="1">
            <w:col w:w="10219"/>
          </w:cols>
          <w:pgMar w:left="240" w:top="142" w:right="1440" w:bottom="1440" w:gutter="0" w:footer="0" w:header="0"/>
        </w:sectPr>
      </w:pPr>
    </w:p>
    <w:bookmarkStart w:id="111" w:name="page112"/>
    <w:bookmarkEnd w:id="111"/>
    <w:p>
      <w:pPr>
        <w:ind w:left="1960"/>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14. COMMITMENTS</w:t>
      </w: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The Company has entered into the following purchase commitments:</w:t>
      </w:r>
    </w:p>
    <w:p>
      <w:pPr>
        <w:spacing w:after="0" w:line="203" w:lineRule="exact"/>
        <w:rPr>
          <w:sz w:val="20"/>
          <w:szCs w:val="20"/>
          <w:color w:val="auto"/>
        </w:rPr>
      </w:pPr>
    </w:p>
    <w:p>
      <w:pPr>
        <w:jc w:val="both"/>
        <w:ind w:right="2179" w:firstLine="412"/>
        <w:spacing w:after="0" w:line="246" w:lineRule="auto"/>
        <w:rPr>
          <w:sz w:val="20"/>
          <w:szCs w:val="20"/>
          <w:color w:val="auto"/>
        </w:rPr>
      </w:pPr>
      <w:r>
        <w:rPr>
          <w:rFonts w:ascii="Courier New" w:cs="Courier New" w:eastAsia="Courier New" w:hAnsi="Courier New"/>
          <w:sz w:val="17"/>
          <w:szCs w:val="17"/>
          <w:color w:val="auto"/>
        </w:rPr>
        <w:t>SEED: The Company is obligated to make future purchases based on estimated yields and other market purchase commitments. At September 30, 2001, estimated annual seed purchase commitments were as follows:</w:t>
      </w:r>
    </w:p>
    <w:p>
      <w:pPr>
        <w:spacing w:after="0" w:line="200"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(in</w:t>
      </w:r>
    </w:p>
    <w:p>
      <w:pPr>
        <w:spacing w:after="0" w:line="5"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millions)</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2002</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$56.7</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2003</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$38.2</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2004</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$21.0</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2005 $</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7.6 2006</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$ 0.7</w:t>
      </w:r>
    </w:p>
    <w:p>
      <w:pPr>
        <w:spacing w:after="0" w:line="200" w:lineRule="exact"/>
        <w:rPr>
          <w:sz w:val="20"/>
          <w:szCs w:val="20"/>
          <w:color w:val="auto"/>
        </w:rPr>
      </w:pPr>
    </w:p>
    <w:p>
      <w:pPr>
        <w:spacing w:after="0" w:line="201" w:lineRule="exact"/>
        <w:rPr>
          <w:sz w:val="20"/>
          <w:szCs w:val="20"/>
          <w:color w:val="auto"/>
        </w:rPr>
      </w:pPr>
    </w:p>
    <w:p>
      <w:pPr>
        <w:ind w:right="2279" w:firstLine="515"/>
        <w:spacing w:after="0" w:line="247" w:lineRule="auto"/>
        <w:rPr>
          <w:sz w:val="20"/>
          <w:szCs w:val="20"/>
          <w:color w:val="auto"/>
        </w:rPr>
      </w:pPr>
      <w:r>
        <w:rPr>
          <w:rFonts w:ascii="Courier New" w:cs="Courier New" w:eastAsia="Courier New" w:hAnsi="Courier New"/>
          <w:sz w:val="17"/>
          <w:szCs w:val="17"/>
          <w:color w:val="auto"/>
        </w:rPr>
        <w:t>The Company made purchases of $53.9 million and $31.2 million under this obligation in fiscal 2001 and 2000, respectively.</w:t>
      </w:r>
    </w:p>
    <w:p>
      <w:pPr>
        <w:spacing w:after="0" w:line="198" w:lineRule="exact"/>
        <w:rPr>
          <w:sz w:val="20"/>
          <w:szCs w:val="20"/>
          <w:color w:val="auto"/>
        </w:rPr>
      </w:pPr>
    </w:p>
    <w:p>
      <w:pPr>
        <w:ind w:right="1979" w:firstLine="412"/>
        <w:spacing w:after="0" w:line="246" w:lineRule="auto"/>
        <w:rPr>
          <w:sz w:val="20"/>
          <w:szCs w:val="20"/>
          <w:color w:val="auto"/>
        </w:rPr>
      </w:pPr>
      <w:r>
        <w:rPr>
          <w:rFonts w:ascii="Courier New" w:cs="Courier New" w:eastAsia="Courier New" w:hAnsi="Courier New"/>
          <w:sz w:val="17"/>
          <w:szCs w:val="17"/>
          <w:color w:val="auto"/>
        </w:rPr>
        <w:t>PEAT: In March 2000, the Company entered in a contract to purchase peat over the next ten years. There is an option to extend the term of this agreement for a further period of ten years, on or before the eighth anniversary of this agreement. The minimum volume purchase obligations under the March 2000 contract are as follows:</w:t>
      </w:r>
    </w:p>
    <w:p>
      <w:pPr>
        <w:spacing w:after="0" w:line="20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Approximate</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Value</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Cubic</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Meters</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Based on</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Average</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Prices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720" w:hanging="617"/>
        <w:spacing w:after="0"/>
        <w:tabs>
          <w:tab w:leader="none" w:pos="720" w:val="left"/>
        </w:tabs>
        <w:numPr>
          <w:ilvl w:val="0"/>
          <w:numId w:val="1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millions)</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2002</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1,046,000</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$11.1 2003</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1,067,000</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11.3 2004</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1,088,000</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11.5 2005</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1,110,000</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11.7 2006</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1,132,000</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12.0</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Thereafter</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2,830,000</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30.0</w:t>
      </w:r>
    </w:p>
    <w:p>
      <w:pPr>
        <w:spacing w:after="0" w:line="200" w:lineRule="exact"/>
        <w:rPr>
          <w:sz w:val="20"/>
          <w:szCs w:val="20"/>
          <w:color w:val="auto"/>
        </w:rPr>
      </w:pPr>
    </w:p>
    <w:p>
      <w:pPr>
        <w:spacing w:after="0" w:line="201"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the event that in any one contract year, the Company does not purchase the minimum required volume, the Company will be required to pay a cash penalty based upon the marginal contribution to the supplier of all those products which the Company has failed to purchase.</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the event that the volume purchases in a contract year are less than 97% of the contract requirements, the Company shall pay 80% of the supplier's marginal contribution multiplied by the number of cubic meters by which the volume equivalent to 97% of the contract requirements was not reached. An amount of 50% of the supplier's marginal contribution multiplied by the number of cubic meters would also be paid based on the remaining 3% contract purchase obligation shortfall. A reverse approach applies for purchases made by the Company that are in excess of the minimum volume purchase obligation in any contract year. The Company purchased 974,000 cubic meters of peat under this arrangement in fiscal 2001.</w:t>
      </w:r>
    </w:p>
    <w:p>
      <w:pPr>
        <w:sectPr>
          <w:pgSz w:w="11900" w:h="16838" w:orient="portrait"/>
          <w:cols w:equalWidth="0" w:num="1">
            <w:col w:w="10219"/>
          </w:cols>
          <w:pgMar w:left="240" w:top="511" w:right="1440" w:bottom="0" w:gutter="0" w:footer="0" w:header="0"/>
        </w:sectPr>
      </w:pPr>
    </w:p>
    <w:bookmarkStart w:id="112" w:name="page113"/>
    <w:bookmarkEnd w:id="112"/>
    <w:p>
      <w:pPr>
        <w:ind w:right="2399" w:firstLine="412"/>
        <w:spacing w:after="0" w:line="246" w:lineRule="auto"/>
        <w:rPr>
          <w:sz w:val="20"/>
          <w:szCs w:val="20"/>
          <w:color w:val="auto"/>
        </w:rPr>
      </w:pPr>
      <w:r>
        <w:rPr>
          <w:rFonts w:ascii="Courier New" w:cs="Courier New" w:eastAsia="Courier New" w:hAnsi="Courier New"/>
          <w:sz w:val="17"/>
          <w:szCs w:val="17"/>
          <w:color w:val="auto"/>
        </w:rPr>
        <w:t>MEDIA ADVERTISING: As of September 30, 2001 the Company has committed to purchase $7.8 million of airtime for both national and regional television advertising in fiscal 2002.</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15. CONTINGENCIES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Management continually evaluates the Company's contingencies, including various lawsuits and claims which arise in the normal course of business, product and general liabilities, property losses and other fiduciary liabilities for which the Company is self-insured. In the opinion of management, its assessment of contingencies is reasonable and related reserves, in the aggregate, are adequate; however, there can be no assurance that future quarterly or annual operating results will not be materially affected by final resolution of these matters. The following matters are the more significant of the Company's identified contingencies.</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67</w:t>
      </w:r>
    </w:p>
    <w:p>
      <w:pPr>
        <w:sectPr>
          <w:pgSz w:w="11900" w:h="16838" w:orient="portrait"/>
          <w:cols w:equalWidth="0" w:num="1">
            <w:col w:w="10219"/>
          </w:cols>
          <w:pgMar w:left="240" w:top="142" w:right="1440" w:bottom="1440" w:gutter="0" w:footer="0" w:header="0"/>
        </w:sectPr>
      </w:pPr>
    </w:p>
    <w:bookmarkStart w:id="113" w:name="page114"/>
    <w:bookmarkEnd w:id="113"/>
    <w:p>
      <w:pPr>
        <w:ind w:left="1960"/>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ENVIRONMENTAL MATTERS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June 1997, the Ohio Environmental Protection Agency ("Ohio EPA") initiated an enforcement action against us with respect to alleged surface water violations and inadequate treatment capabilities at our Marysville facility and seeking corrective action under the federal Resource Conservation Recovery Act. The action relates to several discontinued on-site disposal areas which date back to the early operations of the Marysville facility that we had already been assessing under a voluntary action program of the state. Since initiation of the action, we have continued to meet with the Ohio Attorney General and the Ohio EPA in an effort to complete negotiations of an amicable resolution of these issues. On December 3, 2001, an agreed judicial Consent Order was submitted to the Union County Common Pleas Court. Although this Consent Order is subject to public comment and both parties may withdraw their consent to entry of the Order, we anticipate the Consent Order will be entered by the court in January 2002.</w:t>
      </w:r>
    </w:p>
    <w:p>
      <w:pPr>
        <w:spacing w:after="0" w:line="206"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Since receiving notice of the enforcement action in June 1997, we have continually assessed the potential costs to satisfactorily remediate the Marysville site and to pay any penalties sought by the state. Although the terms of the Consent Order have now been agreed to, the extent of any possible contamination and an appropriate remediation plan have yet to be determined. As of September 30, 2001, we estimate that the possible total cost that could be incurred in connection with this matter is approximately $10 million. We have accrued for the amount we consider to be the most probable and believe the outcome will not differ materially from the amount reserved.</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addition to the dispute with the Ohio EPA, we are negotiating with the Philadelphia District of the U.S. Army Corps of Engineers regarding possible discontinuation of our peat harvesting operations in at our Lafayette, New Jersey facility. We are also addressing remediation concerns raised by the Environmental Agency of the United Kingdom with respect to emissions to air and groundwater at our Bramford (Suffolk), United Kingdom facility. We have reserved for our estimates of probable losses to be incurred in connection with each of these matters as of September 30, 2001, but we do not believe that either issue is material.</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Regulations and environmental concerns also exist surrounding peat extraction in the United Kingdom and the European Union. In August 2000, the nature conservation advisory body to the U.K. government notified us that three of our peat harvesting sites in the United Kingdom were under consideration as possible "Special Areas of Conservation" under European Union law. We are currently challenging this consideration. If we are unsuccessful, local planning authorities in the United Kingdom will be required to review the impact of activities likely to affect these areas and it is possible that these authorities could modify or revoke the applicable consents, in which case we believe we should be entitled to compensation and we believe we would have sufficient raw material supplies available to replace the peat produced in such areas.</w:t>
      </w:r>
    </w:p>
    <w:p>
      <w:pPr>
        <w:spacing w:after="0" w:line="205" w:lineRule="exact"/>
        <w:rPr>
          <w:sz w:val="20"/>
          <w:szCs w:val="20"/>
          <w:color w:val="auto"/>
        </w:rPr>
      </w:pPr>
    </w:p>
    <w:p>
      <w:pPr>
        <w:jc w:val="both"/>
        <w:ind w:right="2279" w:firstLine="515"/>
        <w:spacing w:after="0" w:line="246" w:lineRule="auto"/>
        <w:rPr>
          <w:sz w:val="20"/>
          <w:szCs w:val="20"/>
          <w:color w:val="auto"/>
        </w:rPr>
      </w:pPr>
      <w:r>
        <w:rPr>
          <w:rFonts w:ascii="Courier New" w:cs="Courier New" w:eastAsia="Courier New" w:hAnsi="Courier New"/>
          <w:sz w:val="17"/>
          <w:szCs w:val="17"/>
          <w:color w:val="auto"/>
        </w:rPr>
        <w:t>The Company has determined that quantities of cement containing asbestos material at certain manufacturing facilities in the United Kingdom should be removed.</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At September 30, 2001, $7.0 million is accrued for the environmental matters described herein. The significant components of the accrual are: (i) costs for site remediation of $4.7 million; (ii) costs for asbestos abatement of $1.8 million; and (iii) fines and penalties of $0.5 million. The significant portion of the costs accrued as of September 30, 2001 are expected to be paid in fiscal 2002 and 2003; however, payments could be made for a period thereafter.</w:t>
      </w:r>
    </w:p>
    <w:p>
      <w:pPr>
        <w:spacing w:after="0" w:line="202"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We believe that the amounts accrued as of September 30, 2001 are adequate to cover known environmental exposures based on current facts and estimates of likely outcome. However, the adequacy of these accruals is based on several significant assumptions:</w:t>
      </w:r>
    </w:p>
    <w:p>
      <w:pPr>
        <w:spacing w:after="0" w:line="200" w:lineRule="exact"/>
        <w:rPr>
          <w:sz w:val="20"/>
          <w:szCs w:val="20"/>
          <w:color w:val="auto"/>
        </w:rPr>
      </w:pPr>
    </w:p>
    <w:p>
      <w:pPr>
        <w:ind w:left="1040" w:right="2499" w:hanging="520"/>
        <w:spacing w:after="0" w:line="247" w:lineRule="auto"/>
        <w:tabs>
          <w:tab w:leader="none" w:pos="1040" w:val="left"/>
        </w:tabs>
        <w:numPr>
          <w:ilvl w:val="0"/>
          <w:numId w:val="1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we have identified all of the significant sites that must be remediated;</w:t>
      </w:r>
    </w:p>
    <w:p>
      <w:pPr>
        <w:spacing w:after="0" w:line="197" w:lineRule="exact"/>
        <w:rPr>
          <w:rFonts w:ascii="Courier New" w:cs="Courier New" w:eastAsia="Courier New" w:hAnsi="Courier New"/>
          <w:sz w:val="17"/>
          <w:szCs w:val="17"/>
          <w:color w:val="auto"/>
        </w:rPr>
      </w:pPr>
    </w:p>
    <w:p>
      <w:pPr>
        <w:ind w:left="1140" w:right="2179" w:hanging="620"/>
        <w:spacing w:after="0" w:line="247" w:lineRule="auto"/>
        <w:tabs>
          <w:tab w:leader="none" w:pos="1140" w:val="left"/>
        </w:tabs>
        <w:numPr>
          <w:ilvl w:val="0"/>
          <w:numId w:val="1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there are no significant conditions of potential contamination that are unknown to the Company; and</w:t>
      </w:r>
    </w:p>
    <w:p>
      <w:pPr>
        <w:spacing w:after="0" w:line="19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68</w:t>
      </w:r>
    </w:p>
    <w:p>
      <w:pPr>
        <w:sectPr>
          <w:pgSz w:w="11900" w:h="16838" w:orient="portrait"/>
          <w:cols w:equalWidth="0" w:num="1">
            <w:col w:w="10219"/>
          </w:cols>
          <w:pgMar w:left="240" w:top="511" w:right="1440" w:bottom="721" w:gutter="0" w:footer="0" w:header="0"/>
        </w:sectPr>
      </w:pPr>
    </w:p>
    <w:bookmarkStart w:id="114" w:name="page115"/>
    <w:bookmarkEnd w:id="114"/>
    <w:p>
      <w:pPr>
        <w:ind w:left="1960"/>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3" w:lineRule="exact"/>
        <w:rPr>
          <w:sz w:val="20"/>
          <w:szCs w:val="20"/>
          <w:color w:val="auto"/>
        </w:rPr>
      </w:pPr>
    </w:p>
    <w:p>
      <w:pPr>
        <w:ind w:left="1140" w:right="2079" w:hanging="620"/>
        <w:spacing w:after="0" w:line="246" w:lineRule="auto"/>
        <w:tabs>
          <w:tab w:leader="none" w:pos="1140" w:val="left"/>
        </w:tabs>
        <w:numPr>
          <w:ilvl w:val="0"/>
          <w:numId w:val="1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with respect to the agreed judicial Consent Order in Ohio, that potentially contaminated soil can be remediated in place rather than having to be removed and only specific stream segments will require remediation as opposed to the entire stream.</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If there is a significant change in the facts and circumstances surrounding these assumptions, it could have a material impact on the ultimate outcome of these matters and the Company's results of operations, financial position and cash flows.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AGREVO ENVIRONMENTAL HEALTH, INC.</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On June 3, 1999, AgrEvo Environmental Health, Inc. ("AgrEvo") (which is reported to have subsequently changed its name to Aventis Environmental Health Science USA LP) filed a complaint in the U.S. District Court for the Southern District of New York (the "New York Action"), against the Company, a subsidiary of the Company and Monsanto (now Pharmacia) seeking damages and injunctive relief for alleged antitrust violations and breach of contract by the Company and its subsidiary and antitrust violations and tortious interference with contact by Monsanto. AgrEvo also contends that the Company's execution of various agreements with Monsanto, including the Roundup(R) marketing agreement, as well as the Company's subsequent actions, violated the purchase agreements between AgrEvo and the Company. AgrEvo is requesting unspecified damages as well as affirmative injunctive relief, and is seeking to have the court invalidate the Roundup(R) marketing agreement as violative of the federal antitrust laws.</w:t>
      </w:r>
    </w:p>
    <w:p>
      <w:pPr>
        <w:spacing w:after="0" w:line="206"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On June 29, 1999, AgrEvo also filed a complaint in the Superior Court of the State of Delaware (the "Delaware Action") against two of the Company's subsidiaries seeking damages for alleged breach of contract. AgrEvo alleges that, under the contracts by which a subsidiary of the Company purchased a herbicide business from AgrEvo in May 1998, two of the Company's subsidiaries have failed to pay AgrEvo approximately $0.6 million. AgrEvo is requesting damages in this amount, as well as pre- and post-judgment interest and attorneys' fees and costs. The Company's subsidiaries have moved to dismiss or stay this action. On January 31, 2000, the Delaware court stayed AgrEvo's action pending the resolution of a motion to amend the New York Action, and the resolution of the New York Action. The Company's subsidiaries intend to vigorously defend the asserted claims.</w:t>
      </w:r>
    </w:p>
    <w:p>
      <w:pPr>
        <w:spacing w:after="0" w:line="205"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If the above actions are determined adversely to the Company, the result could have a material adverse effect on our results of operations, financial position and cash flows. The Company believes that it will prevail in the AgrEvo matter and that any potential exposure that the Company may face cannot be reasonably estimated. Therefore, no accrual has been established related to these matters.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CENTRAL GARDEN &amp; PET COMPANY</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On June 30, 2000, the Company filed suit against Central Garden &amp; Pet Company in the U.S. District Court for the Southern District of Ohio to recover approximately $17 million in outstanding accounts receivable from Central Garden with respect to the Company's 2000 fiscal year. The Company's complaint was later amended to seek approximately $24 million in accounts receivable and additional damages for other breaches of duty. On April 13, 2001, Central Garden filed an answer and counterclaim in the Ohio action. On April 24, 2001, Central Garden filed an amended counterclaim. Central Garden's counterclaims include allegations that the Company and Central Garden had entered into an oral agreement in April 1998 whereby the Company would allegedly share with Central Garden the benefits and liabilities of any future business integration between the Company and Pharmacia Corporation (formerly Monsanto). Central Garden has asserted several causes of action, including breach of oral contract and fraudulent misrepresentation, and seeks damages in excess of $900 million. In addition, Central Garden asserts various other causes of action including breach of written contract and quantum valebant and seeks damages in excess of $76 million based on the allegations that Central Garden was entitled to receive a cash payment rather than a credit for the value of inventory Central alleges was improperly seized by the Company. These allegations are made without regard to the fact that the amounts sought from Central in litigation filed by the Company and Pharmacia are net of any such alleged credit. The Company believes all of Central Garden's counterclaims in Ohio are without merit and it intends to vigorously defend against them. Pharmacia (formerly Monsanto) also filed suit against Central Garden in Missouri state court, seeking unspecified damages allegedly due Pharmacia under a four-year alliance agreement between Pharmacia and Central Garden.</w:t>
      </w:r>
    </w:p>
    <w:p>
      <w:pPr>
        <w:spacing w:after="0" w:line="21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69</w:t>
      </w:r>
    </w:p>
    <w:p>
      <w:pPr>
        <w:sectPr>
          <w:pgSz w:w="11900" w:h="16838" w:orient="portrait"/>
          <w:cols w:equalWidth="0" w:num="1">
            <w:col w:w="10219"/>
          </w:cols>
          <w:pgMar w:left="240" w:top="511" w:right="1440" w:bottom="127" w:gutter="0" w:footer="0" w:header="0"/>
        </w:sectPr>
      </w:pPr>
    </w:p>
    <w:bookmarkStart w:id="115" w:name="page116"/>
    <w:bookmarkEnd w:id="115"/>
    <w:p>
      <w:pPr>
        <w:ind w:left="1960"/>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On July 7, 2000, Central Garden filed suit against the Company and Pharmacia in the U.S. District Court for the Northern District of California (San Francisco Division) alleging various claims, including breach of contract and violations of federal antitrust laws, and seeking an unspecified amount of damages and injunctive relief. On October 26, 2000, the District Court granted the Company's motion to dismiss Central Garden's breach of contract claims for lack of subject matter jurisdiction. On November 17, 2000, Central Garden filed an amended complaint in the District Court, re-alleging various claims for violations of federal antitrust laws and also alleging state antitrust claims under the Cartwright Act, Section 16726 of the California Business and Professions Code. Fact discovery is set to conclude in December 2001. The trial date for the California federal action is set for July 15, 2002.</w:t>
      </w:r>
    </w:p>
    <w:p>
      <w:pPr>
        <w:spacing w:after="0" w:line="205"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On October 31, 2000, Central Garden filed an additional complaint against the Company and Pharmacia in the California Superior Court of Contra Costa County. That complaint seeks to assert the breach of contract claims previously dismissed by the District Court in the California federal action described above, and additional claims under Section 17200 of the California Business and Professions Code. On December 4, 2000, the Company and Pharmacia jointly filed a motion to stay this action based on the pendency of prior lawsuits (including the three actions described above) that involve the same subject matter. By order dated February 23, 2001, the Superior Court stayed the action pending before it.</w:t>
      </w:r>
    </w:p>
    <w:p>
      <w:pPr>
        <w:spacing w:after="0" w:line="204"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Company believes that all of Central Garden's federal and state claims are entirely without merit and it intends to vigorously defend against them. If the above actions are determined adversely to the Company, the result could have a material adverse effect on the Company's results of operations, financial position and cash flows. The Company believes that it will prevail in the Central Garden matters and that any potential exposure that the Company may face cannot be reasonably estimated. Therefore, no accrual has been established related to these matters.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16. CONCENTRATIONS OF CREDIT RISK</w:t>
      </w:r>
    </w:p>
    <w:p>
      <w:pPr>
        <w:spacing w:after="0" w:line="203"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Financial instruments which potentially subject the Company to concentration of credit risk consist principally of trade accounts receivable. The Company sells its consumer products to a wide variety of retailers, including mass merchandisers, home centers, independent hardware stores, nurseries, garden outlets, warehouse clubs and local and regional chains. Professional products are sold to commercial nurseries, greenhouses, landscape services, and growers of specialty agriculture crops.</w:t>
      </w:r>
    </w:p>
    <w:p>
      <w:pPr>
        <w:spacing w:after="0" w:line="202"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At September 30, 2001, 70% of the Company's accounts receivable was due from customers in North America. Approximately 85% of these receivables were generated from the Company's North American Consumer segment. The most significant concentration of receivables within this segment was from home centers, which accounted for 20%, followed by mass merchandisers at 12% of the Company's receivables balance at September 30, 2001. No other retail concentrations (e.g., independent hardware stores, nurseries, etc. in similar markets) accounted for more than 10% of the Company's accounts receivable balance at September 30, 2001.</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remaining 15% of North American accounts receivable was generated from customers of the Global Professional segment located in North America. As a result of the changes in distribution methods made in fiscal 2000 for the Global Professional segment customers in North America, nearly all products are sold through distributors. Accordingly, nearly all of the Global Professional segment's North American accounts receivable at September 30, 2001 is due from distributors.</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30% of accounts receivable generated outside of North America is due from retailers, distributors, nurseries and growers. No concentrations of customers or individual customers within this group account for more than 10% of the Company's accounts receivable balance at September 30, 2001.</w:t>
      </w:r>
    </w:p>
    <w:p>
      <w:pPr>
        <w:spacing w:after="0" w:line="200" w:lineRule="exact"/>
        <w:rPr>
          <w:sz w:val="20"/>
          <w:szCs w:val="20"/>
          <w:color w:val="auto"/>
        </w:rPr>
      </w:pPr>
    </w:p>
    <w:p>
      <w:pPr>
        <w:ind w:right="2399" w:firstLine="515"/>
        <w:spacing w:after="0" w:line="247" w:lineRule="auto"/>
        <w:rPr>
          <w:sz w:val="20"/>
          <w:szCs w:val="20"/>
          <w:color w:val="auto"/>
        </w:rPr>
      </w:pPr>
      <w:r>
        <w:rPr>
          <w:rFonts w:ascii="Courier New" w:cs="Courier New" w:eastAsia="Courier New" w:hAnsi="Courier New"/>
          <w:sz w:val="17"/>
          <w:szCs w:val="17"/>
          <w:color w:val="auto"/>
        </w:rPr>
        <w:t>At September 30, 2001, the Company's concentrations of credit risk were similar to those existing at September 30, 2000.</w:t>
      </w:r>
    </w:p>
    <w:p>
      <w:pPr>
        <w:spacing w:after="0" w:line="19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70</w:t>
      </w:r>
    </w:p>
    <w:p>
      <w:pPr>
        <w:sectPr>
          <w:pgSz w:w="11900" w:h="16838" w:orient="portrait"/>
          <w:cols w:equalWidth="0" w:num="1">
            <w:col w:w="10219"/>
          </w:cols>
          <w:pgMar w:left="240" w:top="511" w:right="1440" w:bottom="1440" w:gutter="0" w:footer="0" w:header="0"/>
        </w:sectPr>
      </w:pPr>
    </w:p>
    <w:bookmarkStart w:id="116" w:name="page117"/>
    <w:bookmarkEnd w:id="116"/>
    <w:p>
      <w:pPr>
        <w:ind w:left="1960"/>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3" w:lineRule="exact"/>
        <w:rPr>
          <w:sz w:val="20"/>
          <w:szCs w:val="20"/>
          <w:color w:val="auto"/>
        </w:rPr>
      </w:pPr>
    </w:p>
    <w:p>
      <w:pPr>
        <w:ind w:right="2079" w:firstLine="515"/>
        <w:spacing w:after="0" w:line="247" w:lineRule="auto"/>
        <w:rPr>
          <w:sz w:val="20"/>
          <w:szCs w:val="20"/>
          <w:color w:val="auto"/>
        </w:rPr>
      </w:pPr>
      <w:r>
        <w:rPr>
          <w:rFonts w:ascii="Courier New" w:cs="Courier New" w:eastAsia="Courier New" w:hAnsi="Courier New"/>
          <w:sz w:val="17"/>
          <w:szCs w:val="17"/>
          <w:color w:val="auto"/>
        </w:rPr>
        <w:t>The Company's two largest customers accounted for the following percentage of net sales in each respective period:</w:t>
      </w:r>
    </w:p>
    <w:p>
      <w:pPr>
        <w:spacing w:after="0" w:line="198" w:lineRule="exact"/>
        <w:rPr>
          <w:sz w:val="20"/>
          <w:szCs w:val="20"/>
          <w:color w:val="auto"/>
        </w:rPr>
      </w:pPr>
    </w:p>
    <w:p>
      <w:pPr>
        <w:jc w:val="center"/>
        <w:ind w:right="9399"/>
        <w:spacing w:after="0"/>
        <w:rPr>
          <w:sz w:val="20"/>
          <w:szCs w:val="20"/>
          <w:color w:val="auto"/>
        </w:rPr>
      </w:pPr>
      <w:r>
        <w:rPr>
          <w:rFonts w:ascii="Courier New" w:cs="Courier New" w:eastAsia="Courier New" w:hAnsi="Courier New"/>
          <w:sz w:val="17"/>
          <w:szCs w:val="17"/>
          <w:color w:val="auto"/>
        </w:rPr>
        <w:t>Largest</w:t>
      </w:r>
    </w:p>
    <w:p>
      <w:pPr>
        <w:spacing w:after="0" w:line="5" w:lineRule="exact"/>
        <w:rPr>
          <w:sz w:val="20"/>
          <w:szCs w:val="20"/>
          <w:color w:val="auto"/>
        </w:rPr>
      </w:pPr>
    </w:p>
    <w:p>
      <w:pPr>
        <w:jc w:val="center"/>
        <w:ind w:right="9399"/>
        <w:spacing w:after="0"/>
        <w:rPr>
          <w:sz w:val="20"/>
          <w:szCs w:val="20"/>
          <w:color w:val="auto"/>
        </w:rPr>
      </w:pPr>
      <w:r>
        <w:rPr>
          <w:rFonts w:ascii="Courier New" w:cs="Courier New" w:eastAsia="Courier New" w:hAnsi="Courier New"/>
          <w:sz w:val="17"/>
          <w:szCs w:val="17"/>
          <w:color w:val="auto"/>
        </w:rPr>
        <w:t>2nd</w:t>
      </w:r>
    </w:p>
    <w:p>
      <w:pPr>
        <w:spacing w:after="0" w:line="5" w:lineRule="exact"/>
        <w:rPr>
          <w:sz w:val="20"/>
          <w:szCs w:val="20"/>
          <w:color w:val="auto"/>
        </w:rPr>
      </w:pPr>
    </w:p>
    <w:p>
      <w:pPr>
        <w:jc w:val="center"/>
        <w:ind w:right="9399"/>
        <w:spacing w:after="0"/>
        <w:rPr>
          <w:sz w:val="20"/>
          <w:szCs w:val="20"/>
          <w:color w:val="auto"/>
        </w:rPr>
      </w:pPr>
      <w:r>
        <w:rPr>
          <w:rFonts w:ascii="Courier New" w:cs="Courier New" w:eastAsia="Courier New" w:hAnsi="Courier New"/>
          <w:sz w:val="17"/>
          <w:szCs w:val="17"/>
          <w:color w:val="auto"/>
        </w:rPr>
        <w:t>Largest</w:t>
      </w:r>
    </w:p>
    <w:p>
      <w:pPr>
        <w:spacing w:after="0" w:line="5"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7"/>
          <w:szCs w:val="17"/>
          <w:color w:val="auto"/>
        </w:rPr>
        <w:t>Customer</w:t>
      </w:r>
    </w:p>
    <w:p>
      <w:pPr>
        <w:spacing w:after="0" w:line="5"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7"/>
          <w:szCs w:val="17"/>
          <w:color w:val="auto"/>
        </w:rPr>
        <w:t>Customer</w:t>
      </w:r>
    </w:p>
    <w:p>
      <w:pPr>
        <w:spacing w:after="0" w:line="5" w:lineRule="exact"/>
        <w:rPr>
          <w:sz w:val="20"/>
          <w:szCs w:val="20"/>
          <w:color w:val="auto"/>
        </w:rPr>
      </w:pPr>
    </w:p>
    <w:p>
      <w:pPr>
        <w:ind w:left="260" w:hanging="206"/>
        <w:spacing w:after="0"/>
        <w:tabs>
          <w:tab w:leader="none" w:pos="260" w:val="left"/>
        </w:tabs>
        <w:numPr>
          <w:ilvl w:val="0"/>
          <w:numId w:val="1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2001</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27.8%</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14.6%</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2000</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22.9%</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8.9%</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1999</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17.4%</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11.6%</w:t>
      </w:r>
    </w:p>
    <w:p>
      <w:pPr>
        <w:spacing w:after="0" w:line="200" w:lineRule="exact"/>
        <w:rPr>
          <w:sz w:val="20"/>
          <w:szCs w:val="20"/>
          <w:color w:val="auto"/>
        </w:rPr>
      </w:pPr>
    </w:p>
    <w:p>
      <w:pPr>
        <w:spacing w:after="0" w:line="201"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Sales to the Company's two largest customers are reported within Scotts' North American Consumer segment. No other customers accounted for more than 10% of fiscal 2001, 2000 or 1999 net sales.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17. OTHER EXPENSE (INCOME)</w:t>
      </w:r>
    </w:p>
    <w:p>
      <w:pPr>
        <w:spacing w:after="0" w:line="203" w:lineRule="exact"/>
        <w:rPr>
          <w:sz w:val="20"/>
          <w:szCs w:val="20"/>
          <w:color w:val="auto"/>
        </w:rPr>
      </w:pPr>
    </w:p>
    <w:p>
      <w:pPr>
        <w:ind w:right="2499" w:firstLine="515"/>
        <w:spacing w:after="0" w:line="247" w:lineRule="auto"/>
        <w:rPr>
          <w:sz w:val="20"/>
          <w:szCs w:val="20"/>
          <w:color w:val="auto"/>
        </w:rPr>
      </w:pPr>
      <w:r>
        <w:rPr>
          <w:rFonts w:ascii="Courier New" w:cs="Courier New" w:eastAsia="Courier New" w:hAnsi="Courier New"/>
          <w:sz w:val="17"/>
          <w:szCs w:val="17"/>
          <w:color w:val="auto"/>
        </w:rPr>
        <w:t>Other expense (income) consisted of the following for the fiscal years ended September 30:</w:t>
      </w:r>
    </w:p>
    <w:p>
      <w:pPr>
        <w:spacing w:after="0" w:line="198"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2001 2000 1999 -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460" w:type="dxa"/>
            <w:vAlign w:val="bottom"/>
            <w:gridSpan w:val="3"/>
          </w:tcPr>
          <w:p>
            <w:pPr>
              <w:jc w:val="center"/>
              <w:ind w:left="575"/>
              <w:spacing w:after="0"/>
              <w:rPr>
                <w:sz w:val="20"/>
                <w:szCs w:val="20"/>
                <w:color w:val="auto"/>
              </w:rPr>
            </w:pPr>
            <w:r>
              <w:rPr>
                <w:rFonts w:ascii="Courier New" w:cs="Courier New" w:eastAsia="Courier New" w:hAnsi="Courier New"/>
                <w:sz w:val="17"/>
                <w:szCs w:val="17"/>
                <w:color w:val="auto"/>
              </w:rPr>
              <w:t>(in millions) Royalty</w:t>
            </w:r>
          </w:p>
        </w:tc>
        <w:tc>
          <w:tcPr>
            <w:tcW w:w="620" w:type="dxa"/>
            <w:vAlign w:val="bottom"/>
          </w:tcPr>
          <w:p>
            <w:pPr>
              <w:spacing w:after="0"/>
              <w:rPr>
                <w:sz w:val="16"/>
                <w:szCs w:val="16"/>
                <w:color w:val="auto"/>
              </w:rPr>
            </w:pPr>
          </w:p>
        </w:tc>
      </w:tr>
      <w:tr>
        <w:trPr>
          <w:trHeight w:val="198"/>
        </w:trPr>
        <w:tc>
          <w:tcPr>
            <w:tcW w:w="2740" w:type="dxa"/>
            <w:vAlign w:val="bottom"/>
            <w:gridSpan w:val="2"/>
          </w:tcPr>
          <w:p>
            <w:pPr>
              <w:ind w:left="60"/>
              <w:spacing w:after="0"/>
              <w:rPr>
                <w:sz w:val="20"/>
                <w:szCs w:val="20"/>
                <w:color w:val="auto"/>
              </w:rPr>
            </w:pPr>
            <w:r>
              <w:rPr>
                <w:rFonts w:ascii="Courier New" w:cs="Courier New" w:eastAsia="Courier New" w:hAnsi="Courier New"/>
                <w:sz w:val="17"/>
                <w:szCs w:val="17"/>
                <w:color w:val="auto"/>
                <w:w w:val="81"/>
              </w:rPr>
              <w:t>income..........................</w:t>
            </w:r>
          </w:p>
        </w:tc>
        <w:tc>
          <w:tcPr>
            <w:tcW w:w="7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w w:val="97"/>
              </w:rPr>
              <w:t>$(4.9)</w:t>
            </w:r>
          </w:p>
        </w:tc>
      </w:tr>
      <w:tr>
        <w:trPr>
          <w:trHeight w:val="198"/>
        </w:trPr>
        <w:tc>
          <w:tcPr>
            <w:tcW w:w="4080" w:type="dxa"/>
            <w:vAlign w:val="bottom"/>
            <w:gridSpan w:val="4"/>
          </w:tcPr>
          <w:p>
            <w:pPr>
              <w:jc w:val="center"/>
              <w:spacing w:after="0"/>
              <w:rPr>
                <w:sz w:val="20"/>
                <w:szCs w:val="20"/>
                <w:color w:val="auto"/>
              </w:rPr>
            </w:pPr>
            <w:r>
              <w:rPr>
                <w:rFonts w:ascii="Courier New" w:cs="Courier New" w:eastAsia="Courier New" w:hAnsi="Courier New"/>
                <w:sz w:val="17"/>
                <w:szCs w:val="17"/>
                <w:color w:val="auto"/>
              </w:rPr>
              <w:t>$(5.1) $(4.0) Legal and insurance</w:t>
            </w:r>
          </w:p>
        </w:tc>
      </w:tr>
      <w:tr>
        <w:trPr>
          <w:trHeight w:val="198"/>
        </w:trPr>
        <w:tc>
          <w:tcPr>
            <w:tcW w:w="1540" w:type="dxa"/>
            <w:vAlign w:val="bottom"/>
          </w:tcPr>
          <w:p>
            <w:pPr>
              <w:ind w:left="60"/>
              <w:spacing w:after="0"/>
              <w:rPr>
                <w:sz w:val="20"/>
                <w:szCs w:val="20"/>
                <w:color w:val="auto"/>
              </w:rPr>
            </w:pPr>
            <w:r>
              <w:rPr>
                <w:rFonts w:ascii="Courier New" w:cs="Courier New" w:eastAsia="Courier New" w:hAnsi="Courier New"/>
                <w:sz w:val="17"/>
                <w:szCs w:val="17"/>
                <w:color w:val="auto"/>
                <w:w w:val="71"/>
              </w:rPr>
              <w:t>settlements.........</w:t>
            </w:r>
          </w:p>
        </w:tc>
        <w:tc>
          <w:tcPr>
            <w:tcW w:w="25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(3.6) Gain on sale</w:t>
            </w:r>
          </w:p>
        </w:tc>
      </w:tr>
      <w:tr>
        <w:trPr>
          <w:trHeight w:val="198"/>
        </w:trPr>
        <w:tc>
          <w:tcPr>
            <w:tcW w:w="2740" w:type="dxa"/>
            <w:vAlign w:val="bottom"/>
            <w:gridSpan w:val="2"/>
          </w:tcPr>
          <w:p>
            <w:pPr>
              <w:ind w:left="60"/>
              <w:spacing w:after="0"/>
              <w:rPr>
                <w:sz w:val="20"/>
                <w:szCs w:val="20"/>
                <w:color w:val="auto"/>
              </w:rPr>
            </w:pPr>
            <w:r>
              <w:rPr>
                <w:rFonts w:ascii="Courier New" w:cs="Courier New" w:eastAsia="Courier New" w:hAnsi="Courier New"/>
                <w:sz w:val="17"/>
                <w:szCs w:val="17"/>
                <w:color w:val="auto"/>
                <w:w w:val="96"/>
              </w:rPr>
              <w:t>of ProTurf(R) business.....</w:t>
            </w:r>
          </w:p>
        </w:tc>
        <w:tc>
          <w:tcPr>
            <w:tcW w:w="13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(4.6) Asset</w:t>
            </w:r>
          </w:p>
        </w:tc>
      </w:tr>
      <w:tr>
        <w:trPr>
          <w:trHeight w:val="198"/>
        </w:trPr>
        <w:tc>
          <w:tcPr>
            <w:tcW w:w="3460" w:type="dxa"/>
            <w:vAlign w:val="bottom"/>
            <w:gridSpan w:val="3"/>
          </w:tcPr>
          <w:p>
            <w:pPr>
              <w:ind w:left="100"/>
              <w:spacing w:after="0"/>
              <w:rPr>
                <w:sz w:val="20"/>
                <w:szCs w:val="20"/>
                <w:color w:val="auto"/>
              </w:rPr>
            </w:pPr>
            <w:r>
              <w:rPr>
                <w:rFonts w:ascii="Courier New" w:cs="Courier New" w:eastAsia="Courier New" w:hAnsi="Courier New"/>
                <w:sz w:val="17"/>
                <w:szCs w:val="17"/>
                <w:color w:val="auto"/>
                <w:w w:val="96"/>
              </w:rPr>
              <w:t>valuation and write-off charges...</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0.1</w:t>
            </w:r>
          </w:p>
        </w:tc>
      </w:tr>
      <w:tr>
        <w:trPr>
          <w:trHeight w:val="198"/>
        </w:trPr>
        <w:tc>
          <w:tcPr>
            <w:tcW w:w="3460" w:type="dxa"/>
            <w:vAlign w:val="bottom"/>
            <w:gridSpan w:val="3"/>
          </w:tcPr>
          <w:p>
            <w:pPr>
              <w:jc w:val="center"/>
              <w:ind w:left="575"/>
              <w:spacing w:after="0"/>
              <w:rPr>
                <w:sz w:val="20"/>
                <w:szCs w:val="20"/>
                <w:color w:val="auto"/>
              </w:rPr>
            </w:pPr>
            <w:r>
              <w:rPr>
                <w:rFonts w:ascii="Courier New" w:cs="Courier New" w:eastAsia="Courier New" w:hAnsi="Courier New"/>
                <w:sz w:val="17"/>
                <w:szCs w:val="17"/>
                <w:color w:val="auto"/>
              </w:rPr>
              <w:t>1.8 1.2 Foreign currency</w:t>
            </w:r>
          </w:p>
        </w:tc>
        <w:tc>
          <w:tcPr>
            <w:tcW w:w="620" w:type="dxa"/>
            <w:vAlign w:val="bottom"/>
          </w:tcPr>
          <w:p>
            <w:pPr>
              <w:spacing w:after="0"/>
              <w:rPr>
                <w:sz w:val="17"/>
                <w:szCs w:val="17"/>
                <w:color w:val="auto"/>
              </w:rPr>
            </w:pPr>
          </w:p>
        </w:tc>
      </w:tr>
      <w:tr>
        <w:trPr>
          <w:trHeight w:val="198"/>
        </w:trPr>
        <w:tc>
          <w:tcPr>
            <w:tcW w:w="274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losses.................</w:t>
            </w:r>
          </w:p>
        </w:tc>
        <w:tc>
          <w:tcPr>
            <w:tcW w:w="13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w w:val="97"/>
              </w:rPr>
              <w:t>0.5 0.9 0.1</w:t>
            </w:r>
          </w:p>
        </w:tc>
      </w:tr>
      <w:tr>
        <w:trPr>
          <w:trHeight w:val="198"/>
        </w:trPr>
        <w:tc>
          <w:tcPr>
            <w:tcW w:w="1540" w:type="dxa"/>
            <w:vAlign w:val="bottom"/>
          </w:tcPr>
          <w:p>
            <w:pPr>
              <w:spacing w:after="0"/>
              <w:rPr>
                <w:sz w:val="17"/>
                <w:szCs w:val="17"/>
                <w:color w:val="auto"/>
              </w:rPr>
            </w:pPr>
          </w:p>
        </w:tc>
        <w:tc>
          <w:tcPr>
            <w:tcW w:w="1200" w:type="dxa"/>
            <w:vAlign w:val="bottom"/>
          </w:tcPr>
          <w:p>
            <w:pPr>
              <w:jc w:val="center"/>
              <w:ind w:right="54"/>
              <w:spacing w:after="0"/>
              <w:rPr>
                <w:sz w:val="20"/>
                <w:szCs w:val="20"/>
                <w:color w:val="auto"/>
              </w:rPr>
            </w:pPr>
            <w:r>
              <w:rPr>
                <w:rFonts w:ascii="Courier New" w:cs="Courier New" w:eastAsia="Courier New" w:hAnsi="Courier New"/>
                <w:sz w:val="17"/>
                <w:szCs w:val="17"/>
                <w:color w:val="auto"/>
              </w:rPr>
              <w:t>Other,</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2740" w:type="dxa"/>
            <w:vAlign w:val="bottom"/>
            <w:gridSpan w:val="2"/>
          </w:tcPr>
          <w:p>
            <w:pPr>
              <w:ind w:left="60"/>
              <w:spacing w:after="0"/>
              <w:rPr>
                <w:sz w:val="20"/>
                <w:szCs w:val="20"/>
                <w:color w:val="auto"/>
              </w:rPr>
            </w:pPr>
            <w:r>
              <w:rPr>
                <w:rFonts w:ascii="Courier New" w:cs="Courier New" w:eastAsia="Courier New" w:hAnsi="Courier New"/>
                <w:sz w:val="17"/>
                <w:szCs w:val="17"/>
                <w:color w:val="auto"/>
                <w:w w:val="79"/>
              </w:rPr>
              <w:t>net..............................</w:t>
            </w:r>
          </w:p>
        </w:tc>
        <w:tc>
          <w:tcPr>
            <w:tcW w:w="7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(0.6)</w:t>
            </w:r>
          </w:p>
        </w:tc>
      </w:tr>
      <w:tr>
        <w:trPr>
          <w:trHeight w:val="198"/>
        </w:trPr>
        <w:tc>
          <w:tcPr>
            <w:tcW w:w="3460" w:type="dxa"/>
            <w:vAlign w:val="bottom"/>
            <w:gridSpan w:val="3"/>
          </w:tcPr>
          <w:p>
            <w:pPr>
              <w:jc w:val="center"/>
              <w:ind w:left="595"/>
              <w:spacing w:after="0"/>
              <w:rPr>
                <w:sz w:val="20"/>
                <w:szCs w:val="20"/>
                <w:color w:val="auto"/>
              </w:rPr>
            </w:pPr>
            <w:r>
              <w:rPr>
                <w:rFonts w:ascii="Courier New" w:cs="Courier New" w:eastAsia="Courier New" w:hAnsi="Courier New"/>
                <w:sz w:val="17"/>
                <w:szCs w:val="17"/>
                <w:color w:val="auto"/>
              </w:rPr>
              <w:t>1.0 (0.9) ----- ----- -----</w:t>
            </w:r>
          </w:p>
        </w:tc>
        <w:tc>
          <w:tcPr>
            <w:tcW w:w="620" w:type="dxa"/>
            <w:vAlign w:val="bottom"/>
          </w:tcPr>
          <w:p>
            <w:pPr>
              <w:spacing w:after="0"/>
              <w:rPr>
                <w:sz w:val="17"/>
                <w:szCs w:val="17"/>
                <w:color w:val="auto"/>
              </w:rPr>
            </w:pPr>
          </w:p>
        </w:tc>
      </w:tr>
      <w:tr>
        <w:trPr>
          <w:trHeight w:val="198"/>
        </w:trPr>
        <w:tc>
          <w:tcPr>
            <w:tcW w:w="2740" w:type="dxa"/>
            <w:vAlign w:val="bottom"/>
            <w:gridSpan w:val="2"/>
          </w:tcPr>
          <w:p>
            <w:pPr>
              <w:spacing w:after="0"/>
              <w:rPr>
                <w:sz w:val="20"/>
                <w:szCs w:val="20"/>
                <w:color w:val="auto"/>
              </w:rPr>
            </w:pPr>
            <w:r>
              <w:rPr>
                <w:rFonts w:ascii="Courier New" w:cs="Courier New" w:eastAsia="Courier New" w:hAnsi="Courier New"/>
                <w:sz w:val="16"/>
                <w:szCs w:val="16"/>
                <w:color w:val="auto"/>
                <w:w w:val="70"/>
              </w:rPr>
              <w:t>Total...................................</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1540" w:type="dxa"/>
            <w:vAlign w:val="bottom"/>
          </w:tcPr>
          <w:p>
            <w:pPr>
              <w:ind w:left="100"/>
              <w:spacing w:after="0"/>
              <w:rPr>
                <w:sz w:val="20"/>
                <w:szCs w:val="20"/>
                <w:color w:val="auto"/>
              </w:rPr>
            </w:pPr>
            <w:r>
              <w:rPr>
                <w:rFonts w:ascii="Courier New" w:cs="Courier New" w:eastAsia="Courier New" w:hAnsi="Courier New"/>
                <w:sz w:val="17"/>
                <w:szCs w:val="17"/>
                <w:color w:val="auto"/>
              </w:rPr>
              <w:t>$(8.5) $(6.0)</w:t>
            </w:r>
          </w:p>
        </w:tc>
        <w:tc>
          <w:tcPr>
            <w:tcW w:w="25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$(3.6) ===== ===== =====</w:t>
            </w: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18. NEW ACCOUNTING STANDARDS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May 2000, the Emerging Issues Task Force (EITF) reached consensus on Issue 00-14, "Accounting for Certain Sales Incentives". This Issue requires certain sales incentives (e.g., discounts, rebates, coupons) offered by the Company to distributors, retail customers and consumers to be classified as a reduction of sales revenue. Like many other consumer products companies, the Company has historically classified these costs as advertising, promotion, or selling expenses. The Company adopted the guidance in fiscal 2001 with no impact on fiscal 2001 results of operations.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January 2001, the EITF reached consensus on Issue 00-22, "Accounting for Points and Certain Other Time or Volume-Based Sales Incentive Offers". This Issue requires certain allowances and discounts (e.g., volume discounts) paid to distributors and retail customers to be classified as a reduction of sales revenue. Like many other consumer products companies, the Company has historically classified these cost as advertising, promotion, or selling expenses. The Company adopted the guidance in fiscal 2001 with no impact on fiscal 2001 results of operations.</w:t>
      </w:r>
    </w:p>
    <w:p>
      <w:pPr>
        <w:sectPr>
          <w:pgSz w:w="11900" w:h="16838" w:orient="portrait"/>
          <w:cols w:equalWidth="0" w:num="1">
            <w:col w:w="10219"/>
          </w:cols>
          <w:pgMar w:left="240" w:top="511" w:right="1440" w:bottom="0" w:gutter="0" w:footer="0" w:header="0"/>
        </w:sectPr>
      </w:pPr>
    </w:p>
    <w:bookmarkStart w:id="117" w:name="page118"/>
    <w:bookmarkEnd w:id="117"/>
    <w:p>
      <w:pPr>
        <w:ind w:right="2079" w:firstLine="515"/>
        <w:spacing w:after="0" w:line="246" w:lineRule="auto"/>
        <w:rPr>
          <w:sz w:val="20"/>
          <w:szCs w:val="20"/>
          <w:color w:val="auto"/>
        </w:rPr>
      </w:pPr>
      <w:r>
        <w:rPr>
          <w:rFonts w:ascii="Courier New" w:cs="Courier New" w:eastAsia="Courier New" w:hAnsi="Courier New"/>
          <w:sz w:val="17"/>
          <w:szCs w:val="17"/>
          <w:color w:val="auto"/>
        </w:rPr>
        <w:t>In April 2001, the EITF reached consensus on Issue 00-25, "Accounting for Consideration from a Vendor to a Retailer in Connection with the Purchase or Promotion of the Vendor's Products". This Issue requires that certain consideration from a vendor to a retailer be classified as a reduction of sales revenue. Like many other consumer products companies, the Company has historically classified these costs as advertising, promotion, or selling expenses. The guidance is effective for the Company's first quarter of fiscal 2002. Scotts does not anticipate that the new accounting policy will impact fiscal 2002 results of operations.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June 2001, the Financial Accounting Standards Board (FASB) issued Statement of Accounting Standard No. 141, "Business Combinations". SFAS No. 141 requires that all business combinations initiated after June 30, 2001, be accounted for using the purchase accounting method and also established specific criteria for recognition of intangible assets separately from goodwill. The acquisitions discussed in Note 5 herein were accounted for using the purchase method of accounting.</w:t>
      </w:r>
    </w:p>
    <w:p>
      <w:pPr>
        <w:spacing w:after="0" w:line="20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71</w:t>
      </w:r>
    </w:p>
    <w:p>
      <w:pPr>
        <w:sectPr>
          <w:pgSz w:w="11900" w:h="16838" w:orient="portrait"/>
          <w:cols w:equalWidth="0" w:num="1">
            <w:col w:w="10219"/>
          </w:cols>
          <w:pgMar w:left="240" w:top="340" w:right="1440" w:bottom="1440" w:gutter="0" w:footer="0" w:header="0"/>
        </w:sectPr>
      </w:pPr>
    </w:p>
    <w:bookmarkStart w:id="118" w:name="page119"/>
    <w:bookmarkEnd w:id="118"/>
    <w:p>
      <w:pPr>
        <w:jc w:val="center"/>
        <w:ind w:right="1979"/>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June 2001, the FASB issued Statement of Accounting Standard No. 142, "Goodwill and Other Intangible Assets". SFAS No. 142 eliminates the requirement to amortize indefinite-lived assets such as goodwill. It also requires an annual review for impairment of indefinite-lived assets. Scotts will adopt SFAS No. 142 beginning with the first quarter of fiscal 2002. The Company expects that the elimination of amortization of indefinite-lived assets will increase earnings per share in fiscal 2002 by $.50 to $.55. The Company is still evaluating the impact that impairment testing may have on future periods.</w:t>
      </w:r>
    </w:p>
    <w:p>
      <w:pPr>
        <w:spacing w:after="0" w:line="203" w:lineRule="exact"/>
        <w:rPr>
          <w:sz w:val="20"/>
          <w:szCs w:val="20"/>
          <w:color w:val="auto"/>
        </w:rPr>
      </w:pPr>
    </w:p>
    <w:p>
      <w:pPr>
        <w:ind w:right="2399" w:firstLine="515"/>
        <w:spacing w:after="0" w:line="246" w:lineRule="auto"/>
        <w:rPr>
          <w:sz w:val="20"/>
          <w:szCs w:val="20"/>
          <w:color w:val="auto"/>
        </w:rPr>
      </w:pPr>
      <w:r>
        <w:rPr>
          <w:rFonts w:ascii="Courier New" w:cs="Courier New" w:eastAsia="Courier New" w:hAnsi="Courier New"/>
          <w:sz w:val="17"/>
          <w:szCs w:val="17"/>
          <w:color w:val="auto"/>
        </w:rPr>
        <w:t>Also in June 2001, the FASB issued Statement of Accounting Standard No. 143, "Accounting for Asset Retirement Obligations". SFAS No. 143 addresses accounting and reporting standards for legal obligations associated with the retirement of tangible long-lived assets. SFAS No. 143 is effective for financial statements issued for fiscal years beginning after June 15, 2002. Scotts is in the process of evaluating the impact of SFAS No. 143 on its financial statements and will adopt the provisions of this statement in the first quarter of fiscal year 2003.</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August 2001, the FASB issued Statement of Accounting Standard No. 144, "Accounting for the Impairment or Disposal of Long-Lived Assets". SFAS No. 144 supersedes Financial Accounting Standard No. 121, "Accounting for Impairment of Long-Lived Assets and for Long-Lived Assets to Be Disposed of" and Accounting Principles Board Opinion No. 30, "Reporting the Results of Operations; Reporting the Effects of Disposal of a Segment of a Business, and Extraordinary, Unusual and Infrequent Occurring Events and Transactions". SFAS No. 144 addresses accounting and reporting standards for the impairment or disposal of long-lived assets. It is effective for financial statements issued for fiscal years beginning after December 15, 2001. The Company is in the process of evaluating the impact of SFAS No. 144 on its financial statements and will adopt the provisions of this statement in the first quarter of fiscal year 2003.</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19. SUPPLEMENTAL CASH FLOW INFORMATION</w:t>
      </w:r>
    </w:p>
    <w:p>
      <w:pPr>
        <w:spacing w:after="0" w:line="203"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2001 2000</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1999 -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80" w:hanging="421"/>
        <w:spacing w:after="0"/>
        <w:tabs>
          <w:tab w:leader="none" w:pos="680" w:val="left"/>
        </w:tabs>
        <w:numPr>
          <w:ilvl w:val="0"/>
          <w:numId w:val="1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millions)</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Interest</w:t>
      </w:r>
    </w:p>
    <w:p>
      <w:pPr>
        <w:spacing w:after="0" w:line="5" w:lineRule="exact"/>
        <w:rPr>
          <w:rFonts w:ascii="Courier New" w:cs="Courier New" w:eastAsia="Courier New" w:hAnsi="Courier New"/>
          <w:sz w:val="17"/>
          <w:szCs w:val="17"/>
          <w:color w:val="auto"/>
        </w:rPr>
      </w:pPr>
    </w:p>
    <w:p>
      <w:pPr>
        <w:jc w:val="both"/>
        <w:ind w:left="160" w:right="913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paid (net of amount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capitalized)</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$86.5 $88.3</w:t>
      </w:r>
    </w:p>
    <w:p>
      <w:pPr>
        <w:spacing w:after="0" w:line="5" w:lineRule="exact"/>
        <w:rPr>
          <w:sz w:val="20"/>
          <w:szCs w:val="20"/>
          <w:color w:val="auto"/>
        </w:rPr>
      </w:pPr>
    </w:p>
    <w:p>
      <w:pPr>
        <w:jc w:val="both"/>
        <w:ind w:left="320" w:right="9299" w:hanging="10"/>
        <w:spacing w:after="0" w:line="262" w:lineRule="auto"/>
        <w:tabs>
          <w:tab w:leader="none" w:pos="526"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63.6 Income</w:t>
      </w:r>
    </w:p>
    <w:p>
      <w:pPr>
        <w:jc w:val="center"/>
        <w:ind w:right="8979"/>
        <w:spacing w:after="0"/>
        <w:rPr>
          <w:sz w:val="20"/>
          <w:szCs w:val="20"/>
          <w:color w:val="auto"/>
        </w:rPr>
      </w:pPr>
      <w:r>
        <w:rPr>
          <w:rFonts w:ascii="Courier New" w:cs="Courier New" w:eastAsia="Courier New" w:hAnsi="Courier New"/>
          <w:sz w:val="17"/>
          <w:szCs w:val="17"/>
          <w:color w:val="auto"/>
        </w:rPr>
        <w:t>taxes paid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47.2 10.0</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50.3</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Dividends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declared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not paid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0.0 0.0 2.5</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Businesses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acquired: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Fair value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of assets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acquired,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net of cash</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53.5 4.8</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691.2</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Liabilities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assumed 0.0</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0.0 (149.3)</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 Net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assets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acquired</w:t>
      </w:r>
    </w:p>
    <w:p>
      <w:pPr>
        <w:spacing w:after="0" w:line="5"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53.5</w:t>
            </w:r>
          </w:p>
        </w:tc>
        <w:tc>
          <w:tcPr>
            <w:tcW w:w="500" w:type="dxa"/>
            <w:vAlign w:val="bottom"/>
          </w:tcPr>
          <w:p>
            <w:pPr>
              <w:ind w:left="80"/>
              <w:spacing w:after="0"/>
              <w:rPr>
                <w:sz w:val="20"/>
                <w:szCs w:val="20"/>
                <w:color w:val="auto"/>
              </w:rPr>
            </w:pPr>
            <w:r>
              <w:rPr>
                <w:rFonts w:ascii="Courier New" w:cs="Courier New" w:eastAsia="Courier New" w:hAnsi="Courier New"/>
                <w:sz w:val="17"/>
                <w:szCs w:val="17"/>
                <w:color w:val="auto"/>
              </w:rPr>
              <w:t>4.8</w:t>
            </w:r>
          </w:p>
        </w:tc>
      </w:tr>
      <w:tr>
        <w:trPr>
          <w:trHeight w:val="198"/>
        </w:trPr>
        <w:tc>
          <w:tcPr>
            <w:tcW w:w="540" w:type="dxa"/>
            <w:vAlign w:val="bottom"/>
          </w:tcPr>
          <w:p>
            <w:pPr>
              <w:jc w:val="right"/>
              <w:spacing w:after="0"/>
              <w:rPr>
                <w:sz w:val="20"/>
                <w:szCs w:val="20"/>
                <w:color w:val="auto"/>
              </w:rPr>
            </w:pPr>
            <w:r>
              <w:rPr>
                <w:rFonts w:ascii="Courier New" w:cs="Courier New" w:eastAsia="Courier New" w:hAnsi="Courier New"/>
                <w:sz w:val="17"/>
                <w:szCs w:val="17"/>
                <w:color w:val="auto"/>
                <w:w w:val="97"/>
              </w:rPr>
              <w:t>541.9</w:t>
            </w:r>
          </w:p>
        </w:tc>
        <w:tc>
          <w:tcPr>
            <w:tcW w:w="500" w:type="dxa"/>
            <w:vAlign w:val="bottom"/>
          </w:tcPr>
          <w:p>
            <w:pPr>
              <w:ind w:left="80"/>
              <w:spacing w:after="0"/>
              <w:rPr>
                <w:sz w:val="20"/>
                <w:szCs w:val="20"/>
                <w:color w:val="auto"/>
              </w:rPr>
            </w:pPr>
            <w:r>
              <w:rPr>
                <w:rFonts w:ascii="Courier New" w:cs="Courier New" w:eastAsia="Courier New" w:hAnsi="Courier New"/>
                <w:sz w:val="17"/>
                <w:szCs w:val="17"/>
                <w:color w:val="auto"/>
                <w:w w:val="97"/>
              </w:rPr>
              <w:t>Cash</w:t>
            </w:r>
          </w:p>
        </w:tc>
      </w:tr>
      <w:tr>
        <w:trPr>
          <w:trHeight w:val="198"/>
        </w:trPr>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paid</w:t>
            </w:r>
          </w:p>
        </w:tc>
        <w:tc>
          <w:tcPr>
            <w:tcW w:w="500" w:type="dxa"/>
            <w:vAlign w:val="bottom"/>
          </w:tcPr>
          <w:p>
            <w:pPr>
              <w:ind w:left="40"/>
              <w:spacing w:after="0"/>
              <w:rPr>
                <w:sz w:val="20"/>
                <w:szCs w:val="20"/>
                <w:color w:val="auto"/>
              </w:rPr>
            </w:pPr>
            <w:r>
              <w:rPr>
                <w:rFonts w:ascii="Courier New" w:cs="Courier New" w:eastAsia="Courier New" w:hAnsi="Courier New"/>
                <w:sz w:val="17"/>
                <w:szCs w:val="17"/>
                <w:color w:val="auto"/>
              </w:rPr>
              <w:t>26.5</w:t>
            </w:r>
          </w:p>
        </w:tc>
      </w:tr>
      <w:tr>
        <w:trPr>
          <w:trHeight w:val="198"/>
        </w:trPr>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2.7</w:t>
            </w:r>
          </w:p>
        </w:tc>
        <w:tc>
          <w:tcPr>
            <w:tcW w:w="500" w:type="dxa"/>
            <w:vAlign w:val="bottom"/>
          </w:tcPr>
          <w:p>
            <w:pPr>
              <w:ind w:left="40"/>
              <w:spacing w:after="0"/>
              <w:rPr>
                <w:sz w:val="20"/>
                <w:szCs w:val="20"/>
                <w:color w:val="auto"/>
              </w:rPr>
            </w:pPr>
            <w:r>
              <w:rPr>
                <w:rFonts w:ascii="Courier New" w:cs="Courier New" w:eastAsia="Courier New" w:hAnsi="Courier New"/>
                <w:sz w:val="17"/>
                <w:szCs w:val="17"/>
                <w:color w:val="auto"/>
              </w:rPr>
              <w:t>4.8</w:t>
            </w:r>
          </w:p>
        </w:tc>
      </w:tr>
    </w:tbl>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Notes</w:t>
      </w:r>
    </w:p>
    <w:p>
      <w:pPr>
        <w:sectPr>
          <w:pgSz w:w="11900" w:h="16838" w:orient="portrait"/>
          <w:cols w:equalWidth="0" w:num="1">
            <w:col w:w="10219"/>
          </w:cols>
          <w:pgMar w:left="240" w:top="511" w:right="1440" w:bottom="0" w:gutter="0" w:footer="0" w:header="0"/>
        </w:sectPr>
      </w:pPr>
    </w:p>
    <w:bookmarkStart w:id="119" w:name="page120"/>
    <w:bookmarkEnd w:id="119"/>
    <w:p>
      <w:pPr>
        <w:jc w:val="center"/>
        <w:ind w:right="8979"/>
        <w:spacing w:after="0"/>
        <w:rPr>
          <w:sz w:val="20"/>
          <w:szCs w:val="20"/>
          <w:color w:val="auto"/>
        </w:rPr>
      </w:pPr>
      <w:r>
        <w:rPr>
          <w:rFonts w:ascii="Courier New" w:cs="Courier New" w:eastAsia="Courier New" w:hAnsi="Courier New"/>
          <w:sz w:val="17"/>
          <w:szCs w:val="17"/>
          <w:color w:val="auto"/>
        </w:rPr>
        <w:t>issued to</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seller 27.0</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2.1 35.7</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Debt issued</w:t>
      </w:r>
    </w:p>
    <w:p>
      <w:pPr>
        <w:spacing w:after="0" w:line="5" w:lineRule="exact"/>
        <w:rPr>
          <w:sz w:val="20"/>
          <w:szCs w:val="20"/>
          <w:color w:val="auto"/>
        </w:rPr>
      </w:pPr>
    </w:p>
    <w:p>
      <w:pPr>
        <w:ind w:left="320" w:right="9039" w:hanging="267"/>
        <w:spacing w:after="0" w:line="277" w:lineRule="auto"/>
        <w:tabs>
          <w:tab w:leader="none" w:pos="269"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0.0 $ 0.0 $501.4</w:t>
      </w: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20. SEGMENT INFORMATION</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For fiscal 2001, the Company was divided into three reportable segments--North American Consumer, Global Professional and International Consumer. The North American Consumer segment consists of the Lawns, Gardens, Growing Media, Ortho, Lawn Service and Canada businesses. These segments differ from those used in the prior year due to the sale of the Company's professional turfgrass business in May 2000 and the resulting change in management reporting structure.</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North American Consumer segment specializes in dry, granular slow-release lawn fertilizers, lawn fertilizer combination and lawn control products, grass seed, spreaders, water-soluble and controlled-release garden and indoor plant foods, plant care products and potting soils, barks, mulches and other growing media products and pesticides products. Products are marketed to mass merchandisers, home improvement centers, large hardware chains, nurseries and gardens centers.</w:t>
      </w:r>
    </w:p>
    <w:p>
      <w:pPr>
        <w:spacing w:after="0" w:line="202"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The Global Professional segment is focused on a full line of horticulture products including controlled-release and water-soluble fertilizers and plant protection products, grass seed, spreaders, customer application services and growing media. Products are sold to lawn and landscape service companies,</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72</w:t>
      </w:r>
    </w:p>
    <w:p>
      <w:pPr>
        <w:sectPr>
          <w:pgSz w:w="11900" w:h="16838" w:orient="portrait"/>
          <w:cols w:equalWidth="0" w:num="1">
            <w:col w:w="10219"/>
          </w:cols>
          <w:pgMar w:left="240" w:top="142" w:right="1440" w:bottom="1440" w:gutter="0" w:footer="0" w:header="0"/>
        </w:sectPr>
      </w:pPr>
    </w:p>
    <w:bookmarkStart w:id="120" w:name="page121"/>
    <w:bookmarkEnd w:id="120"/>
    <w:p>
      <w:pPr>
        <w:ind w:left="1960"/>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3"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commercial nurseries and greenhouses and specialty crop growers. Prior to June 2000, this segment also included the Company's ProTurf(R) business, which was sold in May 2000.</w:t>
      </w:r>
    </w:p>
    <w:p>
      <w:pPr>
        <w:spacing w:after="0" w:line="200" w:lineRule="exact"/>
        <w:rPr>
          <w:sz w:val="20"/>
          <w:szCs w:val="20"/>
          <w:color w:val="auto"/>
        </w:rPr>
      </w:pPr>
    </w:p>
    <w:p>
      <w:pPr>
        <w:ind w:right="2599" w:firstLine="515"/>
        <w:spacing w:after="0" w:line="246" w:lineRule="auto"/>
        <w:rPr>
          <w:sz w:val="20"/>
          <w:szCs w:val="20"/>
          <w:color w:val="auto"/>
        </w:rPr>
      </w:pPr>
      <w:r>
        <w:rPr>
          <w:rFonts w:ascii="Courier New" w:cs="Courier New" w:eastAsia="Courier New" w:hAnsi="Courier New"/>
          <w:sz w:val="17"/>
          <w:szCs w:val="17"/>
          <w:color w:val="auto"/>
        </w:rPr>
        <w:t>The International Consumer segment provides products similar to those described above for the North American Consumer segment to consumers in countries other than the United States and Canada.</w:t>
      </w:r>
    </w:p>
    <w:p>
      <w:pPr>
        <w:spacing w:after="0" w:line="200"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The following table presents segment financial information in accordance with SFAS No. 131, "Disclosures about Segments of an Enterprise and Related Information". Pursuant to SFAS No. 131, the presentation of the segment financial information is consistent with the basis used by management (i.e., certain costs not allocated to business segments for internal management reporting purposes are not allocated for purposes of this presentation). Prior periods have been restated to conform to this basis of presentation.</w:t>
      </w:r>
    </w:p>
    <w:p>
      <w:pPr>
        <w:spacing w:after="0" w:line="20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N.A. Global</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International</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Consumer</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Professional</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Consumer</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Corporate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Total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20" w:hanging="205"/>
        <w:spacing w:after="0"/>
        <w:tabs>
          <w:tab w:leader="none" w:pos="620" w:val="left"/>
        </w:tabs>
        <w:numPr>
          <w:ilvl w:val="0"/>
          <w:numId w:val="1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millions)</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Net Sales:</w:t>
      </w:r>
    </w:p>
    <w:p>
      <w:pPr>
        <w:spacing w:after="0" w:line="5" w:lineRule="exact"/>
        <w:rPr>
          <w:rFonts w:ascii="Courier New" w:cs="Courier New" w:eastAsia="Courier New" w:hAnsi="Courier New"/>
          <w:sz w:val="17"/>
          <w:szCs w:val="17"/>
          <w:color w:val="auto"/>
        </w:rPr>
      </w:pPr>
    </w:p>
    <w:p>
      <w:pPr>
        <w:ind w:left="4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2001</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$1,302.6</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$181.0</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$264.1 $ --</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$1,747.7</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2000 1,253.3</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181.1 274.6</w:t>
      </w:r>
    </w:p>
    <w:p>
      <w:pPr>
        <w:spacing w:after="0" w:line="5" w:lineRule="exact"/>
        <w:rPr>
          <w:sz w:val="20"/>
          <w:szCs w:val="20"/>
          <w:color w:val="auto"/>
        </w:rPr>
      </w:pPr>
    </w:p>
    <w:p>
      <w:pPr>
        <w:ind w:left="460" w:hanging="303"/>
        <w:spacing w:after="0"/>
        <w:tabs>
          <w:tab w:leader="none" w:pos="460" w:val="left"/>
        </w:tabs>
        <w:numPr>
          <w:ilvl w:val="0"/>
          <w:numId w:val="1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1,709.0</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1999 1,140.0</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172.7 289.8</w:t>
      </w:r>
    </w:p>
    <w:p>
      <w:pPr>
        <w:spacing w:after="0" w:line="5" w:lineRule="exact"/>
        <w:rPr>
          <w:rFonts w:ascii="Courier New" w:cs="Courier New" w:eastAsia="Courier New" w:hAnsi="Courier New"/>
          <w:sz w:val="17"/>
          <w:szCs w:val="17"/>
          <w:color w:val="auto"/>
        </w:rPr>
      </w:pPr>
    </w:p>
    <w:p>
      <w:pPr>
        <w:ind w:left="360" w:right="9039" w:hanging="203"/>
        <w:spacing w:after="0" w:line="246" w:lineRule="auto"/>
        <w:tabs>
          <w:tab w:leader="none" w:pos="463" w:val="left"/>
        </w:tabs>
        <w:numPr>
          <w:ilvl w:val="0"/>
          <w:numId w:val="1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1,602.5 Income</w:t>
      </w:r>
    </w:p>
    <w:p>
      <w:pPr>
        <w:spacing w:after="0" w:line="1"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(loss) from</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Operations: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2001 $ 250.0</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$ 17.4 $</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(3.3)</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$(120.0) $</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144.1 2000</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244.2 26.4</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21.0 (54.2)</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237.4 1999</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232.8 35.2</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29.2 (75.4)</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221.8</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Operating</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Margin: 2001</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19.2% 9.6%</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(1.2)% nm</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8.2% 2000</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19.5% 14.6%</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7.6% nm</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13.9% 1999</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20.4% 20.4%</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10.1% nm</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13.8%</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Depreciation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and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Amortization: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2001 $ 39.9</w:t>
      </w:r>
    </w:p>
    <w:p>
      <w:pPr>
        <w:spacing w:after="0" w:line="5" w:lineRule="exact"/>
        <w:rPr>
          <w:sz w:val="20"/>
          <w:szCs w:val="20"/>
          <w:color w:val="auto"/>
        </w:rPr>
      </w:pPr>
    </w:p>
    <w:p>
      <w:pPr>
        <w:ind w:left="260" w:hanging="206"/>
        <w:spacing w:after="0"/>
        <w:tabs>
          <w:tab w:leader="none" w:pos="260" w:val="left"/>
        </w:tabs>
        <w:numPr>
          <w:ilvl w:val="0"/>
          <w:numId w:val="1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5.1 $ 14.0</w:t>
      </w:r>
    </w:p>
    <w:p>
      <w:pPr>
        <w:spacing w:after="0" w:line="5" w:lineRule="exact"/>
        <w:rPr>
          <w:rFonts w:ascii="Courier New" w:cs="Courier New" w:eastAsia="Courier New" w:hAnsi="Courier New"/>
          <w:sz w:val="17"/>
          <w:szCs w:val="17"/>
          <w:color w:val="auto"/>
        </w:rPr>
      </w:pPr>
    </w:p>
    <w:p>
      <w:pPr>
        <w:ind w:left="260" w:hanging="206"/>
        <w:spacing w:after="0"/>
        <w:tabs>
          <w:tab w:leader="none" w:pos="260" w:val="left"/>
        </w:tabs>
        <w:numPr>
          <w:ilvl w:val="0"/>
          <w:numId w:val="1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4.6 $ 63.6</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2000 36.0</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4.9 12.7 7.4</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61.0 1999</w:t>
      </w:r>
    </w:p>
    <w:p>
      <w:pPr>
        <w:sectPr>
          <w:pgSz w:w="11900" w:h="16838" w:orient="portrait"/>
          <w:cols w:equalWidth="0" w:num="1">
            <w:col w:w="10219"/>
          </w:cols>
          <w:pgMar w:left="240" w:top="511" w:right="1440" w:bottom="0" w:gutter="0" w:footer="0" w:header="0"/>
        </w:sectPr>
      </w:pPr>
    </w:p>
    <w:bookmarkStart w:id="121" w:name="page122"/>
    <w:bookmarkEnd w:id="121"/>
    <w:p>
      <w:pPr>
        <w:ind w:left="260"/>
        <w:spacing w:after="0"/>
        <w:rPr>
          <w:sz w:val="20"/>
          <w:szCs w:val="20"/>
          <w:color w:val="auto"/>
        </w:rPr>
      </w:pPr>
      <w:r>
        <w:rPr>
          <w:rFonts w:ascii="Courier New" w:cs="Courier New" w:eastAsia="Courier New" w:hAnsi="Courier New"/>
          <w:sz w:val="17"/>
          <w:szCs w:val="17"/>
          <w:color w:val="auto"/>
        </w:rPr>
        <w:t>33.6 2.1</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12.6 7.9</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56.2 Capital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Expenditures:</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2001 $ 56.4</w:t>
      </w:r>
    </w:p>
    <w:p>
      <w:pPr>
        <w:spacing w:after="0" w:line="5" w:lineRule="exact"/>
        <w:rPr>
          <w:sz w:val="20"/>
          <w:szCs w:val="20"/>
          <w:color w:val="auto"/>
        </w:rPr>
      </w:pPr>
    </w:p>
    <w:p>
      <w:pPr>
        <w:ind w:left="320" w:hanging="214"/>
        <w:spacing w:after="0"/>
        <w:tabs>
          <w:tab w:leader="none" w:pos="320" w:val="left"/>
        </w:tabs>
        <w:numPr>
          <w:ilvl w:val="0"/>
          <w:numId w:val="1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1.9 $ 5.1</w:t>
      </w:r>
    </w:p>
    <w:p>
      <w:pPr>
        <w:spacing w:after="0" w:line="5" w:lineRule="exact"/>
        <w:rPr>
          <w:rFonts w:ascii="Courier New" w:cs="Courier New" w:eastAsia="Courier New" w:hAnsi="Courier New"/>
          <w:sz w:val="17"/>
          <w:szCs w:val="17"/>
          <w:color w:val="auto"/>
        </w:rPr>
      </w:pPr>
    </w:p>
    <w:p>
      <w:pPr>
        <w:ind w:left="200" w:right="8979" w:hanging="94"/>
        <w:spacing w:after="0" w:line="246" w:lineRule="auto"/>
        <w:tabs>
          <w:tab w:leader="none" w:pos="303" w:val="left"/>
        </w:tabs>
        <w:numPr>
          <w:ilvl w:val="0"/>
          <w:numId w:val="1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$ 63.4 2000 32.1</w:t>
      </w:r>
    </w:p>
    <w:p>
      <w:pPr>
        <w:spacing w:after="0" w:line="1"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9.8 9.5 21.1</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72.5 1999</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22.5 5.7</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10.6 27.9</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66.7 Long-</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Lived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Assets: 2001</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$ 752.0 $</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65.4 $264.3</w:t>
      </w:r>
    </w:p>
    <w:p>
      <w:pPr>
        <w:spacing w:after="0" w:line="5" w:lineRule="exact"/>
        <w:rPr>
          <w:sz w:val="20"/>
          <w:szCs w:val="20"/>
          <w:color w:val="auto"/>
        </w:rPr>
      </w:pPr>
    </w:p>
    <w:p>
      <w:pPr>
        <w:ind w:left="680" w:hanging="214"/>
        <w:spacing w:after="0"/>
        <w:tabs>
          <w:tab w:leader="none" w:pos="680" w:val="left"/>
        </w:tabs>
        <w:numPr>
          <w:ilvl w:val="0"/>
          <w:numId w:val="1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$1,081.7</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2000 697.5</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72.7 263.4 -</w:t>
      </w:r>
    </w:p>
    <w:p>
      <w:pPr>
        <w:spacing w:after="0" w:line="5" w:lineRule="exact"/>
        <w:rPr>
          <w:sz w:val="20"/>
          <w:szCs w:val="20"/>
          <w:color w:val="auto"/>
        </w:rPr>
      </w:pPr>
    </w:p>
    <w:p>
      <w:pPr>
        <w:ind w:left="420" w:right="9079" w:hanging="211"/>
        <w:spacing w:after="0" w:line="246" w:lineRule="auto"/>
        <w:tabs>
          <w:tab w:leader="none" w:pos="420" w:val="left"/>
        </w:tabs>
        <w:numPr>
          <w:ilvl w:val="0"/>
          <w:numId w:val="1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1,033.6 Total</w:t>
      </w:r>
    </w:p>
    <w:p>
      <w:pPr>
        <w:spacing w:after="0" w:line="1"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Assets: 2001</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$1,200.1</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$141.0</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$397.9 $</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104.0</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$1,843.0</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2000 1,120.8</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173.8 384.3</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82.5 1,761.4</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nm -- Not meaningful</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Income (loss) from operations reported for Scotts' three operating segments represents earnings before amortization of intangible assets, interest and taxes, since this is the measure of profitability used by management. Accordingly, the Corporate operating loss for the fiscal years ended September 30, 2001, 2000 and 1999 includes amortization of certain intangible assets, corporate general and administrative expenses, certain other income/expense not allocated to the business segments and North America restructuring charges in fiscal 2001. International restructuring charges of approximately $10.4 million are included in International Consumer's operating loss in fiscal 2001. Global Professional operating income in fiscal 2001 is net of restructuring charges of $2.9 million.</w:t>
      </w:r>
    </w:p>
    <w:p>
      <w:pPr>
        <w:spacing w:after="0" w:line="204"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Total assets reported for Scotts' operating segments include the intangible assets for the acquired businesses within those segments. Corporate assets primarily include deferred financing and debt issuance costs, corporate intangible assets as well as deferred tax assets.</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73</w:t>
      </w:r>
    </w:p>
    <w:p>
      <w:pPr>
        <w:sectPr>
          <w:pgSz w:w="11900" w:h="16838" w:orient="portrait"/>
          <w:cols w:equalWidth="0" w:num="1">
            <w:col w:w="10219"/>
          </w:cols>
          <w:pgMar w:left="240" w:top="142" w:right="1440" w:bottom="1440" w:gutter="0" w:footer="0" w:header="0"/>
        </w:sectPr>
      </w:pPr>
    </w:p>
    <w:bookmarkStart w:id="122" w:name="page123"/>
    <w:bookmarkEnd w:id="122"/>
    <w:p>
      <w:pPr>
        <w:ind w:left="1960"/>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21. QUARTERLY CONSOLIDATED FINANCIAL INFORMATION (UNAUDITED)</w:t>
      </w:r>
    </w:p>
    <w:p>
      <w:pPr>
        <w:spacing w:after="0" w:line="203" w:lineRule="exact"/>
        <w:rPr>
          <w:sz w:val="20"/>
          <w:szCs w:val="20"/>
          <w:color w:val="auto"/>
        </w:rPr>
      </w:pPr>
    </w:p>
    <w:p>
      <w:pPr>
        <w:ind w:right="1979" w:firstLine="515"/>
        <w:spacing w:after="0" w:line="247" w:lineRule="auto"/>
        <w:rPr>
          <w:sz w:val="20"/>
          <w:szCs w:val="20"/>
          <w:color w:val="auto"/>
        </w:rPr>
      </w:pPr>
      <w:r>
        <w:rPr>
          <w:rFonts w:ascii="Courier New" w:cs="Courier New" w:eastAsia="Courier New" w:hAnsi="Courier New"/>
          <w:sz w:val="17"/>
          <w:szCs w:val="17"/>
          <w:color w:val="auto"/>
        </w:rPr>
        <w:t>The following is a summary of the unaudited quarterly results of operations for fiscal 2001 and 2000.</w:t>
      </w:r>
    </w:p>
    <w:p>
      <w:pPr>
        <w:spacing w:after="0" w:line="19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1st Qtr</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2nd Qtr</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3rd Qtr</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4th Qtr</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Full Year</w:t>
      </w:r>
    </w:p>
    <w:p>
      <w:pPr>
        <w:spacing w:after="0" w:line="5" w:lineRule="exact"/>
        <w:rPr>
          <w:sz w:val="20"/>
          <w:szCs w:val="20"/>
          <w:color w:val="auto"/>
        </w:rPr>
      </w:pPr>
    </w:p>
    <w:p>
      <w:pPr>
        <w:ind w:left="260" w:hanging="208"/>
        <w:spacing w:after="0"/>
        <w:tabs>
          <w:tab w:leader="none" w:pos="260" w:val="left"/>
        </w:tabs>
        <w:numPr>
          <w:ilvl w:val="0"/>
          <w:numId w:val="1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millions,</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except per</w:t>
      </w:r>
    </w:p>
    <w:p>
      <w:pPr>
        <w:spacing w:after="0" w:line="5" w:lineRule="exact"/>
        <w:rPr>
          <w:rFonts w:ascii="Courier New" w:cs="Courier New" w:eastAsia="Courier New" w:hAnsi="Courier New"/>
          <w:sz w:val="17"/>
          <w:szCs w:val="17"/>
          <w:color w:val="auto"/>
        </w:rPr>
      </w:pPr>
    </w:p>
    <w:p>
      <w:pPr>
        <w:jc w:val="both"/>
        <w:ind w:left="300" w:right="939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share data)</w:t>
      </w:r>
    </w:p>
    <w:p>
      <w:pPr>
        <w:spacing w:after="0" w:line="1"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FISCAL</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2001 Net</w:t>
      </w:r>
    </w:p>
    <w:p>
      <w:pPr>
        <w:spacing w:after="0" w:line="5" w:lineRule="exact"/>
        <w:rPr>
          <w:rFonts w:ascii="Courier New" w:cs="Courier New" w:eastAsia="Courier New" w:hAnsi="Courier New"/>
          <w:sz w:val="17"/>
          <w:szCs w:val="17"/>
          <w:color w:val="auto"/>
        </w:rPr>
      </w:pPr>
    </w:p>
    <w:p>
      <w:pPr>
        <w:jc w:val="both"/>
        <w:ind w:left="200" w:right="929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sales $ 149.1 $</w:t>
      </w:r>
    </w:p>
    <w:p>
      <w:pPr>
        <w:spacing w:after="0" w:line="1"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740.0 $</w:t>
      </w:r>
    </w:p>
    <w:p>
      <w:pPr>
        <w:spacing w:after="0" w:line="5" w:lineRule="exact"/>
        <w:rPr>
          <w:rFonts w:ascii="Courier New" w:cs="Courier New" w:eastAsia="Courier New" w:hAnsi="Courier New"/>
          <w:sz w:val="17"/>
          <w:szCs w:val="17"/>
          <w:color w:val="auto"/>
        </w:rPr>
      </w:pPr>
    </w:p>
    <w:p>
      <w:pPr>
        <w:ind w:left="3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610.3</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$248.3</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$1,747.7</w:t>
      </w:r>
    </w:p>
    <w:p>
      <w:pPr>
        <w:spacing w:after="0" w:line="5" w:lineRule="exact"/>
        <w:rPr>
          <w:rFonts w:ascii="Courier New" w:cs="Courier New" w:eastAsia="Courier New" w:hAnsi="Courier New"/>
          <w:sz w:val="17"/>
          <w:szCs w:val="17"/>
          <w:color w:val="auto"/>
        </w:rPr>
      </w:pPr>
    </w:p>
    <w:p>
      <w:pPr>
        <w:ind w:left="3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Gross</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profit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34.6 319.1</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230.7 67.0</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651.4 Net</w:t>
      </w:r>
    </w:p>
    <w:p>
      <w:pPr>
        <w:spacing w:after="0" w:line="5" w:lineRule="exact"/>
        <w:rPr>
          <w:rFonts w:ascii="Courier New" w:cs="Courier New" w:eastAsia="Courier New" w:hAnsi="Courier New"/>
          <w:sz w:val="17"/>
          <w:szCs w:val="17"/>
          <w:color w:val="auto"/>
        </w:rPr>
      </w:pPr>
    </w:p>
    <w:p>
      <w:pPr>
        <w:jc w:val="both"/>
        <w:ind w:left="260" w:right="933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income (loss) (51.2)</w:t>
      </w:r>
    </w:p>
    <w:p>
      <w:pPr>
        <w:spacing w:after="0" w:line="1"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84.8 45.4</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(63.5)</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15.5 Basic</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earnings</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(loss) per</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common</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share $</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(1.83) $</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3.01 $</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1.60</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$(2.24) $</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0.55</w:t>
      </w:r>
    </w:p>
    <w:p>
      <w:pPr>
        <w:spacing w:after="0" w:line="5" w:lineRule="exact"/>
        <w:rPr>
          <w:rFonts w:ascii="Courier New" w:cs="Courier New" w:eastAsia="Courier New" w:hAnsi="Courier New"/>
          <w:sz w:val="17"/>
          <w:szCs w:val="17"/>
          <w:color w:val="auto"/>
        </w:rPr>
      </w:pPr>
    </w:p>
    <w:p>
      <w:pPr>
        <w:jc w:val="center"/>
        <w:ind w:right="9079" w:firstLine="252"/>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Common shares used in basic EPS calculation 28.0 28.2</w:t>
      </w:r>
    </w:p>
    <w:p>
      <w:pPr>
        <w:spacing w:after="0" w:line="3"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28.3 28.4</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28.4</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Diluted</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earnings</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(loss) per</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common</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share $</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(1.83) $</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2.80 $</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1.49</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$(2.24) $</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0.51</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Common</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shares and</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dilutive</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potential</w:t>
      </w:r>
    </w:p>
    <w:p>
      <w:pPr>
        <w:spacing w:after="0" w:line="5" w:lineRule="exact"/>
        <w:rPr>
          <w:rFonts w:ascii="Courier New" w:cs="Courier New" w:eastAsia="Courier New" w:hAnsi="Courier New"/>
          <w:sz w:val="17"/>
          <w:szCs w:val="17"/>
          <w:color w:val="auto"/>
        </w:rPr>
      </w:pPr>
    </w:p>
    <w:p>
      <w:pPr>
        <w:jc w:val="both"/>
        <w:ind w:left="260" w:right="933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common shares</w:t>
      </w:r>
    </w:p>
    <w:p>
      <w:pPr>
        <w:sectPr>
          <w:pgSz w:w="11900" w:h="16838" w:orient="portrait"/>
          <w:cols w:equalWidth="0" w:num="1">
            <w:col w:w="10219"/>
          </w:cols>
          <w:pgMar w:left="240" w:top="511" w:right="1440" w:bottom="0" w:gutter="0" w:footer="0" w:header="0"/>
        </w:sectPr>
      </w:pPr>
    </w:p>
    <w:bookmarkStart w:id="123" w:name="page124"/>
    <w:bookmarkEnd w:id="123"/>
    <w:p>
      <w:pPr>
        <w:ind w:left="200"/>
        <w:spacing w:after="0"/>
        <w:rPr>
          <w:sz w:val="20"/>
          <w:szCs w:val="20"/>
          <w:color w:val="auto"/>
        </w:rPr>
      </w:pPr>
      <w:r>
        <w:rPr>
          <w:rFonts w:ascii="Courier New" w:cs="Courier New" w:eastAsia="Courier New" w:hAnsi="Courier New"/>
          <w:sz w:val="17"/>
          <w:szCs w:val="17"/>
          <w:color w:val="auto"/>
        </w:rPr>
        <w:t>used in</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diluted</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EPS</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calculation</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28.0 30.3</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30.6 28.4</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30.4</w:t>
      </w:r>
    </w:p>
    <w:p>
      <w:pPr>
        <w:spacing w:after="0" w:line="200" w:lineRule="exact"/>
        <w:rPr>
          <w:sz w:val="20"/>
          <w:szCs w:val="20"/>
          <w:color w:val="auto"/>
        </w:rPr>
      </w:pPr>
    </w:p>
    <w:p>
      <w:pPr>
        <w:spacing w:after="0" w:line="20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1st Qtr</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2nd Qtr</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3rd Qtr</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4th Qtr</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Full Year</w:t>
      </w:r>
    </w:p>
    <w:p>
      <w:pPr>
        <w:spacing w:after="0" w:line="5" w:lineRule="exact"/>
        <w:rPr>
          <w:sz w:val="20"/>
          <w:szCs w:val="20"/>
          <w:color w:val="auto"/>
        </w:rPr>
      </w:pPr>
    </w:p>
    <w:p>
      <w:pPr>
        <w:ind w:left="260" w:hanging="208"/>
        <w:spacing w:after="0"/>
        <w:tabs>
          <w:tab w:leader="none" w:pos="260" w:val="left"/>
        </w:tabs>
        <w:numPr>
          <w:ilvl w:val="0"/>
          <w:numId w:val="1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millions,</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except per</w:t>
      </w:r>
    </w:p>
    <w:p>
      <w:pPr>
        <w:spacing w:after="0" w:line="5" w:lineRule="exact"/>
        <w:rPr>
          <w:rFonts w:ascii="Courier New" w:cs="Courier New" w:eastAsia="Courier New" w:hAnsi="Courier New"/>
          <w:sz w:val="17"/>
          <w:szCs w:val="17"/>
          <w:color w:val="auto"/>
        </w:rPr>
      </w:pPr>
    </w:p>
    <w:p>
      <w:pPr>
        <w:jc w:val="both"/>
        <w:ind w:left="300" w:right="939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share data)</w:t>
      </w:r>
    </w:p>
    <w:p>
      <w:pPr>
        <w:spacing w:after="0" w:line="1"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FISCAL</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2000 Net</w:t>
      </w:r>
    </w:p>
    <w:p>
      <w:pPr>
        <w:spacing w:after="0" w:line="5" w:lineRule="exact"/>
        <w:rPr>
          <w:rFonts w:ascii="Courier New" w:cs="Courier New" w:eastAsia="Courier New" w:hAnsi="Courier New"/>
          <w:sz w:val="17"/>
          <w:szCs w:val="17"/>
          <w:color w:val="auto"/>
        </w:rPr>
      </w:pPr>
    </w:p>
    <w:p>
      <w:pPr>
        <w:jc w:val="both"/>
        <w:ind w:left="200" w:right="929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sales $ 186.1 $</w:t>
      </w:r>
    </w:p>
    <w:p>
      <w:pPr>
        <w:spacing w:after="0" w:line="1"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693.9 $</w:t>
      </w:r>
    </w:p>
    <w:p>
      <w:pPr>
        <w:spacing w:after="0" w:line="5" w:lineRule="exact"/>
        <w:rPr>
          <w:rFonts w:ascii="Courier New" w:cs="Courier New" w:eastAsia="Courier New" w:hAnsi="Courier New"/>
          <w:sz w:val="17"/>
          <w:szCs w:val="17"/>
          <w:color w:val="auto"/>
        </w:rPr>
      </w:pPr>
    </w:p>
    <w:p>
      <w:pPr>
        <w:ind w:left="3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581.4</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$247.6</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$1,709.0</w:t>
      </w:r>
    </w:p>
    <w:p>
      <w:pPr>
        <w:spacing w:after="0" w:line="5" w:lineRule="exact"/>
        <w:rPr>
          <w:rFonts w:ascii="Courier New" w:cs="Courier New" w:eastAsia="Courier New" w:hAnsi="Courier New"/>
          <w:sz w:val="17"/>
          <w:szCs w:val="17"/>
          <w:color w:val="auto"/>
        </w:rPr>
      </w:pPr>
    </w:p>
    <w:p>
      <w:pPr>
        <w:ind w:left="3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Gross</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profit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68.4 286.3</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225.3 76.7</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656.7 Net</w:t>
      </w:r>
    </w:p>
    <w:p>
      <w:pPr>
        <w:spacing w:after="0" w:line="5" w:lineRule="exact"/>
        <w:rPr>
          <w:rFonts w:ascii="Courier New" w:cs="Courier New" w:eastAsia="Courier New" w:hAnsi="Courier New"/>
          <w:sz w:val="17"/>
          <w:szCs w:val="17"/>
          <w:color w:val="auto"/>
        </w:rPr>
      </w:pPr>
    </w:p>
    <w:p>
      <w:pPr>
        <w:jc w:val="both"/>
        <w:ind w:left="260" w:right="933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income (loss) (30.8)</w:t>
      </w:r>
    </w:p>
    <w:p>
      <w:pPr>
        <w:spacing w:after="0" w:line="1"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63.4 52.8</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(12.3)</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73.1 Basic</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earnings</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(loss) per</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common</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share $</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(1.32) $</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2.27 $</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1.89</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$(0.44) $</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2.39</w:t>
      </w:r>
    </w:p>
    <w:p>
      <w:pPr>
        <w:spacing w:after="0" w:line="5" w:lineRule="exact"/>
        <w:rPr>
          <w:rFonts w:ascii="Courier New" w:cs="Courier New" w:eastAsia="Courier New" w:hAnsi="Courier New"/>
          <w:sz w:val="17"/>
          <w:szCs w:val="17"/>
          <w:color w:val="auto"/>
        </w:rPr>
      </w:pPr>
    </w:p>
    <w:p>
      <w:pPr>
        <w:jc w:val="center"/>
        <w:ind w:right="9079" w:firstLine="252"/>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Common shares used in basic EPS calculation 28.2 27.9</w:t>
      </w:r>
    </w:p>
    <w:p>
      <w:pPr>
        <w:spacing w:after="0" w:line="3"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27.9 28.0</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27.9</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Diluted</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earnings</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(loss) per</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common</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share $</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(1.32) $</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2.15 $</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1.77</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$(0.44) $</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2.25</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Common</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shares and</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dilutive</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potential</w:t>
      </w:r>
    </w:p>
    <w:p>
      <w:pPr>
        <w:spacing w:after="0" w:line="5" w:lineRule="exact"/>
        <w:rPr>
          <w:rFonts w:ascii="Courier New" w:cs="Courier New" w:eastAsia="Courier New" w:hAnsi="Courier New"/>
          <w:sz w:val="17"/>
          <w:szCs w:val="17"/>
          <w:color w:val="auto"/>
        </w:rPr>
      </w:pPr>
    </w:p>
    <w:p>
      <w:pPr>
        <w:jc w:val="both"/>
        <w:ind w:left="260" w:right="933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common shares</w:t>
      </w:r>
    </w:p>
    <w:p>
      <w:pPr>
        <w:sectPr>
          <w:pgSz w:w="11900" w:h="16838" w:orient="portrait"/>
          <w:cols w:equalWidth="0" w:num="1">
            <w:col w:w="10219"/>
          </w:cols>
          <w:pgMar w:left="240" w:top="142" w:right="1440" w:bottom="0" w:gutter="0" w:footer="0" w:header="0"/>
        </w:sectPr>
      </w:pPr>
    </w:p>
    <w:bookmarkStart w:id="124" w:name="page125"/>
    <w:bookmarkEnd w:id="124"/>
    <w:p>
      <w:pPr>
        <w:ind w:left="200"/>
        <w:spacing w:after="0"/>
        <w:rPr>
          <w:sz w:val="20"/>
          <w:szCs w:val="20"/>
          <w:color w:val="auto"/>
        </w:rPr>
      </w:pPr>
      <w:r>
        <w:rPr>
          <w:rFonts w:ascii="Courier New" w:cs="Courier New" w:eastAsia="Courier New" w:hAnsi="Courier New"/>
          <w:sz w:val="17"/>
          <w:szCs w:val="17"/>
          <w:color w:val="auto"/>
        </w:rPr>
        <w:t>used in</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diluted</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EPS</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calculation</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28.2 29.5</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29.7 28.0</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29.6</w:t>
      </w:r>
    </w:p>
    <w:p>
      <w:pPr>
        <w:spacing w:after="0" w:line="200" w:lineRule="exact"/>
        <w:rPr>
          <w:sz w:val="20"/>
          <w:szCs w:val="20"/>
          <w:color w:val="auto"/>
        </w:rPr>
      </w:pPr>
    </w:p>
    <w:p>
      <w:pPr>
        <w:spacing w:after="0" w:line="201"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Certain reclassifications have been made within interim periods.</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Common stock equivalents, such as stock options, are excluded from the diluted loss per share calculation in periods where there is a net loss because their effect is anti-dilutive.</w:t>
      </w:r>
    </w:p>
    <w:p>
      <w:pPr>
        <w:spacing w:after="0" w:line="200" w:lineRule="exact"/>
        <w:rPr>
          <w:sz w:val="20"/>
          <w:szCs w:val="20"/>
          <w:color w:val="auto"/>
        </w:rPr>
      </w:pPr>
    </w:p>
    <w:p>
      <w:pPr>
        <w:ind w:right="2799" w:firstLine="515"/>
        <w:spacing w:after="0" w:line="247" w:lineRule="auto"/>
        <w:rPr>
          <w:sz w:val="20"/>
          <w:szCs w:val="20"/>
          <w:color w:val="auto"/>
        </w:rPr>
      </w:pPr>
      <w:r>
        <w:rPr>
          <w:rFonts w:ascii="Courier New" w:cs="Courier New" w:eastAsia="Courier New" w:hAnsi="Courier New"/>
          <w:sz w:val="17"/>
          <w:szCs w:val="17"/>
          <w:color w:val="auto"/>
        </w:rPr>
        <w:t>Scotts' business is highly seasonal with approximately 75% of sales occurring in the second and third fiscal quarters combined.</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22. SUBSEQUENT EVENT</w:t>
      </w:r>
    </w:p>
    <w:p>
      <w:pPr>
        <w:spacing w:after="0" w:line="203"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In December 2001, the Amended Credit Agreement was amended to redefine EBITDA, to eliminate the net worth covenant and to modify the covenants pertaining to interest coverage and leverage. The amendment also increases the amount that may be borrowed in optional currencies to $360 million from $258.8 million and amends how proceeds from future equity or subordinated debt offerings, if any, will be used towards mandatory prepayments of revolving credit facility borrowings.</w:t>
      </w:r>
    </w:p>
    <w:p>
      <w:pPr>
        <w:spacing w:after="0" w:line="20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74</w:t>
      </w:r>
    </w:p>
    <w:p>
      <w:pPr>
        <w:sectPr>
          <w:pgSz w:w="11900" w:h="16838" w:orient="portrait"/>
          <w:cols w:equalWidth="0" w:num="1">
            <w:col w:w="10219"/>
          </w:cols>
          <w:pgMar w:left="240" w:top="142" w:right="1440" w:bottom="1440" w:gutter="0" w:footer="0" w:header="0"/>
        </w:sectPr>
      </w:pPr>
    </w:p>
    <w:bookmarkStart w:id="125" w:name="page126"/>
    <w:bookmarkEnd w:id="125"/>
    <w:p>
      <w:pPr>
        <w:ind w:left="1960"/>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23. FINANCIAL INFORMATION FOR SUBSIDIARY GUARANTORS AND NON-GUARANTORS</w:t>
      </w:r>
    </w:p>
    <w:p>
      <w:pPr>
        <w:spacing w:after="0" w:line="203" w:lineRule="exact"/>
        <w:rPr>
          <w:sz w:val="20"/>
          <w:szCs w:val="20"/>
          <w:color w:val="auto"/>
        </w:rPr>
      </w:pPr>
    </w:p>
    <w:p>
      <w:pPr>
        <w:ind w:right="2279" w:firstLine="515"/>
        <w:spacing w:after="0" w:line="246" w:lineRule="auto"/>
        <w:rPr>
          <w:sz w:val="20"/>
          <w:szCs w:val="20"/>
          <w:color w:val="auto"/>
        </w:rPr>
      </w:pPr>
      <w:r>
        <w:rPr>
          <w:rFonts w:ascii="Courier New" w:cs="Courier New" w:eastAsia="Courier New" w:hAnsi="Courier New"/>
          <w:sz w:val="17"/>
          <w:szCs w:val="17"/>
          <w:color w:val="auto"/>
        </w:rPr>
        <w:t>In January 1999, The Scotts Company issued $330 million of 8 5/8% Senior Subordinated Notes due 2009 to qualified institutional buyers under the provisions of Rule 144A of the Securities Act of 1933.</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Notes are general obligations of The Scotts Company and are guaranteed by all of the existing wholly-owned, domestic subsidiaries and all future wholly-owned, significant (as defined in Regulation S-X of the Securities and Exchange Commission) domestic subsidiaries of The Scotts Company. These subsidiary guarantors jointly and severally guarantee The Scotts Company's obligations under the Notes. The guarantees represent full and unconditional general obligations of each subsidiary that are subordinated in right of payment to all existing and future senior debt of that subsidiary but are senior in right of payment to any future junior subordinated debt of that subsidiary.</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 following information presents consolidating Statements of Operations and Statements of Cash Flows for the three years ended September 30, 2001 and consolidated Balance Sheets as of September 30, 2001 and 2000. Separate audited financial statements of the individual guarantor subsidiaries have not been provided because management does not believe they would be meaningful to investors.</w:t>
      </w:r>
    </w:p>
    <w:p>
      <w:pPr>
        <w:spacing w:after="0" w:line="20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75</w:t>
      </w:r>
    </w:p>
    <w:p>
      <w:pPr>
        <w:sectPr>
          <w:pgSz w:w="11900" w:h="16838" w:orient="portrait"/>
          <w:cols w:equalWidth="0" w:num="1">
            <w:col w:w="10219"/>
          </w:cols>
          <w:pgMar w:left="240" w:top="511" w:right="1440" w:bottom="1440" w:gutter="0" w:footer="0" w:header="0"/>
        </w:sectPr>
      </w:pPr>
    </w:p>
    <w:bookmarkStart w:id="126" w:name="page127"/>
    <w:bookmarkEnd w:id="126"/>
    <w:p>
      <w:pPr>
        <w:ind w:left="3200"/>
        <w:spacing w:after="0"/>
        <w:rPr>
          <w:sz w:val="20"/>
          <w:szCs w:val="20"/>
          <w:color w:val="auto"/>
        </w:rPr>
      </w:pPr>
      <w:r>
        <w:rPr>
          <w:rFonts w:ascii="Courier New" w:cs="Courier New" w:eastAsia="Courier New" w:hAnsi="Courier New"/>
          <w:sz w:val="17"/>
          <w:szCs w:val="17"/>
          <w:color w:val="auto"/>
        </w:rPr>
        <w:t>THE SCOTTS COMPANY</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STATEMENT OF OPERATIONS</w:t>
      </w:r>
    </w:p>
    <w:p>
      <w:pPr>
        <w:spacing w:after="0" w:line="5" w:lineRule="exact"/>
        <w:rPr>
          <w:sz w:val="20"/>
          <w:szCs w:val="20"/>
          <w:color w:val="auto"/>
        </w:rPr>
      </w:pPr>
    </w:p>
    <w:p>
      <w:pPr>
        <w:jc w:val="right"/>
        <w:ind w:right="3839"/>
        <w:spacing w:after="0"/>
        <w:rPr>
          <w:sz w:val="20"/>
          <w:szCs w:val="20"/>
          <w:color w:val="auto"/>
        </w:rPr>
      </w:pPr>
      <w:r>
        <w:rPr>
          <w:rFonts w:ascii="Courier New" w:cs="Courier New" w:eastAsia="Courier New" w:hAnsi="Courier New"/>
          <w:sz w:val="17"/>
          <w:szCs w:val="17"/>
          <w:color w:val="auto"/>
        </w:rPr>
        <w:t>FOR THE FISCAL YEAR ENDED SEPTEMBER 30, 2001</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(IN MILLIONS)</w:t>
      </w:r>
    </w:p>
    <w:p>
      <w:pPr>
        <w:spacing w:after="0" w:line="203"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Subsidiary</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Non- Parent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Guarantors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Guarantors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Eliminations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Consolidated</w:t>
      </w:r>
    </w:p>
    <w:p>
      <w:pPr>
        <w:spacing w:after="0" w:line="5" w:lineRule="exact"/>
        <w:rPr>
          <w:sz w:val="20"/>
          <w:szCs w:val="20"/>
          <w:color w:val="auto"/>
        </w:rPr>
      </w:pPr>
    </w:p>
    <w:p>
      <w:pPr>
        <w:ind w:left="260" w:hanging="204"/>
        <w:spacing w:after="0"/>
        <w:tabs>
          <w:tab w:leader="none" w:pos="260" w:val="left"/>
        </w:tabs>
        <w:numPr>
          <w:ilvl w:val="0"/>
          <w:numId w:val="1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Net sales</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$947.3 $390.0</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$410.4 $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$1,747.7 Cost</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of sales</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630.7 216.4</w:t>
      </w:r>
    </w:p>
    <w:p>
      <w:pPr>
        <w:spacing w:after="0" w:line="5" w:lineRule="exact"/>
        <w:rPr>
          <w:rFonts w:ascii="Courier New" w:cs="Courier New" w:eastAsia="Courier New" w:hAnsi="Courier New"/>
          <w:sz w:val="17"/>
          <w:szCs w:val="17"/>
          <w:color w:val="auto"/>
        </w:rPr>
      </w:pPr>
    </w:p>
    <w:p>
      <w:pPr>
        <w:jc w:val="center"/>
        <w:ind w:left="60" w:right="881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241.9 1,089.0 Restructuring and other charges 2.5 1.4 3.4 7.3 -</w:t>
      </w:r>
    </w:p>
    <w:p>
      <w:pPr>
        <w:spacing w:after="0" w:line="2" w:lineRule="exact"/>
        <w:rPr>
          <w:rFonts w:ascii="Courier New" w:cs="Courier New" w:eastAsia="Courier New" w:hAnsi="Courier New"/>
          <w:sz w:val="17"/>
          <w:szCs w:val="17"/>
          <w:color w:val="auto"/>
        </w:rPr>
      </w:pPr>
    </w:p>
    <w:p>
      <w:pPr>
        <w:ind w:left="720" w:hanging="613"/>
        <w:spacing w:after="0"/>
        <w:tabs>
          <w:tab w:leader="none" w:pos="720" w:val="left"/>
        </w:tabs>
        <w:numPr>
          <w:ilvl w:val="1"/>
          <w:numId w:val="1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jc w:val="both"/>
        <w:ind w:left="160" w:right="8879" w:hanging="52"/>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Gross profit 314.1 172.2</w:t>
      </w:r>
    </w:p>
    <w:p>
      <w:pPr>
        <w:spacing w:after="0" w:line="1"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165.1 651.4</w:t>
      </w:r>
    </w:p>
    <w:p>
      <w:pPr>
        <w:spacing w:after="0" w:line="5" w:lineRule="exact"/>
        <w:rPr>
          <w:rFonts w:ascii="Courier New" w:cs="Courier New" w:eastAsia="Courier New" w:hAnsi="Courier New"/>
          <w:sz w:val="17"/>
          <w:szCs w:val="17"/>
          <w:color w:val="auto"/>
        </w:rPr>
      </w:pPr>
    </w:p>
    <w:p>
      <w:pPr>
        <w:ind w:left="4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Gross</w:t>
      </w:r>
    </w:p>
    <w:p>
      <w:pPr>
        <w:spacing w:after="0" w:line="5" w:lineRule="exact"/>
        <w:rPr>
          <w:rFonts w:ascii="Courier New" w:cs="Courier New" w:eastAsia="Courier New" w:hAnsi="Courier New"/>
          <w:sz w:val="17"/>
          <w:szCs w:val="17"/>
          <w:color w:val="auto"/>
        </w:rPr>
      </w:pPr>
    </w:p>
    <w:p>
      <w:pPr>
        <w:jc w:val="center"/>
        <w:ind w:left="60" w:right="8819" w:firstLine="154"/>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commission earned from marketing agreement 34.6 4.5 39.1 Contribution expenses under marketing agreement 16.9 1.4 18.3</w:t>
      </w:r>
    </w:p>
    <w:p>
      <w:pPr>
        <w:spacing w:after="0" w:line="6"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Net</w:t>
      </w:r>
    </w:p>
    <w:p>
      <w:pPr>
        <w:spacing w:after="0" w:line="5" w:lineRule="exact"/>
        <w:rPr>
          <w:rFonts w:ascii="Courier New" w:cs="Courier New" w:eastAsia="Courier New" w:hAnsi="Courier New"/>
          <w:sz w:val="17"/>
          <w:szCs w:val="17"/>
          <w:color w:val="auto"/>
        </w:rPr>
      </w:pPr>
    </w:p>
    <w:p>
      <w:pPr>
        <w:jc w:val="center"/>
        <w:ind w:right="8779" w:firstLine="205"/>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commission earned from marketing agreement 17.7 3.1 20.8 Advertising and promotion 97.6 10.1 43.3 151.0 Selling, general and administrative 187.6 21.6 108.0 317.2 Restructuring and other charges 47.5 11.0 9.9 68.4 Amortization of goodwill and other intangibles 1.7 15.8 10.2 27.7 Equity income in non-guarantors (61.7) 61.7 Intracompany</w:t>
      </w:r>
    </w:p>
    <w:p>
      <w:pPr>
        <w:sectPr>
          <w:pgSz w:w="11900" w:h="16838" w:orient="portrait"/>
          <w:cols w:equalWidth="0" w:num="1">
            <w:col w:w="10219"/>
          </w:cols>
          <w:pgMar w:left="240" w:top="709" w:right="1440" w:bottom="138" w:gutter="0" w:footer="0" w:header="0"/>
        </w:sectPr>
      </w:pPr>
    </w:p>
    <w:bookmarkStart w:id="127" w:name="page128"/>
    <w:bookmarkEnd w:id="127"/>
    <w:p>
      <w:pPr>
        <w:jc w:val="center"/>
        <w:ind w:right="8815"/>
        <w:spacing w:after="0"/>
        <w:rPr>
          <w:sz w:val="20"/>
          <w:szCs w:val="20"/>
          <w:color w:val="auto"/>
        </w:rPr>
      </w:pPr>
      <w:r>
        <w:rPr>
          <w:rFonts w:ascii="Courier New" w:cs="Courier New" w:eastAsia="Courier New" w:hAnsi="Courier New"/>
          <w:sz w:val="17"/>
          <w:szCs w:val="17"/>
          <w:color w:val="auto"/>
        </w:rPr>
        <w:t>allocations</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1.0 (9.1) 8.1</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Other</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(income)</w:t>
      </w:r>
    </w:p>
    <w:p>
      <w:pPr>
        <w:spacing w:after="0" w:line="5" w:lineRule="exact"/>
        <w:rPr>
          <w:sz w:val="20"/>
          <w:szCs w:val="20"/>
          <w:color w:val="auto"/>
        </w:rPr>
      </w:pPr>
    </w:p>
    <w:p>
      <w:pPr>
        <w:ind w:left="44"/>
        <w:spacing w:after="0"/>
        <w:rPr>
          <w:sz w:val="20"/>
          <w:szCs w:val="20"/>
          <w:color w:val="auto"/>
        </w:rPr>
      </w:pPr>
      <w:r>
        <w:rPr>
          <w:rFonts w:ascii="Courier New" w:cs="Courier New" w:eastAsia="Courier New" w:hAnsi="Courier New"/>
          <w:sz w:val="17"/>
          <w:szCs w:val="17"/>
          <w:color w:val="auto"/>
        </w:rPr>
        <w:t>expense, net</w:t>
      </w:r>
    </w:p>
    <w:p>
      <w:pPr>
        <w:spacing w:after="0" w:line="5" w:lineRule="exact"/>
        <w:rPr>
          <w:sz w:val="20"/>
          <w:szCs w:val="20"/>
          <w:color w:val="auto"/>
        </w:rPr>
      </w:pPr>
    </w:p>
    <w:p>
      <w:pPr>
        <w:ind w:left="104"/>
        <w:spacing w:after="0"/>
        <w:rPr>
          <w:sz w:val="20"/>
          <w:szCs w:val="20"/>
          <w:color w:val="auto"/>
        </w:rPr>
      </w:pPr>
      <w:r>
        <w:rPr>
          <w:rFonts w:ascii="Courier New" w:cs="Courier New" w:eastAsia="Courier New" w:hAnsi="Courier New"/>
          <w:sz w:val="17"/>
          <w:szCs w:val="17"/>
          <w:color w:val="auto"/>
        </w:rPr>
        <w:t>(3.5) (5.4)</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7"/>
          <w:szCs w:val="17"/>
          <w:color w:val="auto"/>
        </w:rPr>
        <w:t>0.4 (8.5) ---</w:t>
      </w:r>
    </w:p>
    <w:p>
      <w:pPr>
        <w:spacing w:after="0" w:line="5" w:lineRule="exact"/>
        <w:rPr>
          <w:sz w:val="20"/>
          <w:szCs w:val="20"/>
          <w:color w:val="auto"/>
        </w:rPr>
      </w:pPr>
    </w:p>
    <w:p>
      <w:pPr>
        <w:ind w:left="404" w:hanging="404"/>
        <w:spacing w:after="0"/>
        <w:tabs>
          <w:tab w:leader="none" w:pos="404" w:val="left"/>
        </w:tabs>
        <w:numPr>
          <w:ilvl w:val="0"/>
          <w:numId w:val="1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spacing w:after="0" w:line="5" w:lineRule="exact"/>
        <w:rPr>
          <w:rFonts w:ascii="Courier New" w:cs="Courier New" w:eastAsia="Courier New" w:hAnsi="Courier New"/>
          <w:sz w:val="17"/>
          <w:szCs w:val="17"/>
          <w:color w:val="auto"/>
        </w:rPr>
      </w:pPr>
    </w:p>
    <w:p>
      <w:pPr>
        <w:ind w:left="30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Income (loss)</w:t>
      </w:r>
    </w:p>
    <w:p>
      <w:pPr>
        <w:spacing w:after="0" w:line="5" w:lineRule="exact"/>
        <w:rPr>
          <w:rFonts w:ascii="Courier New" w:cs="Courier New" w:eastAsia="Courier New" w:hAnsi="Courier New"/>
          <w:sz w:val="17"/>
          <w:szCs w:val="17"/>
          <w:color w:val="auto"/>
        </w:rPr>
      </w:pPr>
    </w:p>
    <w:p>
      <w:pPr>
        <w:ind w:left="46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from</w:t>
      </w:r>
    </w:p>
    <w:p>
      <w:pPr>
        <w:spacing w:after="0" w:line="5" w:lineRule="exact"/>
        <w:rPr>
          <w:rFonts w:ascii="Courier New" w:cs="Courier New" w:eastAsia="Courier New" w:hAnsi="Courier New"/>
          <w:sz w:val="17"/>
          <w:szCs w:val="17"/>
          <w:color w:val="auto"/>
        </w:rPr>
      </w:pPr>
    </w:p>
    <w:p>
      <w:pPr>
        <w:jc w:val="center"/>
        <w:ind w:left="4" w:right="8819" w:firstLine="154"/>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operations 61.6 128.2 (11.7) (61.7) 116.4 Interest (income) expense 78.4 (14.3) 23.6 87.7 ------ -</w:t>
      </w:r>
    </w:p>
    <w:p>
      <w:pPr>
        <w:spacing w:after="0" w:line="5" w:lineRule="exact"/>
        <w:rPr>
          <w:rFonts w:ascii="Courier New" w:cs="Courier New" w:eastAsia="Courier New" w:hAnsi="Courier New"/>
          <w:sz w:val="17"/>
          <w:szCs w:val="17"/>
          <w:color w:val="auto"/>
        </w:rPr>
      </w:pPr>
    </w:p>
    <w:p>
      <w:pPr>
        <w:ind w:left="664" w:hanging="613"/>
        <w:spacing w:after="0"/>
        <w:tabs>
          <w:tab w:leader="none" w:pos="664" w:val="left"/>
        </w:tabs>
        <w:numPr>
          <w:ilvl w:val="1"/>
          <w:numId w:val="1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20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Income</w:t>
      </w:r>
    </w:p>
    <w:p>
      <w:pPr>
        <w:spacing w:after="0" w:line="5" w:lineRule="exact"/>
        <w:rPr>
          <w:rFonts w:ascii="Courier New" w:cs="Courier New" w:eastAsia="Courier New" w:hAnsi="Courier New"/>
          <w:sz w:val="17"/>
          <w:szCs w:val="17"/>
          <w:color w:val="auto"/>
        </w:rPr>
      </w:pPr>
    </w:p>
    <w:p>
      <w:pPr>
        <w:jc w:val="both"/>
        <w:ind w:left="4" w:right="881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(loss) before income taxes (16.8) 142.5 (35.3) (61.7)</w:t>
      </w:r>
    </w:p>
    <w:p>
      <w:pPr>
        <w:spacing w:after="0" w:line="2" w:lineRule="exact"/>
        <w:rPr>
          <w:rFonts w:ascii="Courier New" w:cs="Courier New" w:eastAsia="Courier New" w:hAnsi="Courier New"/>
          <w:sz w:val="17"/>
          <w:szCs w:val="17"/>
          <w:color w:val="auto"/>
        </w:rPr>
      </w:pPr>
    </w:p>
    <w:p>
      <w:pPr>
        <w:ind w:left="10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28.7 Income</w:t>
      </w:r>
    </w:p>
    <w:p>
      <w:pPr>
        <w:spacing w:after="0" w:line="5" w:lineRule="exact"/>
        <w:rPr>
          <w:rFonts w:ascii="Courier New" w:cs="Courier New" w:eastAsia="Courier New" w:hAnsi="Courier New"/>
          <w:sz w:val="17"/>
          <w:szCs w:val="17"/>
          <w:color w:val="auto"/>
        </w:rPr>
      </w:pPr>
    </w:p>
    <w:p>
      <w:pPr>
        <w:ind w:left="40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taxes</w:t>
      </w:r>
    </w:p>
    <w:p>
      <w:pPr>
        <w:spacing w:after="0" w:line="5" w:lineRule="exact"/>
        <w:rPr>
          <w:rFonts w:ascii="Courier New" w:cs="Courier New" w:eastAsia="Courier New" w:hAnsi="Courier New"/>
          <w:sz w:val="17"/>
          <w:szCs w:val="17"/>
          <w:color w:val="auto"/>
        </w:rPr>
      </w:pPr>
    </w:p>
    <w:p>
      <w:pPr>
        <w:ind w:left="20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(benefit)</w:t>
      </w:r>
    </w:p>
    <w:p>
      <w:pPr>
        <w:spacing w:after="0" w:line="5" w:lineRule="exact"/>
        <w:rPr>
          <w:rFonts w:ascii="Courier New" w:cs="Courier New" w:eastAsia="Courier New" w:hAnsi="Courier New"/>
          <w:sz w:val="17"/>
          <w:szCs w:val="17"/>
          <w:color w:val="auto"/>
        </w:rPr>
      </w:pPr>
    </w:p>
    <w:p>
      <w:pPr>
        <w:ind w:left="10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(32.3) 60.5</w:t>
      </w:r>
    </w:p>
    <w:p>
      <w:pPr>
        <w:spacing w:after="0" w:line="5" w:lineRule="exact"/>
        <w:rPr>
          <w:rFonts w:ascii="Courier New" w:cs="Courier New" w:eastAsia="Courier New" w:hAnsi="Courier New"/>
          <w:sz w:val="17"/>
          <w:szCs w:val="17"/>
          <w:color w:val="auto"/>
        </w:rPr>
      </w:pPr>
    </w:p>
    <w:p>
      <w:pPr>
        <w:ind w:left="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(15.0) 13.2 -</w:t>
      </w:r>
    </w:p>
    <w:p>
      <w:pPr>
        <w:spacing w:after="0" w:line="5" w:lineRule="exact"/>
        <w:rPr>
          <w:rFonts w:ascii="Courier New" w:cs="Courier New" w:eastAsia="Courier New" w:hAnsi="Courier New"/>
          <w:sz w:val="17"/>
          <w:szCs w:val="17"/>
          <w:color w:val="auto"/>
        </w:rPr>
      </w:pPr>
    </w:p>
    <w:p>
      <w:pPr>
        <w:ind w:left="664" w:hanging="613"/>
        <w:spacing w:after="0"/>
        <w:tabs>
          <w:tab w:leader="none" w:pos="664" w:val="left"/>
        </w:tabs>
        <w:numPr>
          <w:ilvl w:val="1"/>
          <w:numId w:val="1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jc w:val="center"/>
        <w:ind w:left="4" w:right="8819" w:firstLine="51"/>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Net income (loss) $ 15.5 $ 82.0 $(20.3) $(61.7) $ 15.5 ======</w:t>
      </w:r>
    </w:p>
    <w:p>
      <w:pPr>
        <w:spacing w:after="0" w:line="3" w:lineRule="exact"/>
        <w:rPr>
          <w:rFonts w:ascii="Courier New" w:cs="Courier New" w:eastAsia="Courier New" w:hAnsi="Courier New"/>
          <w:sz w:val="17"/>
          <w:szCs w:val="17"/>
          <w:color w:val="auto"/>
        </w:rPr>
      </w:pPr>
    </w:p>
    <w:p>
      <w:pPr>
        <w:ind w:left="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36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6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left="3864"/>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ind w:left="3964"/>
        <w:spacing w:after="0"/>
        <w:rPr>
          <w:sz w:val="20"/>
          <w:szCs w:val="20"/>
          <w:color w:val="auto"/>
        </w:rPr>
      </w:pPr>
      <w:r>
        <w:rPr>
          <w:rFonts w:ascii="Courier New" w:cs="Courier New" w:eastAsia="Courier New" w:hAnsi="Courier New"/>
          <w:sz w:val="17"/>
          <w:szCs w:val="17"/>
          <w:color w:val="auto"/>
        </w:rPr>
        <w:t>76</w:t>
      </w:r>
    </w:p>
    <w:p>
      <w:pPr>
        <w:sectPr>
          <w:pgSz w:w="11900" w:h="16838" w:orient="portrait"/>
          <w:cols w:equalWidth="0" w:num="1">
            <w:col w:w="10163"/>
          </w:cols>
          <w:pgMar w:left="296" w:top="142" w:right="1440" w:bottom="1440" w:gutter="0" w:footer="0" w:header="0"/>
        </w:sectPr>
      </w:pPr>
    </w:p>
    <w:bookmarkStart w:id="128" w:name="page129"/>
    <w:bookmarkEnd w:id="128"/>
    <w:p>
      <w:pPr>
        <w:ind w:left="3200"/>
        <w:spacing w:after="0"/>
        <w:rPr>
          <w:sz w:val="20"/>
          <w:szCs w:val="20"/>
          <w:color w:val="auto"/>
        </w:rPr>
      </w:pPr>
      <w:r>
        <w:rPr>
          <w:rFonts w:ascii="Courier New" w:cs="Courier New" w:eastAsia="Courier New" w:hAnsi="Courier New"/>
          <w:sz w:val="17"/>
          <w:szCs w:val="17"/>
          <w:color w:val="auto"/>
        </w:rPr>
        <w:t>THE SCOTTS COMPANY</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STATEMENT OF CASH FLOWS</w:t>
      </w:r>
    </w:p>
    <w:p>
      <w:pPr>
        <w:spacing w:after="0" w:line="5" w:lineRule="exact"/>
        <w:rPr>
          <w:sz w:val="20"/>
          <w:szCs w:val="20"/>
          <w:color w:val="auto"/>
        </w:rPr>
      </w:pPr>
    </w:p>
    <w:p>
      <w:pPr>
        <w:jc w:val="right"/>
        <w:ind w:right="3839"/>
        <w:spacing w:after="0"/>
        <w:rPr>
          <w:sz w:val="20"/>
          <w:szCs w:val="20"/>
          <w:color w:val="auto"/>
        </w:rPr>
      </w:pPr>
      <w:r>
        <w:rPr>
          <w:rFonts w:ascii="Courier New" w:cs="Courier New" w:eastAsia="Courier New" w:hAnsi="Courier New"/>
          <w:sz w:val="17"/>
          <w:szCs w:val="17"/>
          <w:color w:val="auto"/>
        </w:rPr>
        <w:t>FOR THE FISCAL YEAR ENDED SEPTEMBER 30, 2001</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(IN MILLIONS)</w:t>
      </w:r>
    </w:p>
    <w:p>
      <w:pPr>
        <w:spacing w:after="0" w:line="20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Subsidiary</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Non- Parent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Guarantors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Guarantors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Eliminations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Consolidated</w:t>
      </w:r>
    </w:p>
    <w:p>
      <w:pPr>
        <w:spacing w:after="0" w:line="5" w:lineRule="exact"/>
        <w:rPr>
          <w:sz w:val="20"/>
          <w:szCs w:val="20"/>
          <w:color w:val="auto"/>
        </w:rPr>
      </w:pPr>
    </w:p>
    <w:p>
      <w:pPr>
        <w:ind w:left="260" w:hanging="206"/>
        <w:spacing w:after="0"/>
        <w:tabs>
          <w:tab w:leader="none" w:pos="260" w:val="left"/>
        </w:tabs>
        <w:numPr>
          <w:ilvl w:val="0"/>
          <w:numId w:val="1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CASH FLOWS</w:t>
      </w:r>
    </w:p>
    <w:p>
      <w:pPr>
        <w:spacing w:after="0" w:line="5" w:lineRule="exact"/>
        <w:rPr>
          <w:rFonts w:ascii="Courier New" w:cs="Courier New" w:eastAsia="Courier New" w:hAnsi="Courier New"/>
          <w:sz w:val="17"/>
          <w:szCs w:val="17"/>
          <w:color w:val="auto"/>
        </w:rPr>
      </w:pPr>
    </w:p>
    <w:p>
      <w:pPr>
        <w:ind w:left="4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FROM</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OPERATING</w:t>
      </w:r>
    </w:p>
    <w:p>
      <w:pPr>
        <w:spacing w:after="0" w:line="5" w:lineRule="exact"/>
        <w:rPr>
          <w:rFonts w:ascii="Courier New" w:cs="Courier New" w:eastAsia="Courier New" w:hAnsi="Courier New"/>
          <w:sz w:val="17"/>
          <w:szCs w:val="17"/>
          <w:color w:val="auto"/>
        </w:rPr>
      </w:pPr>
    </w:p>
    <w:p>
      <w:pPr>
        <w:jc w:val="center"/>
        <w:ind w:right="8879" w:firstLine="152"/>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ACTIVITIES Net income $15.5 $82.0 $(20.3) $(61.7) $ 15.5 Adjustments to reconcile net income to net cash provided by operating activities: Depreciation 15.5 10.2 6.9 32.6 Amortization 1.9 15.7 13.4 31.0 Deferred taxes (19.9) (19.9) Equity income in non-guarantors (61.7) 61.7 Restructuring and other charges 13.2 14.5 27.7 Loss on sale of property Changes in assets and liabilities, net of acquired businesses: Accounts receivable 0.4 (10.3)</w:t>
      </w:r>
    </w:p>
    <w:p>
      <w:pPr>
        <w:spacing w:after="0" w:line="200" w:lineRule="exact"/>
        <w:rPr>
          <w:rFonts w:ascii="Courier New" w:cs="Courier New" w:eastAsia="Courier New" w:hAnsi="Courier New"/>
          <w:sz w:val="17"/>
          <w:szCs w:val="17"/>
          <w:color w:val="auto"/>
        </w:rPr>
      </w:pPr>
    </w:p>
    <w:p>
      <w:pPr>
        <w:spacing w:after="0" w:line="219" w:lineRule="exact"/>
        <w:rPr>
          <w:rFonts w:ascii="Courier New" w:cs="Courier New" w:eastAsia="Courier New" w:hAnsi="Courier New"/>
          <w:sz w:val="17"/>
          <w:szCs w:val="17"/>
          <w:color w:val="auto"/>
        </w:rPr>
      </w:pPr>
    </w:p>
    <w:p>
      <w:pPr>
        <w:jc w:val="both"/>
        <w:ind w:left="60" w:right="8939"/>
        <w:spacing w:after="0" w:line="262"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(4.3) (14.2) Inventories (48.9) (5.2)</w:t>
      </w: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(14.4)</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(68.5)</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Prepaid and</w:t>
      </w:r>
    </w:p>
    <w:p>
      <w:pPr>
        <w:spacing w:after="0" w:line="5"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other</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current</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assets 28.7</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(1.5) 4.2</w:t>
      </w:r>
    </w:p>
    <w:p>
      <w:pPr>
        <w:spacing w:after="0" w:line="5" w:lineRule="exact"/>
        <w:rPr>
          <w:rFonts w:ascii="Courier New" w:cs="Courier New" w:eastAsia="Courier New" w:hAnsi="Courier New"/>
          <w:sz w:val="17"/>
          <w:szCs w:val="17"/>
          <w:color w:val="auto"/>
        </w:rPr>
      </w:pPr>
    </w:p>
    <w:p>
      <w:pPr>
        <w:ind w:left="4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31.4</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Accounts</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payable</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(6.5) (2.9)</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6.6 (2.8)</w:t>
      </w:r>
    </w:p>
    <w:p>
      <w:pPr>
        <w:sectPr>
          <w:pgSz w:w="11900" w:h="16838" w:orient="portrait"/>
          <w:cols w:equalWidth="0" w:num="1">
            <w:col w:w="10219"/>
          </w:cols>
          <w:pgMar w:left="240" w:top="709" w:right="1440" w:bottom="0" w:gutter="0" w:footer="0" w:header="0"/>
        </w:sectPr>
      </w:pPr>
    </w:p>
    <w:bookmarkStart w:id="129" w:name="page130"/>
    <w:bookmarkEnd w:id="129"/>
    <w:p>
      <w:pPr>
        <w:jc w:val="center"/>
        <w:ind w:right="8879"/>
        <w:spacing w:after="0"/>
        <w:rPr>
          <w:sz w:val="20"/>
          <w:szCs w:val="20"/>
          <w:color w:val="auto"/>
        </w:rPr>
      </w:pPr>
      <w:r>
        <w:rPr>
          <w:rFonts w:ascii="Courier New" w:cs="Courier New" w:eastAsia="Courier New" w:hAnsi="Courier New"/>
          <w:sz w:val="17"/>
          <w:szCs w:val="17"/>
          <w:color w:val="auto"/>
        </w:rPr>
        <w:t>Accrued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taxes and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liabilities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0" w:type="dxa"/>
            <w:vAlign w:val="bottom"/>
          </w:tcPr>
          <w:p>
            <w:pPr>
              <w:jc w:val="center"/>
              <w:spacing w:after="0"/>
              <w:rPr>
                <w:sz w:val="20"/>
                <w:szCs w:val="20"/>
                <w:color w:val="auto"/>
              </w:rPr>
            </w:pPr>
            <w:r>
              <w:rPr>
                <w:rFonts w:ascii="Courier New" w:cs="Courier New" w:eastAsia="Courier New" w:hAnsi="Courier New"/>
                <w:sz w:val="17"/>
                <w:szCs w:val="17"/>
                <w:color w:val="auto"/>
              </w:rPr>
              <w:t>32.6</w:t>
            </w:r>
          </w:p>
        </w:tc>
        <w:tc>
          <w:tcPr>
            <w:tcW w:w="80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(72.1)</w:t>
            </w:r>
          </w:p>
        </w:tc>
      </w:tr>
      <w:tr>
        <w:trPr>
          <w:trHeight w:val="198"/>
        </w:trPr>
        <w:tc>
          <w:tcPr>
            <w:tcW w:w="540" w:type="dxa"/>
            <w:vAlign w:val="bottom"/>
          </w:tcPr>
          <w:p>
            <w:pPr>
              <w:jc w:val="center"/>
              <w:spacing w:after="0"/>
              <w:rPr>
                <w:sz w:val="20"/>
                <w:szCs w:val="20"/>
                <w:color w:val="auto"/>
              </w:rPr>
            </w:pPr>
            <w:r>
              <w:rPr>
                <w:rFonts w:ascii="Courier New" w:cs="Courier New" w:eastAsia="Courier New" w:hAnsi="Courier New"/>
                <w:sz w:val="17"/>
                <w:szCs w:val="17"/>
                <w:color w:val="auto"/>
              </w:rPr>
              <w:t>16.8</w:t>
            </w:r>
          </w:p>
        </w:tc>
        <w:tc>
          <w:tcPr>
            <w:tcW w:w="80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(22.7)</w:t>
            </w:r>
          </w:p>
        </w:tc>
      </w:tr>
      <w:tr>
        <w:trPr>
          <w:trHeight w:val="198"/>
        </w:trPr>
        <w:tc>
          <w:tcPr>
            <w:tcW w:w="134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Restructuring</w:t>
            </w:r>
          </w:p>
        </w:tc>
      </w:tr>
      <w:tr>
        <w:trPr>
          <w:trHeight w:val="198"/>
        </w:trPr>
        <w:tc>
          <w:tcPr>
            <w:tcW w:w="134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reserves</w:t>
            </w:r>
          </w:p>
        </w:tc>
      </w:tr>
      <w:tr>
        <w:trPr>
          <w:trHeight w:val="198"/>
        </w:trPr>
        <w:tc>
          <w:tcPr>
            <w:tcW w:w="1340" w:type="dxa"/>
            <w:vAlign w:val="bottom"/>
            <w:gridSpan w:val="3"/>
          </w:tcPr>
          <w:p>
            <w:pPr>
              <w:jc w:val="right"/>
              <w:ind w:right="114"/>
              <w:spacing w:after="0"/>
              <w:rPr>
                <w:sz w:val="20"/>
                <w:szCs w:val="20"/>
                <w:color w:val="auto"/>
              </w:rPr>
            </w:pPr>
            <w:r>
              <w:rPr>
                <w:rFonts w:ascii="Courier New" w:cs="Courier New" w:eastAsia="Courier New" w:hAnsi="Courier New"/>
                <w:sz w:val="17"/>
                <w:szCs w:val="17"/>
                <w:color w:val="auto"/>
              </w:rPr>
              <w:t>13.3 11.4</w:t>
            </w:r>
          </w:p>
        </w:tc>
      </w:tr>
      <w:tr>
        <w:trPr>
          <w:trHeight w:val="198"/>
        </w:trPr>
        <w:tc>
          <w:tcPr>
            <w:tcW w:w="1340" w:type="dxa"/>
            <w:vAlign w:val="bottom"/>
            <w:gridSpan w:val="3"/>
          </w:tcPr>
          <w:p>
            <w:pPr>
              <w:jc w:val="right"/>
              <w:ind w:right="114"/>
              <w:spacing w:after="0"/>
              <w:rPr>
                <w:sz w:val="20"/>
                <w:szCs w:val="20"/>
                <w:color w:val="auto"/>
              </w:rPr>
            </w:pPr>
            <w:r>
              <w:rPr>
                <w:rFonts w:ascii="Courier New" w:cs="Courier New" w:eastAsia="Courier New" w:hAnsi="Courier New"/>
                <w:sz w:val="17"/>
                <w:szCs w:val="17"/>
                <w:color w:val="auto"/>
              </w:rPr>
              <w:t>12.6 37.3</w:t>
            </w:r>
          </w:p>
        </w:tc>
      </w:tr>
      <w:tr>
        <w:trPr>
          <w:trHeight w:val="198"/>
        </w:trPr>
        <w:tc>
          <w:tcPr>
            <w:tcW w:w="1340" w:type="dxa"/>
            <w:vAlign w:val="bottom"/>
            <w:gridSpan w:val="3"/>
          </w:tcPr>
          <w:p>
            <w:pPr>
              <w:jc w:val="center"/>
              <w:spacing w:after="0"/>
              <w:rPr>
                <w:sz w:val="20"/>
                <w:szCs w:val="20"/>
                <w:color w:val="auto"/>
              </w:rPr>
            </w:pPr>
            <w:r>
              <w:rPr>
                <w:rFonts w:ascii="Courier New" w:cs="Courier New" w:eastAsia="Courier New" w:hAnsi="Courier New"/>
                <w:sz w:val="17"/>
                <w:szCs w:val="17"/>
                <w:color w:val="auto"/>
                <w:w w:val="99"/>
              </w:rPr>
              <w:t>Other assets</w:t>
            </w:r>
          </w:p>
        </w:tc>
      </w:tr>
      <w:tr>
        <w:trPr>
          <w:trHeight w:val="198"/>
        </w:trPr>
        <w:tc>
          <w:tcPr>
            <w:tcW w:w="1340" w:type="dxa"/>
            <w:vAlign w:val="bottom"/>
            <w:gridSpan w:val="3"/>
          </w:tcPr>
          <w:p>
            <w:pPr>
              <w:jc w:val="center"/>
              <w:spacing w:after="0"/>
              <w:rPr>
                <w:sz w:val="20"/>
                <w:szCs w:val="20"/>
                <w:color w:val="auto"/>
              </w:rPr>
            </w:pPr>
            <w:r>
              <w:rPr>
                <w:rFonts w:ascii="Courier New" w:cs="Courier New" w:eastAsia="Courier New" w:hAnsi="Courier New"/>
                <w:sz w:val="17"/>
                <w:szCs w:val="17"/>
                <w:color w:val="auto"/>
                <w:w w:val="99"/>
              </w:rPr>
              <w:t>(3.9) 13.3</w:t>
            </w:r>
          </w:p>
        </w:tc>
      </w:tr>
      <w:tr>
        <w:trPr>
          <w:trHeight w:val="198"/>
        </w:trPr>
        <w:tc>
          <w:tcPr>
            <w:tcW w:w="740" w:type="dxa"/>
            <w:vAlign w:val="bottom"/>
            <w:gridSpan w:val="2"/>
          </w:tcPr>
          <w:p>
            <w:pPr>
              <w:jc w:val="center"/>
              <w:ind w:left="94"/>
              <w:spacing w:after="0"/>
              <w:rPr>
                <w:sz w:val="20"/>
                <w:szCs w:val="20"/>
                <w:color w:val="auto"/>
              </w:rPr>
            </w:pPr>
            <w:r>
              <w:rPr>
                <w:rFonts w:ascii="Courier New" w:cs="Courier New" w:eastAsia="Courier New" w:hAnsi="Courier New"/>
                <w:sz w:val="17"/>
                <w:szCs w:val="17"/>
                <w:color w:val="auto"/>
              </w:rPr>
              <w:t>(3.3)</w:t>
            </w:r>
          </w:p>
        </w:tc>
        <w:tc>
          <w:tcPr>
            <w:tcW w:w="60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6.1</w:t>
            </w:r>
          </w:p>
        </w:tc>
      </w:tr>
      <w:tr>
        <w:trPr>
          <w:trHeight w:val="198"/>
        </w:trPr>
        <w:tc>
          <w:tcPr>
            <w:tcW w:w="1340" w:type="dxa"/>
            <w:vAlign w:val="bottom"/>
            <w:gridSpan w:val="3"/>
          </w:tcPr>
          <w:p>
            <w:pPr>
              <w:jc w:val="center"/>
              <w:spacing w:after="0"/>
              <w:rPr>
                <w:sz w:val="20"/>
                <w:szCs w:val="20"/>
                <w:color w:val="auto"/>
              </w:rPr>
            </w:pPr>
            <w:r>
              <w:rPr>
                <w:rFonts w:ascii="Courier New" w:cs="Courier New" w:eastAsia="Courier New" w:hAnsi="Courier New"/>
                <w:sz w:val="17"/>
                <w:szCs w:val="17"/>
                <w:color w:val="auto"/>
                <w:w w:val="97"/>
              </w:rPr>
              <w:t>Other</w:t>
            </w:r>
          </w:p>
        </w:tc>
      </w:tr>
      <w:tr>
        <w:trPr>
          <w:trHeight w:val="198"/>
        </w:trPr>
        <w:tc>
          <w:tcPr>
            <w:tcW w:w="134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liabilities</w:t>
            </w:r>
          </w:p>
        </w:tc>
      </w:tr>
      <w:tr>
        <w:trPr>
          <w:trHeight w:val="198"/>
        </w:trPr>
        <w:tc>
          <w:tcPr>
            <w:tcW w:w="540" w:type="dxa"/>
            <w:vAlign w:val="bottom"/>
          </w:tcPr>
          <w:p>
            <w:pPr>
              <w:jc w:val="center"/>
              <w:spacing w:after="0"/>
              <w:rPr>
                <w:sz w:val="20"/>
                <w:szCs w:val="20"/>
                <w:color w:val="auto"/>
              </w:rPr>
            </w:pPr>
            <w:r>
              <w:rPr>
                <w:rFonts w:ascii="Courier New" w:cs="Courier New" w:eastAsia="Courier New" w:hAnsi="Courier New"/>
                <w:sz w:val="17"/>
                <w:szCs w:val="17"/>
                <w:color w:val="auto"/>
                <w:w w:val="97"/>
              </w:rPr>
              <w:t>1.6</w:t>
            </w:r>
          </w:p>
        </w:tc>
        <w:tc>
          <w:tcPr>
            <w:tcW w:w="80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(10.8)</w:t>
            </w:r>
          </w:p>
        </w:tc>
      </w:tr>
      <w:tr>
        <w:trPr>
          <w:trHeight w:val="198"/>
        </w:trPr>
        <w:tc>
          <w:tcPr>
            <w:tcW w:w="740" w:type="dxa"/>
            <w:vAlign w:val="bottom"/>
            <w:gridSpan w:val="2"/>
          </w:tcPr>
          <w:p>
            <w:pPr>
              <w:jc w:val="center"/>
              <w:ind w:left="114"/>
              <w:spacing w:after="0"/>
              <w:rPr>
                <w:sz w:val="20"/>
                <w:szCs w:val="20"/>
                <w:color w:val="auto"/>
              </w:rPr>
            </w:pPr>
            <w:r>
              <w:rPr>
                <w:rFonts w:ascii="Courier New" w:cs="Courier New" w:eastAsia="Courier New" w:hAnsi="Courier New"/>
                <w:sz w:val="17"/>
                <w:szCs w:val="17"/>
                <w:color w:val="auto"/>
              </w:rPr>
              <w:t>16.8</w:t>
            </w:r>
          </w:p>
        </w:tc>
        <w:tc>
          <w:tcPr>
            <w:tcW w:w="6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7.6</w:t>
            </w:r>
          </w:p>
        </w:tc>
      </w:tr>
      <w:tr>
        <w:trPr>
          <w:trHeight w:val="198"/>
        </w:trPr>
        <w:tc>
          <w:tcPr>
            <w:tcW w:w="1340" w:type="dxa"/>
            <w:vAlign w:val="bottom"/>
            <w:gridSpan w:val="3"/>
          </w:tcPr>
          <w:p>
            <w:pPr>
              <w:jc w:val="center"/>
              <w:spacing w:after="0"/>
              <w:rPr>
                <w:sz w:val="20"/>
                <w:szCs w:val="20"/>
                <w:color w:val="auto"/>
              </w:rPr>
            </w:pPr>
            <w:r>
              <w:rPr>
                <w:rFonts w:ascii="Courier New" w:cs="Courier New" w:eastAsia="Courier New" w:hAnsi="Courier New"/>
                <w:sz w:val="17"/>
                <w:szCs w:val="17"/>
                <w:color w:val="auto"/>
                <w:w w:val="99"/>
              </w:rPr>
              <w:t>Other, net</w:t>
            </w:r>
          </w:p>
        </w:tc>
      </w:tr>
      <w:tr>
        <w:trPr>
          <w:trHeight w:val="198"/>
        </w:trPr>
        <w:tc>
          <w:tcPr>
            <w:tcW w:w="740" w:type="dxa"/>
            <w:vAlign w:val="bottom"/>
            <w:gridSpan w:val="2"/>
          </w:tcPr>
          <w:p>
            <w:pPr>
              <w:jc w:val="center"/>
              <w:ind w:left="114"/>
              <w:spacing w:after="0"/>
              <w:rPr>
                <w:sz w:val="20"/>
                <w:szCs w:val="20"/>
                <w:color w:val="auto"/>
              </w:rPr>
            </w:pPr>
            <w:r>
              <w:rPr>
                <w:rFonts w:ascii="Courier New" w:cs="Courier New" w:eastAsia="Courier New" w:hAnsi="Courier New"/>
                <w:sz w:val="17"/>
                <w:szCs w:val="17"/>
                <w:color w:val="auto"/>
              </w:rPr>
              <w:t>10.4</w:t>
            </w:r>
          </w:p>
        </w:tc>
        <w:tc>
          <w:tcPr>
            <w:tcW w:w="6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0.4</w:t>
            </w:r>
          </w:p>
        </w:tc>
      </w:tr>
    </w:tbl>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(6.2) 4.6 --</w:t>
      </w:r>
    </w:p>
    <w:p>
      <w:pPr>
        <w:spacing w:after="0" w:line="5" w:lineRule="exact"/>
        <w:rPr>
          <w:sz w:val="20"/>
          <w:szCs w:val="20"/>
          <w:color w:val="auto"/>
        </w:rPr>
      </w:pPr>
    </w:p>
    <w:p>
      <w:pPr>
        <w:ind w:left="460" w:hanging="406"/>
        <w:spacing w:after="0"/>
        <w:tabs>
          <w:tab w:leader="none" w:pos="460" w:val="left"/>
        </w:tabs>
        <w:numPr>
          <w:ilvl w:val="0"/>
          <w:numId w:val="1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20" w:hanging="514"/>
        <w:spacing w:after="0"/>
        <w:tabs>
          <w:tab w:leader="none" w:pos="620" w:val="left"/>
        </w:tabs>
        <w:numPr>
          <w:ilvl w:val="1"/>
          <w:numId w:val="1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jc w:val="both"/>
        <w:ind w:left="160" w:right="8979" w:hanging="52"/>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Net cash (used</w:t>
      </w:r>
    </w:p>
    <w:p>
      <w:pPr>
        <w:spacing w:after="0" w:line="1"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in) provided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by operating</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activities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(7.8) 44.7</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28.8 65.7 --</w:t>
      </w:r>
    </w:p>
    <w:p>
      <w:pPr>
        <w:spacing w:after="0" w:line="5" w:lineRule="exact"/>
        <w:rPr>
          <w:sz w:val="20"/>
          <w:szCs w:val="20"/>
          <w:color w:val="auto"/>
        </w:rPr>
      </w:pPr>
    </w:p>
    <w:p>
      <w:pPr>
        <w:ind w:left="460" w:hanging="406"/>
        <w:spacing w:after="0"/>
        <w:tabs>
          <w:tab w:leader="none" w:pos="460" w:val="left"/>
        </w:tabs>
        <w:numPr>
          <w:ilvl w:val="0"/>
          <w:numId w:val="1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20" w:hanging="514"/>
        <w:spacing w:after="0"/>
        <w:tabs>
          <w:tab w:leader="none" w:pos="620" w:val="left"/>
        </w:tabs>
        <w:numPr>
          <w:ilvl w:val="1"/>
          <w:numId w:val="1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CASH</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FLOWS FROM</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INVESTING</w:t>
      </w:r>
    </w:p>
    <w:p>
      <w:pPr>
        <w:spacing w:after="0" w:line="5" w:lineRule="exact"/>
        <w:rPr>
          <w:rFonts w:ascii="Courier New" w:cs="Courier New" w:eastAsia="Courier New" w:hAnsi="Courier New"/>
          <w:sz w:val="17"/>
          <w:szCs w:val="17"/>
          <w:color w:val="auto"/>
        </w:rPr>
      </w:pPr>
    </w:p>
    <w:p>
      <w:pPr>
        <w:jc w:val="center"/>
        <w:ind w:left="60" w:right="8939" w:firstLine="103"/>
        <w:spacing w:after="0" w:line="262"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ACTIVITIES Investment in property, plant and equipment (41.8) (13.9) (7.7) (63.4) Proceeds from sale of equipment Investments in acquired businesses, net of cash acquired (13.5)</w:t>
      </w:r>
    </w:p>
    <w:p>
      <w:pPr>
        <w:spacing w:after="0" w:line="1"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(13.0)</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(26.5)</w:t>
      </w:r>
    </w:p>
    <w:p>
      <w:pPr>
        <w:spacing w:after="0" w:line="5" w:lineRule="exact"/>
        <w:rPr>
          <w:rFonts w:ascii="Courier New" w:cs="Courier New" w:eastAsia="Courier New" w:hAnsi="Courier New"/>
          <w:sz w:val="17"/>
          <w:szCs w:val="17"/>
          <w:color w:val="auto"/>
        </w:rPr>
      </w:pPr>
    </w:p>
    <w:p>
      <w:pPr>
        <w:jc w:val="both"/>
        <w:ind w:left="60" w:right="8939"/>
        <w:spacing w:after="0" w:line="262"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Repayment of seller notes (1.2) (9.9) (11.1) -----</w:t>
      </w: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Net cash</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used in</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investing</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activities</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(41.8)</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(28.6)</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(30.6)</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(101.0)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spacing w:after="0" w:line="5" w:lineRule="exact"/>
        <w:rPr>
          <w:rFonts w:ascii="Courier New" w:cs="Courier New" w:eastAsia="Courier New" w:hAnsi="Courier New"/>
          <w:sz w:val="17"/>
          <w:szCs w:val="17"/>
          <w:color w:val="auto"/>
        </w:rPr>
      </w:pPr>
    </w:p>
    <w:p>
      <w:pPr>
        <w:jc w:val="both"/>
        <w:ind w:left="160" w:right="9039" w:hanging="3"/>
        <w:spacing w:after="0" w:line="262" w:lineRule="auto"/>
        <w:tabs>
          <w:tab w:leader="none" w:pos="778" w:val="left"/>
        </w:tabs>
        <w:numPr>
          <w:ilvl w:val="2"/>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FLOWS FROM FINANCING ACTIVITIES</w:t>
      </w:r>
    </w:p>
    <w:p>
      <w:pPr>
        <w:ind w:left="5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Net</w:t>
      </w:r>
    </w:p>
    <w:p>
      <w:pPr>
        <w:spacing w:after="0" w:line="5" w:lineRule="exact"/>
        <w:rPr>
          <w:rFonts w:ascii="Courier New" w:cs="Courier New" w:eastAsia="Courier New" w:hAnsi="Courier New"/>
          <w:sz w:val="16"/>
          <w:szCs w:val="16"/>
          <w:color w:val="auto"/>
        </w:rPr>
      </w:pPr>
    </w:p>
    <w:p>
      <w:pPr>
        <w:ind w:left="1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borrowings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(repayments)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under</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revolving</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and bank</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lines of</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credit 2.2</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2.2 4.4 Cash</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received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from</w:t>
      </w:r>
    </w:p>
    <w:p>
      <w:pPr>
        <w:sectPr>
          <w:pgSz w:w="11900" w:h="16838" w:orient="portrait"/>
          <w:cols w:equalWidth="0" w:num="1">
            <w:col w:w="10219"/>
          </w:cols>
          <w:pgMar w:left="240" w:top="142" w:right="1440" w:bottom="0" w:gutter="0" w:footer="0" w:header="0"/>
        </w:sectPr>
      </w:pPr>
    </w:p>
    <w:bookmarkStart w:id="130" w:name="page131"/>
    <w:bookmarkEnd w:id="130"/>
    <w:p>
      <w:pPr>
        <w:jc w:val="center"/>
        <w:ind w:right="8934"/>
        <w:spacing w:after="0"/>
        <w:rPr>
          <w:sz w:val="20"/>
          <w:szCs w:val="20"/>
          <w:color w:val="auto"/>
        </w:rPr>
      </w:pPr>
      <w:r>
        <w:rPr>
          <w:rFonts w:ascii="Courier New" w:cs="Courier New" w:eastAsia="Courier New" w:hAnsi="Courier New"/>
          <w:sz w:val="17"/>
          <w:szCs w:val="17"/>
          <w:color w:val="auto"/>
        </w:rPr>
        <w:t>exercise of</w:t>
      </w:r>
    </w:p>
    <w:p>
      <w:pPr>
        <w:spacing w:after="0" w:line="5" w:lineRule="exact"/>
        <w:rPr>
          <w:sz w:val="20"/>
          <w:szCs w:val="20"/>
          <w:color w:val="auto"/>
        </w:rPr>
      </w:pPr>
    </w:p>
    <w:p>
      <w:pPr>
        <w:jc w:val="center"/>
        <w:ind w:right="8914"/>
        <w:spacing w:after="0"/>
        <w:rPr>
          <w:sz w:val="20"/>
          <w:szCs w:val="20"/>
          <w:color w:val="auto"/>
        </w:rPr>
      </w:pPr>
      <w:r>
        <w:rPr>
          <w:rFonts w:ascii="Courier New" w:cs="Courier New" w:eastAsia="Courier New" w:hAnsi="Courier New"/>
          <w:sz w:val="17"/>
          <w:szCs w:val="17"/>
          <w:color w:val="auto"/>
        </w:rPr>
        <w:t>stock</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6"/>
          <w:szCs w:val="16"/>
          <w:color w:val="auto"/>
        </w:rPr>
        <w:t>options 17.0</w:t>
      </w:r>
    </w:p>
    <w:p>
      <w:pPr>
        <w:spacing w:after="0" w:line="17"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17.0</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6"/>
          <w:szCs w:val="16"/>
          <w:color w:val="auto"/>
        </w:rPr>
        <w:t>Intercompany</w:t>
      </w:r>
    </w:p>
    <w:p>
      <w:pPr>
        <w:spacing w:after="0" w:line="17"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financing</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17.8 (14.9)</w:t>
      </w:r>
    </w:p>
    <w:p>
      <w:pPr>
        <w:spacing w:after="0" w:line="5" w:lineRule="exact"/>
        <w:rPr>
          <w:sz w:val="20"/>
          <w:szCs w:val="20"/>
          <w:color w:val="auto"/>
        </w:rPr>
      </w:pPr>
    </w:p>
    <w:p>
      <w:pPr>
        <w:ind w:left="46"/>
        <w:spacing w:after="0"/>
        <w:rPr>
          <w:sz w:val="20"/>
          <w:szCs w:val="20"/>
          <w:color w:val="auto"/>
        </w:rPr>
      </w:pPr>
      <w:r>
        <w:rPr>
          <w:rFonts w:ascii="Courier New" w:cs="Courier New" w:eastAsia="Courier New" w:hAnsi="Courier New"/>
          <w:sz w:val="17"/>
          <w:szCs w:val="17"/>
          <w:color w:val="auto"/>
        </w:rPr>
        <w:t>(2.9) -----</w:t>
      </w:r>
    </w:p>
    <w:p>
      <w:pPr>
        <w:spacing w:after="0" w:line="5" w:lineRule="exact"/>
        <w:rPr>
          <w:sz w:val="20"/>
          <w:szCs w:val="20"/>
          <w:color w:val="auto"/>
        </w:rPr>
      </w:pPr>
    </w:p>
    <w:p>
      <w:pPr>
        <w:ind w:left="626" w:hanging="626"/>
        <w:spacing w:after="0"/>
        <w:tabs>
          <w:tab w:leader="none" w:pos="626" w:val="left"/>
        </w:tabs>
        <w:numPr>
          <w:ilvl w:val="0"/>
          <w:numId w:val="1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jc w:val="center"/>
        <w:ind w:left="6" w:right="8939" w:firstLine="52"/>
        <w:spacing w:after="0" w:line="262"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 Net cash provided by (used in) financing activities 37.0 (14.9) (0.7) 21.4 Effect of exchange rate changes on cash (0.4) (0.4)</w:t>
      </w:r>
    </w:p>
    <w:p>
      <w:pPr>
        <w:spacing w:after="0" w:line="1" w:lineRule="exact"/>
        <w:rPr>
          <w:rFonts w:ascii="Courier New" w:cs="Courier New" w:eastAsia="Courier New" w:hAnsi="Courier New"/>
          <w:sz w:val="17"/>
          <w:szCs w:val="17"/>
          <w:color w:val="auto"/>
        </w:rPr>
      </w:pPr>
    </w:p>
    <w:p>
      <w:pPr>
        <w:ind w:left="666" w:hanging="614"/>
        <w:spacing w:after="0"/>
        <w:tabs>
          <w:tab w:leader="none" w:pos="666" w:val="left"/>
        </w:tabs>
        <w:numPr>
          <w:ilvl w:val="1"/>
          <w:numId w:val="1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14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Net increase</w:t>
      </w:r>
    </w:p>
    <w:p>
      <w:pPr>
        <w:spacing w:after="0" w:line="5" w:lineRule="exact"/>
        <w:rPr>
          <w:rFonts w:ascii="Courier New" w:cs="Courier New" w:eastAsia="Courier New" w:hAnsi="Courier New"/>
          <w:sz w:val="17"/>
          <w:szCs w:val="17"/>
          <w:color w:val="auto"/>
        </w:rPr>
      </w:pPr>
    </w:p>
    <w:p>
      <w:pPr>
        <w:ind w:left="10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(decrease)</w:t>
      </w:r>
    </w:p>
    <w:p>
      <w:pPr>
        <w:spacing w:after="0" w:line="5" w:lineRule="exact"/>
        <w:rPr>
          <w:rFonts w:ascii="Courier New" w:cs="Courier New" w:eastAsia="Courier New" w:hAnsi="Courier New"/>
          <w:sz w:val="17"/>
          <w:szCs w:val="17"/>
          <w:color w:val="auto"/>
        </w:rPr>
      </w:pPr>
    </w:p>
    <w:p>
      <w:pPr>
        <w:ind w:left="26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 cash</w:t>
      </w:r>
    </w:p>
    <w:p>
      <w:pPr>
        <w:spacing w:after="0" w:line="5" w:lineRule="exact"/>
        <w:rPr>
          <w:rFonts w:ascii="Courier New" w:cs="Courier New" w:eastAsia="Courier New" w:hAnsi="Courier New"/>
          <w:sz w:val="17"/>
          <w:szCs w:val="17"/>
          <w:color w:val="auto"/>
        </w:rPr>
      </w:pPr>
    </w:p>
    <w:p>
      <w:pPr>
        <w:ind w:left="10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(12.6) 1.2</w:t>
      </w:r>
    </w:p>
    <w:p>
      <w:pPr>
        <w:spacing w:after="0" w:line="5" w:lineRule="exact"/>
        <w:rPr>
          <w:rFonts w:ascii="Courier New" w:cs="Courier New" w:eastAsia="Courier New" w:hAnsi="Courier New"/>
          <w:sz w:val="17"/>
          <w:szCs w:val="17"/>
          <w:color w:val="auto"/>
        </w:rPr>
      </w:pPr>
    </w:p>
    <w:p>
      <w:pPr>
        <w:ind w:left="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(2.9) (14.3)</w:t>
      </w:r>
    </w:p>
    <w:p>
      <w:pPr>
        <w:spacing w:after="0" w:line="5" w:lineRule="exact"/>
        <w:rPr>
          <w:rFonts w:ascii="Courier New" w:cs="Courier New" w:eastAsia="Courier New" w:hAnsi="Courier New"/>
          <w:sz w:val="17"/>
          <w:szCs w:val="17"/>
          <w:color w:val="auto"/>
        </w:rPr>
      </w:pPr>
    </w:p>
    <w:p>
      <w:pPr>
        <w:ind w:left="20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Cash and</w:t>
      </w:r>
    </w:p>
    <w:p>
      <w:pPr>
        <w:spacing w:after="0" w:line="5" w:lineRule="exact"/>
        <w:rPr>
          <w:rFonts w:ascii="Courier New" w:cs="Courier New" w:eastAsia="Courier New" w:hAnsi="Courier New"/>
          <w:sz w:val="17"/>
          <w:szCs w:val="17"/>
          <w:color w:val="auto"/>
        </w:rPr>
      </w:pPr>
    </w:p>
    <w:p>
      <w:pPr>
        <w:ind w:left="40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cash</w:t>
      </w:r>
    </w:p>
    <w:p>
      <w:pPr>
        <w:spacing w:after="0" w:line="5" w:lineRule="exact"/>
        <w:rPr>
          <w:rFonts w:ascii="Courier New" w:cs="Courier New" w:eastAsia="Courier New" w:hAnsi="Courier New"/>
          <w:sz w:val="17"/>
          <w:szCs w:val="17"/>
          <w:color w:val="auto"/>
        </w:rPr>
      </w:pPr>
    </w:p>
    <w:p>
      <w:pPr>
        <w:jc w:val="center"/>
        <w:ind w:left="6" w:right="8939"/>
        <w:spacing w:after="0" w:line="262"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equivalents, beginning of period 16.0 (0.6) 17.6 33.0 ----- -</w:t>
      </w:r>
    </w:p>
    <w:p>
      <w:pPr>
        <w:ind w:left="4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4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Cash and</w:t>
      </w:r>
    </w:p>
    <w:p>
      <w:pPr>
        <w:spacing w:after="0" w:line="5" w:lineRule="exact"/>
        <w:rPr>
          <w:rFonts w:ascii="Courier New" w:cs="Courier New" w:eastAsia="Courier New" w:hAnsi="Courier New"/>
          <w:sz w:val="17"/>
          <w:szCs w:val="17"/>
          <w:color w:val="auto"/>
        </w:rPr>
      </w:pPr>
    </w:p>
    <w:p>
      <w:pPr>
        <w:ind w:left="40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cash</w:t>
      </w:r>
    </w:p>
    <w:p>
      <w:pPr>
        <w:spacing w:after="0" w:line="5" w:lineRule="exact"/>
        <w:rPr>
          <w:rFonts w:ascii="Courier New" w:cs="Courier New" w:eastAsia="Courier New" w:hAnsi="Courier New"/>
          <w:sz w:val="17"/>
          <w:szCs w:val="17"/>
          <w:color w:val="auto"/>
        </w:rPr>
      </w:pPr>
    </w:p>
    <w:p>
      <w:pPr>
        <w:ind w:left="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equivalents,</w:t>
      </w:r>
    </w:p>
    <w:p>
      <w:pPr>
        <w:spacing w:after="0" w:line="5" w:lineRule="exact"/>
        <w:rPr>
          <w:rFonts w:ascii="Courier New" w:cs="Courier New" w:eastAsia="Courier New" w:hAnsi="Courier New"/>
          <w:sz w:val="17"/>
          <w:szCs w:val="17"/>
          <w:color w:val="auto"/>
        </w:rPr>
      </w:pPr>
    </w:p>
    <w:p>
      <w:pPr>
        <w:ind w:left="30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end of</w:t>
      </w:r>
    </w:p>
    <w:p>
      <w:pPr>
        <w:spacing w:after="0" w:line="5" w:lineRule="exact"/>
        <w:rPr>
          <w:rFonts w:ascii="Courier New" w:cs="Courier New" w:eastAsia="Courier New" w:hAnsi="Courier New"/>
          <w:sz w:val="17"/>
          <w:szCs w:val="17"/>
          <w:color w:val="auto"/>
        </w:rPr>
      </w:pPr>
    </w:p>
    <w:p>
      <w:pPr>
        <w:jc w:val="both"/>
        <w:ind w:left="6" w:right="8939"/>
        <w:spacing w:after="0" w:line="262"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period $ 3.4 $ 0.6 $ 14.7 $ 0.0 $ 18.7</w:t>
      </w:r>
    </w:p>
    <w:p>
      <w:pPr>
        <w:ind w:left="4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30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30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6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left="3866"/>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ind w:left="3966"/>
        <w:spacing w:after="0"/>
        <w:rPr>
          <w:sz w:val="20"/>
          <w:szCs w:val="20"/>
          <w:color w:val="auto"/>
        </w:rPr>
      </w:pPr>
      <w:r>
        <w:rPr>
          <w:rFonts w:ascii="Courier New" w:cs="Courier New" w:eastAsia="Courier New" w:hAnsi="Courier New"/>
          <w:sz w:val="17"/>
          <w:szCs w:val="17"/>
          <w:color w:val="auto"/>
        </w:rPr>
        <w:t>77</w:t>
      </w:r>
    </w:p>
    <w:p>
      <w:pPr>
        <w:sectPr>
          <w:pgSz w:w="11900" w:h="16838" w:orient="portrait"/>
          <w:cols w:equalWidth="0" w:num="1">
            <w:col w:w="10165"/>
          </w:cols>
          <w:pgMar w:left="294" w:top="142" w:right="1440" w:bottom="1440" w:gutter="0" w:footer="0" w:header="0"/>
        </w:sectPr>
      </w:pPr>
    </w:p>
    <w:bookmarkStart w:id="131" w:name="page132"/>
    <w:bookmarkEnd w:id="131"/>
    <w:p>
      <w:pPr>
        <w:ind w:left="3146"/>
        <w:spacing w:after="0"/>
        <w:rPr>
          <w:sz w:val="20"/>
          <w:szCs w:val="20"/>
          <w:color w:val="auto"/>
        </w:rPr>
      </w:pPr>
      <w:r>
        <w:rPr>
          <w:rFonts w:ascii="Courier New" w:cs="Courier New" w:eastAsia="Courier New" w:hAnsi="Courier New"/>
          <w:sz w:val="17"/>
          <w:szCs w:val="17"/>
          <w:color w:val="auto"/>
        </w:rPr>
        <w:t>THE SCOTTS COMPANY</w:t>
      </w:r>
    </w:p>
    <w:p>
      <w:pPr>
        <w:spacing w:after="0" w:line="5" w:lineRule="exact"/>
        <w:rPr>
          <w:sz w:val="20"/>
          <w:szCs w:val="20"/>
          <w:color w:val="auto"/>
        </w:rPr>
      </w:pPr>
    </w:p>
    <w:p>
      <w:pPr>
        <w:ind w:left="3346"/>
        <w:spacing w:after="0"/>
        <w:rPr>
          <w:sz w:val="20"/>
          <w:szCs w:val="20"/>
          <w:color w:val="auto"/>
        </w:rPr>
      </w:pPr>
      <w:r>
        <w:rPr>
          <w:rFonts w:ascii="Courier New" w:cs="Courier New" w:eastAsia="Courier New" w:hAnsi="Courier New"/>
          <w:sz w:val="17"/>
          <w:szCs w:val="17"/>
          <w:color w:val="auto"/>
        </w:rPr>
        <w:t>BALANCE SHEET</w:t>
      </w:r>
    </w:p>
    <w:p>
      <w:pPr>
        <w:spacing w:after="0" w:line="5" w:lineRule="exact"/>
        <w:rPr>
          <w:sz w:val="20"/>
          <w:szCs w:val="20"/>
          <w:color w:val="auto"/>
        </w:rPr>
      </w:pPr>
    </w:p>
    <w:p>
      <w:pPr>
        <w:ind w:left="2826"/>
        <w:spacing w:after="0"/>
        <w:rPr>
          <w:sz w:val="20"/>
          <w:szCs w:val="20"/>
          <w:color w:val="auto"/>
        </w:rPr>
      </w:pPr>
      <w:r>
        <w:rPr>
          <w:rFonts w:ascii="Courier New" w:cs="Courier New" w:eastAsia="Courier New" w:hAnsi="Courier New"/>
          <w:sz w:val="17"/>
          <w:szCs w:val="17"/>
          <w:color w:val="auto"/>
        </w:rPr>
        <w:t>AS OF SEPTEMBER 30, 2001</w:t>
      </w:r>
    </w:p>
    <w:p>
      <w:pPr>
        <w:spacing w:after="0" w:line="5" w:lineRule="exact"/>
        <w:rPr>
          <w:sz w:val="20"/>
          <w:szCs w:val="20"/>
          <w:color w:val="auto"/>
        </w:rPr>
      </w:pPr>
    </w:p>
    <w:p>
      <w:pPr>
        <w:jc w:val="right"/>
        <w:ind w:right="3939"/>
        <w:spacing w:after="0"/>
        <w:rPr>
          <w:sz w:val="20"/>
          <w:szCs w:val="20"/>
          <w:color w:val="auto"/>
        </w:rPr>
      </w:pPr>
      <w:r>
        <w:rPr>
          <w:rFonts w:ascii="Courier New" w:cs="Courier New" w:eastAsia="Courier New" w:hAnsi="Courier New"/>
          <w:sz w:val="17"/>
          <w:szCs w:val="17"/>
          <w:color w:val="auto"/>
        </w:rPr>
        <w:t>(IN MILLIONS, EXCEPT PER SHARE INFORMATION)</w:t>
      </w:r>
    </w:p>
    <w:p>
      <w:pPr>
        <w:spacing w:after="0" w:line="203" w:lineRule="exact"/>
        <w:rPr>
          <w:sz w:val="20"/>
          <w:szCs w:val="20"/>
          <w:color w:val="auto"/>
        </w:rPr>
      </w:pPr>
    </w:p>
    <w:p>
      <w:pPr>
        <w:jc w:val="center"/>
        <w:ind w:right="8933"/>
        <w:spacing w:after="0"/>
        <w:rPr>
          <w:sz w:val="20"/>
          <w:szCs w:val="20"/>
          <w:color w:val="auto"/>
        </w:rPr>
      </w:pPr>
      <w:r>
        <w:rPr>
          <w:rFonts w:ascii="Courier New" w:cs="Courier New" w:eastAsia="Courier New" w:hAnsi="Courier New"/>
          <w:sz w:val="17"/>
          <w:szCs w:val="17"/>
          <w:color w:val="auto"/>
        </w:rPr>
        <w:t>Subsidiary</w:t>
      </w:r>
    </w:p>
    <w:p>
      <w:pPr>
        <w:spacing w:after="0" w:line="5" w:lineRule="exact"/>
        <w:rPr>
          <w:sz w:val="20"/>
          <w:szCs w:val="20"/>
          <w:color w:val="auto"/>
        </w:rPr>
      </w:pPr>
    </w:p>
    <w:p>
      <w:pPr>
        <w:jc w:val="center"/>
        <w:ind w:right="8933"/>
        <w:spacing w:after="0"/>
        <w:rPr>
          <w:sz w:val="20"/>
          <w:szCs w:val="20"/>
          <w:color w:val="auto"/>
        </w:rPr>
      </w:pPr>
      <w:r>
        <w:rPr>
          <w:rFonts w:ascii="Courier New" w:cs="Courier New" w:eastAsia="Courier New" w:hAnsi="Courier New"/>
          <w:sz w:val="17"/>
          <w:szCs w:val="17"/>
          <w:color w:val="auto"/>
        </w:rPr>
        <w:t>Non- Parent</w:t>
      </w:r>
    </w:p>
    <w:p>
      <w:pPr>
        <w:spacing w:after="0" w:line="5" w:lineRule="exact"/>
        <w:rPr>
          <w:sz w:val="20"/>
          <w:szCs w:val="20"/>
          <w:color w:val="auto"/>
        </w:rPr>
      </w:pPr>
    </w:p>
    <w:p>
      <w:pPr>
        <w:jc w:val="center"/>
        <w:ind w:right="8933"/>
        <w:spacing w:after="0"/>
        <w:rPr>
          <w:sz w:val="20"/>
          <w:szCs w:val="20"/>
          <w:color w:val="auto"/>
        </w:rPr>
      </w:pPr>
      <w:r>
        <w:rPr>
          <w:rFonts w:ascii="Courier New" w:cs="Courier New" w:eastAsia="Courier New" w:hAnsi="Courier New"/>
          <w:sz w:val="17"/>
          <w:szCs w:val="17"/>
          <w:color w:val="auto"/>
        </w:rPr>
        <w:t>Guarantors</w:t>
      </w:r>
    </w:p>
    <w:p>
      <w:pPr>
        <w:spacing w:after="0" w:line="5" w:lineRule="exact"/>
        <w:rPr>
          <w:sz w:val="20"/>
          <w:szCs w:val="20"/>
          <w:color w:val="auto"/>
        </w:rPr>
      </w:pPr>
    </w:p>
    <w:p>
      <w:pPr>
        <w:jc w:val="center"/>
        <w:ind w:right="8933"/>
        <w:spacing w:after="0"/>
        <w:rPr>
          <w:sz w:val="20"/>
          <w:szCs w:val="20"/>
          <w:color w:val="auto"/>
        </w:rPr>
      </w:pPr>
      <w:r>
        <w:rPr>
          <w:rFonts w:ascii="Courier New" w:cs="Courier New" w:eastAsia="Courier New" w:hAnsi="Courier New"/>
          <w:sz w:val="17"/>
          <w:szCs w:val="17"/>
          <w:color w:val="auto"/>
        </w:rPr>
        <w:t>Guarantors</w:t>
      </w:r>
    </w:p>
    <w:p>
      <w:pPr>
        <w:spacing w:after="0" w:line="5" w:lineRule="exact"/>
        <w:rPr>
          <w:sz w:val="20"/>
          <w:szCs w:val="20"/>
          <w:color w:val="auto"/>
        </w:rPr>
      </w:pPr>
    </w:p>
    <w:p>
      <w:pPr>
        <w:jc w:val="center"/>
        <w:ind w:right="8933"/>
        <w:spacing w:after="0"/>
        <w:rPr>
          <w:sz w:val="20"/>
          <w:szCs w:val="20"/>
          <w:color w:val="auto"/>
        </w:rPr>
      </w:pPr>
      <w:r>
        <w:rPr>
          <w:rFonts w:ascii="Courier New" w:cs="Courier New" w:eastAsia="Courier New" w:hAnsi="Courier New"/>
          <w:sz w:val="16"/>
          <w:szCs w:val="16"/>
          <w:color w:val="auto"/>
        </w:rPr>
        <w:t>Eliminations</w:t>
      </w:r>
    </w:p>
    <w:p>
      <w:pPr>
        <w:spacing w:after="0" w:line="17" w:lineRule="exact"/>
        <w:rPr>
          <w:sz w:val="20"/>
          <w:szCs w:val="20"/>
          <w:color w:val="auto"/>
        </w:rPr>
      </w:pPr>
    </w:p>
    <w:p>
      <w:pPr>
        <w:jc w:val="center"/>
        <w:ind w:right="8933"/>
        <w:spacing w:after="0"/>
        <w:rPr>
          <w:sz w:val="20"/>
          <w:szCs w:val="20"/>
          <w:color w:val="auto"/>
        </w:rPr>
      </w:pPr>
      <w:r>
        <w:rPr>
          <w:rFonts w:ascii="Courier New" w:cs="Courier New" w:eastAsia="Courier New" w:hAnsi="Courier New"/>
          <w:sz w:val="16"/>
          <w:szCs w:val="16"/>
          <w:color w:val="auto"/>
        </w:rPr>
        <w:t>Consolidated</w:t>
      </w:r>
    </w:p>
    <w:p>
      <w:pPr>
        <w:spacing w:after="0" w:line="17" w:lineRule="exact"/>
        <w:rPr>
          <w:sz w:val="20"/>
          <w:szCs w:val="20"/>
          <w:color w:val="auto"/>
        </w:rPr>
      </w:pPr>
    </w:p>
    <w:p>
      <w:pPr>
        <w:ind w:left="206" w:hanging="206"/>
        <w:spacing w:after="0"/>
        <w:tabs>
          <w:tab w:leader="none" w:pos="206" w:val="left"/>
        </w:tabs>
        <w:numPr>
          <w:ilvl w:val="0"/>
          <w:numId w:val="1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4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30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ASSETS</w:t>
      </w:r>
    </w:p>
    <w:p>
      <w:pPr>
        <w:spacing w:after="0" w:line="5" w:lineRule="exact"/>
        <w:rPr>
          <w:rFonts w:ascii="Courier New" w:cs="Courier New" w:eastAsia="Courier New" w:hAnsi="Courier New"/>
          <w:sz w:val="17"/>
          <w:szCs w:val="17"/>
          <w:color w:val="auto"/>
        </w:rPr>
      </w:pPr>
    </w:p>
    <w:p>
      <w:pPr>
        <w:ind w:left="26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Current</w:t>
      </w:r>
    </w:p>
    <w:p>
      <w:pPr>
        <w:spacing w:after="0" w:line="5" w:lineRule="exact"/>
        <w:rPr>
          <w:rFonts w:ascii="Courier New" w:cs="Courier New" w:eastAsia="Courier New" w:hAnsi="Courier New"/>
          <w:sz w:val="17"/>
          <w:szCs w:val="17"/>
          <w:color w:val="auto"/>
        </w:rPr>
      </w:pPr>
    </w:p>
    <w:p>
      <w:pPr>
        <w:jc w:val="center"/>
        <w:ind w:left="6" w:right="8939"/>
        <w:spacing w:after="0" w:line="262"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Assets: Cash $ 3.4 $ 0.6 $ 14.7 $ $ 18.7 Accounts receivable, net 93.3 53.1 74.4 220.8 Inventories, net 236.8 54.0 77.6 368.4 Current deferred tax asset 52.2 0.5 (0.5) 52.2 Prepaid and other assets 16.7 2.6 14.8 34.1 -------</w:t>
      </w:r>
    </w:p>
    <w:p>
      <w:pPr>
        <w:spacing w:after="0" w:line="2" w:lineRule="exact"/>
        <w:rPr>
          <w:rFonts w:ascii="Courier New" w:cs="Courier New" w:eastAsia="Courier New" w:hAnsi="Courier New"/>
          <w:sz w:val="17"/>
          <w:szCs w:val="17"/>
          <w:color w:val="auto"/>
        </w:rPr>
      </w:pPr>
    </w:p>
    <w:p>
      <w:pPr>
        <w:ind w:left="206" w:hanging="206"/>
        <w:spacing w:after="0"/>
        <w:tabs>
          <w:tab w:leader="none" w:pos="206" w:val="left"/>
        </w:tabs>
        <w:numPr>
          <w:ilvl w:val="0"/>
          <w:numId w:val="1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306" w:hanging="203"/>
        <w:spacing w:after="0"/>
        <w:tabs>
          <w:tab w:leader="none" w:pos="306" w:val="left"/>
        </w:tabs>
        <w:numPr>
          <w:ilvl w:val="0"/>
          <w:numId w:val="1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36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Total</w:t>
      </w:r>
    </w:p>
    <w:p>
      <w:pPr>
        <w:spacing w:after="0" w:line="5" w:lineRule="exact"/>
        <w:rPr>
          <w:sz w:val="20"/>
          <w:szCs w:val="20"/>
          <w:color w:val="auto"/>
        </w:rPr>
      </w:pPr>
    </w:p>
    <w:p>
      <w:pPr>
        <w:jc w:val="center"/>
        <w:ind w:right="8913"/>
        <w:spacing w:after="0"/>
        <w:rPr>
          <w:sz w:val="20"/>
          <w:szCs w:val="20"/>
          <w:color w:val="auto"/>
        </w:rPr>
      </w:pPr>
      <w:r>
        <w:rPr>
          <w:rFonts w:ascii="Courier New" w:cs="Courier New" w:eastAsia="Courier New" w:hAnsi="Courier New"/>
          <w:sz w:val="17"/>
          <w:szCs w:val="17"/>
          <w:color w:val="auto"/>
        </w:rPr>
        <w:t>current</w:t>
      </w:r>
    </w:p>
    <w:p>
      <w:pPr>
        <w:spacing w:after="0" w:line="5" w:lineRule="exact"/>
        <w:rPr>
          <w:sz w:val="20"/>
          <w:szCs w:val="20"/>
          <w:color w:val="auto"/>
        </w:rPr>
      </w:pPr>
    </w:p>
    <w:p>
      <w:pPr>
        <w:jc w:val="center"/>
        <w:ind w:right="8913"/>
        <w:spacing w:after="0"/>
        <w:rPr>
          <w:sz w:val="20"/>
          <w:szCs w:val="20"/>
          <w:color w:val="auto"/>
        </w:rPr>
      </w:pPr>
      <w:r>
        <w:rPr>
          <w:rFonts w:ascii="Courier New" w:cs="Courier New" w:eastAsia="Courier New" w:hAnsi="Courier New"/>
          <w:sz w:val="17"/>
          <w:szCs w:val="17"/>
          <w:color w:val="auto"/>
        </w:rPr>
        <w:t>assets 402.4</w:t>
      </w:r>
    </w:p>
    <w:p>
      <w:pPr>
        <w:spacing w:after="0" w:line="5" w:lineRule="exact"/>
        <w:rPr>
          <w:sz w:val="20"/>
          <w:szCs w:val="20"/>
          <w:color w:val="auto"/>
        </w:rPr>
      </w:pPr>
    </w:p>
    <w:p>
      <w:pPr>
        <w:jc w:val="center"/>
        <w:ind w:right="8933"/>
        <w:spacing w:after="0"/>
        <w:rPr>
          <w:sz w:val="20"/>
          <w:szCs w:val="20"/>
          <w:color w:val="auto"/>
        </w:rPr>
      </w:pPr>
      <w:r>
        <w:rPr>
          <w:rFonts w:ascii="Courier New" w:cs="Courier New" w:eastAsia="Courier New" w:hAnsi="Courier New"/>
          <w:sz w:val="17"/>
          <w:szCs w:val="17"/>
          <w:color w:val="auto"/>
        </w:rPr>
        <w:t>110.8 181.0</w:t>
      </w:r>
    </w:p>
    <w:p>
      <w:pPr>
        <w:spacing w:after="0" w:line="5" w:lineRule="exact"/>
        <w:rPr>
          <w:sz w:val="20"/>
          <w:szCs w:val="20"/>
          <w:color w:val="auto"/>
        </w:rPr>
      </w:pPr>
    </w:p>
    <w:p>
      <w:pPr>
        <w:jc w:val="center"/>
        <w:ind w:right="8913"/>
        <w:spacing w:after="0"/>
        <w:rPr>
          <w:sz w:val="20"/>
          <w:szCs w:val="20"/>
          <w:color w:val="auto"/>
        </w:rPr>
      </w:pPr>
      <w:r>
        <w:rPr>
          <w:rFonts w:ascii="Courier New" w:cs="Courier New" w:eastAsia="Courier New" w:hAnsi="Courier New"/>
          <w:sz w:val="17"/>
          <w:szCs w:val="17"/>
          <w:color w:val="auto"/>
        </w:rPr>
        <w:t>694.2</w:t>
      </w:r>
    </w:p>
    <w:p>
      <w:pPr>
        <w:spacing w:after="0" w:line="5" w:lineRule="exact"/>
        <w:rPr>
          <w:sz w:val="20"/>
          <w:szCs w:val="20"/>
          <w:color w:val="auto"/>
        </w:rPr>
      </w:pPr>
    </w:p>
    <w:p>
      <w:pPr>
        <w:jc w:val="center"/>
        <w:ind w:right="8933"/>
        <w:spacing w:after="0"/>
        <w:rPr>
          <w:sz w:val="20"/>
          <w:szCs w:val="20"/>
          <w:color w:val="auto"/>
        </w:rPr>
      </w:pPr>
      <w:r>
        <w:rPr>
          <w:rFonts w:ascii="Courier New" w:cs="Courier New" w:eastAsia="Courier New" w:hAnsi="Courier New"/>
          <w:sz w:val="17"/>
          <w:szCs w:val="17"/>
          <w:color w:val="auto"/>
        </w:rPr>
        <w:t>Property,</w:t>
      </w:r>
    </w:p>
    <w:p>
      <w:pPr>
        <w:spacing w:after="0" w:line="5" w:lineRule="exact"/>
        <w:rPr>
          <w:sz w:val="20"/>
          <w:szCs w:val="20"/>
          <w:color w:val="auto"/>
        </w:rPr>
      </w:pPr>
    </w:p>
    <w:p>
      <w:pPr>
        <w:jc w:val="center"/>
        <w:ind w:right="8933"/>
        <w:spacing w:after="0"/>
        <w:rPr>
          <w:sz w:val="20"/>
          <w:szCs w:val="20"/>
          <w:color w:val="auto"/>
        </w:rPr>
      </w:pPr>
      <w:r>
        <w:rPr>
          <w:rFonts w:ascii="Courier New" w:cs="Courier New" w:eastAsia="Courier New" w:hAnsi="Courier New"/>
          <w:sz w:val="17"/>
          <w:szCs w:val="17"/>
          <w:color w:val="auto"/>
        </w:rPr>
        <w:t>plant and</w:t>
      </w:r>
    </w:p>
    <w:p>
      <w:pPr>
        <w:spacing w:after="0" w:line="5" w:lineRule="exact"/>
        <w:rPr>
          <w:sz w:val="20"/>
          <w:szCs w:val="20"/>
          <w:color w:val="auto"/>
        </w:rPr>
      </w:pPr>
    </w:p>
    <w:p>
      <w:pPr>
        <w:jc w:val="center"/>
        <w:ind w:right="8933"/>
        <w:spacing w:after="0"/>
        <w:rPr>
          <w:sz w:val="20"/>
          <w:szCs w:val="20"/>
          <w:color w:val="auto"/>
        </w:rPr>
      </w:pPr>
      <w:r>
        <w:rPr>
          <w:rFonts w:ascii="Courier New" w:cs="Courier New" w:eastAsia="Courier New" w:hAnsi="Courier New"/>
          <w:sz w:val="17"/>
          <w:szCs w:val="17"/>
          <w:color w:val="auto"/>
        </w:rPr>
        <w:t>equipment,</w:t>
      </w:r>
    </w:p>
    <w:p>
      <w:pPr>
        <w:spacing w:after="0" w:line="5" w:lineRule="exact"/>
        <w:rPr>
          <w:sz w:val="20"/>
          <w:szCs w:val="20"/>
          <w:color w:val="auto"/>
        </w:rPr>
      </w:pPr>
    </w:p>
    <w:p>
      <w:pPr>
        <w:jc w:val="center"/>
        <w:ind w:right="8933"/>
        <w:spacing w:after="0"/>
        <w:rPr>
          <w:sz w:val="20"/>
          <w:szCs w:val="20"/>
          <w:color w:val="auto"/>
        </w:rPr>
      </w:pPr>
      <w:r>
        <w:rPr>
          <w:rFonts w:ascii="Courier New" w:cs="Courier New" w:eastAsia="Courier New" w:hAnsi="Courier New"/>
          <w:sz w:val="17"/>
          <w:szCs w:val="17"/>
          <w:color w:val="auto"/>
        </w:rPr>
        <w:t>net 196.5</w:t>
      </w:r>
    </w:p>
    <w:p>
      <w:pPr>
        <w:spacing w:after="0" w:line="5" w:lineRule="exact"/>
        <w:rPr>
          <w:sz w:val="20"/>
          <w:szCs w:val="20"/>
          <w:color w:val="auto"/>
        </w:rPr>
      </w:pPr>
    </w:p>
    <w:p>
      <w:pPr>
        <w:jc w:val="center"/>
        <w:ind w:right="8933"/>
        <w:spacing w:after="0"/>
        <w:rPr>
          <w:sz w:val="20"/>
          <w:szCs w:val="20"/>
          <w:color w:val="auto"/>
        </w:rPr>
      </w:pPr>
      <w:r>
        <w:rPr>
          <w:rFonts w:ascii="Courier New" w:cs="Courier New" w:eastAsia="Courier New" w:hAnsi="Courier New"/>
          <w:sz w:val="17"/>
          <w:szCs w:val="17"/>
          <w:color w:val="auto"/>
        </w:rPr>
        <w:t>75.0 39.2</w:t>
      </w:r>
    </w:p>
    <w:p>
      <w:pPr>
        <w:spacing w:after="0" w:line="5" w:lineRule="exact"/>
        <w:rPr>
          <w:sz w:val="20"/>
          <w:szCs w:val="20"/>
          <w:color w:val="auto"/>
        </w:rPr>
      </w:pPr>
    </w:p>
    <w:p>
      <w:pPr>
        <w:jc w:val="center"/>
        <w:ind w:right="8913"/>
        <w:spacing w:after="0"/>
        <w:rPr>
          <w:sz w:val="20"/>
          <w:szCs w:val="20"/>
          <w:color w:val="auto"/>
        </w:rPr>
      </w:pPr>
      <w:r>
        <w:rPr>
          <w:rFonts w:ascii="Courier New" w:cs="Courier New" w:eastAsia="Courier New" w:hAnsi="Courier New"/>
          <w:sz w:val="17"/>
          <w:szCs w:val="17"/>
          <w:color w:val="auto"/>
        </w:rPr>
        <w:t>310.7</w:t>
      </w:r>
    </w:p>
    <w:p>
      <w:pPr>
        <w:spacing w:after="0" w:line="5" w:lineRule="exact"/>
        <w:rPr>
          <w:sz w:val="20"/>
          <w:szCs w:val="20"/>
          <w:color w:val="auto"/>
        </w:rPr>
      </w:pPr>
    </w:p>
    <w:p>
      <w:pPr>
        <w:jc w:val="center"/>
        <w:ind w:right="8933"/>
        <w:spacing w:after="0"/>
        <w:rPr>
          <w:sz w:val="20"/>
          <w:szCs w:val="20"/>
          <w:color w:val="auto"/>
        </w:rPr>
      </w:pPr>
      <w:r>
        <w:rPr>
          <w:rFonts w:ascii="Courier New" w:cs="Courier New" w:eastAsia="Courier New" w:hAnsi="Courier New"/>
          <w:sz w:val="17"/>
          <w:szCs w:val="17"/>
          <w:color w:val="auto"/>
        </w:rPr>
        <w:t>Intangible</w:t>
      </w:r>
    </w:p>
    <w:p>
      <w:pPr>
        <w:spacing w:after="0" w:line="5" w:lineRule="exact"/>
        <w:rPr>
          <w:sz w:val="20"/>
          <w:szCs w:val="20"/>
          <w:color w:val="auto"/>
        </w:rPr>
      </w:pPr>
    </w:p>
    <w:p>
      <w:pPr>
        <w:jc w:val="center"/>
        <w:ind w:right="8933"/>
        <w:spacing w:after="0"/>
        <w:rPr>
          <w:sz w:val="20"/>
          <w:szCs w:val="20"/>
          <w:color w:val="auto"/>
        </w:rPr>
      </w:pPr>
      <w:r>
        <w:rPr>
          <w:rFonts w:ascii="Courier New" w:cs="Courier New" w:eastAsia="Courier New" w:hAnsi="Courier New"/>
          <w:sz w:val="17"/>
          <w:szCs w:val="17"/>
          <w:color w:val="auto"/>
        </w:rPr>
        <w:t>assets, net</w:t>
      </w:r>
    </w:p>
    <w:p>
      <w:pPr>
        <w:spacing w:after="0" w:line="5" w:lineRule="exact"/>
        <w:rPr>
          <w:sz w:val="20"/>
          <w:szCs w:val="20"/>
          <w:color w:val="auto"/>
        </w:rPr>
      </w:pPr>
    </w:p>
    <w:tbl>
      <w:tblPr>
        <w:tblLayout w:type="fixed"/>
        <w:tblInd w:w="46" w:type="dxa"/>
        <w:tblCellMar>
          <w:top w:w="0" w:type="dxa"/>
          <w:left w:w="0" w:type="dxa"/>
          <w:bottom w:w="0" w:type="dxa"/>
          <w:right w:w="0" w:type="dxa"/>
        </w:tblCellMar>
      </w:tblPr>
      <w:tr>
        <w:trPr>
          <w:trHeight w:val="193"/>
        </w:trPr>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28.8</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478.6</w:t>
            </w:r>
          </w:p>
        </w:tc>
      </w:tr>
      <w:tr>
        <w:trPr>
          <w:trHeight w:val="198"/>
        </w:trPr>
        <w:tc>
          <w:tcPr>
            <w:tcW w:w="11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9"/>
              </w:rPr>
              <w:t>263.7 771.1</w:t>
            </w:r>
          </w:p>
        </w:tc>
      </w:tr>
    </w:tbl>
    <w:p>
      <w:pPr>
        <w:spacing w:after="0" w:line="203" w:lineRule="exact"/>
        <w:rPr>
          <w:sz w:val="20"/>
          <w:szCs w:val="20"/>
          <w:color w:val="auto"/>
        </w:rPr>
      </w:pPr>
    </w:p>
    <w:tbl>
      <w:tblPr>
        <w:tblLayout w:type="fixed"/>
        <w:tblInd w:w="106" w:type="dxa"/>
        <w:tblCellMar>
          <w:top w:w="0" w:type="dxa"/>
          <w:left w:w="0" w:type="dxa"/>
          <w:bottom w:w="0" w:type="dxa"/>
          <w:right w:w="0" w:type="dxa"/>
        </w:tblCellMar>
      </w:tblPr>
      <w:tr>
        <w:trPr>
          <w:trHeight w:val="193"/>
        </w:trPr>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49.7</w:t>
            </w:r>
          </w:p>
        </w:tc>
        <w:tc>
          <w:tcPr>
            <w:tcW w:w="4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6.1</w:t>
            </w:r>
          </w:p>
        </w:tc>
      </w:tr>
      <w:tr>
        <w:trPr>
          <w:trHeight w:val="198"/>
        </w:trPr>
        <w:tc>
          <w:tcPr>
            <w:tcW w:w="10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11.2 67.0</w:t>
            </w:r>
          </w:p>
        </w:tc>
      </w:tr>
      <w:tr>
        <w:trPr>
          <w:trHeight w:val="198"/>
        </w:trPr>
        <w:tc>
          <w:tcPr>
            <w:tcW w:w="102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99"/>
              </w:rPr>
              <w:t>Investment</w:t>
            </w:r>
          </w:p>
        </w:tc>
      </w:tr>
    </w:tbl>
    <w:p>
      <w:pPr>
        <w:spacing w:after="0" w:line="5" w:lineRule="exact"/>
        <w:rPr>
          <w:sz w:val="20"/>
          <w:szCs w:val="20"/>
          <w:color w:val="auto"/>
        </w:rPr>
      </w:pPr>
    </w:p>
    <w:p>
      <w:pPr>
        <w:jc w:val="center"/>
        <w:ind w:right="8913"/>
        <w:spacing w:after="0"/>
        <w:rPr>
          <w:sz w:val="20"/>
          <w:szCs w:val="20"/>
          <w:color w:val="auto"/>
        </w:rPr>
      </w:pPr>
      <w:r>
        <w:rPr>
          <w:rFonts w:ascii="Courier New" w:cs="Courier New" w:eastAsia="Courier New" w:hAnsi="Courier New"/>
          <w:sz w:val="17"/>
          <w:szCs w:val="17"/>
          <w:color w:val="auto"/>
        </w:rPr>
        <w:t>in</w:t>
      </w:r>
    </w:p>
    <w:p>
      <w:pPr>
        <w:spacing w:after="0" w:line="5" w:lineRule="exact"/>
        <w:rPr>
          <w:sz w:val="20"/>
          <w:szCs w:val="20"/>
          <w:color w:val="auto"/>
        </w:rPr>
      </w:pPr>
    </w:p>
    <w:p>
      <w:pPr>
        <w:jc w:val="center"/>
        <w:ind w:right="8933"/>
        <w:spacing w:after="0"/>
        <w:rPr>
          <w:sz w:val="20"/>
          <w:szCs w:val="20"/>
          <w:color w:val="auto"/>
        </w:rPr>
      </w:pPr>
      <w:r>
        <w:rPr>
          <w:rFonts w:ascii="Courier New" w:cs="Courier New" w:eastAsia="Courier New" w:hAnsi="Courier New"/>
          <w:sz w:val="17"/>
          <w:szCs w:val="17"/>
          <w:color w:val="auto"/>
        </w:rPr>
        <w:t>affiliates</w:t>
      </w:r>
    </w:p>
    <w:p>
      <w:pPr>
        <w:spacing w:after="0" w:line="5" w:lineRule="exact"/>
        <w:rPr>
          <w:sz w:val="20"/>
          <w:szCs w:val="20"/>
          <w:color w:val="auto"/>
        </w:rPr>
      </w:pPr>
    </w:p>
    <w:p>
      <w:pPr>
        <w:jc w:val="center"/>
        <w:ind w:right="8913"/>
        <w:spacing w:after="0"/>
        <w:rPr>
          <w:sz w:val="20"/>
          <w:szCs w:val="20"/>
          <w:color w:val="auto"/>
        </w:rPr>
      </w:pPr>
      <w:r>
        <w:rPr>
          <w:rFonts w:ascii="Courier New" w:cs="Courier New" w:eastAsia="Courier New" w:hAnsi="Courier New"/>
          <w:sz w:val="17"/>
          <w:szCs w:val="17"/>
          <w:color w:val="auto"/>
        </w:rPr>
        <w:t>898.2</w:t>
      </w:r>
    </w:p>
    <w:p>
      <w:pPr>
        <w:spacing w:after="0" w:line="5" w:lineRule="exact"/>
        <w:rPr>
          <w:sz w:val="20"/>
          <w:szCs w:val="20"/>
          <w:color w:val="auto"/>
        </w:rPr>
      </w:pPr>
    </w:p>
    <w:p>
      <w:pPr>
        <w:jc w:val="center"/>
        <w:ind w:right="8913"/>
        <w:spacing w:after="0"/>
        <w:rPr>
          <w:sz w:val="20"/>
          <w:szCs w:val="20"/>
          <w:color w:val="auto"/>
        </w:rPr>
      </w:pPr>
      <w:r>
        <w:rPr>
          <w:rFonts w:ascii="Courier New" w:cs="Courier New" w:eastAsia="Courier New" w:hAnsi="Courier New"/>
          <w:sz w:val="17"/>
          <w:szCs w:val="17"/>
          <w:color w:val="auto"/>
        </w:rPr>
        <w:t>(898.2)</w:t>
      </w:r>
    </w:p>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7"/>
          <w:szCs w:val="17"/>
          <w:color w:val="auto"/>
        </w:rPr>
        <w:t>Intracompany</w:t>
      </w:r>
    </w:p>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7"/>
          <w:szCs w:val="17"/>
          <w:color w:val="auto"/>
        </w:rPr>
        <w:t>assets 215.6</w:t>
      </w:r>
    </w:p>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7"/>
          <w:szCs w:val="17"/>
          <w:color w:val="auto"/>
        </w:rPr>
        <w:t>(215.6) ----</w:t>
      </w:r>
    </w:p>
    <w:p>
      <w:pPr>
        <w:spacing w:after="0" w:line="5" w:lineRule="exact"/>
        <w:rPr>
          <w:sz w:val="20"/>
          <w:szCs w:val="20"/>
          <w:color w:val="auto"/>
        </w:rPr>
      </w:pPr>
    </w:p>
    <w:p>
      <w:pPr>
        <w:ind w:left="566" w:hanging="514"/>
        <w:spacing w:after="0"/>
        <w:tabs>
          <w:tab w:leader="none" w:pos="566" w:val="left"/>
        </w:tabs>
        <w:numPr>
          <w:ilvl w:val="1"/>
          <w:numId w:val="1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506" w:hanging="506"/>
        <w:spacing w:after="0"/>
        <w:tabs>
          <w:tab w:leader="none" w:pos="506" w:val="left"/>
        </w:tabs>
        <w:numPr>
          <w:ilvl w:val="0"/>
          <w:numId w:val="1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6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Total</w:t>
      </w:r>
    </w:p>
    <w:p>
      <w:pPr>
        <w:spacing w:after="0" w:line="5" w:lineRule="exact"/>
        <w:rPr>
          <w:rFonts w:ascii="Courier New" w:cs="Courier New" w:eastAsia="Courier New" w:hAnsi="Courier New"/>
          <w:sz w:val="17"/>
          <w:szCs w:val="17"/>
          <w:color w:val="auto"/>
        </w:rPr>
      </w:pPr>
    </w:p>
    <w:p>
      <w:pPr>
        <w:ind w:left="30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assets</w:t>
      </w:r>
    </w:p>
    <w:p>
      <w:pPr>
        <w:spacing w:after="0" w:line="5" w:lineRule="exact"/>
        <w:rPr>
          <w:rFonts w:ascii="Courier New" w:cs="Courier New" w:eastAsia="Courier New" w:hAnsi="Courier New"/>
          <w:sz w:val="17"/>
          <w:szCs w:val="17"/>
          <w:color w:val="auto"/>
        </w:rPr>
      </w:pPr>
    </w:p>
    <w:p>
      <w:pPr>
        <w:ind w:left="26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1,575.6</w:t>
      </w:r>
    </w:p>
    <w:p>
      <w:pPr>
        <w:spacing w:after="0" w:line="5" w:lineRule="exact"/>
        <w:rPr>
          <w:sz w:val="20"/>
          <w:szCs w:val="20"/>
          <w:color w:val="auto"/>
        </w:rPr>
      </w:pPr>
    </w:p>
    <w:p>
      <w:pPr>
        <w:ind w:left="46"/>
        <w:spacing w:after="0"/>
        <w:rPr>
          <w:sz w:val="20"/>
          <w:szCs w:val="20"/>
          <w:color w:val="auto"/>
        </w:rPr>
      </w:pPr>
      <w:r>
        <w:rPr>
          <w:rFonts w:ascii="Courier New" w:cs="Courier New" w:eastAsia="Courier New" w:hAnsi="Courier New"/>
          <w:sz w:val="17"/>
          <w:szCs w:val="17"/>
          <w:color w:val="auto"/>
        </w:rPr>
        <w:t>886.1 495.1</w:t>
      </w:r>
    </w:p>
    <w:p>
      <w:pPr>
        <w:sectPr>
          <w:pgSz w:w="11900" w:h="16838" w:orient="portrait"/>
          <w:cols w:equalWidth="0" w:num="1">
            <w:col w:w="10165"/>
          </w:cols>
          <w:pgMar w:left="294" w:top="709" w:right="1440" w:bottom="0" w:gutter="0" w:footer="0" w:header="0"/>
        </w:sectPr>
      </w:pPr>
    </w:p>
    <w:bookmarkStart w:id="132" w:name="page133"/>
    <w:bookmarkEnd w:id="132"/>
    <w:p>
      <w:pPr>
        <w:jc w:val="center"/>
        <w:ind w:right="8879"/>
        <w:spacing w:after="0"/>
        <w:rPr>
          <w:sz w:val="20"/>
          <w:szCs w:val="20"/>
          <w:color w:val="auto"/>
        </w:rPr>
      </w:pPr>
      <w:r>
        <w:rPr>
          <w:rFonts w:ascii="Courier New" w:cs="Courier New" w:eastAsia="Courier New" w:hAnsi="Courier New"/>
          <w:sz w:val="17"/>
          <w:szCs w:val="17"/>
          <w:color w:val="auto"/>
        </w:rPr>
        <w:t>(1,113.8)</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1,843.0</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LIABILITIES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AND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SHAREHOLDERS'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EQUITY</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Current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Liabilities:</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Short-term</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debt 31.5</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15.0 24.8</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71.3</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Accounts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payable 75.1</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20.5 55.3</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150.9</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Accrued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liabilities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124.0 26.6</w:t>
      </w:r>
    </w:p>
    <w:p>
      <w:pPr>
        <w:spacing w:after="0" w:line="5" w:lineRule="exact"/>
        <w:rPr>
          <w:sz w:val="20"/>
          <w:szCs w:val="20"/>
          <w:color w:val="auto"/>
        </w:rPr>
      </w:pPr>
    </w:p>
    <w:tbl>
      <w:tblPr>
        <w:tblLayout w:type="fixed"/>
        <w:tblInd w:w="160" w:type="dxa"/>
        <w:tblCellMar>
          <w:top w:w="0" w:type="dxa"/>
          <w:left w:w="0" w:type="dxa"/>
          <w:bottom w:w="0" w:type="dxa"/>
          <w:right w:w="0" w:type="dxa"/>
        </w:tblCellMar>
      </w:tblPr>
      <w:tr>
        <w:trPr>
          <w:trHeight w:val="193"/>
        </w:trPr>
        <w:tc>
          <w:tcPr>
            <w:tcW w:w="440" w:type="dxa"/>
            <w:vAlign w:val="bottom"/>
          </w:tcPr>
          <w:p>
            <w:pPr>
              <w:jc w:val="right"/>
              <w:spacing w:after="0"/>
              <w:rPr>
                <w:sz w:val="20"/>
                <w:szCs w:val="20"/>
                <w:color w:val="auto"/>
              </w:rPr>
            </w:pPr>
            <w:r>
              <w:rPr>
                <w:rFonts w:ascii="Courier New" w:cs="Courier New" w:eastAsia="Courier New" w:hAnsi="Courier New"/>
                <w:sz w:val="17"/>
                <w:szCs w:val="17"/>
                <w:color w:val="auto"/>
                <w:w w:val="93"/>
              </w:rPr>
              <w:t>57.4</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208.0</w:t>
            </w:r>
          </w:p>
        </w:tc>
      </w:tr>
      <w:tr>
        <w:trPr>
          <w:trHeight w:val="198"/>
        </w:trPr>
        <w:tc>
          <w:tcPr>
            <w:tcW w:w="1020" w:type="dxa"/>
            <w:vAlign w:val="bottom"/>
            <w:gridSpan w:val="2"/>
          </w:tcPr>
          <w:p>
            <w:pPr>
              <w:jc w:val="right"/>
              <w:ind w:right="54"/>
              <w:spacing w:after="0"/>
              <w:rPr>
                <w:sz w:val="20"/>
                <w:szCs w:val="20"/>
                <w:color w:val="auto"/>
              </w:rPr>
            </w:pPr>
            <w:r>
              <w:rPr>
                <w:rFonts w:ascii="Courier New" w:cs="Courier New" w:eastAsia="Courier New" w:hAnsi="Courier New"/>
                <w:sz w:val="17"/>
                <w:szCs w:val="17"/>
                <w:color w:val="auto"/>
              </w:rPr>
              <w:t>Accrued</w:t>
            </w:r>
          </w:p>
        </w:tc>
      </w:tr>
      <w:tr>
        <w:trPr>
          <w:trHeight w:val="198"/>
        </w:trPr>
        <w:tc>
          <w:tcPr>
            <w:tcW w:w="10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7"/>
              </w:rPr>
              <w:t>taxes 16.4</w:t>
            </w:r>
          </w:p>
        </w:tc>
      </w:tr>
      <w:tr>
        <w:trPr>
          <w:trHeight w:val="198"/>
        </w:trPr>
        <w:tc>
          <w:tcPr>
            <w:tcW w:w="440" w:type="dxa"/>
            <w:vAlign w:val="bottom"/>
          </w:tcPr>
          <w:p>
            <w:pPr>
              <w:jc w:val="right"/>
              <w:spacing w:after="0"/>
              <w:rPr>
                <w:sz w:val="20"/>
                <w:szCs w:val="20"/>
                <w:color w:val="auto"/>
              </w:rPr>
            </w:pPr>
            <w:r>
              <w:rPr>
                <w:rFonts w:ascii="Courier New" w:cs="Courier New" w:eastAsia="Courier New" w:hAnsi="Courier New"/>
                <w:sz w:val="17"/>
                <w:szCs w:val="17"/>
                <w:color w:val="auto"/>
              </w:rPr>
              <w:t>2.8</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(4.3)</w:t>
            </w:r>
          </w:p>
        </w:tc>
      </w:tr>
    </w:tbl>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14.9 -------</w:t>
      </w:r>
    </w:p>
    <w:p>
      <w:pPr>
        <w:spacing w:after="0" w:line="5" w:lineRule="exact"/>
        <w:rPr>
          <w:sz w:val="20"/>
          <w:szCs w:val="20"/>
          <w:color w:val="auto"/>
        </w:rPr>
      </w:pPr>
    </w:p>
    <w:p>
      <w:pPr>
        <w:ind w:left="260" w:hanging="206"/>
        <w:spacing w:after="0"/>
        <w:tabs>
          <w:tab w:leader="none" w:pos="260" w:val="left"/>
        </w:tabs>
        <w:numPr>
          <w:ilvl w:val="0"/>
          <w:numId w:val="1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360" w:hanging="203"/>
        <w:spacing w:after="0"/>
        <w:tabs>
          <w:tab w:leader="none" w:pos="360" w:val="left"/>
        </w:tabs>
        <w:numPr>
          <w:ilvl w:val="1"/>
          <w:numId w:val="1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Total</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current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liabilities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247.0 64.9</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133.2 445.1</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Long-term</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debt 559.1</w:t>
      </w:r>
    </w:p>
    <w:p>
      <w:pPr>
        <w:spacing w:after="0" w:line="5"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5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5.8</w:t>
            </w:r>
          </w:p>
        </w:tc>
        <w:tc>
          <w:tcPr>
            <w:tcW w:w="62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w w:val="97"/>
              </w:rPr>
              <w:t>251.6</w:t>
            </w:r>
          </w:p>
        </w:tc>
      </w:tr>
      <w:tr>
        <w:trPr>
          <w:trHeight w:val="198"/>
        </w:trPr>
        <w:tc>
          <w:tcPr>
            <w:tcW w:w="520" w:type="dxa"/>
            <w:vAlign w:val="bottom"/>
          </w:tcPr>
          <w:p>
            <w:pPr>
              <w:jc w:val="right"/>
              <w:spacing w:after="0"/>
              <w:rPr>
                <w:sz w:val="20"/>
                <w:szCs w:val="20"/>
                <w:color w:val="auto"/>
              </w:rPr>
            </w:pPr>
            <w:r>
              <w:rPr>
                <w:rFonts w:ascii="Courier New" w:cs="Courier New" w:eastAsia="Courier New" w:hAnsi="Courier New"/>
                <w:sz w:val="17"/>
                <w:szCs w:val="17"/>
                <w:color w:val="auto"/>
                <w:w w:val="97"/>
              </w:rPr>
              <w:t>816.5</w:t>
            </w: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Other</w:t>
            </w:r>
          </w:p>
        </w:tc>
      </w:tr>
      <w:tr>
        <w:trPr>
          <w:trHeight w:val="198"/>
        </w:trPr>
        <w:tc>
          <w:tcPr>
            <w:tcW w:w="1140" w:type="dxa"/>
            <w:vAlign w:val="bottom"/>
            <w:gridSpan w:val="3"/>
          </w:tcPr>
          <w:p>
            <w:pPr>
              <w:jc w:val="right"/>
              <w:spacing w:after="0"/>
              <w:rPr>
                <w:sz w:val="20"/>
                <w:szCs w:val="20"/>
                <w:color w:val="auto"/>
              </w:rPr>
            </w:pPr>
            <w:r>
              <w:rPr>
                <w:rFonts w:ascii="Courier New" w:cs="Courier New" w:eastAsia="Courier New" w:hAnsi="Courier New"/>
                <w:sz w:val="17"/>
                <w:szCs w:val="17"/>
                <w:color w:val="auto"/>
                <w:w w:val="99"/>
              </w:rPr>
              <w:t>liabilities</w:t>
            </w:r>
          </w:p>
        </w:tc>
      </w:tr>
      <w:tr>
        <w:trPr>
          <w:trHeight w:val="198"/>
        </w:trPr>
        <w:tc>
          <w:tcPr>
            <w:tcW w:w="6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48.8</w:t>
            </w:r>
          </w:p>
        </w:tc>
        <w:tc>
          <w:tcPr>
            <w:tcW w:w="5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0.4</w:t>
            </w:r>
          </w:p>
        </w:tc>
      </w:tr>
      <w:tr>
        <w:trPr>
          <w:trHeight w:val="198"/>
        </w:trPr>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26.0</w:t>
            </w:r>
          </w:p>
        </w:tc>
        <w:tc>
          <w:tcPr>
            <w:tcW w:w="80" w:type="dxa"/>
            <w:vAlign w:val="bottom"/>
          </w:tcPr>
          <w:p>
            <w:pPr>
              <w:spacing w:after="0"/>
              <w:rPr>
                <w:sz w:val="17"/>
                <w:szCs w:val="17"/>
                <w:color w:val="auto"/>
              </w:rPr>
            </w:pPr>
          </w:p>
        </w:tc>
        <w:tc>
          <w:tcPr>
            <w:tcW w:w="5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75.2</w:t>
            </w:r>
          </w:p>
        </w:tc>
      </w:tr>
    </w:tbl>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Intracompany</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liabilities</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188.3 27.3</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(215.6) ----</w:t>
      </w:r>
    </w:p>
    <w:p>
      <w:pPr>
        <w:spacing w:after="0" w:line="5" w:lineRule="exact"/>
        <w:rPr>
          <w:sz w:val="20"/>
          <w:szCs w:val="20"/>
          <w:color w:val="auto"/>
        </w:rPr>
      </w:pPr>
    </w:p>
    <w:p>
      <w:pPr>
        <w:ind w:left="620" w:hanging="514"/>
        <w:spacing w:after="0"/>
        <w:tabs>
          <w:tab w:leader="none" w:pos="620" w:val="left"/>
        </w:tabs>
        <w:numPr>
          <w:ilvl w:val="1"/>
          <w:numId w:val="1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560" w:hanging="506"/>
        <w:spacing w:after="0"/>
        <w:tabs>
          <w:tab w:leader="none" w:pos="560" w:val="left"/>
        </w:tabs>
        <w:numPr>
          <w:ilvl w:val="0"/>
          <w:numId w:val="1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Total</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liabilities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1,043.2 71.1</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438.1</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(215.6)</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1,336.8</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Commitments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and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Contingencies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Shareholders'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Equity:</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Preferred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shares, no</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par value,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none issued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Investment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from parent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488.1 60.4</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(548.5)</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Common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shares, no</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par value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per share,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$.01 stated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value per</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share,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issued 31.3</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shares in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2001 0.3 0.3</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Capital in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excess of</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stated value</w:t>
      </w:r>
    </w:p>
    <w:p>
      <w:pPr>
        <w:sectPr>
          <w:pgSz w:w="11900" w:h="16838" w:orient="portrait"/>
          <w:cols w:equalWidth="0" w:num="1">
            <w:col w:w="10219"/>
          </w:cols>
          <w:pgMar w:left="240" w:top="142" w:right="1440" w:bottom="0" w:gutter="0" w:footer="0" w:header="0"/>
        </w:sectPr>
      </w:pPr>
    </w:p>
    <w:bookmarkStart w:id="133" w:name="page134"/>
    <w:bookmarkEnd w:id="133"/>
    <w:p>
      <w:pPr>
        <w:jc w:val="center"/>
        <w:ind w:right="8879"/>
        <w:spacing w:after="0"/>
        <w:rPr>
          <w:sz w:val="20"/>
          <w:szCs w:val="20"/>
          <w:color w:val="auto"/>
        </w:rPr>
      </w:pPr>
      <w:r>
        <w:rPr>
          <w:rFonts w:ascii="Courier New" w:cs="Courier New" w:eastAsia="Courier New" w:hAnsi="Courier New"/>
          <w:sz w:val="17"/>
          <w:szCs w:val="17"/>
          <w:color w:val="auto"/>
        </w:rPr>
        <w:t>398.3 398.3</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Retained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earnings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212.3 329.3</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20.4 (349.7)</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212.3</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Treasury</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stock at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cost, 2.6</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shares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issued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(70.0)</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(70.0)</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Accumulated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other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comprehensive</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income (8.5)</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(2.4) (23.8)</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(34.7) -----</w:t>
      </w:r>
    </w:p>
    <w:p>
      <w:pPr>
        <w:spacing w:after="0" w:line="5" w:lineRule="exact"/>
        <w:rPr>
          <w:sz w:val="20"/>
          <w:szCs w:val="20"/>
          <w:color w:val="auto"/>
        </w:rPr>
      </w:pPr>
    </w:p>
    <w:p>
      <w:pPr>
        <w:ind w:left="460" w:hanging="406"/>
        <w:spacing w:after="0"/>
        <w:tabs>
          <w:tab w:leader="none" w:pos="460" w:val="left"/>
        </w:tabs>
        <w:numPr>
          <w:ilvl w:val="0"/>
          <w:numId w:val="1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460" w:hanging="406"/>
        <w:spacing w:after="0"/>
        <w:tabs>
          <w:tab w:leader="none" w:pos="460" w:val="left"/>
        </w:tabs>
        <w:numPr>
          <w:ilvl w:val="0"/>
          <w:numId w:val="1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Total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shareholders'</w:t>
      </w:r>
    </w:p>
    <w:p>
      <w:pPr>
        <w:spacing w:after="0" w:line="5" w:lineRule="exact"/>
        <w:rPr>
          <w:sz w:val="20"/>
          <w:szCs w:val="20"/>
          <w:color w:val="auto"/>
        </w:rPr>
      </w:pPr>
    </w:p>
    <w:tbl>
      <w:tblPr>
        <w:tblLayout w:type="fixed"/>
        <w:tblInd w:w="60" w:type="dxa"/>
        <w:tblCellMar>
          <w:top w:w="0" w:type="dxa"/>
          <w:left w:w="0" w:type="dxa"/>
          <w:bottom w:w="0" w:type="dxa"/>
          <w:right w:w="0" w:type="dxa"/>
        </w:tblCellMar>
      </w:tblPr>
      <w:tr>
        <w:trPr>
          <w:trHeight w:val="193"/>
        </w:trPr>
        <w:tc>
          <w:tcPr>
            <w:tcW w:w="660" w:type="dxa"/>
            <w:vAlign w:val="bottom"/>
          </w:tcPr>
          <w:p>
            <w:pPr>
              <w:jc w:val="right"/>
              <w:spacing w:after="0"/>
              <w:rPr>
                <w:sz w:val="20"/>
                <w:szCs w:val="20"/>
                <w:color w:val="auto"/>
              </w:rPr>
            </w:pPr>
            <w:r>
              <w:rPr>
                <w:rFonts w:ascii="Courier New" w:cs="Courier New" w:eastAsia="Courier New" w:hAnsi="Courier New"/>
                <w:sz w:val="17"/>
                <w:szCs w:val="17"/>
                <w:color w:val="auto"/>
                <w:w w:val="97"/>
              </w:rPr>
              <w:t>equity</w:t>
            </w:r>
          </w:p>
        </w:tc>
        <w:tc>
          <w:tcPr>
            <w:tcW w:w="560" w:type="dxa"/>
            <w:vAlign w:val="bottom"/>
          </w:tcPr>
          <w:p>
            <w:pPr>
              <w:ind w:left="60"/>
              <w:spacing w:after="0"/>
              <w:rPr>
                <w:sz w:val="20"/>
                <w:szCs w:val="20"/>
                <w:color w:val="auto"/>
              </w:rPr>
            </w:pPr>
            <w:r>
              <w:rPr>
                <w:rFonts w:ascii="Courier New" w:cs="Courier New" w:eastAsia="Courier New" w:hAnsi="Courier New"/>
                <w:sz w:val="17"/>
                <w:szCs w:val="17"/>
                <w:color w:val="auto"/>
                <w:w w:val="94"/>
              </w:rPr>
              <w:t>532.4</w:t>
            </w:r>
          </w:p>
        </w:tc>
      </w:tr>
      <w:tr>
        <w:trPr>
          <w:trHeight w:val="198"/>
        </w:trPr>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815.0</w:t>
            </w:r>
          </w:p>
        </w:tc>
        <w:tc>
          <w:tcPr>
            <w:tcW w:w="560" w:type="dxa"/>
            <w:vAlign w:val="bottom"/>
          </w:tcPr>
          <w:p>
            <w:pPr>
              <w:ind w:left="60"/>
              <w:spacing w:after="0"/>
              <w:rPr>
                <w:sz w:val="20"/>
                <w:szCs w:val="20"/>
                <w:color w:val="auto"/>
              </w:rPr>
            </w:pPr>
            <w:r>
              <w:rPr>
                <w:rFonts w:ascii="Courier New" w:cs="Courier New" w:eastAsia="Courier New" w:hAnsi="Courier New"/>
                <w:sz w:val="17"/>
                <w:szCs w:val="17"/>
                <w:color w:val="auto"/>
              </w:rPr>
              <w:t>57.0</w:t>
            </w:r>
          </w:p>
        </w:tc>
      </w:tr>
    </w:tbl>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(898.2)</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506.2 ------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 --</w:t>
      </w:r>
    </w:p>
    <w:p>
      <w:pPr>
        <w:spacing w:after="0" w:line="5" w:lineRule="exact"/>
        <w:rPr>
          <w:sz w:val="20"/>
          <w:szCs w:val="20"/>
          <w:color w:val="auto"/>
        </w:rPr>
      </w:pPr>
    </w:p>
    <w:p>
      <w:pPr>
        <w:ind w:left="560" w:hanging="506"/>
        <w:spacing w:after="0"/>
        <w:tabs>
          <w:tab w:leader="none" w:pos="560" w:val="left"/>
        </w:tabs>
        <w:numPr>
          <w:ilvl w:val="0"/>
          <w:numId w:val="1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Total</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liabilities</w:t>
      </w:r>
    </w:p>
    <w:p>
      <w:pPr>
        <w:spacing w:after="0" w:line="5" w:lineRule="exact"/>
        <w:rPr>
          <w:rFonts w:ascii="Courier New" w:cs="Courier New" w:eastAsia="Courier New" w:hAnsi="Courier New"/>
          <w:sz w:val="17"/>
          <w:szCs w:val="17"/>
          <w:color w:val="auto"/>
        </w:rPr>
      </w:pP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and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shareholders'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equity</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$1,575.6</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$886.1</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$495.1</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$(1,113.8)</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$1,843.0</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78</w:t>
      </w:r>
    </w:p>
    <w:p>
      <w:pPr>
        <w:sectPr>
          <w:pgSz w:w="11900" w:h="16838" w:orient="portrait"/>
          <w:cols w:equalWidth="0" w:num="1">
            <w:col w:w="10219"/>
          </w:cols>
          <w:pgMar w:left="240" w:top="142" w:right="1440" w:bottom="1440" w:gutter="0" w:footer="0" w:header="0"/>
        </w:sectPr>
      </w:pPr>
    </w:p>
    <w:bookmarkStart w:id="134" w:name="page135"/>
    <w:bookmarkEnd w:id="134"/>
    <w:p>
      <w:pPr>
        <w:ind w:left="3200"/>
        <w:spacing w:after="0"/>
        <w:rPr>
          <w:sz w:val="20"/>
          <w:szCs w:val="20"/>
          <w:color w:val="auto"/>
        </w:rPr>
      </w:pPr>
      <w:r>
        <w:rPr>
          <w:rFonts w:ascii="Courier New" w:cs="Courier New" w:eastAsia="Courier New" w:hAnsi="Courier New"/>
          <w:sz w:val="17"/>
          <w:szCs w:val="17"/>
          <w:color w:val="auto"/>
        </w:rPr>
        <w:t>THE SCOTTS COMPANY</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STATEMENT OF OPERATIONS</w:t>
      </w:r>
    </w:p>
    <w:p>
      <w:pPr>
        <w:spacing w:after="0" w:line="5" w:lineRule="exact"/>
        <w:rPr>
          <w:sz w:val="20"/>
          <w:szCs w:val="20"/>
          <w:color w:val="auto"/>
        </w:rPr>
      </w:pPr>
    </w:p>
    <w:p>
      <w:pPr>
        <w:jc w:val="right"/>
        <w:ind w:right="3839"/>
        <w:spacing w:after="0"/>
        <w:rPr>
          <w:sz w:val="20"/>
          <w:szCs w:val="20"/>
          <w:color w:val="auto"/>
        </w:rPr>
      </w:pPr>
      <w:r>
        <w:rPr>
          <w:rFonts w:ascii="Courier New" w:cs="Courier New" w:eastAsia="Courier New" w:hAnsi="Courier New"/>
          <w:sz w:val="17"/>
          <w:szCs w:val="17"/>
          <w:color w:val="auto"/>
        </w:rPr>
        <w:t>FOR THE FISCAL YEAR ENDED SEPTEMBER 30, 2000</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(IN MILLIONS)</w:t>
      </w:r>
    </w:p>
    <w:p>
      <w:pPr>
        <w:spacing w:after="0" w:line="203"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Subsidiary</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Non- Parent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Guarantors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Guarantors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Eliminations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Consolidated</w:t>
      </w:r>
    </w:p>
    <w:p>
      <w:pPr>
        <w:spacing w:after="0" w:line="5" w:lineRule="exact"/>
        <w:rPr>
          <w:sz w:val="20"/>
          <w:szCs w:val="20"/>
          <w:color w:val="auto"/>
        </w:rPr>
      </w:pPr>
    </w:p>
    <w:p>
      <w:pPr>
        <w:ind w:left="260" w:hanging="204"/>
        <w:spacing w:after="0"/>
        <w:tabs>
          <w:tab w:leader="none" w:pos="260" w:val="left"/>
        </w:tabs>
        <w:numPr>
          <w:ilvl w:val="0"/>
          <w:numId w:val="1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jc w:val="center"/>
        <w:ind w:left="60" w:right="8819" w:firstLine="51"/>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Net sales $897.7 $406.2 $405.1 $ $1,709.0 Cost of sales 557.3 260.2 233.0 1,050.5</w:t>
      </w:r>
    </w:p>
    <w:p>
      <w:pPr>
        <w:spacing w:after="0" w:line="4"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jc w:val="both"/>
        <w:ind w:left="160" w:right="8879" w:hanging="52"/>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Gross profit 340.4 146.0</w:t>
      </w:r>
    </w:p>
    <w:p>
      <w:pPr>
        <w:spacing w:after="0" w:line="1"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172.1 658.5</w:t>
      </w:r>
    </w:p>
    <w:p>
      <w:pPr>
        <w:spacing w:after="0" w:line="5" w:lineRule="exact"/>
        <w:rPr>
          <w:rFonts w:ascii="Courier New" w:cs="Courier New" w:eastAsia="Courier New" w:hAnsi="Courier New"/>
          <w:sz w:val="17"/>
          <w:szCs w:val="17"/>
          <w:color w:val="auto"/>
        </w:rPr>
      </w:pPr>
    </w:p>
    <w:p>
      <w:pPr>
        <w:ind w:left="4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Gross</w:t>
      </w:r>
    </w:p>
    <w:p>
      <w:pPr>
        <w:spacing w:after="0" w:line="5" w:lineRule="exact"/>
        <w:rPr>
          <w:rFonts w:ascii="Courier New" w:cs="Courier New" w:eastAsia="Courier New" w:hAnsi="Courier New"/>
          <w:sz w:val="17"/>
          <w:szCs w:val="17"/>
          <w:color w:val="auto"/>
        </w:rPr>
      </w:pPr>
    </w:p>
    <w:p>
      <w:pPr>
        <w:jc w:val="center"/>
        <w:ind w:left="60" w:right="8819" w:firstLine="154"/>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commission earned from marketing agreement 34.9 4.3 39.2 Contribution expenses under marketing agreement 9.2 0.7 9.9 -----</w:t>
      </w:r>
    </w:p>
    <w:p>
      <w:pPr>
        <w:spacing w:after="0" w:line="6" w:lineRule="exact"/>
        <w:rPr>
          <w:rFonts w:ascii="Courier New" w:cs="Courier New" w:eastAsia="Courier New" w:hAnsi="Courier New"/>
          <w:sz w:val="17"/>
          <w:szCs w:val="17"/>
          <w:color w:val="auto"/>
        </w:rPr>
      </w:pPr>
    </w:p>
    <w:p>
      <w:pPr>
        <w:ind w:left="260" w:hanging="204"/>
        <w:spacing w:after="0"/>
        <w:tabs>
          <w:tab w:leader="none" w:pos="260" w:val="left"/>
        </w:tabs>
        <w:numPr>
          <w:ilvl w:val="0"/>
          <w:numId w:val="1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360" w:hanging="304"/>
        <w:spacing w:after="0"/>
        <w:tabs>
          <w:tab w:leader="none" w:pos="360" w:val="left"/>
        </w:tabs>
        <w:numPr>
          <w:ilvl w:val="1"/>
          <w:numId w:val="1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Net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commission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earned from</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marketing</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25.7 3.6 29.3</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Advertising</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and promotion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85.6 25.9</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42.3 153.8</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Selling,</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general and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administrative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183.3 25.9</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93.5 302.7</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Amortization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of goodwill</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and other</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intangibles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2.0 15.5 9.6</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27.1 Equity</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income in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non-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guarantors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(52.4) 52.4</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Intracompany</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allocations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(19.7) 9.8</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9.9 Other</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(income)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expenses, net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1.8 (8.7) 0.9</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(6.0)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ectPr>
          <w:pgSz w:w="11900" w:h="16838" w:orient="portrait"/>
          <w:cols w:equalWidth="0" w:num="1">
            <w:col w:w="10219"/>
          </w:cols>
          <w:pgMar w:left="240" w:top="709" w:right="1440" w:bottom="0" w:gutter="0" w:footer="0" w:header="0"/>
        </w:sectPr>
      </w:pPr>
    </w:p>
    <w:bookmarkStart w:id="135" w:name="page136"/>
    <w:bookmarkEnd w:id="135"/>
    <w:p>
      <w:pPr>
        <w:ind w:left="524" w:hanging="318"/>
        <w:spacing w:after="0"/>
        <w:tabs>
          <w:tab w:leader="none" w:pos="524" w:val="left"/>
        </w:tabs>
        <w:numPr>
          <w:ilvl w:val="0"/>
          <w:numId w:val="1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Income</w:t>
      </w:r>
    </w:p>
    <w:p>
      <w:pPr>
        <w:spacing w:after="0" w:line="5" w:lineRule="exact"/>
        <w:rPr>
          <w:rFonts w:ascii="Courier New" w:cs="Courier New" w:eastAsia="Courier New" w:hAnsi="Courier New"/>
          <w:sz w:val="17"/>
          <w:szCs w:val="17"/>
          <w:color w:val="auto"/>
        </w:rPr>
      </w:pPr>
    </w:p>
    <w:p>
      <w:pPr>
        <w:jc w:val="both"/>
        <w:ind w:left="104" w:right="891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(loss) from operations 165.5 77.6 19.5 (52.4)</w:t>
      </w:r>
    </w:p>
    <w:p>
      <w:pPr>
        <w:spacing w:after="0" w:line="2" w:lineRule="exact"/>
        <w:rPr>
          <w:rFonts w:ascii="Courier New" w:cs="Courier New" w:eastAsia="Courier New" w:hAnsi="Courier New"/>
          <w:sz w:val="17"/>
          <w:szCs w:val="17"/>
          <w:color w:val="auto"/>
        </w:rPr>
      </w:pPr>
    </w:p>
    <w:p>
      <w:pPr>
        <w:ind w:left="40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210.2</w:t>
      </w:r>
    </w:p>
    <w:p>
      <w:pPr>
        <w:spacing w:after="0" w:line="5" w:lineRule="exact"/>
        <w:rPr>
          <w:rFonts w:ascii="Courier New" w:cs="Courier New" w:eastAsia="Courier New" w:hAnsi="Courier New"/>
          <w:sz w:val="17"/>
          <w:szCs w:val="17"/>
          <w:color w:val="auto"/>
        </w:rPr>
      </w:pPr>
    </w:p>
    <w:p>
      <w:pPr>
        <w:jc w:val="both"/>
        <w:ind w:left="264" w:right="90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Interest (income)</w:t>
      </w:r>
    </w:p>
    <w:p>
      <w:pPr>
        <w:spacing w:after="0" w:line="1" w:lineRule="exact"/>
        <w:rPr>
          <w:sz w:val="20"/>
          <w:szCs w:val="20"/>
          <w:color w:val="auto"/>
        </w:rPr>
      </w:pPr>
    </w:p>
    <w:p>
      <w:pPr>
        <w:ind w:left="44"/>
        <w:spacing w:after="0"/>
        <w:rPr>
          <w:sz w:val="20"/>
          <w:szCs w:val="20"/>
          <w:color w:val="auto"/>
        </w:rPr>
      </w:pPr>
      <w:r>
        <w:rPr>
          <w:rFonts w:ascii="Courier New" w:cs="Courier New" w:eastAsia="Courier New" w:hAnsi="Courier New"/>
          <w:sz w:val="17"/>
          <w:szCs w:val="17"/>
          <w:color w:val="auto"/>
        </w:rPr>
        <w:t>expense 81.5</w:t>
      </w:r>
    </w:p>
    <w:p>
      <w:pPr>
        <w:spacing w:after="0" w:line="5" w:lineRule="exact"/>
        <w:rPr>
          <w:sz w:val="20"/>
          <w:szCs w:val="20"/>
          <w:color w:val="auto"/>
        </w:rPr>
      </w:pPr>
    </w:p>
    <w:p>
      <w:pPr>
        <w:ind w:left="104"/>
        <w:spacing w:after="0"/>
        <w:rPr>
          <w:sz w:val="20"/>
          <w:szCs w:val="20"/>
          <w:color w:val="auto"/>
        </w:rPr>
      </w:pPr>
      <w:r>
        <w:rPr>
          <w:rFonts w:ascii="Courier New" w:cs="Courier New" w:eastAsia="Courier New" w:hAnsi="Courier New"/>
          <w:sz w:val="17"/>
          <w:szCs w:val="17"/>
          <w:color w:val="auto"/>
        </w:rPr>
        <w:t>(11.3) 23.7</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7"/>
          <w:szCs w:val="17"/>
          <w:color w:val="auto"/>
        </w:rPr>
        <w:t>93.9 ------ -</w:t>
      </w:r>
    </w:p>
    <w:p>
      <w:pPr>
        <w:spacing w:after="0" w:line="5" w:lineRule="exact"/>
        <w:rPr>
          <w:sz w:val="20"/>
          <w:szCs w:val="20"/>
          <w:color w:val="auto"/>
        </w:rPr>
      </w:pPr>
    </w:p>
    <w:p>
      <w:pPr>
        <w:ind w:left="664" w:hanging="613"/>
        <w:spacing w:after="0"/>
        <w:tabs>
          <w:tab w:leader="none" w:pos="664" w:val="left"/>
        </w:tabs>
        <w:numPr>
          <w:ilvl w:val="1"/>
          <w:numId w:val="1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20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Income</w:t>
      </w:r>
    </w:p>
    <w:p>
      <w:pPr>
        <w:spacing w:after="0" w:line="5" w:lineRule="exact"/>
        <w:rPr>
          <w:rFonts w:ascii="Courier New" w:cs="Courier New" w:eastAsia="Courier New" w:hAnsi="Courier New"/>
          <w:sz w:val="17"/>
          <w:szCs w:val="17"/>
          <w:color w:val="auto"/>
        </w:rPr>
      </w:pPr>
    </w:p>
    <w:p>
      <w:pPr>
        <w:jc w:val="center"/>
        <w:ind w:left="4" w:right="881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(loss) before income taxes 84.0 88.9 (4.2) (52.4) 116.3 Income taxes (benefit) 10.9 33.9 (1.6) 43.2 --</w:t>
      </w:r>
    </w:p>
    <w:p>
      <w:pPr>
        <w:spacing w:after="0" w:line="5" w:lineRule="exact"/>
        <w:rPr>
          <w:rFonts w:ascii="Courier New" w:cs="Courier New" w:eastAsia="Courier New" w:hAnsi="Courier New"/>
          <w:sz w:val="17"/>
          <w:szCs w:val="17"/>
          <w:color w:val="auto"/>
        </w:rPr>
      </w:pPr>
    </w:p>
    <w:p>
      <w:pPr>
        <w:ind w:left="524" w:hanging="524"/>
        <w:spacing w:after="0"/>
        <w:tabs>
          <w:tab w:leader="none" w:pos="524" w:val="left"/>
        </w:tabs>
        <w:numPr>
          <w:ilvl w:val="0"/>
          <w:numId w:val="1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64" w:hanging="613"/>
        <w:spacing w:after="0"/>
        <w:tabs>
          <w:tab w:leader="none" w:pos="664" w:val="left"/>
        </w:tabs>
        <w:numPr>
          <w:ilvl w:val="1"/>
          <w:numId w:val="1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jc w:val="center"/>
        <w:ind w:left="4" w:right="8819" w:firstLine="51"/>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Net income (loss) $ 73.1 $ 55.0 $ (2.6) $(52.4) $ 73.1 ======</w:t>
      </w:r>
    </w:p>
    <w:p>
      <w:pPr>
        <w:spacing w:after="0" w:line="3" w:lineRule="exact"/>
        <w:rPr>
          <w:rFonts w:ascii="Courier New" w:cs="Courier New" w:eastAsia="Courier New" w:hAnsi="Courier New"/>
          <w:sz w:val="17"/>
          <w:szCs w:val="17"/>
          <w:color w:val="auto"/>
        </w:rPr>
      </w:pPr>
    </w:p>
    <w:p>
      <w:pPr>
        <w:ind w:left="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36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6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left="3864"/>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ind w:left="3964"/>
        <w:spacing w:after="0"/>
        <w:rPr>
          <w:sz w:val="20"/>
          <w:szCs w:val="20"/>
          <w:color w:val="auto"/>
        </w:rPr>
      </w:pPr>
      <w:r>
        <w:rPr>
          <w:rFonts w:ascii="Courier New" w:cs="Courier New" w:eastAsia="Courier New" w:hAnsi="Courier New"/>
          <w:sz w:val="17"/>
          <w:szCs w:val="17"/>
          <w:color w:val="auto"/>
        </w:rPr>
        <w:t>79</w:t>
      </w:r>
    </w:p>
    <w:p>
      <w:pPr>
        <w:sectPr>
          <w:pgSz w:w="11900" w:h="16838" w:orient="portrait"/>
          <w:cols w:equalWidth="0" w:num="1">
            <w:col w:w="10163"/>
          </w:cols>
          <w:pgMar w:left="296" w:top="142" w:right="1440" w:bottom="1440" w:gutter="0" w:footer="0" w:header="0"/>
        </w:sectPr>
      </w:pPr>
    </w:p>
    <w:bookmarkStart w:id="136" w:name="page137"/>
    <w:bookmarkEnd w:id="136"/>
    <w:p>
      <w:pPr>
        <w:ind w:left="3200"/>
        <w:spacing w:after="0"/>
        <w:rPr>
          <w:sz w:val="20"/>
          <w:szCs w:val="20"/>
          <w:color w:val="auto"/>
        </w:rPr>
      </w:pPr>
      <w:r>
        <w:rPr>
          <w:rFonts w:ascii="Courier New" w:cs="Courier New" w:eastAsia="Courier New" w:hAnsi="Courier New"/>
          <w:sz w:val="17"/>
          <w:szCs w:val="17"/>
          <w:color w:val="auto"/>
        </w:rPr>
        <w:t>THE SCOTTS COMPANY</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STATEMENT OF CASH FLOWS</w:t>
      </w:r>
    </w:p>
    <w:p>
      <w:pPr>
        <w:spacing w:after="0" w:line="5" w:lineRule="exact"/>
        <w:rPr>
          <w:sz w:val="20"/>
          <w:szCs w:val="20"/>
          <w:color w:val="auto"/>
        </w:rPr>
      </w:pPr>
    </w:p>
    <w:p>
      <w:pPr>
        <w:jc w:val="right"/>
        <w:ind w:right="3839"/>
        <w:spacing w:after="0"/>
        <w:rPr>
          <w:sz w:val="20"/>
          <w:szCs w:val="20"/>
          <w:color w:val="auto"/>
        </w:rPr>
      </w:pPr>
      <w:r>
        <w:rPr>
          <w:rFonts w:ascii="Courier New" w:cs="Courier New" w:eastAsia="Courier New" w:hAnsi="Courier New"/>
          <w:sz w:val="17"/>
          <w:szCs w:val="17"/>
          <w:color w:val="auto"/>
        </w:rPr>
        <w:t>FOR THE FISCAL YEAR ENDED SEPTEMBER 30, 2000</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(IN MILLIONS)</w:t>
      </w:r>
    </w:p>
    <w:p>
      <w:pPr>
        <w:spacing w:after="0" w:line="203"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Subsidiary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Non- Parent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Guarantors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Guarantors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Eliminations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Consolidated</w:t>
      </w:r>
    </w:p>
    <w:p>
      <w:pPr>
        <w:spacing w:after="0" w:line="5" w:lineRule="exact"/>
        <w:rPr>
          <w:sz w:val="20"/>
          <w:szCs w:val="20"/>
          <w:color w:val="auto"/>
        </w:rPr>
      </w:pPr>
    </w:p>
    <w:p>
      <w:pPr>
        <w:ind w:left="260" w:hanging="207"/>
        <w:spacing w:after="0"/>
        <w:tabs>
          <w:tab w:leader="none" w:pos="260" w:val="left"/>
        </w:tabs>
        <w:numPr>
          <w:ilvl w:val="0"/>
          <w:numId w:val="1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jc w:val="center"/>
        <w:ind w:right="8979" w:firstLine="47"/>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CASH FLOWS FROM OPERATING ACTIVITIES Net income $73.1 $ 55.0 $ (2.6) $(52.4) $73.1 Adjustments to reconcile net income to net cash provided by operating activities: Depreciation 16.0 8.0</w:t>
      </w:r>
    </w:p>
    <w:p>
      <w:pPr>
        <w:spacing w:after="0" w:line="200" w:lineRule="exact"/>
        <w:rPr>
          <w:rFonts w:ascii="Courier New" w:cs="Courier New" w:eastAsia="Courier New" w:hAnsi="Courier New"/>
          <w:sz w:val="17"/>
          <w:szCs w:val="17"/>
          <w:color w:val="auto"/>
        </w:rPr>
      </w:pPr>
    </w:p>
    <w:p>
      <w:pPr>
        <w:spacing w:after="0" w:line="206"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5.0 29.0</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Amortization</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5.6 16.5</w:t>
      </w:r>
    </w:p>
    <w:p>
      <w:pPr>
        <w:spacing w:after="0" w:line="5" w:lineRule="exact"/>
        <w:rPr>
          <w:rFonts w:ascii="Courier New" w:cs="Courier New" w:eastAsia="Courier New" w:hAnsi="Courier New"/>
          <w:sz w:val="17"/>
          <w:szCs w:val="17"/>
          <w:color w:val="auto"/>
        </w:rPr>
      </w:pPr>
    </w:p>
    <w:p>
      <w:pPr>
        <w:jc w:val="both"/>
        <w:ind w:left="100" w:right="9079" w:firstLine="103"/>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9.9 32.0 Deferred taxes 7.5 7.5 Equity income in</w:t>
      </w:r>
    </w:p>
    <w:p>
      <w:pPr>
        <w:spacing w:after="0" w:line="2"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non-</w:t>
      </w:r>
    </w:p>
    <w:p>
      <w:pPr>
        <w:spacing w:after="0" w:line="5" w:lineRule="exact"/>
        <w:rPr>
          <w:rFonts w:ascii="Courier New" w:cs="Courier New" w:eastAsia="Courier New" w:hAnsi="Courier New"/>
          <w:sz w:val="17"/>
          <w:szCs w:val="17"/>
          <w:color w:val="auto"/>
        </w:rPr>
      </w:pPr>
    </w:p>
    <w:p>
      <w:pPr>
        <w:jc w:val="center"/>
        <w:ind w:right="8979" w:firstLine="9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guarantors (52.4) 52.4 Loss on sale of fixed assets 0.6 1.8 2.0 4.4 Gain on sale of business (4.6) (4.6) Changes in assets and liabilities, net of acquired businesses: Accounts receivable 48.3 (43.5) 1.6 6.4 Inventories (18.2) 12.5 11.5 5.8 Prepaid and other current assets (13.0) 1.2 2.6 (9.2) Accounts</w:t>
      </w:r>
    </w:p>
    <w:p>
      <w:pPr>
        <w:sectPr>
          <w:pgSz w:w="11900" w:h="16838" w:orient="portrait"/>
          <w:cols w:equalWidth="0" w:num="1">
            <w:col w:w="10219"/>
          </w:cols>
          <w:pgMar w:left="240" w:top="709" w:right="1440" w:bottom="139" w:gutter="0" w:footer="0" w:header="0"/>
        </w:sectPr>
      </w:pPr>
    </w:p>
    <w:bookmarkStart w:id="137" w:name="page138"/>
    <w:bookmarkEnd w:id="137"/>
    <w:p>
      <w:pPr>
        <w:jc w:val="center"/>
        <w:ind w:right="8979"/>
        <w:spacing w:after="0"/>
        <w:rPr>
          <w:sz w:val="20"/>
          <w:szCs w:val="20"/>
          <w:color w:val="auto"/>
        </w:rPr>
      </w:pPr>
      <w:r>
        <w:rPr>
          <w:rFonts w:ascii="Courier New" w:cs="Courier New" w:eastAsia="Courier New" w:hAnsi="Courier New"/>
          <w:sz w:val="17"/>
          <w:szCs w:val="17"/>
          <w:color w:val="auto"/>
        </w:rPr>
        <w:t>payable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(5.0) 17.9</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6.5 19.4</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Accrued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taxes and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other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liabilities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51.5 (12.7)</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(16.3) 22.5</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Other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assets</w:t>
      </w:r>
    </w:p>
    <w:p>
      <w:pPr>
        <w:spacing w:after="0" w:line="5" w:lineRule="exact"/>
        <w:rPr>
          <w:sz w:val="20"/>
          <w:szCs w:val="20"/>
          <w:color w:val="auto"/>
        </w:rPr>
      </w:pPr>
    </w:p>
    <w:tbl>
      <w:tblPr>
        <w:tblLayout w:type="fixed"/>
        <w:tblInd w:w="60" w:type="dxa"/>
        <w:tblCellMar>
          <w:top w:w="0" w:type="dxa"/>
          <w:left w:w="0" w:type="dxa"/>
          <w:bottom w:w="0" w:type="dxa"/>
          <w:right w:w="0" w:type="dxa"/>
        </w:tblCellMar>
      </w:tblPr>
      <w:tr>
        <w:trPr>
          <w:trHeight w:val="193"/>
        </w:trPr>
        <w:tc>
          <w:tcPr>
            <w:tcW w:w="11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7"/>
              </w:rPr>
              <w:t>(1.8) (6.5)</w:t>
            </w:r>
          </w:p>
        </w:tc>
      </w:tr>
      <w:tr>
        <w:trPr>
          <w:trHeight w:val="198"/>
        </w:trPr>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3.6</w:t>
            </w:r>
          </w:p>
        </w:tc>
        <w:tc>
          <w:tcPr>
            <w:tcW w:w="6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(4.7)</w:t>
            </w:r>
          </w:p>
        </w:tc>
      </w:tr>
      <w:tr>
        <w:trPr>
          <w:trHeight w:val="198"/>
        </w:trPr>
        <w:tc>
          <w:tcPr>
            <w:tcW w:w="112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Other</w:t>
            </w:r>
          </w:p>
        </w:tc>
      </w:tr>
    </w:tbl>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liabilities</w:t>
      </w:r>
    </w:p>
    <w:p>
      <w:pPr>
        <w:spacing w:after="0" w:line="5" w:lineRule="exact"/>
        <w:rPr>
          <w:sz w:val="20"/>
          <w:szCs w:val="20"/>
          <w:color w:val="auto"/>
        </w:rPr>
      </w:pPr>
    </w:p>
    <w:tbl>
      <w:tblPr>
        <w:tblLayout w:type="fixed"/>
        <w:tblInd w:w="60" w:type="dxa"/>
        <w:tblCellMar>
          <w:top w:w="0" w:type="dxa"/>
          <w:left w:w="0" w:type="dxa"/>
          <w:bottom w:w="0" w:type="dxa"/>
          <w:right w:w="0" w:type="dxa"/>
        </w:tblCellMar>
      </w:tblPr>
      <w:tr>
        <w:trPr>
          <w:trHeight w:val="193"/>
        </w:trPr>
        <w:tc>
          <w:tcPr>
            <w:tcW w:w="500" w:type="dxa"/>
            <w:vAlign w:val="bottom"/>
          </w:tcPr>
          <w:p>
            <w:pPr>
              <w:ind w:left="100"/>
              <w:spacing w:after="0"/>
              <w:rPr>
                <w:sz w:val="20"/>
                <w:szCs w:val="20"/>
                <w:color w:val="auto"/>
              </w:rPr>
            </w:pPr>
            <w:r>
              <w:rPr>
                <w:rFonts w:ascii="Courier New" w:cs="Courier New" w:eastAsia="Courier New" w:hAnsi="Courier New"/>
                <w:sz w:val="17"/>
                <w:szCs w:val="17"/>
                <w:color w:val="auto"/>
              </w:rPr>
              <w:t>3.1</w:t>
            </w:r>
          </w:p>
        </w:tc>
        <w:tc>
          <w:tcPr>
            <w:tcW w:w="62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w w:val="97"/>
              </w:rPr>
              <w:t>(1.0)</w:t>
            </w:r>
          </w:p>
        </w:tc>
      </w:tr>
      <w:tr>
        <w:trPr>
          <w:trHeight w:val="198"/>
        </w:trPr>
        <w:tc>
          <w:tcPr>
            <w:tcW w:w="500" w:type="dxa"/>
            <w:vAlign w:val="bottom"/>
          </w:tcPr>
          <w:p>
            <w:pPr>
              <w:spacing w:after="0"/>
              <w:rPr>
                <w:sz w:val="20"/>
                <w:szCs w:val="20"/>
                <w:color w:val="auto"/>
              </w:rPr>
            </w:pPr>
            <w:r>
              <w:rPr>
                <w:rFonts w:ascii="Courier New" w:cs="Courier New" w:eastAsia="Courier New" w:hAnsi="Courier New"/>
                <w:sz w:val="17"/>
                <w:szCs w:val="17"/>
                <w:color w:val="auto"/>
                <w:w w:val="94"/>
              </w:rPr>
              <w:t>(8.5)</w:t>
            </w: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w w:val="94"/>
              </w:rPr>
              <w:t>(6.4)</w:t>
            </w:r>
          </w:p>
        </w:tc>
      </w:tr>
      <w:tr>
        <w:trPr>
          <w:trHeight w:val="198"/>
        </w:trPr>
        <w:tc>
          <w:tcPr>
            <w:tcW w:w="112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Other, net</w:t>
            </w:r>
          </w:p>
        </w:tc>
      </w:tr>
      <w:tr>
        <w:trPr>
          <w:trHeight w:val="198"/>
        </w:trPr>
        <w:tc>
          <w:tcPr>
            <w:tcW w:w="62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7"/>
              </w:rPr>
              <w:t>(4.9)</w:t>
            </w:r>
          </w:p>
        </w:tc>
        <w:tc>
          <w:tcPr>
            <w:tcW w:w="5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1.5</w:t>
            </w:r>
          </w:p>
        </w:tc>
      </w:tr>
      <w:tr>
        <w:trPr>
          <w:trHeight w:val="198"/>
        </w:trPr>
        <w:tc>
          <w:tcPr>
            <w:tcW w:w="500" w:type="dxa"/>
            <w:vAlign w:val="bottom"/>
          </w:tcPr>
          <w:p>
            <w:pPr>
              <w:spacing w:after="0"/>
              <w:rPr>
                <w:sz w:val="20"/>
                <w:szCs w:val="20"/>
                <w:color w:val="auto"/>
              </w:rPr>
            </w:pPr>
            <w:r>
              <w:rPr>
                <w:rFonts w:ascii="Courier New" w:cs="Courier New" w:eastAsia="Courier New" w:hAnsi="Courier New"/>
                <w:sz w:val="17"/>
                <w:szCs w:val="17"/>
                <w:color w:val="auto"/>
                <w:w w:val="94"/>
              </w:rPr>
              <w:t>(0.3)</w:t>
            </w: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w w:val="94"/>
              </w:rPr>
              <w:t>(3.7)</w:t>
            </w:r>
          </w:p>
        </w:tc>
      </w:tr>
      <w:tr>
        <w:trPr>
          <w:trHeight w:val="198"/>
        </w:trPr>
        <w:tc>
          <w:tcPr>
            <w:tcW w:w="620" w:type="dxa"/>
            <w:vAlign w:val="bottom"/>
            <w:gridSpan w:val="2"/>
          </w:tcPr>
          <w:p>
            <w:pPr>
              <w:spacing w:after="0"/>
              <w:rPr>
                <w:sz w:val="20"/>
                <w:szCs w:val="20"/>
                <w:color w:val="auto"/>
              </w:rPr>
            </w:pPr>
            <w:r>
              <w:rPr>
                <w:rFonts w:ascii="Courier New" w:cs="Courier New" w:eastAsia="Courier New" w:hAnsi="Courier New"/>
                <w:sz w:val="17"/>
                <w:szCs w:val="17"/>
                <w:color w:val="auto"/>
                <w:w w:val="97"/>
              </w:rPr>
              <w:t>------</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5" w:lineRule="exact"/>
        <w:rPr>
          <w:sz w:val="20"/>
          <w:szCs w:val="20"/>
          <w:color w:val="auto"/>
        </w:rPr>
      </w:pPr>
    </w:p>
    <w:p>
      <w:pPr>
        <w:ind w:left="360" w:hanging="307"/>
        <w:spacing w:after="0"/>
        <w:tabs>
          <w:tab w:leader="none" w:pos="360" w:val="left"/>
        </w:tabs>
        <w:numPr>
          <w:ilvl w:val="0"/>
          <w:numId w:val="1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Net cash</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provided by</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operating</w:t>
      </w:r>
    </w:p>
    <w:p>
      <w:pPr>
        <w:spacing w:after="0" w:line="5" w:lineRule="exact"/>
        <w:rPr>
          <w:rFonts w:ascii="Courier New" w:cs="Courier New" w:eastAsia="Courier New" w:hAnsi="Courier New"/>
          <w:sz w:val="17"/>
          <w:szCs w:val="17"/>
          <w:color w:val="auto"/>
        </w:rPr>
      </w:pPr>
    </w:p>
    <w:p>
      <w:pPr>
        <w:jc w:val="both"/>
        <w:ind w:left="100" w:right="90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activities 105.8 50.7 15.0 171.5</w:t>
      </w:r>
    </w:p>
    <w:p>
      <w:pPr>
        <w:spacing w:after="0" w:line="1"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360" w:hanging="307"/>
        <w:spacing w:after="0"/>
        <w:tabs>
          <w:tab w:leader="none" w:pos="360" w:val="left"/>
        </w:tabs>
        <w:numPr>
          <w:ilvl w:val="0"/>
          <w:numId w:val="1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CASH FLOWS</w:t>
      </w:r>
    </w:p>
    <w:p>
      <w:pPr>
        <w:spacing w:after="0" w:line="5"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FROM</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INVESTING</w:t>
      </w:r>
    </w:p>
    <w:p>
      <w:pPr>
        <w:spacing w:after="0" w:line="5" w:lineRule="exact"/>
        <w:rPr>
          <w:rFonts w:ascii="Courier New" w:cs="Courier New" w:eastAsia="Courier New" w:hAnsi="Courier New"/>
          <w:sz w:val="17"/>
          <w:szCs w:val="17"/>
          <w:color w:val="auto"/>
        </w:rPr>
      </w:pPr>
    </w:p>
    <w:p>
      <w:pPr>
        <w:jc w:val="center"/>
        <w:ind w:left="100" w:right="90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ACTIVITIES Investment in property, plant and equipment (53.2) (9.0) (10.3)</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(72.5)</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Proceeds</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from sale</w:t>
      </w:r>
    </w:p>
    <w:p>
      <w:pPr>
        <w:spacing w:after="0" w:line="5" w:lineRule="exact"/>
        <w:rPr>
          <w:rFonts w:ascii="Courier New" w:cs="Courier New" w:eastAsia="Courier New" w:hAnsi="Courier New"/>
          <w:sz w:val="17"/>
          <w:szCs w:val="17"/>
          <w:color w:val="auto"/>
        </w:rPr>
      </w:pP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of</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equipment</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1.8 1.8</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Investments</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 non-</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guarantors</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(11.8)</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(4.1) (2.4)</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(18.3)</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Repayments</w:t>
      </w:r>
    </w:p>
    <w:p>
      <w:pPr>
        <w:spacing w:after="0" w:line="5" w:lineRule="exact"/>
        <w:rPr>
          <w:rFonts w:ascii="Courier New" w:cs="Courier New" w:eastAsia="Courier New" w:hAnsi="Courier New"/>
          <w:sz w:val="17"/>
          <w:szCs w:val="17"/>
          <w:color w:val="auto"/>
        </w:rPr>
      </w:pPr>
    </w:p>
    <w:p>
      <w:pPr>
        <w:jc w:val="center"/>
        <w:ind w:left="60" w:right="9039" w:firstLine="103"/>
        <w:spacing w:after="0" w:line="262"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of seller notes 7.0 (8.0) (1.0) Other net 0.5 0.5 ---</w:t>
      </w:r>
    </w:p>
    <w:p>
      <w:pPr>
        <w:ind w:left="520" w:hanging="415"/>
        <w:spacing w:after="0"/>
        <w:tabs>
          <w:tab w:leader="none" w:pos="520" w:val="left"/>
        </w:tabs>
        <w:numPr>
          <w:ilvl w:val="1"/>
          <w:numId w:val="1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Net cash</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used in</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investing</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activities</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(57.5)</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(13.1)</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(18.9)</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(89.5) ----</w:t>
      </w:r>
    </w:p>
    <w:p>
      <w:pPr>
        <w:spacing w:after="0" w:line="5" w:lineRule="exact"/>
        <w:rPr>
          <w:rFonts w:ascii="Courier New" w:cs="Courier New" w:eastAsia="Courier New" w:hAnsi="Courier New"/>
          <w:sz w:val="17"/>
          <w:szCs w:val="17"/>
          <w:color w:val="auto"/>
        </w:rPr>
      </w:pPr>
    </w:p>
    <w:p>
      <w:pPr>
        <w:ind w:left="360" w:hanging="307"/>
        <w:spacing w:after="0"/>
        <w:tabs>
          <w:tab w:leader="none" w:pos="360" w:val="left"/>
        </w:tabs>
        <w:numPr>
          <w:ilvl w:val="0"/>
          <w:numId w:val="1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CASH FLOWS</w:t>
      </w:r>
    </w:p>
    <w:p>
      <w:pPr>
        <w:spacing w:after="0" w:line="5"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FROM</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FINANCING</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ACTIVITIES</w:t>
      </w:r>
    </w:p>
    <w:p>
      <w:pPr>
        <w:spacing w:after="0" w:line="5" w:lineRule="exact"/>
        <w:rPr>
          <w:rFonts w:ascii="Courier New" w:cs="Courier New" w:eastAsia="Courier New" w:hAnsi="Courier New"/>
          <w:sz w:val="17"/>
          <w:szCs w:val="17"/>
          <w:color w:val="auto"/>
        </w:rPr>
      </w:pPr>
    </w:p>
    <w:p>
      <w:pPr>
        <w:ind w:left="4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Net</w:t>
      </w:r>
    </w:p>
    <w:p>
      <w:pPr>
        <w:spacing w:after="0" w:line="5" w:lineRule="exact"/>
        <w:rPr>
          <w:rFonts w:ascii="Courier New" w:cs="Courier New" w:eastAsia="Courier New" w:hAnsi="Courier New"/>
          <w:sz w:val="17"/>
          <w:szCs w:val="17"/>
          <w:color w:val="auto"/>
        </w:rPr>
      </w:pPr>
    </w:p>
    <w:p>
      <w:pPr>
        <w:jc w:val="center"/>
        <w:ind w:left="100" w:right="8979" w:hanging="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(repayments) borrowings</w:t>
      </w:r>
    </w:p>
    <w:p>
      <w:pPr>
        <w:sectPr>
          <w:pgSz w:w="11900" w:h="16838" w:orient="portrait"/>
          <w:cols w:equalWidth="0" w:num="1">
            <w:col w:w="10219"/>
          </w:cols>
          <w:pgMar w:left="240" w:top="142" w:right="1440" w:bottom="0" w:gutter="0" w:footer="0" w:header="0"/>
        </w:sectPr>
      </w:pPr>
    </w:p>
    <w:bookmarkStart w:id="138" w:name="page139"/>
    <w:bookmarkEnd w:id="138"/>
    <w:p>
      <w:pPr>
        <w:jc w:val="center"/>
        <w:ind w:right="8979"/>
        <w:spacing w:after="0"/>
        <w:rPr>
          <w:sz w:val="20"/>
          <w:szCs w:val="20"/>
          <w:color w:val="auto"/>
        </w:rPr>
      </w:pPr>
      <w:r>
        <w:rPr>
          <w:rFonts w:ascii="Courier New" w:cs="Courier New" w:eastAsia="Courier New" w:hAnsi="Courier New"/>
          <w:sz w:val="17"/>
          <w:szCs w:val="17"/>
          <w:color w:val="auto"/>
        </w:rPr>
        <w:t>under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revolving</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and bank</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lines of</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credit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(48.2) 4.5</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(7.0)</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(50.7)</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Dividends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on Class A</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Convertible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Preferred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Stock (6.4)</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(6.4)</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Repurchase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of treasury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shares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(23.9)</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(23.9) Cash</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received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from</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exercise of</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stock</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options 2.8</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2.8</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Intercompany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financing</w:t>
      </w:r>
    </w:p>
    <w:p>
      <w:pPr>
        <w:spacing w:after="0" w:line="5" w:lineRule="exact"/>
        <w:rPr>
          <w:sz w:val="20"/>
          <w:szCs w:val="20"/>
          <w:color w:val="auto"/>
        </w:rPr>
      </w:pPr>
    </w:p>
    <w:tbl>
      <w:tblPr>
        <w:tblLayout w:type="fixed"/>
        <w:tblInd w:w="60" w:type="dxa"/>
        <w:tblCellMar>
          <w:top w:w="0" w:type="dxa"/>
          <w:left w:w="0" w:type="dxa"/>
          <w:bottom w:w="0" w:type="dxa"/>
          <w:right w:w="0" w:type="dxa"/>
        </w:tblCellMar>
      </w:tblPr>
      <w:tr>
        <w:trPr>
          <w:trHeight w:val="193"/>
        </w:trPr>
        <w:tc>
          <w:tcPr>
            <w:tcW w:w="500" w:type="dxa"/>
            <w:vAlign w:val="bottom"/>
          </w:tcPr>
          <w:p>
            <w:pPr>
              <w:spacing w:after="0"/>
              <w:rPr>
                <w:sz w:val="20"/>
                <w:szCs w:val="20"/>
                <w:color w:val="auto"/>
              </w:rPr>
            </w:pPr>
            <w:r>
              <w:rPr>
                <w:rFonts w:ascii="Courier New" w:cs="Courier New" w:eastAsia="Courier New" w:hAnsi="Courier New"/>
                <w:sz w:val="17"/>
                <w:szCs w:val="17"/>
                <w:color w:val="auto"/>
              </w:rPr>
              <w:t>34.9</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w w:val="97"/>
              </w:rPr>
              <w:t>(45.8)</w:t>
            </w:r>
          </w:p>
        </w:tc>
      </w:tr>
      <w:tr>
        <w:trPr>
          <w:trHeight w:val="198"/>
        </w:trPr>
        <w:tc>
          <w:tcPr>
            <w:tcW w:w="500" w:type="dxa"/>
            <w:vAlign w:val="bottom"/>
          </w:tcPr>
          <w:p>
            <w:pPr>
              <w:spacing w:after="0"/>
              <w:rPr>
                <w:sz w:val="20"/>
                <w:szCs w:val="20"/>
                <w:color w:val="auto"/>
              </w:rPr>
            </w:pPr>
            <w:r>
              <w:rPr>
                <w:rFonts w:ascii="Courier New" w:cs="Courier New" w:eastAsia="Courier New" w:hAnsi="Courier New"/>
                <w:sz w:val="17"/>
                <w:szCs w:val="17"/>
                <w:color w:val="auto"/>
              </w:rPr>
              <w:t>10.9</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r>
      <w:tr>
        <w:trPr>
          <w:trHeight w:val="198"/>
        </w:trPr>
        <w:tc>
          <w:tcPr>
            <w:tcW w:w="500" w:type="dxa"/>
            <w:vAlign w:val="bottom"/>
          </w:tcPr>
          <w:p>
            <w:pPr>
              <w:spacing w:after="0"/>
              <w:rPr>
                <w:sz w:val="20"/>
                <w:szCs w:val="20"/>
                <w:color w:val="auto"/>
              </w:rPr>
            </w:pPr>
            <w:r>
              <w:rPr>
                <w:rFonts w:ascii="Courier New" w:cs="Courier New" w:eastAsia="Courier New" w:hAnsi="Courier New"/>
                <w:sz w:val="17"/>
                <w:szCs w:val="17"/>
                <w:color w:val="auto"/>
                <w:w w:val="78"/>
              </w:rPr>
              <w:t>------</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5" w:lineRule="exact"/>
        <w:rPr>
          <w:sz w:val="20"/>
          <w:szCs w:val="20"/>
          <w:color w:val="auto"/>
        </w:rPr>
      </w:pPr>
    </w:p>
    <w:p>
      <w:pPr>
        <w:ind w:left="360" w:hanging="307"/>
        <w:spacing w:after="0"/>
        <w:tabs>
          <w:tab w:leader="none" w:pos="360" w:val="left"/>
        </w:tabs>
        <w:numPr>
          <w:ilvl w:val="0"/>
          <w:numId w:val="1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jc w:val="right"/>
        <w:ind w:left="160" w:right="9139" w:firstLine="47"/>
        <w:spacing w:after="0" w:line="246" w:lineRule="auto"/>
        <w:tabs>
          <w:tab w:leader="none" w:pos="726" w:val="left"/>
        </w:tabs>
        <w:numPr>
          <w:ilvl w:val="1"/>
          <w:numId w:val="1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Net cash used</w:t>
      </w:r>
    </w:p>
    <w:p>
      <w:pPr>
        <w:spacing w:after="0" w:line="1" w:lineRule="exact"/>
        <w:rPr>
          <w:rFonts w:ascii="Courier New" w:cs="Courier New" w:eastAsia="Courier New" w:hAnsi="Courier New"/>
          <w:sz w:val="17"/>
          <w:szCs w:val="17"/>
          <w:color w:val="auto"/>
        </w:rPr>
      </w:pP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financing</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activities</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(40.8)</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(41.3) 3.9</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(78.2)</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Effect of</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exchange</w:t>
      </w:r>
    </w:p>
    <w:p>
      <w:pPr>
        <w:spacing w:after="0" w:line="5"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rate</w:t>
      </w:r>
    </w:p>
    <w:p>
      <w:pPr>
        <w:spacing w:after="0" w:line="5" w:lineRule="exact"/>
        <w:rPr>
          <w:rFonts w:ascii="Courier New" w:cs="Courier New" w:eastAsia="Courier New" w:hAnsi="Courier New"/>
          <w:sz w:val="17"/>
          <w:szCs w:val="17"/>
          <w:color w:val="auto"/>
        </w:rPr>
      </w:pPr>
    </w:p>
    <w:p>
      <w:pPr>
        <w:jc w:val="both"/>
        <w:ind w:left="100" w:right="90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changes on cash (1.1)</w:t>
      </w:r>
    </w:p>
    <w:p>
      <w:pPr>
        <w:spacing w:after="0" w:line="1"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(1.1) -----</w:t>
      </w:r>
    </w:p>
    <w:p>
      <w:pPr>
        <w:spacing w:after="0" w:line="5" w:lineRule="exact"/>
        <w:rPr>
          <w:sz w:val="20"/>
          <w:szCs w:val="20"/>
          <w:color w:val="auto"/>
        </w:rPr>
      </w:pPr>
    </w:p>
    <w:p>
      <w:pPr>
        <w:ind w:left="260" w:hanging="207"/>
        <w:spacing w:after="0"/>
        <w:tabs>
          <w:tab w:leader="none" w:pos="260" w:val="left"/>
        </w:tabs>
        <w:numPr>
          <w:ilvl w:val="0"/>
          <w:numId w:val="1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jc w:val="right"/>
        <w:ind w:left="200" w:right="9139" w:hanging="44"/>
        <w:spacing w:after="0" w:line="246" w:lineRule="auto"/>
        <w:tabs>
          <w:tab w:leader="none" w:pos="766" w:val="left"/>
        </w:tabs>
        <w:numPr>
          <w:ilvl w:val="1"/>
          <w:numId w:val="1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Net increase</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(decrease)</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in cash 7.5</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(3.7) (1.1)</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2.7 Cash</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and cash</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equivalents,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beginning</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of period</w:t>
      </w:r>
    </w:p>
    <w:p>
      <w:pPr>
        <w:spacing w:after="0" w:line="5" w:lineRule="exact"/>
        <w:rPr>
          <w:sz w:val="20"/>
          <w:szCs w:val="20"/>
          <w:color w:val="auto"/>
        </w:rPr>
      </w:pPr>
    </w:p>
    <w:tbl>
      <w:tblPr>
        <w:tblLayout w:type="fixed"/>
        <w:tblInd w:w="60" w:type="dxa"/>
        <w:tblCellMar>
          <w:top w:w="0" w:type="dxa"/>
          <w:left w:w="0" w:type="dxa"/>
          <w:bottom w:w="0" w:type="dxa"/>
          <w:right w:w="0" w:type="dxa"/>
        </w:tblCellMar>
      </w:tblPr>
      <w:tr>
        <w:trPr>
          <w:trHeight w:val="193"/>
        </w:trPr>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8.5</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3.1</w:t>
            </w:r>
          </w:p>
        </w:tc>
        <w:tc>
          <w:tcPr>
            <w:tcW w:w="140" w:type="dxa"/>
            <w:vAlign w:val="bottom"/>
          </w:tcPr>
          <w:p>
            <w:pPr>
              <w:spacing w:after="0"/>
              <w:rPr>
                <w:sz w:val="16"/>
                <w:szCs w:val="16"/>
                <w:color w:val="auto"/>
              </w:rPr>
            </w:pPr>
          </w:p>
        </w:tc>
      </w:tr>
      <w:tr>
        <w:trPr>
          <w:trHeight w:val="198"/>
        </w:trPr>
        <w:tc>
          <w:tcPr>
            <w:tcW w:w="98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7"/>
              </w:rPr>
              <w:t>18.7 30.3</w:t>
            </w:r>
          </w:p>
        </w:tc>
        <w:tc>
          <w:tcPr>
            <w:tcW w:w="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260" w:hanging="207"/>
        <w:spacing w:after="0"/>
        <w:tabs>
          <w:tab w:leader="none" w:pos="260" w:val="left"/>
        </w:tabs>
        <w:numPr>
          <w:ilvl w:val="0"/>
          <w:numId w:val="1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20" w:hanging="515"/>
        <w:spacing w:after="0"/>
        <w:tabs>
          <w:tab w:leader="none" w:pos="620" w:val="left"/>
        </w:tabs>
        <w:numPr>
          <w:ilvl w:val="1"/>
          <w:numId w:val="1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Cash and</w:t>
      </w:r>
    </w:p>
    <w:p>
      <w:pPr>
        <w:spacing w:after="0" w:line="5"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cash</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equivalents,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end of</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period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$16.0 $</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(0.6) $</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17.6 $ 0.0</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$33.0</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80</w:t>
      </w:r>
    </w:p>
    <w:p>
      <w:pPr>
        <w:sectPr>
          <w:pgSz w:w="11900" w:h="16838" w:orient="portrait"/>
          <w:cols w:equalWidth="0" w:num="1">
            <w:col w:w="10219"/>
          </w:cols>
          <w:pgMar w:left="240" w:top="142" w:right="1440" w:bottom="299" w:gutter="0" w:footer="0" w:header="0"/>
        </w:sectPr>
      </w:pPr>
    </w:p>
    <w:bookmarkStart w:id="139" w:name="page140"/>
    <w:bookmarkEnd w:id="139"/>
    <w:p>
      <w:pPr>
        <w:ind w:left="3146"/>
        <w:spacing w:after="0"/>
        <w:rPr>
          <w:sz w:val="20"/>
          <w:szCs w:val="20"/>
          <w:color w:val="auto"/>
        </w:rPr>
      </w:pPr>
      <w:r>
        <w:rPr>
          <w:rFonts w:ascii="Courier New" w:cs="Courier New" w:eastAsia="Courier New" w:hAnsi="Courier New"/>
          <w:sz w:val="17"/>
          <w:szCs w:val="17"/>
          <w:color w:val="auto"/>
        </w:rPr>
        <w:t>THE SCOTTS COMPANY</w:t>
      </w:r>
    </w:p>
    <w:p>
      <w:pPr>
        <w:spacing w:after="0" w:line="5" w:lineRule="exact"/>
        <w:rPr>
          <w:sz w:val="20"/>
          <w:szCs w:val="20"/>
          <w:color w:val="auto"/>
        </w:rPr>
      </w:pPr>
    </w:p>
    <w:p>
      <w:pPr>
        <w:ind w:left="3346"/>
        <w:spacing w:after="0"/>
        <w:rPr>
          <w:sz w:val="20"/>
          <w:szCs w:val="20"/>
          <w:color w:val="auto"/>
        </w:rPr>
      </w:pPr>
      <w:r>
        <w:rPr>
          <w:rFonts w:ascii="Courier New" w:cs="Courier New" w:eastAsia="Courier New" w:hAnsi="Courier New"/>
          <w:sz w:val="17"/>
          <w:szCs w:val="17"/>
          <w:color w:val="auto"/>
        </w:rPr>
        <w:t>BALANCE SHEET</w:t>
      </w:r>
    </w:p>
    <w:p>
      <w:pPr>
        <w:spacing w:after="0" w:line="5" w:lineRule="exact"/>
        <w:rPr>
          <w:sz w:val="20"/>
          <w:szCs w:val="20"/>
          <w:color w:val="auto"/>
        </w:rPr>
      </w:pPr>
    </w:p>
    <w:p>
      <w:pPr>
        <w:ind w:left="2826"/>
        <w:spacing w:after="0"/>
        <w:rPr>
          <w:sz w:val="20"/>
          <w:szCs w:val="20"/>
          <w:color w:val="auto"/>
        </w:rPr>
      </w:pPr>
      <w:r>
        <w:rPr>
          <w:rFonts w:ascii="Courier New" w:cs="Courier New" w:eastAsia="Courier New" w:hAnsi="Courier New"/>
          <w:sz w:val="17"/>
          <w:szCs w:val="17"/>
          <w:color w:val="auto"/>
        </w:rPr>
        <w:t>AS OF SEPTEMBER 30, 2000</w:t>
      </w:r>
    </w:p>
    <w:p>
      <w:pPr>
        <w:spacing w:after="0" w:line="5" w:lineRule="exact"/>
        <w:rPr>
          <w:sz w:val="20"/>
          <w:szCs w:val="20"/>
          <w:color w:val="auto"/>
        </w:rPr>
      </w:pPr>
    </w:p>
    <w:p>
      <w:pPr>
        <w:jc w:val="right"/>
        <w:ind w:right="3939"/>
        <w:spacing w:after="0"/>
        <w:rPr>
          <w:sz w:val="20"/>
          <w:szCs w:val="20"/>
          <w:color w:val="auto"/>
        </w:rPr>
      </w:pPr>
      <w:r>
        <w:rPr>
          <w:rFonts w:ascii="Courier New" w:cs="Courier New" w:eastAsia="Courier New" w:hAnsi="Courier New"/>
          <w:sz w:val="17"/>
          <w:szCs w:val="17"/>
          <w:color w:val="auto"/>
        </w:rPr>
        <w:t>(IN MILLIONS, EXCEPT PER SHARE INFORMATION)</w:t>
      </w:r>
    </w:p>
    <w:p>
      <w:pPr>
        <w:spacing w:after="0" w:line="203" w:lineRule="exact"/>
        <w:rPr>
          <w:sz w:val="20"/>
          <w:szCs w:val="20"/>
          <w:color w:val="auto"/>
        </w:rPr>
      </w:pPr>
    </w:p>
    <w:p>
      <w:pPr>
        <w:jc w:val="center"/>
        <w:ind w:right="8933"/>
        <w:spacing w:after="0"/>
        <w:rPr>
          <w:sz w:val="20"/>
          <w:szCs w:val="20"/>
          <w:color w:val="auto"/>
        </w:rPr>
      </w:pPr>
      <w:r>
        <w:rPr>
          <w:rFonts w:ascii="Courier New" w:cs="Courier New" w:eastAsia="Courier New" w:hAnsi="Courier New"/>
          <w:sz w:val="17"/>
          <w:szCs w:val="17"/>
          <w:color w:val="auto"/>
        </w:rPr>
        <w:t>Subsidiary</w:t>
      </w:r>
    </w:p>
    <w:p>
      <w:pPr>
        <w:spacing w:after="0" w:line="5" w:lineRule="exact"/>
        <w:rPr>
          <w:sz w:val="20"/>
          <w:szCs w:val="20"/>
          <w:color w:val="auto"/>
        </w:rPr>
      </w:pPr>
    </w:p>
    <w:p>
      <w:pPr>
        <w:jc w:val="center"/>
        <w:ind w:right="8933"/>
        <w:spacing w:after="0"/>
        <w:rPr>
          <w:sz w:val="20"/>
          <w:szCs w:val="20"/>
          <w:color w:val="auto"/>
        </w:rPr>
      </w:pPr>
      <w:r>
        <w:rPr>
          <w:rFonts w:ascii="Courier New" w:cs="Courier New" w:eastAsia="Courier New" w:hAnsi="Courier New"/>
          <w:sz w:val="17"/>
          <w:szCs w:val="17"/>
          <w:color w:val="auto"/>
        </w:rPr>
        <w:t>Non- Parent</w:t>
      </w:r>
    </w:p>
    <w:p>
      <w:pPr>
        <w:spacing w:after="0" w:line="5" w:lineRule="exact"/>
        <w:rPr>
          <w:sz w:val="20"/>
          <w:szCs w:val="20"/>
          <w:color w:val="auto"/>
        </w:rPr>
      </w:pPr>
    </w:p>
    <w:p>
      <w:pPr>
        <w:jc w:val="center"/>
        <w:ind w:right="8933"/>
        <w:spacing w:after="0"/>
        <w:rPr>
          <w:sz w:val="20"/>
          <w:szCs w:val="20"/>
          <w:color w:val="auto"/>
        </w:rPr>
      </w:pPr>
      <w:r>
        <w:rPr>
          <w:rFonts w:ascii="Courier New" w:cs="Courier New" w:eastAsia="Courier New" w:hAnsi="Courier New"/>
          <w:sz w:val="17"/>
          <w:szCs w:val="17"/>
          <w:color w:val="auto"/>
        </w:rPr>
        <w:t>Guarantors</w:t>
      </w:r>
    </w:p>
    <w:p>
      <w:pPr>
        <w:spacing w:after="0" w:line="5" w:lineRule="exact"/>
        <w:rPr>
          <w:sz w:val="20"/>
          <w:szCs w:val="20"/>
          <w:color w:val="auto"/>
        </w:rPr>
      </w:pPr>
    </w:p>
    <w:p>
      <w:pPr>
        <w:jc w:val="center"/>
        <w:ind w:right="8933"/>
        <w:spacing w:after="0"/>
        <w:rPr>
          <w:sz w:val="20"/>
          <w:szCs w:val="20"/>
          <w:color w:val="auto"/>
        </w:rPr>
      </w:pPr>
      <w:r>
        <w:rPr>
          <w:rFonts w:ascii="Courier New" w:cs="Courier New" w:eastAsia="Courier New" w:hAnsi="Courier New"/>
          <w:sz w:val="17"/>
          <w:szCs w:val="17"/>
          <w:color w:val="auto"/>
        </w:rPr>
        <w:t>Guarantors</w:t>
      </w:r>
    </w:p>
    <w:p>
      <w:pPr>
        <w:spacing w:after="0" w:line="5" w:lineRule="exact"/>
        <w:rPr>
          <w:sz w:val="20"/>
          <w:szCs w:val="20"/>
          <w:color w:val="auto"/>
        </w:rPr>
      </w:pPr>
    </w:p>
    <w:p>
      <w:pPr>
        <w:jc w:val="center"/>
        <w:ind w:right="8933"/>
        <w:spacing w:after="0"/>
        <w:rPr>
          <w:sz w:val="20"/>
          <w:szCs w:val="20"/>
          <w:color w:val="auto"/>
        </w:rPr>
      </w:pPr>
      <w:r>
        <w:rPr>
          <w:rFonts w:ascii="Courier New" w:cs="Courier New" w:eastAsia="Courier New" w:hAnsi="Courier New"/>
          <w:sz w:val="16"/>
          <w:szCs w:val="16"/>
          <w:color w:val="auto"/>
        </w:rPr>
        <w:t>Eliminations</w:t>
      </w:r>
    </w:p>
    <w:p>
      <w:pPr>
        <w:spacing w:after="0" w:line="17" w:lineRule="exact"/>
        <w:rPr>
          <w:sz w:val="20"/>
          <w:szCs w:val="20"/>
          <w:color w:val="auto"/>
        </w:rPr>
      </w:pPr>
    </w:p>
    <w:p>
      <w:pPr>
        <w:jc w:val="center"/>
        <w:ind w:right="8933"/>
        <w:spacing w:after="0"/>
        <w:rPr>
          <w:sz w:val="20"/>
          <w:szCs w:val="20"/>
          <w:color w:val="auto"/>
        </w:rPr>
      </w:pPr>
      <w:r>
        <w:rPr>
          <w:rFonts w:ascii="Courier New" w:cs="Courier New" w:eastAsia="Courier New" w:hAnsi="Courier New"/>
          <w:sz w:val="16"/>
          <w:szCs w:val="16"/>
          <w:color w:val="auto"/>
        </w:rPr>
        <w:t>Consolidated</w:t>
      </w:r>
    </w:p>
    <w:p>
      <w:pPr>
        <w:spacing w:after="0" w:line="17" w:lineRule="exact"/>
        <w:rPr>
          <w:sz w:val="20"/>
          <w:szCs w:val="20"/>
          <w:color w:val="auto"/>
        </w:rPr>
      </w:pPr>
    </w:p>
    <w:p>
      <w:pPr>
        <w:ind w:left="206" w:hanging="206"/>
        <w:spacing w:after="0"/>
        <w:tabs>
          <w:tab w:leader="none" w:pos="206" w:val="left"/>
        </w:tabs>
        <w:numPr>
          <w:ilvl w:val="0"/>
          <w:numId w:val="1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6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30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ASSETS</w:t>
      </w:r>
    </w:p>
    <w:p>
      <w:pPr>
        <w:spacing w:after="0" w:line="5" w:lineRule="exact"/>
        <w:rPr>
          <w:rFonts w:ascii="Courier New" w:cs="Courier New" w:eastAsia="Courier New" w:hAnsi="Courier New"/>
          <w:sz w:val="17"/>
          <w:szCs w:val="17"/>
          <w:color w:val="auto"/>
        </w:rPr>
      </w:pPr>
    </w:p>
    <w:p>
      <w:pPr>
        <w:ind w:left="26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Current</w:t>
      </w:r>
    </w:p>
    <w:p>
      <w:pPr>
        <w:spacing w:after="0" w:line="5" w:lineRule="exact"/>
        <w:rPr>
          <w:rFonts w:ascii="Courier New" w:cs="Courier New" w:eastAsia="Courier New" w:hAnsi="Courier New"/>
          <w:sz w:val="17"/>
          <w:szCs w:val="17"/>
          <w:color w:val="auto"/>
        </w:rPr>
      </w:pPr>
    </w:p>
    <w:p>
      <w:pPr>
        <w:ind w:left="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Assets: Cash</w:t>
      </w:r>
    </w:p>
    <w:p>
      <w:pPr>
        <w:spacing w:after="0" w:line="5" w:lineRule="exact"/>
        <w:rPr>
          <w:rFonts w:ascii="Courier New" w:cs="Courier New" w:eastAsia="Courier New" w:hAnsi="Courier New"/>
          <w:sz w:val="17"/>
          <w:szCs w:val="17"/>
          <w:color w:val="auto"/>
        </w:rPr>
      </w:pPr>
    </w:p>
    <w:p>
      <w:pPr>
        <w:ind w:left="20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$ 16.0 $</w:t>
      </w:r>
    </w:p>
    <w:p>
      <w:pPr>
        <w:spacing w:after="0" w:line="5" w:lineRule="exact"/>
        <w:rPr>
          <w:rFonts w:ascii="Courier New" w:cs="Courier New" w:eastAsia="Courier New" w:hAnsi="Courier New"/>
          <w:sz w:val="17"/>
          <w:szCs w:val="17"/>
          <w:color w:val="auto"/>
        </w:rPr>
      </w:pPr>
    </w:p>
    <w:p>
      <w:pPr>
        <w:ind w:left="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(0.6) $ 17.6</w:t>
      </w:r>
    </w:p>
    <w:p>
      <w:pPr>
        <w:spacing w:after="0" w:line="5" w:lineRule="exact"/>
        <w:rPr>
          <w:rFonts w:ascii="Courier New" w:cs="Courier New" w:eastAsia="Courier New" w:hAnsi="Courier New"/>
          <w:sz w:val="17"/>
          <w:szCs w:val="17"/>
          <w:color w:val="auto"/>
        </w:rPr>
      </w:pPr>
    </w:p>
    <w:p>
      <w:pPr>
        <w:jc w:val="center"/>
        <w:ind w:left="6" w:right="8939" w:firstLine="206"/>
        <w:spacing w:after="0" w:line="262"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 $ 33.0 Accounts receivable, net 103.2 42.7 70.1 216.0 Inventories, net 189.6 54.7 63.2 307.5 Current deferred tax asset 26.1 0.5 (1.5) 25.1 Prepaid and other assets 42.2 1.1 19.0 62.3 -------</w:t>
      </w:r>
    </w:p>
    <w:p>
      <w:pPr>
        <w:spacing w:after="0" w:line="2" w:lineRule="exact"/>
        <w:rPr>
          <w:rFonts w:ascii="Courier New" w:cs="Courier New" w:eastAsia="Courier New" w:hAnsi="Courier New"/>
          <w:sz w:val="17"/>
          <w:szCs w:val="17"/>
          <w:color w:val="auto"/>
        </w:rPr>
      </w:pPr>
    </w:p>
    <w:p>
      <w:pPr>
        <w:ind w:left="206" w:hanging="206"/>
        <w:spacing w:after="0"/>
        <w:tabs>
          <w:tab w:leader="none" w:pos="206" w:val="left"/>
        </w:tabs>
        <w:numPr>
          <w:ilvl w:val="0"/>
          <w:numId w:val="1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306" w:hanging="203"/>
        <w:spacing w:after="0"/>
        <w:tabs>
          <w:tab w:leader="none" w:pos="306" w:val="left"/>
        </w:tabs>
        <w:numPr>
          <w:ilvl w:val="1"/>
          <w:numId w:val="1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913"/>
        <w:spacing w:after="0"/>
        <w:rPr>
          <w:sz w:val="20"/>
          <w:szCs w:val="20"/>
          <w:color w:val="auto"/>
        </w:rPr>
      </w:pPr>
      <w:r>
        <w:rPr>
          <w:rFonts w:ascii="Courier New" w:cs="Courier New" w:eastAsia="Courier New" w:hAnsi="Courier New"/>
          <w:sz w:val="17"/>
          <w:szCs w:val="17"/>
          <w:color w:val="auto"/>
        </w:rPr>
        <w:t>Total</w:t>
      </w:r>
    </w:p>
    <w:p>
      <w:pPr>
        <w:spacing w:after="0" w:line="5" w:lineRule="exact"/>
        <w:rPr>
          <w:sz w:val="20"/>
          <w:szCs w:val="20"/>
          <w:color w:val="auto"/>
        </w:rPr>
      </w:pPr>
    </w:p>
    <w:p>
      <w:pPr>
        <w:jc w:val="center"/>
        <w:ind w:right="8913"/>
        <w:spacing w:after="0"/>
        <w:rPr>
          <w:sz w:val="20"/>
          <w:szCs w:val="20"/>
          <w:color w:val="auto"/>
        </w:rPr>
      </w:pPr>
      <w:r>
        <w:rPr>
          <w:rFonts w:ascii="Courier New" w:cs="Courier New" w:eastAsia="Courier New" w:hAnsi="Courier New"/>
          <w:sz w:val="17"/>
          <w:szCs w:val="17"/>
          <w:color w:val="auto"/>
        </w:rPr>
        <w:t>current</w:t>
      </w:r>
    </w:p>
    <w:p>
      <w:pPr>
        <w:spacing w:after="0" w:line="5" w:lineRule="exact"/>
        <w:rPr>
          <w:sz w:val="20"/>
          <w:szCs w:val="20"/>
          <w:color w:val="auto"/>
        </w:rPr>
      </w:pPr>
    </w:p>
    <w:p>
      <w:pPr>
        <w:jc w:val="center"/>
        <w:ind w:right="8913"/>
        <w:spacing w:after="0"/>
        <w:rPr>
          <w:sz w:val="20"/>
          <w:szCs w:val="20"/>
          <w:color w:val="auto"/>
        </w:rPr>
      </w:pPr>
      <w:r>
        <w:rPr>
          <w:rFonts w:ascii="Courier New" w:cs="Courier New" w:eastAsia="Courier New" w:hAnsi="Courier New"/>
          <w:sz w:val="17"/>
          <w:szCs w:val="17"/>
          <w:color w:val="auto"/>
        </w:rPr>
        <w:t>assets 377.1</w:t>
      </w:r>
    </w:p>
    <w:p>
      <w:pPr>
        <w:spacing w:after="0" w:line="5" w:lineRule="exact"/>
        <w:rPr>
          <w:sz w:val="20"/>
          <w:szCs w:val="20"/>
          <w:color w:val="auto"/>
        </w:rPr>
      </w:pPr>
    </w:p>
    <w:p>
      <w:pPr>
        <w:jc w:val="center"/>
        <w:ind w:right="8933"/>
        <w:spacing w:after="0"/>
        <w:rPr>
          <w:sz w:val="20"/>
          <w:szCs w:val="20"/>
          <w:color w:val="auto"/>
        </w:rPr>
      </w:pPr>
      <w:r>
        <w:rPr>
          <w:rFonts w:ascii="Courier New" w:cs="Courier New" w:eastAsia="Courier New" w:hAnsi="Courier New"/>
          <w:sz w:val="17"/>
          <w:szCs w:val="17"/>
          <w:color w:val="auto"/>
        </w:rPr>
        <w:t>98.4 168.4</w:t>
      </w:r>
    </w:p>
    <w:p>
      <w:pPr>
        <w:spacing w:after="0" w:line="5" w:lineRule="exact"/>
        <w:rPr>
          <w:sz w:val="20"/>
          <w:szCs w:val="20"/>
          <w:color w:val="auto"/>
        </w:rPr>
      </w:pPr>
    </w:p>
    <w:p>
      <w:pPr>
        <w:jc w:val="center"/>
        <w:ind w:right="8913"/>
        <w:spacing w:after="0"/>
        <w:rPr>
          <w:sz w:val="20"/>
          <w:szCs w:val="20"/>
          <w:color w:val="auto"/>
        </w:rPr>
      </w:pPr>
      <w:r>
        <w:rPr>
          <w:rFonts w:ascii="Courier New" w:cs="Courier New" w:eastAsia="Courier New" w:hAnsi="Courier New"/>
          <w:sz w:val="17"/>
          <w:szCs w:val="17"/>
          <w:color w:val="auto"/>
        </w:rPr>
        <w:t>643.9</w:t>
      </w:r>
    </w:p>
    <w:p>
      <w:pPr>
        <w:spacing w:after="0" w:line="5" w:lineRule="exact"/>
        <w:rPr>
          <w:sz w:val="20"/>
          <w:szCs w:val="20"/>
          <w:color w:val="auto"/>
        </w:rPr>
      </w:pPr>
    </w:p>
    <w:p>
      <w:pPr>
        <w:ind w:left="146"/>
        <w:spacing w:after="0"/>
        <w:rPr>
          <w:sz w:val="20"/>
          <w:szCs w:val="20"/>
          <w:color w:val="auto"/>
        </w:rPr>
      </w:pPr>
      <w:r>
        <w:rPr>
          <w:rFonts w:ascii="Courier New" w:cs="Courier New" w:eastAsia="Courier New" w:hAnsi="Courier New"/>
          <w:sz w:val="17"/>
          <w:szCs w:val="17"/>
          <w:color w:val="auto"/>
        </w:rPr>
        <w:t>Property,</w:t>
      </w:r>
    </w:p>
    <w:p>
      <w:pPr>
        <w:spacing w:after="0" w:line="5" w:lineRule="exact"/>
        <w:rPr>
          <w:sz w:val="20"/>
          <w:szCs w:val="20"/>
          <w:color w:val="auto"/>
        </w:rPr>
      </w:pPr>
    </w:p>
    <w:p>
      <w:pPr>
        <w:ind w:left="146"/>
        <w:spacing w:after="0"/>
        <w:rPr>
          <w:sz w:val="20"/>
          <w:szCs w:val="20"/>
          <w:color w:val="auto"/>
        </w:rPr>
      </w:pPr>
      <w:r>
        <w:rPr>
          <w:rFonts w:ascii="Courier New" w:cs="Courier New" w:eastAsia="Courier New" w:hAnsi="Courier New"/>
          <w:sz w:val="17"/>
          <w:szCs w:val="17"/>
          <w:color w:val="auto"/>
        </w:rPr>
        <w:t>plant and</w:t>
      </w:r>
    </w:p>
    <w:p>
      <w:pPr>
        <w:spacing w:after="0" w:line="5" w:lineRule="exact"/>
        <w:rPr>
          <w:sz w:val="20"/>
          <w:szCs w:val="20"/>
          <w:color w:val="auto"/>
        </w:rPr>
      </w:pPr>
    </w:p>
    <w:p>
      <w:pPr>
        <w:ind w:left="106"/>
        <w:spacing w:after="0"/>
        <w:rPr>
          <w:sz w:val="20"/>
          <w:szCs w:val="20"/>
          <w:color w:val="auto"/>
        </w:rPr>
      </w:pPr>
      <w:r>
        <w:rPr>
          <w:rFonts w:ascii="Courier New" w:cs="Courier New" w:eastAsia="Courier New" w:hAnsi="Courier New"/>
          <w:sz w:val="17"/>
          <w:szCs w:val="17"/>
          <w:color w:val="auto"/>
        </w:rPr>
        <w:t>equipment,</w:t>
      </w:r>
    </w:p>
    <w:p>
      <w:pPr>
        <w:spacing w:after="0" w:line="5" w:lineRule="exact"/>
        <w:rPr>
          <w:sz w:val="20"/>
          <w:szCs w:val="20"/>
          <w:color w:val="auto"/>
        </w:rPr>
      </w:pPr>
    </w:p>
    <w:p>
      <w:pPr>
        <w:ind w:left="146"/>
        <w:spacing w:after="0"/>
        <w:rPr>
          <w:sz w:val="20"/>
          <w:szCs w:val="20"/>
          <w:color w:val="auto"/>
        </w:rPr>
      </w:pPr>
      <w:r>
        <w:rPr>
          <w:rFonts w:ascii="Courier New" w:cs="Courier New" w:eastAsia="Courier New" w:hAnsi="Courier New"/>
          <w:sz w:val="17"/>
          <w:szCs w:val="17"/>
          <w:color w:val="auto"/>
        </w:rPr>
        <w:t>net 191.8</w:t>
      </w:r>
    </w:p>
    <w:p>
      <w:pPr>
        <w:spacing w:after="0" w:line="5" w:lineRule="exact"/>
        <w:rPr>
          <w:sz w:val="20"/>
          <w:szCs w:val="20"/>
          <w:color w:val="auto"/>
        </w:rPr>
      </w:pPr>
    </w:p>
    <w:p>
      <w:pPr>
        <w:ind w:left="146"/>
        <w:spacing w:after="0"/>
        <w:rPr>
          <w:sz w:val="20"/>
          <w:szCs w:val="20"/>
          <w:color w:val="auto"/>
        </w:rPr>
      </w:pPr>
      <w:r>
        <w:rPr>
          <w:rFonts w:ascii="Courier New" w:cs="Courier New" w:eastAsia="Courier New" w:hAnsi="Courier New"/>
          <w:sz w:val="17"/>
          <w:szCs w:val="17"/>
          <w:color w:val="auto"/>
        </w:rPr>
        <w:t>60.0 38.7</w:t>
      </w:r>
    </w:p>
    <w:p>
      <w:pPr>
        <w:spacing w:after="0" w:line="5" w:lineRule="exact"/>
        <w:rPr>
          <w:sz w:val="20"/>
          <w:szCs w:val="20"/>
          <w:color w:val="auto"/>
        </w:rPr>
      </w:pPr>
    </w:p>
    <w:p>
      <w:pPr>
        <w:jc w:val="center"/>
        <w:ind w:right="8913"/>
        <w:spacing w:after="0"/>
        <w:rPr>
          <w:sz w:val="20"/>
          <w:szCs w:val="20"/>
          <w:color w:val="auto"/>
        </w:rPr>
      </w:pPr>
      <w:r>
        <w:rPr>
          <w:rFonts w:ascii="Courier New" w:cs="Courier New" w:eastAsia="Courier New" w:hAnsi="Courier New"/>
          <w:sz w:val="17"/>
          <w:szCs w:val="17"/>
          <w:color w:val="auto"/>
        </w:rPr>
        <w:t>290.5</w:t>
      </w:r>
    </w:p>
    <w:p>
      <w:pPr>
        <w:spacing w:after="0" w:line="5" w:lineRule="exact"/>
        <w:rPr>
          <w:sz w:val="20"/>
          <w:szCs w:val="20"/>
          <w:color w:val="auto"/>
        </w:rPr>
      </w:pPr>
    </w:p>
    <w:p>
      <w:pPr>
        <w:ind w:left="106"/>
        <w:spacing w:after="0"/>
        <w:rPr>
          <w:sz w:val="20"/>
          <w:szCs w:val="20"/>
          <w:color w:val="auto"/>
        </w:rPr>
      </w:pPr>
      <w:r>
        <w:rPr>
          <w:rFonts w:ascii="Courier New" w:cs="Courier New" w:eastAsia="Courier New" w:hAnsi="Courier New"/>
          <w:sz w:val="17"/>
          <w:szCs w:val="17"/>
          <w:color w:val="auto"/>
        </w:rPr>
        <w:t>Intangible</w:t>
      </w:r>
    </w:p>
    <w:p>
      <w:pPr>
        <w:spacing w:after="0" w:line="5" w:lineRule="exact"/>
        <w:rPr>
          <w:sz w:val="20"/>
          <w:szCs w:val="20"/>
          <w:color w:val="auto"/>
        </w:rPr>
      </w:pPr>
    </w:p>
    <w:p>
      <w:pPr>
        <w:ind w:left="46"/>
        <w:spacing w:after="0"/>
        <w:rPr>
          <w:sz w:val="20"/>
          <w:szCs w:val="20"/>
          <w:color w:val="auto"/>
        </w:rPr>
      </w:pPr>
      <w:r>
        <w:rPr>
          <w:rFonts w:ascii="Courier New" w:cs="Courier New" w:eastAsia="Courier New" w:hAnsi="Courier New"/>
          <w:sz w:val="17"/>
          <w:szCs w:val="17"/>
          <w:color w:val="auto"/>
        </w:rPr>
        <w:t>assets, net</w:t>
      </w:r>
    </w:p>
    <w:p>
      <w:pPr>
        <w:spacing w:after="0" w:line="5" w:lineRule="exact"/>
        <w:rPr>
          <w:sz w:val="20"/>
          <w:szCs w:val="20"/>
          <w:color w:val="auto"/>
        </w:rPr>
      </w:pPr>
    </w:p>
    <w:p>
      <w:pPr>
        <w:ind w:left="106"/>
        <w:spacing w:after="0"/>
        <w:rPr>
          <w:sz w:val="20"/>
          <w:szCs w:val="20"/>
          <w:color w:val="auto"/>
        </w:rPr>
      </w:pPr>
      <w:r>
        <w:rPr>
          <w:rFonts w:ascii="Courier New" w:cs="Courier New" w:eastAsia="Courier New" w:hAnsi="Courier New"/>
          <w:sz w:val="17"/>
          <w:szCs w:val="17"/>
          <w:color w:val="auto"/>
        </w:rPr>
        <w:t>81.1 417.9</w:t>
      </w:r>
    </w:p>
    <w:p>
      <w:pPr>
        <w:spacing w:after="0" w:line="5" w:lineRule="exact"/>
        <w:rPr>
          <w:sz w:val="20"/>
          <w:szCs w:val="20"/>
          <w:color w:val="auto"/>
        </w:rPr>
      </w:pPr>
    </w:p>
    <w:p>
      <w:pPr>
        <w:ind w:left="46"/>
        <w:spacing w:after="0"/>
        <w:rPr>
          <w:sz w:val="20"/>
          <w:szCs w:val="20"/>
          <w:color w:val="auto"/>
        </w:rPr>
      </w:pPr>
      <w:r>
        <w:rPr>
          <w:rFonts w:ascii="Courier New" w:cs="Courier New" w:eastAsia="Courier New" w:hAnsi="Courier New"/>
          <w:sz w:val="17"/>
          <w:szCs w:val="17"/>
          <w:color w:val="auto"/>
        </w:rPr>
        <w:t>244.1 743.1</w:t>
      </w:r>
    </w:p>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7"/>
          <w:szCs w:val="17"/>
          <w:color w:val="auto"/>
        </w:rPr>
        <w:t>Other assets</w:t>
      </w:r>
    </w:p>
    <w:p>
      <w:pPr>
        <w:spacing w:after="0" w:line="5" w:lineRule="exact"/>
        <w:rPr>
          <w:sz w:val="20"/>
          <w:szCs w:val="20"/>
          <w:color w:val="auto"/>
        </w:rPr>
      </w:pPr>
    </w:p>
    <w:tbl>
      <w:tblPr>
        <w:tblLayout w:type="fixed"/>
        <w:tblInd w:w="106" w:type="dxa"/>
        <w:tblCellMar>
          <w:top w:w="0" w:type="dxa"/>
          <w:left w:w="0" w:type="dxa"/>
          <w:bottom w:w="0" w:type="dxa"/>
          <w:right w:w="0" w:type="dxa"/>
        </w:tblCellMar>
      </w:tblPr>
      <w:tr>
        <w:trPr>
          <w:trHeight w:val="193"/>
        </w:trPr>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66.2</w:t>
            </w:r>
          </w:p>
        </w:tc>
        <w:tc>
          <w:tcPr>
            <w:tcW w:w="4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6.5</w:t>
            </w:r>
          </w:p>
        </w:tc>
      </w:tr>
      <w:tr>
        <w:trPr>
          <w:trHeight w:val="198"/>
        </w:trPr>
        <w:tc>
          <w:tcPr>
            <w:tcW w:w="10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11.2 83.9</w:t>
            </w:r>
          </w:p>
        </w:tc>
      </w:tr>
      <w:tr>
        <w:trPr>
          <w:trHeight w:val="198"/>
        </w:trPr>
        <w:tc>
          <w:tcPr>
            <w:tcW w:w="102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99"/>
              </w:rPr>
              <w:t>Investment</w:t>
            </w:r>
          </w:p>
        </w:tc>
      </w:tr>
    </w:tbl>
    <w:p>
      <w:pPr>
        <w:spacing w:after="0" w:line="5" w:lineRule="exact"/>
        <w:rPr>
          <w:sz w:val="20"/>
          <w:szCs w:val="20"/>
          <w:color w:val="auto"/>
        </w:rPr>
      </w:pPr>
    </w:p>
    <w:p>
      <w:pPr>
        <w:jc w:val="center"/>
        <w:ind w:right="8913"/>
        <w:spacing w:after="0"/>
        <w:rPr>
          <w:sz w:val="20"/>
          <w:szCs w:val="20"/>
          <w:color w:val="auto"/>
        </w:rPr>
      </w:pPr>
      <w:r>
        <w:rPr>
          <w:rFonts w:ascii="Courier New" w:cs="Courier New" w:eastAsia="Courier New" w:hAnsi="Courier New"/>
          <w:sz w:val="17"/>
          <w:szCs w:val="17"/>
          <w:color w:val="auto"/>
        </w:rPr>
        <w:t>in</w:t>
      </w:r>
    </w:p>
    <w:p>
      <w:pPr>
        <w:spacing w:after="0" w:line="5" w:lineRule="exact"/>
        <w:rPr>
          <w:sz w:val="20"/>
          <w:szCs w:val="20"/>
          <w:color w:val="auto"/>
        </w:rPr>
      </w:pPr>
    </w:p>
    <w:p>
      <w:pPr>
        <w:jc w:val="center"/>
        <w:ind w:right="8933"/>
        <w:spacing w:after="0"/>
        <w:rPr>
          <w:sz w:val="20"/>
          <w:szCs w:val="20"/>
          <w:color w:val="auto"/>
        </w:rPr>
      </w:pPr>
      <w:r>
        <w:rPr>
          <w:rFonts w:ascii="Courier New" w:cs="Courier New" w:eastAsia="Courier New" w:hAnsi="Courier New"/>
          <w:sz w:val="17"/>
          <w:szCs w:val="17"/>
          <w:color w:val="auto"/>
        </w:rPr>
        <w:t>affiliates</w:t>
      </w:r>
    </w:p>
    <w:p>
      <w:pPr>
        <w:spacing w:after="0" w:line="5" w:lineRule="exact"/>
        <w:rPr>
          <w:sz w:val="20"/>
          <w:szCs w:val="20"/>
          <w:color w:val="auto"/>
        </w:rPr>
      </w:pPr>
    </w:p>
    <w:p>
      <w:pPr>
        <w:jc w:val="center"/>
        <w:ind w:right="8913"/>
        <w:spacing w:after="0"/>
        <w:rPr>
          <w:sz w:val="20"/>
          <w:szCs w:val="20"/>
          <w:color w:val="auto"/>
        </w:rPr>
      </w:pPr>
      <w:r>
        <w:rPr>
          <w:rFonts w:ascii="Courier New" w:cs="Courier New" w:eastAsia="Courier New" w:hAnsi="Courier New"/>
          <w:sz w:val="17"/>
          <w:szCs w:val="17"/>
          <w:color w:val="auto"/>
        </w:rPr>
        <w:t>836.5</w:t>
      </w:r>
    </w:p>
    <w:p>
      <w:pPr>
        <w:spacing w:after="0" w:line="5" w:lineRule="exact"/>
        <w:rPr>
          <w:sz w:val="20"/>
          <w:szCs w:val="20"/>
          <w:color w:val="auto"/>
        </w:rPr>
      </w:pPr>
    </w:p>
    <w:p>
      <w:pPr>
        <w:jc w:val="center"/>
        <w:ind w:right="8913"/>
        <w:spacing w:after="0"/>
        <w:rPr>
          <w:sz w:val="20"/>
          <w:szCs w:val="20"/>
          <w:color w:val="auto"/>
        </w:rPr>
      </w:pPr>
      <w:r>
        <w:rPr>
          <w:rFonts w:ascii="Courier New" w:cs="Courier New" w:eastAsia="Courier New" w:hAnsi="Courier New"/>
          <w:sz w:val="17"/>
          <w:szCs w:val="17"/>
          <w:color w:val="auto"/>
        </w:rPr>
        <w:t>(836.5)</w:t>
      </w:r>
    </w:p>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7"/>
          <w:szCs w:val="17"/>
          <w:color w:val="auto"/>
        </w:rPr>
        <w:t>Intracompany</w:t>
      </w:r>
    </w:p>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7"/>
          <w:szCs w:val="17"/>
          <w:color w:val="auto"/>
        </w:rPr>
        <w:t>assets 246.5</w:t>
      </w:r>
    </w:p>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7"/>
          <w:szCs w:val="17"/>
          <w:color w:val="auto"/>
        </w:rPr>
        <w:t>(246.5) ----</w:t>
      </w:r>
    </w:p>
    <w:p>
      <w:pPr>
        <w:spacing w:after="0" w:line="5" w:lineRule="exact"/>
        <w:rPr>
          <w:sz w:val="20"/>
          <w:szCs w:val="20"/>
          <w:color w:val="auto"/>
        </w:rPr>
      </w:pPr>
    </w:p>
    <w:p>
      <w:pPr>
        <w:ind w:left="566" w:hanging="514"/>
        <w:spacing w:after="0"/>
        <w:tabs>
          <w:tab w:leader="none" w:pos="566" w:val="left"/>
        </w:tabs>
        <w:numPr>
          <w:ilvl w:val="1"/>
          <w:numId w:val="1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506" w:hanging="506"/>
        <w:spacing w:after="0"/>
        <w:tabs>
          <w:tab w:leader="none" w:pos="506" w:val="left"/>
        </w:tabs>
        <w:numPr>
          <w:ilvl w:val="0"/>
          <w:numId w:val="1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6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Total</w:t>
      </w:r>
    </w:p>
    <w:p>
      <w:pPr>
        <w:spacing w:after="0" w:line="5" w:lineRule="exact"/>
        <w:rPr>
          <w:rFonts w:ascii="Courier New" w:cs="Courier New" w:eastAsia="Courier New" w:hAnsi="Courier New"/>
          <w:sz w:val="17"/>
          <w:szCs w:val="17"/>
          <w:color w:val="auto"/>
        </w:rPr>
      </w:pPr>
    </w:p>
    <w:p>
      <w:pPr>
        <w:ind w:left="30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assets</w:t>
      </w:r>
    </w:p>
    <w:p>
      <w:pPr>
        <w:spacing w:after="0" w:line="5" w:lineRule="exact"/>
        <w:rPr>
          <w:rFonts w:ascii="Courier New" w:cs="Courier New" w:eastAsia="Courier New" w:hAnsi="Courier New"/>
          <w:sz w:val="17"/>
          <w:szCs w:val="17"/>
          <w:color w:val="auto"/>
        </w:rPr>
      </w:pPr>
    </w:p>
    <w:p>
      <w:pPr>
        <w:ind w:left="26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1,552.7</w:t>
      </w:r>
    </w:p>
    <w:p>
      <w:pPr>
        <w:spacing w:after="0" w:line="5" w:lineRule="exact"/>
        <w:rPr>
          <w:sz w:val="20"/>
          <w:szCs w:val="20"/>
          <w:color w:val="auto"/>
        </w:rPr>
      </w:pPr>
    </w:p>
    <w:p>
      <w:pPr>
        <w:ind w:left="46"/>
        <w:spacing w:after="0"/>
        <w:rPr>
          <w:sz w:val="20"/>
          <w:szCs w:val="20"/>
          <w:color w:val="auto"/>
        </w:rPr>
      </w:pPr>
      <w:r>
        <w:rPr>
          <w:rFonts w:ascii="Courier New" w:cs="Courier New" w:eastAsia="Courier New" w:hAnsi="Courier New"/>
          <w:sz w:val="17"/>
          <w:szCs w:val="17"/>
          <w:color w:val="auto"/>
        </w:rPr>
        <w:t>829.3 462.4</w:t>
      </w:r>
    </w:p>
    <w:p>
      <w:pPr>
        <w:sectPr>
          <w:pgSz w:w="11900" w:h="16838" w:orient="portrait"/>
          <w:cols w:equalWidth="0" w:num="1">
            <w:col w:w="10165"/>
          </w:cols>
          <w:pgMar w:left="294" w:top="709" w:right="1440" w:bottom="0" w:gutter="0" w:footer="0" w:header="0"/>
        </w:sectPr>
      </w:pPr>
    </w:p>
    <w:bookmarkStart w:id="140" w:name="page141"/>
    <w:bookmarkEnd w:id="140"/>
    <w:p>
      <w:pPr>
        <w:jc w:val="center"/>
        <w:ind w:right="8879"/>
        <w:spacing w:after="0"/>
        <w:rPr>
          <w:sz w:val="20"/>
          <w:szCs w:val="20"/>
          <w:color w:val="auto"/>
        </w:rPr>
      </w:pPr>
      <w:r>
        <w:rPr>
          <w:rFonts w:ascii="Courier New" w:cs="Courier New" w:eastAsia="Courier New" w:hAnsi="Courier New"/>
          <w:sz w:val="17"/>
          <w:szCs w:val="17"/>
          <w:color w:val="auto"/>
        </w:rPr>
        <w:t>(1,083.0)</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1,761.4</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LIABILITIES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AND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SHAREHOLDERS'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EQUITY</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Current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Liabilities: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Short-term</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debt 29.6</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2.6 17.2</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49.4</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Accounts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payable 81.6</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22.7 48.7</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153.0</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Accrued</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liabilities</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119.1 16.9</w:t>
      </w:r>
    </w:p>
    <w:p>
      <w:pPr>
        <w:spacing w:after="0" w:line="5" w:lineRule="exact"/>
        <w:rPr>
          <w:sz w:val="20"/>
          <w:szCs w:val="20"/>
          <w:color w:val="auto"/>
        </w:rPr>
      </w:pPr>
    </w:p>
    <w:tbl>
      <w:tblPr>
        <w:tblLayout w:type="fixed"/>
        <w:tblInd w:w="60" w:type="dxa"/>
        <w:tblCellMar>
          <w:top w:w="0" w:type="dxa"/>
          <w:left w:w="0" w:type="dxa"/>
          <w:bottom w:w="0" w:type="dxa"/>
          <w:right w:w="0" w:type="dxa"/>
        </w:tblCellMar>
      </w:tblPr>
      <w:tr>
        <w:trPr>
          <w:trHeight w:val="193"/>
        </w:trPr>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38.3</w:t>
            </w:r>
          </w:p>
        </w:tc>
        <w:tc>
          <w:tcPr>
            <w:tcW w:w="720" w:type="dxa"/>
            <w:vAlign w:val="bottom"/>
          </w:tcPr>
          <w:p>
            <w:pPr>
              <w:ind w:left="120"/>
              <w:spacing w:after="0"/>
              <w:rPr>
                <w:sz w:val="20"/>
                <w:szCs w:val="20"/>
                <w:color w:val="auto"/>
              </w:rPr>
            </w:pPr>
            <w:r>
              <w:rPr>
                <w:rFonts w:ascii="Courier New" w:cs="Courier New" w:eastAsia="Courier New" w:hAnsi="Courier New"/>
                <w:sz w:val="17"/>
                <w:szCs w:val="17"/>
                <w:color w:val="auto"/>
              </w:rPr>
              <w:t>174.3</w:t>
            </w:r>
          </w:p>
        </w:tc>
      </w:tr>
      <w:tr>
        <w:trPr>
          <w:trHeight w:val="198"/>
        </w:trPr>
        <w:tc>
          <w:tcPr>
            <w:tcW w:w="1220" w:type="dxa"/>
            <w:vAlign w:val="bottom"/>
            <w:gridSpan w:val="2"/>
          </w:tcPr>
          <w:p>
            <w:pPr>
              <w:jc w:val="right"/>
              <w:ind w:right="154"/>
              <w:spacing w:after="0"/>
              <w:rPr>
                <w:sz w:val="20"/>
                <w:szCs w:val="20"/>
                <w:color w:val="auto"/>
              </w:rPr>
            </w:pPr>
            <w:r>
              <w:rPr>
                <w:rFonts w:ascii="Courier New" w:cs="Courier New" w:eastAsia="Courier New" w:hAnsi="Courier New"/>
                <w:sz w:val="17"/>
                <w:szCs w:val="17"/>
                <w:color w:val="auto"/>
              </w:rPr>
              <w:t>Accrued</w:t>
            </w:r>
          </w:p>
        </w:tc>
      </w:tr>
      <w:tr>
        <w:trPr>
          <w:trHeight w:val="198"/>
        </w:trPr>
        <w:tc>
          <w:tcPr>
            <w:tcW w:w="500" w:type="dxa"/>
            <w:vAlign w:val="bottom"/>
          </w:tcPr>
          <w:p>
            <w:pPr>
              <w:jc w:val="right"/>
              <w:spacing w:after="0"/>
              <w:rPr>
                <w:sz w:val="20"/>
                <w:szCs w:val="20"/>
                <w:color w:val="auto"/>
              </w:rPr>
            </w:pPr>
            <w:r>
              <w:rPr>
                <w:rFonts w:ascii="Courier New" w:cs="Courier New" w:eastAsia="Courier New" w:hAnsi="Courier New"/>
                <w:sz w:val="17"/>
                <w:szCs w:val="17"/>
                <w:color w:val="auto"/>
                <w:w w:val="94"/>
              </w:rPr>
              <w:t>taxes</w:t>
            </w:r>
          </w:p>
        </w:tc>
        <w:tc>
          <w:tcPr>
            <w:tcW w:w="720" w:type="dxa"/>
            <w:vAlign w:val="bottom"/>
          </w:tcPr>
          <w:p>
            <w:pPr>
              <w:ind w:left="120"/>
              <w:spacing w:after="0"/>
              <w:rPr>
                <w:sz w:val="20"/>
                <w:szCs w:val="20"/>
                <w:color w:val="auto"/>
              </w:rPr>
            </w:pPr>
            <w:r>
              <w:rPr>
                <w:rFonts w:ascii="Courier New" w:cs="Courier New" w:eastAsia="Courier New" w:hAnsi="Courier New"/>
                <w:sz w:val="17"/>
                <w:szCs w:val="17"/>
                <w:color w:val="auto"/>
                <w:w w:val="94"/>
              </w:rPr>
              <w:t>(12.4)</w:t>
            </w:r>
          </w:p>
        </w:tc>
      </w:tr>
      <w:tr>
        <w:trPr>
          <w:trHeight w:val="198"/>
        </w:trPr>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48.5</w:t>
            </w:r>
          </w:p>
        </w:tc>
        <w:tc>
          <w:tcPr>
            <w:tcW w:w="720" w:type="dxa"/>
            <w:vAlign w:val="bottom"/>
          </w:tcPr>
          <w:p>
            <w:pPr>
              <w:ind w:left="120"/>
              <w:spacing w:after="0"/>
              <w:rPr>
                <w:sz w:val="20"/>
                <w:szCs w:val="20"/>
                <w:color w:val="auto"/>
              </w:rPr>
            </w:pPr>
            <w:r>
              <w:rPr>
                <w:rFonts w:ascii="Courier New" w:cs="Courier New" w:eastAsia="Courier New" w:hAnsi="Courier New"/>
                <w:sz w:val="17"/>
                <w:szCs w:val="17"/>
                <w:color w:val="auto"/>
              </w:rPr>
              <w:t>(3.0)</w:t>
            </w:r>
          </w:p>
        </w:tc>
      </w:tr>
      <w:tr>
        <w:trPr>
          <w:trHeight w:val="198"/>
        </w:trPr>
        <w:tc>
          <w:tcPr>
            <w:tcW w:w="50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3"/>
              </w:rPr>
              <w:t>33.1</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r>
    </w:tbl>
    <w:p>
      <w:pPr>
        <w:spacing w:after="0" w:line="5" w:lineRule="exact"/>
        <w:rPr>
          <w:sz w:val="20"/>
          <w:szCs w:val="20"/>
          <w:color w:val="auto"/>
        </w:rPr>
      </w:pPr>
    </w:p>
    <w:p>
      <w:pPr>
        <w:ind w:left="260" w:hanging="206"/>
        <w:spacing w:after="0"/>
        <w:tabs>
          <w:tab w:leader="none" w:pos="260" w:val="left"/>
        </w:tabs>
        <w:numPr>
          <w:ilvl w:val="0"/>
          <w:numId w:val="1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360" w:hanging="203"/>
        <w:spacing w:after="0"/>
        <w:tabs>
          <w:tab w:leader="none" w:pos="360" w:val="left"/>
        </w:tabs>
        <w:numPr>
          <w:ilvl w:val="0"/>
          <w:numId w:val="1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Total</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current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liabilities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217.9 90.7</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101.2 409.8</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Long-term</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debt 555.2</w:t>
      </w:r>
    </w:p>
    <w:p>
      <w:pPr>
        <w:spacing w:after="0" w:line="5"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5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4.7</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253.5</w:t>
            </w:r>
          </w:p>
        </w:tc>
      </w:tr>
      <w:tr>
        <w:trPr>
          <w:trHeight w:val="198"/>
        </w:trPr>
        <w:tc>
          <w:tcPr>
            <w:tcW w:w="520" w:type="dxa"/>
            <w:vAlign w:val="bottom"/>
          </w:tcPr>
          <w:p>
            <w:pPr>
              <w:jc w:val="right"/>
              <w:spacing w:after="0"/>
              <w:rPr>
                <w:sz w:val="20"/>
                <w:szCs w:val="20"/>
                <w:color w:val="auto"/>
              </w:rPr>
            </w:pPr>
            <w:r>
              <w:rPr>
                <w:rFonts w:ascii="Courier New" w:cs="Courier New" w:eastAsia="Courier New" w:hAnsi="Courier New"/>
                <w:sz w:val="17"/>
                <w:szCs w:val="17"/>
                <w:color w:val="auto"/>
                <w:w w:val="97"/>
              </w:rPr>
              <w:t>813.4</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Other</w:t>
            </w:r>
          </w:p>
        </w:tc>
      </w:tr>
      <w:tr>
        <w:trPr>
          <w:trHeight w:val="198"/>
        </w:trPr>
        <w:tc>
          <w:tcPr>
            <w:tcW w:w="11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9"/>
              </w:rPr>
              <w:t>liabilities</w:t>
            </w:r>
          </w:p>
        </w:tc>
      </w:tr>
      <w:tr>
        <w:trPr>
          <w:trHeight w:val="198"/>
        </w:trPr>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43.8</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16.5</w:t>
            </w:r>
          </w:p>
        </w:tc>
      </w:tr>
      <w:tr>
        <w:trPr>
          <w:trHeight w:val="198"/>
        </w:trPr>
        <w:tc>
          <w:tcPr>
            <w:tcW w:w="114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60.3</w:t>
            </w:r>
          </w:p>
        </w:tc>
      </w:tr>
    </w:tbl>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Intracompany</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liabilities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238.3 8.2</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(246.5) ----</w:t>
      </w:r>
    </w:p>
    <w:p>
      <w:pPr>
        <w:spacing w:after="0" w:line="5" w:lineRule="exact"/>
        <w:rPr>
          <w:sz w:val="20"/>
          <w:szCs w:val="20"/>
          <w:color w:val="auto"/>
        </w:rPr>
      </w:pPr>
    </w:p>
    <w:p>
      <w:pPr>
        <w:ind w:left="620" w:hanging="514"/>
        <w:spacing w:after="0"/>
        <w:tabs>
          <w:tab w:leader="none" w:pos="620" w:val="left"/>
        </w:tabs>
        <w:numPr>
          <w:ilvl w:val="1"/>
          <w:numId w:val="1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560" w:hanging="506"/>
        <w:spacing w:after="0"/>
        <w:tabs>
          <w:tab w:leader="none" w:pos="560" w:val="left"/>
        </w:tabs>
        <w:numPr>
          <w:ilvl w:val="0"/>
          <w:numId w:val="1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Total</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liabilities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1,055.2 95.4</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379.4</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(246.5)</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1,283.5</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Commitments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and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Contingencies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Shareholders'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Equity:</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Preferred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shares, no</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par value,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none issued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Investment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from parent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488.7 59.8</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(548.5)</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Common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shares, no</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par value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share, $.01</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stated value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per share,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31.3 shares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issued in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2000 0.3 0.3</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Capital in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excess of</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stated value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389.3 389.3</w:t>
      </w:r>
    </w:p>
    <w:p>
      <w:pPr>
        <w:sectPr>
          <w:pgSz w:w="11900" w:h="16838" w:orient="portrait"/>
          <w:cols w:equalWidth="0" w:num="1">
            <w:col w:w="10219"/>
          </w:cols>
          <w:pgMar w:left="240" w:top="142" w:right="1440" w:bottom="0" w:gutter="0" w:footer="0" w:header="0"/>
        </w:sectPr>
      </w:pPr>
    </w:p>
    <w:bookmarkStart w:id="141" w:name="page142"/>
    <w:bookmarkEnd w:id="141"/>
    <w:p>
      <w:pPr>
        <w:jc w:val="center"/>
        <w:ind w:right="8879"/>
        <w:spacing w:after="0"/>
        <w:rPr>
          <w:sz w:val="20"/>
          <w:szCs w:val="20"/>
          <w:color w:val="auto"/>
        </w:rPr>
      </w:pPr>
      <w:r>
        <w:rPr>
          <w:rFonts w:ascii="Courier New" w:cs="Courier New" w:eastAsia="Courier New" w:hAnsi="Courier New"/>
          <w:sz w:val="17"/>
          <w:szCs w:val="17"/>
          <w:color w:val="auto"/>
        </w:rPr>
        <w:t>Retained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earnings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196.8 247.3</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40.7 (288.0)</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196.8</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Treasury</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stock at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cost, 3.4</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shares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issued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(83.5)</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(83.5)</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Accumulated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other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comprehensive</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income (5.4)</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(2.1) (17.5)</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(25.0) -----</w:t>
      </w:r>
    </w:p>
    <w:p>
      <w:pPr>
        <w:spacing w:after="0" w:line="5" w:lineRule="exact"/>
        <w:rPr>
          <w:sz w:val="20"/>
          <w:szCs w:val="20"/>
          <w:color w:val="auto"/>
        </w:rPr>
      </w:pPr>
    </w:p>
    <w:p>
      <w:pPr>
        <w:ind w:left="460" w:hanging="406"/>
        <w:spacing w:after="0"/>
        <w:tabs>
          <w:tab w:leader="none" w:pos="460" w:val="left"/>
        </w:tabs>
        <w:numPr>
          <w:ilvl w:val="0"/>
          <w:numId w:val="1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460" w:hanging="406"/>
        <w:spacing w:after="0"/>
        <w:tabs>
          <w:tab w:leader="none" w:pos="460" w:val="left"/>
        </w:tabs>
        <w:numPr>
          <w:ilvl w:val="0"/>
          <w:numId w:val="1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Total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shareholders'</w:t>
      </w:r>
    </w:p>
    <w:p>
      <w:pPr>
        <w:spacing w:after="0" w:line="5" w:lineRule="exact"/>
        <w:rPr>
          <w:sz w:val="20"/>
          <w:szCs w:val="20"/>
          <w:color w:val="auto"/>
        </w:rPr>
      </w:pPr>
    </w:p>
    <w:tbl>
      <w:tblPr>
        <w:tblLayout w:type="fixed"/>
        <w:tblInd w:w="60" w:type="dxa"/>
        <w:tblCellMar>
          <w:top w:w="0" w:type="dxa"/>
          <w:left w:w="0" w:type="dxa"/>
          <w:bottom w:w="0" w:type="dxa"/>
          <w:right w:w="0" w:type="dxa"/>
        </w:tblCellMar>
      </w:tblPr>
      <w:tr>
        <w:trPr>
          <w:trHeight w:val="193"/>
        </w:trPr>
        <w:tc>
          <w:tcPr>
            <w:tcW w:w="620" w:type="dxa"/>
            <w:vAlign w:val="bottom"/>
          </w:tcPr>
          <w:p>
            <w:pPr>
              <w:spacing w:after="0"/>
              <w:rPr>
                <w:sz w:val="20"/>
                <w:szCs w:val="20"/>
                <w:color w:val="auto"/>
              </w:rPr>
            </w:pPr>
            <w:r>
              <w:rPr>
                <w:rFonts w:ascii="Courier New" w:cs="Courier New" w:eastAsia="Courier New" w:hAnsi="Courier New"/>
                <w:sz w:val="17"/>
                <w:szCs w:val="17"/>
                <w:color w:val="auto"/>
                <w:w w:val="97"/>
              </w:rPr>
              <w:t>equity</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497.5</w:t>
            </w:r>
          </w:p>
        </w:tc>
      </w:tr>
      <w:tr>
        <w:trPr>
          <w:trHeight w:val="198"/>
        </w:trPr>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733.9</w:t>
            </w:r>
          </w:p>
        </w:tc>
        <w:tc>
          <w:tcPr>
            <w:tcW w:w="6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83.0</w:t>
            </w:r>
          </w:p>
        </w:tc>
      </w:tr>
      <w:tr>
        <w:trPr>
          <w:trHeight w:val="198"/>
        </w:trPr>
        <w:tc>
          <w:tcPr>
            <w:tcW w:w="1220" w:type="dxa"/>
            <w:vAlign w:val="bottom"/>
            <w:gridSpan w:val="2"/>
          </w:tcPr>
          <w:p>
            <w:pPr>
              <w:jc w:val="right"/>
              <w:ind w:right="154"/>
              <w:spacing w:after="0"/>
              <w:rPr>
                <w:sz w:val="20"/>
                <w:szCs w:val="20"/>
                <w:color w:val="auto"/>
              </w:rPr>
            </w:pPr>
            <w:r>
              <w:rPr>
                <w:rFonts w:ascii="Courier New" w:cs="Courier New" w:eastAsia="Courier New" w:hAnsi="Courier New"/>
                <w:sz w:val="17"/>
                <w:szCs w:val="17"/>
                <w:color w:val="auto"/>
              </w:rPr>
              <w:t>(836.5)</w:t>
            </w:r>
          </w:p>
        </w:tc>
      </w:tr>
      <w:tr>
        <w:trPr>
          <w:trHeight w:val="198"/>
        </w:trPr>
        <w:tc>
          <w:tcPr>
            <w:tcW w:w="620" w:type="dxa"/>
            <w:vAlign w:val="bottom"/>
          </w:tcPr>
          <w:p>
            <w:pPr>
              <w:spacing w:after="0"/>
              <w:rPr>
                <w:sz w:val="20"/>
                <w:szCs w:val="20"/>
                <w:color w:val="auto"/>
              </w:rPr>
            </w:pPr>
            <w:r>
              <w:rPr>
                <w:rFonts w:ascii="Courier New" w:cs="Courier New" w:eastAsia="Courier New" w:hAnsi="Courier New"/>
                <w:sz w:val="17"/>
                <w:szCs w:val="17"/>
                <w:color w:val="auto"/>
              </w:rPr>
              <w:t>477.9</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w w:val="94"/>
              </w:rPr>
              <w:t>------</w:t>
            </w:r>
          </w:p>
        </w:tc>
      </w:tr>
    </w:tbl>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 --</w:t>
      </w:r>
    </w:p>
    <w:p>
      <w:pPr>
        <w:spacing w:after="0" w:line="5" w:lineRule="exact"/>
        <w:rPr>
          <w:sz w:val="20"/>
          <w:szCs w:val="20"/>
          <w:color w:val="auto"/>
        </w:rPr>
      </w:pPr>
    </w:p>
    <w:p>
      <w:pPr>
        <w:ind w:left="560" w:hanging="506"/>
        <w:spacing w:after="0"/>
        <w:tabs>
          <w:tab w:leader="none" w:pos="560" w:val="left"/>
        </w:tabs>
        <w:numPr>
          <w:ilvl w:val="0"/>
          <w:numId w:val="1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Total</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liabilities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and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shareholders'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equity</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$1,552.7</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$829.3</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$462.4</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$(1,083.0)</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$1,761.4</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81</w:t>
      </w:r>
    </w:p>
    <w:p>
      <w:pPr>
        <w:sectPr>
          <w:pgSz w:w="11900" w:h="16838" w:orient="portrait"/>
          <w:cols w:equalWidth="0" w:num="1">
            <w:col w:w="10219"/>
          </w:cols>
          <w:pgMar w:left="240" w:top="142" w:right="1440" w:bottom="1440" w:gutter="0" w:footer="0" w:header="0"/>
        </w:sectPr>
      </w:pPr>
    </w:p>
    <w:bookmarkStart w:id="142" w:name="page143"/>
    <w:bookmarkEnd w:id="142"/>
    <w:p>
      <w:pPr>
        <w:ind w:left="3200"/>
        <w:spacing w:after="0"/>
        <w:rPr>
          <w:sz w:val="20"/>
          <w:szCs w:val="20"/>
          <w:color w:val="auto"/>
        </w:rPr>
      </w:pPr>
      <w:r>
        <w:rPr>
          <w:rFonts w:ascii="Courier New" w:cs="Courier New" w:eastAsia="Courier New" w:hAnsi="Courier New"/>
          <w:sz w:val="17"/>
          <w:szCs w:val="17"/>
          <w:color w:val="auto"/>
        </w:rPr>
        <w:t>THE SCOTTS COMPANY</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STATEMENT OF OPERATIONS</w:t>
      </w:r>
    </w:p>
    <w:p>
      <w:pPr>
        <w:spacing w:after="0" w:line="5" w:lineRule="exact"/>
        <w:rPr>
          <w:sz w:val="20"/>
          <w:szCs w:val="20"/>
          <w:color w:val="auto"/>
        </w:rPr>
      </w:pPr>
    </w:p>
    <w:p>
      <w:pPr>
        <w:jc w:val="right"/>
        <w:ind w:right="3839"/>
        <w:spacing w:after="0"/>
        <w:rPr>
          <w:sz w:val="20"/>
          <w:szCs w:val="20"/>
          <w:color w:val="auto"/>
        </w:rPr>
      </w:pPr>
      <w:r>
        <w:rPr>
          <w:rFonts w:ascii="Courier New" w:cs="Courier New" w:eastAsia="Courier New" w:hAnsi="Courier New"/>
          <w:sz w:val="17"/>
          <w:szCs w:val="17"/>
          <w:color w:val="auto"/>
        </w:rPr>
        <w:t>FOR THE FISCAL YEAR ENDED SEPTEMBER 30, 1999</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(IN MILLIONS)</w:t>
      </w:r>
    </w:p>
    <w:p>
      <w:pPr>
        <w:spacing w:after="0" w:line="203"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Subsidiary</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Non- Parent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Guarantors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Guarantors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Eliminations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Consolidated</w:t>
      </w:r>
    </w:p>
    <w:p>
      <w:pPr>
        <w:spacing w:after="0" w:line="5" w:lineRule="exact"/>
        <w:rPr>
          <w:sz w:val="20"/>
          <w:szCs w:val="20"/>
          <w:color w:val="auto"/>
        </w:rPr>
      </w:pPr>
    </w:p>
    <w:p>
      <w:pPr>
        <w:ind w:left="260" w:hanging="204"/>
        <w:spacing w:after="0"/>
        <w:tabs>
          <w:tab w:leader="none" w:pos="260" w:val="left"/>
        </w:tabs>
        <w:numPr>
          <w:ilvl w:val="0"/>
          <w:numId w:val="1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Net sales</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$731.1 $466.2</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$405.2 $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$1,602.5 Cost</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of sales</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465.2 296.8</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225.3 987.3 -</w:t>
      </w:r>
    </w:p>
    <w:p>
      <w:pPr>
        <w:spacing w:after="0" w:line="5" w:lineRule="exact"/>
        <w:rPr>
          <w:rFonts w:ascii="Courier New" w:cs="Courier New" w:eastAsia="Courier New" w:hAnsi="Courier New"/>
          <w:sz w:val="17"/>
          <w:szCs w:val="17"/>
          <w:color w:val="auto"/>
        </w:rPr>
      </w:pPr>
    </w:p>
    <w:p>
      <w:pPr>
        <w:ind w:left="720" w:hanging="613"/>
        <w:spacing w:after="0"/>
        <w:tabs>
          <w:tab w:leader="none" w:pos="720" w:val="left"/>
        </w:tabs>
        <w:numPr>
          <w:ilvl w:val="1"/>
          <w:numId w:val="1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jc w:val="both"/>
        <w:ind w:left="160" w:right="8879" w:hanging="52"/>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Gross profit 265.9 169.4</w:t>
      </w:r>
    </w:p>
    <w:p>
      <w:pPr>
        <w:spacing w:after="0" w:line="1"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179.9 615.2</w:t>
      </w:r>
    </w:p>
    <w:p>
      <w:pPr>
        <w:spacing w:after="0" w:line="5" w:lineRule="exact"/>
        <w:rPr>
          <w:rFonts w:ascii="Courier New" w:cs="Courier New" w:eastAsia="Courier New" w:hAnsi="Courier New"/>
          <w:sz w:val="17"/>
          <w:szCs w:val="17"/>
          <w:color w:val="auto"/>
        </w:rPr>
      </w:pPr>
    </w:p>
    <w:p>
      <w:pPr>
        <w:ind w:left="4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Gross</w:t>
      </w:r>
    </w:p>
    <w:p>
      <w:pPr>
        <w:spacing w:after="0" w:line="5" w:lineRule="exact"/>
        <w:rPr>
          <w:rFonts w:ascii="Courier New" w:cs="Courier New" w:eastAsia="Courier New" w:hAnsi="Courier New"/>
          <w:sz w:val="17"/>
          <w:szCs w:val="17"/>
          <w:color w:val="auto"/>
        </w:rPr>
      </w:pPr>
    </w:p>
    <w:p>
      <w:pPr>
        <w:jc w:val="center"/>
        <w:ind w:left="60" w:right="8819" w:firstLine="154"/>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commission earned from marketing agreement 28.6 1.7 30.3 Contribution expenses under marketing agreement 1.6 1.6 ------ --</w:t>
      </w:r>
    </w:p>
    <w:p>
      <w:pPr>
        <w:spacing w:after="0" w:line="6"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4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Net</w:t>
      </w:r>
    </w:p>
    <w:p>
      <w:pPr>
        <w:spacing w:after="0" w:line="5" w:lineRule="exact"/>
        <w:rPr>
          <w:rFonts w:ascii="Courier New" w:cs="Courier New" w:eastAsia="Courier New" w:hAnsi="Courier New"/>
          <w:sz w:val="17"/>
          <w:szCs w:val="17"/>
          <w:color w:val="auto"/>
        </w:rPr>
      </w:pPr>
    </w:p>
    <w:p>
      <w:pPr>
        <w:jc w:val="center"/>
        <w:ind w:right="8779" w:firstLine="205"/>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commission earned from marketing agreement 27.0 1.7 28.7 Advertising and promotion 55.0 39.4 48.8 143.2 Selling, general and administrative 156.7 39.6 84.9 281.2 Restructuring and other charges 1.4 1.4 Amortization of goodwill and other intangibles 12.8 4.2 8.6 25.6 Equity income in non-guarantors (55.7) 55.7 Intracompany allocations (12.8) 2.8 10.0 Other income, net</w:t>
      </w:r>
    </w:p>
    <w:p>
      <w:pPr>
        <w:sectPr>
          <w:pgSz w:w="11900" w:h="16838" w:orient="portrait"/>
          <w:cols w:equalWidth="0" w:num="1">
            <w:col w:w="10219"/>
          </w:cols>
          <w:pgMar w:left="240" w:top="709" w:right="1440" w:bottom="140" w:gutter="0" w:footer="0" w:header="0"/>
        </w:sectPr>
      </w:pPr>
    </w:p>
    <w:bookmarkStart w:id="143" w:name="page144"/>
    <w:bookmarkEnd w:id="143"/>
    <w:p>
      <w:pPr>
        <w:jc w:val="center"/>
        <w:ind w:right="8779"/>
        <w:spacing w:after="0"/>
        <w:rPr>
          <w:sz w:val="20"/>
          <w:szCs w:val="20"/>
          <w:color w:val="auto"/>
        </w:rPr>
      </w:pPr>
      <w:r>
        <w:rPr>
          <w:rFonts w:ascii="Courier New" w:cs="Courier New" w:eastAsia="Courier New" w:hAnsi="Courier New"/>
          <w:sz w:val="17"/>
          <w:szCs w:val="17"/>
          <w:color w:val="auto"/>
        </w:rPr>
        <w:t>(3.1) (0.1)</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(0.4) (3.6) -</w:t>
      </w:r>
    </w:p>
    <w:p>
      <w:pPr>
        <w:spacing w:after="0" w:line="5" w:lineRule="exact"/>
        <w:rPr>
          <w:sz w:val="20"/>
          <w:szCs w:val="20"/>
          <w:color w:val="auto"/>
        </w:rPr>
      </w:pPr>
    </w:p>
    <w:p>
      <w:pPr>
        <w:ind w:left="720" w:hanging="613"/>
        <w:spacing w:after="0"/>
        <w:tabs>
          <w:tab w:leader="none" w:pos="720" w:val="left"/>
        </w:tabs>
        <w:numPr>
          <w:ilvl w:val="1"/>
          <w:numId w:val="1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Income (loss)</w:t>
      </w:r>
    </w:p>
    <w:p>
      <w:pPr>
        <w:spacing w:after="0" w:line="5" w:lineRule="exact"/>
        <w:rPr>
          <w:rFonts w:ascii="Courier New" w:cs="Courier New" w:eastAsia="Courier New" w:hAnsi="Courier New"/>
          <w:sz w:val="17"/>
          <w:szCs w:val="17"/>
          <w:color w:val="auto"/>
        </w:rPr>
      </w:pP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from</w:t>
      </w:r>
    </w:p>
    <w:p>
      <w:pPr>
        <w:spacing w:after="0" w:line="5" w:lineRule="exact"/>
        <w:rPr>
          <w:rFonts w:ascii="Courier New" w:cs="Courier New" w:eastAsia="Courier New" w:hAnsi="Courier New"/>
          <w:sz w:val="17"/>
          <w:szCs w:val="17"/>
          <w:color w:val="auto"/>
        </w:rPr>
      </w:pPr>
    </w:p>
    <w:p>
      <w:pPr>
        <w:jc w:val="both"/>
        <w:ind w:left="160" w:right="8919" w:firstLine="52"/>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operations 138.6 83.5 29.7 (55.7)</w:t>
      </w:r>
    </w:p>
    <w:p>
      <w:pPr>
        <w:spacing w:after="0" w:line="1" w:lineRule="exact"/>
        <w:rPr>
          <w:rFonts w:ascii="Courier New" w:cs="Courier New" w:eastAsia="Courier New" w:hAnsi="Courier New"/>
          <w:sz w:val="17"/>
          <w:szCs w:val="17"/>
          <w:color w:val="auto"/>
        </w:rPr>
      </w:pPr>
    </w:p>
    <w:p>
      <w:pPr>
        <w:ind w:left="4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196.1</w:t>
      </w:r>
    </w:p>
    <w:p>
      <w:pPr>
        <w:spacing w:after="0" w:line="5" w:lineRule="exact"/>
        <w:rPr>
          <w:rFonts w:ascii="Courier New" w:cs="Courier New" w:eastAsia="Courier New" w:hAnsi="Courier New"/>
          <w:sz w:val="17"/>
          <w:szCs w:val="17"/>
          <w:color w:val="auto"/>
        </w:rPr>
      </w:pPr>
    </w:p>
    <w:p>
      <w:pPr>
        <w:jc w:val="center"/>
        <w:ind w:left="60" w:right="8819" w:firstLine="257"/>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Interest (income) expense 55.9 23.2 79.1 ---</w:t>
      </w:r>
    </w:p>
    <w:p>
      <w:pPr>
        <w:spacing w:after="0" w:line="2" w:lineRule="exact"/>
        <w:rPr>
          <w:rFonts w:ascii="Courier New" w:cs="Courier New" w:eastAsia="Courier New" w:hAnsi="Courier New"/>
          <w:sz w:val="17"/>
          <w:szCs w:val="17"/>
          <w:color w:val="auto"/>
        </w:rPr>
      </w:pPr>
    </w:p>
    <w:p>
      <w:pPr>
        <w:ind w:left="460" w:hanging="404"/>
        <w:spacing w:after="0"/>
        <w:tabs>
          <w:tab w:leader="none" w:pos="460" w:val="left"/>
        </w:tabs>
        <w:numPr>
          <w:ilvl w:val="0"/>
          <w:numId w:val="1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jc w:val="center"/>
        <w:ind w:left="60" w:right="881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Income (loss) before income taxes 82.7 83.5 6.5 (55.7) 117.0 Income taxes (benefit) 13.6 31.8 2.5</w:t>
      </w:r>
    </w:p>
    <w:p>
      <w:pPr>
        <w:spacing w:after="0" w:line="4"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47.9 ------ -</w:t>
      </w:r>
    </w:p>
    <w:p>
      <w:pPr>
        <w:spacing w:after="0" w:line="5" w:lineRule="exact"/>
        <w:rPr>
          <w:rFonts w:ascii="Courier New" w:cs="Courier New" w:eastAsia="Courier New" w:hAnsi="Courier New"/>
          <w:sz w:val="17"/>
          <w:szCs w:val="17"/>
          <w:color w:val="auto"/>
        </w:rPr>
      </w:pPr>
    </w:p>
    <w:p>
      <w:pPr>
        <w:ind w:left="720" w:hanging="613"/>
        <w:spacing w:after="0"/>
        <w:tabs>
          <w:tab w:leader="none" w:pos="720" w:val="left"/>
        </w:tabs>
        <w:numPr>
          <w:ilvl w:val="1"/>
          <w:numId w:val="1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Income</w:t>
      </w:r>
    </w:p>
    <w:p>
      <w:pPr>
        <w:spacing w:after="0" w:line="5" w:lineRule="exact"/>
        <w:rPr>
          <w:rFonts w:ascii="Courier New" w:cs="Courier New" w:eastAsia="Courier New" w:hAnsi="Courier New"/>
          <w:sz w:val="17"/>
          <w:szCs w:val="17"/>
          <w:color w:val="auto"/>
        </w:rPr>
      </w:pPr>
    </w:p>
    <w:p>
      <w:pPr>
        <w:jc w:val="center"/>
        <w:ind w:right="8779" w:firstLine="50"/>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(loss) before extraordinary item 69.1 51.7 4.0 (55.7) 69.1 Extraordinary loss on early extinguishment of debt, net of income tax benefit 5.9 5.9 ------ --</w:t>
      </w:r>
    </w:p>
    <w:p>
      <w:pPr>
        <w:spacing w:after="0" w:line="7"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jc w:val="center"/>
        <w:ind w:left="60" w:right="8819" w:firstLine="51"/>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Net income (loss) $ 63.2 $ 51.7 $ 4.0 $(55.7) $ 63.2 ======</w:t>
      </w:r>
    </w:p>
    <w:p>
      <w:pPr>
        <w:spacing w:after="0" w:line="2"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82</w:t>
      </w:r>
    </w:p>
    <w:p>
      <w:pPr>
        <w:sectPr>
          <w:pgSz w:w="11900" w:h="16838" w:orient="portrait"/>
          <w:cols w:equalWidth="0" w:num="1">
            <w:col w:w="10219"/>
          </w:cols>
          <w:pgMar w:left="240" w:top="142" w:right="1440" w:bottom="1440" w:gutter="0" w:footer="0" w:header="0"/>
        </w:sectPr>
      </w:pPr>
    </w:p>
    <w:bookmarkStart w:id="144" w:name="page145"/>
    <w:bookmarkEnd w:id="144"/>
    <w:p>
      <w:pPr>
        <w:ind w:left="3144"/>
        <w:spacing w:after="0"/>
        <w:rPr>
          <w:sz w:val="20"/>
          <w:szCs w:val="20"/>
          <w:color w:val="auto"/>
        </w:rPr>
      </w:pPr>
      <w:r>
        <w:rPr>
          <w:rFonts w:ascii="Courier New" w:cs="Courier New" w:eastAsia="Courier New" w:hAnsi="Courier New"/>
          <w:sz w:val="17"/>
          <w:szCs w:val="17"/>
          <w:color w:val="auto"/>
        </w:rPr>
        <w:t>THE SCOTTS COMPANY</w:t>
      </w:r>
    </w:p>
    <w:p>
      <w:pPr>
        <w:spacing w:after="0" w:line="5" w:lineRule="exact"/>
        <w:rPr>
          <w:sz w:val="20"/>
          <w:szCs w:val="20"/>
          <w:color w:val="auto"/>
        </w:rPr>
      </w:pPr>
    </w:p>
    <w:p>
      <w:pPr>
        <w:ind w:left="2824"/>
        <w:spacing w:after="0"/>
        <w:rPr>
          <w:sz w:val="20"/>
          <w:szCs w:val="20"/>
          <w:color w:val="auto"/>
        </w:rPr>
      </w:pPr>
      <w:r>
        <w:rPr>
          <w:rFonts w:ascii="Courier New" w:cs="Courier New" w:eastAsia="Courier New" w:hAnsi="Courier New"/>
          <w:sz w:val="17"/>
          <w:szCs w:val="17"/>
          <w:color w:val="auto"/>
        </w:rPr>
        <w:t>STATEMENT OF CASH FLOWS</w:t>
      </w:r>
    </w:p>
    <w:p>
      <w:pPr>
        <w:spacing w:after="0" w:line="5" w:lineRule="exact"/>
        <w:rPr>
          <w:sz w:val="20"/>
          <w:szCs w:val="20"/>
          <w:color w:val="auto"/>
        </w:rPr>
      </w:pPr>
    </w:p>
    <w:p>
      <w:pPr>
        <w:jc w:val="right"/>
        <w:ind w:right="3839"/>
        <w:spacing w:after="0"/>
        <w:rPr>
          <w:sz w:val="20"/>
          <w:szCs w:val="20"/>
          <w:color w:val="auto"/>
        </w:rPr>
      </w:pPr>
      <w:r>
        <w:rPr>
          <w:rFonts w:ascii="Courier New" w:cs="Courier New" w:eastAsia="Courier New" w:hAnsi="Courier New"/>
          <w:sz w:val="17"/>
          <w:szCs w:val="17"/>
          <w:color w:val="auto"/>
        </w:rPr>
        <w:t>FOR THE FISCAL YEAR ENDED SEPTEMBER 30, 1999</w:t>
      </w:r>
    </w:p>
    <w:p>
      <w:pPr>
        <w:spacing w:after="0" w:line="5" w:lineRule="exact"/>
        <w:rPr>
          <w:sz w:val="20"/>
          <w:szCs w:val="20"/>
          <w:color w:val="auto"/>
        </w:rPr>
      </w:pPr>
    </w:p>
    <w:p>
      <w:pPr>
        <w:ind w:left="3344"/>
        <w:spacing w:after="0"/>
        <w:rPr>
          <w:sz w:val="20"/>
          <w:szCs w:val="20"/>
          <w:color w:val="auto"/>
        </w:rPr>
      </w:pPr>
      <w:r>
        <w:rPr>
          <w:rFonts w:ascii="Courier New" w:cs="Courier New" w:eastAsia="Courier New" w:hAnsi="Courier New"/>
          <w:sz w:val="17"/>
          <w:szCs w:val="17"/>
          <w:color w:val="auto"/>
        </w:rPr>
        <w:t>(IN MILLIONS)</w:t>
      </w:r>
    </w:p>
    <w:p>
      <w:pPr>
        <w:spacing w:after="0" w:line="203"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Subsidiary</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Non- Parent</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Guarantors</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Guarantors</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Eliminations</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Consolidated</w:t>
      </w:r>
    </w:p>
    <w:p>
      <w:pPr>
        <w:spacing w:after="0" w:line="5" w:lineRule="exact"/>
        <w:rPr>
          <w:sz w:val="20"/>
          <w:szCs w:val="20"/>
          <w:color w:val="auto"/>
        </w:rPr>
      </w:pPr>
    </w:p>
    <w:p>
      <w:pPr>
        <w:ind w:left="204" w:hanging="204"/>
        <w:spacing w:after="0"/>
        <w:tabs>
          <w:tab w:leader="none" w:pos="204" w:val="left"/>
        </w:tabs>
        <w:numPr>
          <w:ilvl w:val="0"/>
          <w:numId w:val="1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jc w:val="both"/>
        <w:ind w:left="164" w:right="8979" w:firstLine="42"/>
        <w:spacing w:after="0" w:line="262" w:lineRule="auto"/>
        <w:tabs>
          <w:tab w:leader="none" w:pos="730" w:val="left"/>
        </w:tabs>
        <w:numPr>
          <w:ilvl w:val="1"/>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FLOWS FROM OPERATING ACTIVITIES</w:t>
      </w:r>
    </w:p>
    <w:p>
      <w:pPr>
        <w:jc w:val="center"/>
        <w:ind w:right="8815"/>
        <w:spacing w:after="0"/>
        <w:rPr>
          <w:sz w:val="20"/>
          <w:szCs w:val="20"/>
          <w:color w:val="auto"/>
        </w:rPr>
      </w:pPr>
      <w:r>
        <w:rPr>
          <w:rFonts w:ascii="Courier New" w:cs="Courier New" w:eastAsia="Courier New" w:hAnsi="Courier New"/>
          <w:sz w:val="17"/>
          <w:szCs w:val="17"/>
          <w:color w:val="auto"/>
        </w:rPr>
        <w:t>Net income $</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63.2 $ 51.7 $</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4.0 $(55.7) $</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63.2</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Adjustments</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to reconcile</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net income to</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net cash</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provided by</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operating</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activities:</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Depreciation</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12.9 9.6 6.5</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29.0</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Amortization</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8.8 8.5 9.9</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27.2 Deferred</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taxes 0.5 0.5</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Equity income</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in non-</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guarantors</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(55.7) 55.7</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Extraordinary</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loss 5.9 5.9</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Loss on sale</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of property</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2.7 (1.0) 0.1</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1.8 Changes</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in assets and</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liabilities,</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net of</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acquired</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businesses:</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Accounts</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receivable</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4.1 19.6 23.7</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Inventories</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(27.9) 6.3</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(21.6)</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Prepaid and</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other current</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assets (16.5)</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1.9 (10.6)</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(25.2)</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Accounts</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payable 14.8</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(0.2) (3.9)</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10.7 Accrued</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taxes and</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other</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liabilities</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(11.0) 25.7</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(25.4) (10.7)</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Other assets</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(35.4) 0.7</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(1.2) (35.9)</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Other</w:t>
      </w:r>
    </w:p>
    <w:p>
      <w:pPr>
        <w:sectPr>
          <w:pgSz w:w="11900" w:h="16838" w:orient="portrait"/>
          <w:cols w:equalWidth="0" w:num="1">
            <w:col w:w="10163"/>
          </w:cols>
          <w:pgMar w:left="296" w:top="709" w:right="1440" w:bottom="0" w:gutter="0" w:footer="0" w:header="0"/>
        </w:sectPr>
      </w:pPr>
    </w:p>
    <w:bookmarkStart w:id="145" w:name="page146"/>
    <w:bookmarkEnd w:id="145"/>
    <w:p>
      <w:pPr>
        <w:ind w:left="160"/>
        <w:spacing w:after="0"/>
        <w:rPr>
          <w:sz w:val="20"/>
          <w:szCs w:val="20"/>
          <w:color w:val="auto"/>
        </w:rPr>
      </w:pPr>
      <w:r>
        <w:rPr>
          <w:rFonts w:ascii="Courier New" w:cs="Courier New" w:eastAsia="Courier New" w:hAnsi="Courier New"/>
          <w:sz w:val="17"/>
          <w:szCs w:val="17"/>
          <w:color w:val="auto"/>
        </w:rPr>
        <w:t>liabilities</w:t>
      </w:r>
    </w:p>
    <w:p>
      <w:pPr>
        <w:spacing w:after="0" w:line="5" w:lineRule="exact"/>
        <w:rPr>
          <w:sz w:val="20"/>
          <w:szCs w:val="20"/>
          <w:color w:val="auto"/>
        </w:rPr>
      </w:pPr>
    </w:p>
    <w:tbl>
      <w:tblPr>
        <w:tblLayout w:type="fixed"/>
        <w:tblInd w:w="60" w:type="dxa"/>
        <w:tblCellMar>
          <w:top w:w="0" w:type="dxa"/>
          <w:left w:w="0" w:type="dxa"/>
          <w:bottom w:w="0" w:type="dxa"/>
          <w:right w:w="0" w:type="dxa"/>
        </w:tblCellMar>
      </w:tblPr>
      <w:tr>
        <w:trPr>
          <w:trHeight w:val="193"/>
        </w:trPr>
        <w:tc>
          <w:tcPr>
            <w:tcW w:w="520" w:type="dxa"/>
            <w:vAlign w:val="bottom"/>
          </w:tcPr>
          <w:p>
            <w:pPr>
              <w:ind w:left="200"/>
              <w:spacing w:after="0"/>
              <w:rPr>
                <w:sz w:val="20"/>
                <w:szCs w:val="20"/>
                <w:color w:val="auto"/>
              </w:rPr>
            </w:pPr>
            <w:r>
              <w:rPr>
                <w:rFonts w:ascii="Courier New" w:cs="Courier New" w:eastAsia="Courier New" w:hAnsi="Courier New"/>
                <w:sz w:val="17"/>
                <w:szCs w:val="17"/>
                <w:color w:val="auto"/>
                <w:w w:val="97"/>
              </w:rPr>
              <w:t>9.8</w:t>
            </w:r>
          </w:p>
        </w:tc>
        <w:tc>
          <w:tcPr>
            <w:tcW w:w="82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(3.0)</w:t>
            </w:r>
          </w:p>
        </w:tc>
      </w:tr>
      <w:tr>
        <w:trPr>
          <w:trHeight w:val="198"/>
        </w:trPr>
        <w:tc>
          <w:tcPr>
            <w:tcW w:w="8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(4.6)</w:t>
            </w:r>
          </w:p>
        </w:tc>
        <w:tc>
          <w:tcPr>
            <w:tcW w:w="520" w:type="dxa"/>
            <w:vAlign w:val="bottom"/>
          </w:tcPr>
          <w:p>
            <w:pPr>
              <w:jc w:val="right"/>
              <w:ind w:right="134"/>
              <w:spacing w:after="0"/>
              <w:rPr>
                <w:sz w:val="20"/>
                <w:szCs w:val="20"/>
                <w:color w:val="auto"/>
              </w:rPr>
            </w:pPr>
            <w:r>
              <w:rPr>
                <w:rFonts w:ascii="Courier New" w:cs="Courier New" w:eastAsia="Courier New" w:hAnsi="Courier New"/>
                <w:sz w:val="17"/>
                <w:szCs w:val="17"/>
                <w:color w:val="auto"/>
                <w:w w:val="91"/>
              </w:rPr>
              <w:t>2.2</w:t>
            </w:r>
          </w:p>
        </w:tc>
      </w:tr>
      <w:tr>
        <w:trPr>
          <w:trHeight w:val="198"/>
        </w:trPr>
        <w:tc>
          <w:tcPr>
            <w:tcW w:w="1340" w:type="dxa"/>
            <w:vAlign w:val="bottom"/>
            <w:gridSpan w:val="3"/>
          </w:tcPr>
          <w:p>
            <w:pPr>
              <w:jc w:val="right"/>
              <w:ind w:right="74"/>
              <w:spacing w:after="0"/>
              <w:rPr>
                <w:sz w:val="20"/>
                <w:szCs w:val="20"/>
                <w:color w:val="auto"/>
              </w:rPr>
            </w:pPr>
            <w:r>
              <w:rPr>
                <w:rFonts w:ascii="Courier New" w:cs="Courier New" w:eastAsia="Courier New" w:hAnsi="Courier New"/>
                <w:sz w:val="17"/>
                <w:szCs w:val="17"/>
                <w:color w:val="auto"/>
              </w:rPr>
              <w:t>Other, net</w:t>
            </w:r>
          </w:p>
        </w:tc>
      </w:tr>
      <w:tr>
        <w:trPr>
          <w:trHeight w:val="198"/>
        </w:trPr>
        <w:tc>
          <w:tcPr>
            <w:tcW w:w="520" w:type="dxa"/>
            <w:vAlign w:val="bottom"/>
          </w:tcPr>
          <w:p>
            <w:pPr>
              <w:jc w:val="right"/>
              <w:ind w:right="34"/>
              <w:spacing w:after="0"/>
              <w:rPr>
                <w:sz w:val="20"/>
                <w:szCs w:val="20"/>
                <w:color w:val="auto"/>
              </w:rPr>
            </w:pPr>
            <w:r>
              <w:rPr>
                <w:rFonts w:ascii="Courier New" w:cs="Courier New" w:eastAsia="Courier New" w:hAnsi="Courier New"/>
                <w:sz w:val="17"/>
                <w:szCs w:val="17"/>
                <w:color w:val="auto"/>
              </w:rPr>
              <w:t>2.6</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w w:val="91"/>
              </w:rPr>
              <w:t>0.4</w:t>
            </w:r>
          </w:p>
        </w:tc>
        <w:tc>
          <w:tcPr>
            <w:tcW w:w="5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4.4</w:t>
            </w:r>
          </w:p>
        </w:tc>
      </w:tr>
      <w:tr>
        <w:trPr>
          <w:trHeight w:val="198"/>
        </w:trPr>
        <w:tc>
          <w:tcPr>
            <w:tcW w:w="8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8"/>
              </w:rPr>
              <w:t>7.4 ------</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5" w:lineRule="exact"/>
        <w:rPr>
          <w:sz w:val="20"/>
          <w:szCs w:val="20"/>
          <w:color w:val="auto"/>
        </w:rPr>
      </w:pPr>
    </w:p>
    <w:p>
      <w:pPr>
        <w:ind w:left="620" w:hanging="513"/>
        <w:spacing w:after="0"/>
        <w:tabs>
          <w:tab w:leader="none" w:pos="620" w:val="left"/>
        </w:tabs>
        <w:numPr>
          <w:ilvl w:val="1"/>
          <w:numId w:val="1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jc w:val="center"/>
        <w:ind w:left="60" w:right="8819" w:firstLine="154"/>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Net cash provided by (used in) operating activities (21.2) 120.2 (20.8) 78.2 -</w:t>
      </w:r>
    </w:p>
    <w:p>
      <w:pPr>
        <w:spacing w:after="0" w:line="4"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CASH FLOWS</w:t>
      </w:r>
    </w:p>
    <w:p>
      <w:pPr>
        <w:spacing w:after="0" w:line="5" w:lineRule="exact"/>
        <w:rPr>
          <w:rFonts w:ascii="Courier New" w:cs="Courier New" w:eastAsia="Courier New" w:hAnsi="Courier New"/>
          <w:sz w:val="17"/>
          <w:szCs w:val="17"/>
          <w:color w:val="auto"/>
        </w:rPr>
      </w:pP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FROM</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INVESTING</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ACTIVITIES</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Investment in</w:t>
      </w:r>
    </w:p>
    <w:p>
      <w:pPr>
        <w:spacing w:after="0" w:line="5" w:lineRule="exact"/>
        <w:rPr>
          <w:rFonts w:ascii="Courier New" w:cs="Courier New" w:eastAsia="Courier New" w:hAnsi="Courier New"/>
          <w:sz w:val="17"/>
          <w:szCs w:val="17"/>
          <w:color w:val="auto"/>
        </w:rPr>
      </w:pPr>
    </w:p>
    <w:p>
      <w:pPr>
        <w:jc w:val="center"/>
        <w:ind w:left="60" w:right="8819" w:firstLine="206"/>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property, plant and equipment (48.1) (7.9) (10.7) (66.7) Proceeds from sale of equipment 1.0 0.5 1.5 Investments in acquired businesses, net of cash acquired (350.1)</w:t>
      </w:r>
    </w:p>
    <w:p>
      <w:pPr>
        <w:spacing w:after="0" w:line="8"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(156.1)</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(506.2) Other</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 1.5</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(0.7) (0.2) -</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jc w:val="both"/>
        <w:ind w:left="100" w:right="8819" w:hanging="44"/>
        <w:spacing w:after="0" w:line="246" w:lineRule="auto"/>
        <w:tabs>
          <w:tab w:leader="none" w:pos="255" w:val="left"/>
        </w:tabs>
        <w:numPr>
          <w:ilvl w:val="0"/>
          <w:numId w:val="1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 Net cash used in</w:t>
      </w:r>
    </w:p>
    <w:p>
      <w:pPr>
        <w:spacing w:after="0" w:line="1"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investing</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activities</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(398.2) (5.9)</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(167.5)</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(571.6) -----</w:t>
      </w:r>
    </w:p>
    <w:p>
      <w:pPr>
        <w:spacing w:after="0" w:line="5" w:lineRule="exact"/>
        <w:rPr>
          <w:rFonts w:ascii="Courier New" w:cs="Courier New" w:eastAsia="Courier New" w:hAnsi="Courier New"/>
          <w:sz w:val="17"/>
          <w:szCs w:val="17"/>
          <w:color w:val="auto"/>
        </w:rPr>
      </w:pPr>
    </w:p>
    <w:p>
      <w:pPr>
        <w:ind w:left="260" w:hanging="204"/>
        <w:spacing w:after="0"/>
        <w:tabs>
          <w:tab w:leader="none" w:pos="260" w:val="left"/>
        </w:tabs>
        <w:numPr>
          <w:ilvl w:val="0"/>
          <w:numId w:val="1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spacing w:after="0" w:line="5" w:lineRule="exact"/>
        <w:rPr>
          <w:rFonts w:ascii="Courier New" w:cs="Courier New" w:eastAsia="Courier New" w:hAnsi="Courier New"/>
          <w:sz w:val="17"/>
          <w:szCs w:val="17"/>
          <w:color w:val="auto"/>
        </w:rPr>
      </w:pPr>
    </w:p>
    <w:p>
      <w:pPr>
        <w:jc w:val="both"/>
        <w:ind w:left="220" w:right="8979" w:hanging="10"/>
        <w:spacing w:after="0" w:line="262" w:lineRule="auto"/>
        <w:tabs>
          <w:tab w:leader="none" w:pos="838" w:val="left"/>
        </w:tabs>
        <w:numPr>
          <w:ilvl w:val="2"/>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FLOWS FROM FINANCING ACTIVITIES</w:t>
      </w:r>
    </w:p>
    <w:p>
      <w:pPr>
        <w:ind w:left="58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Net</w:t>
      </w:r>
    </w:p>
    <w:p>
      <w:pPr>
        <w:spacing w:after="0" w:line="5"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borrowings</w:t>
      </w:r>
    </w:p>
    <w:p>
      <w:pPr>
        <w:spacing w:after="0" w:line="5" w:lineRule="exact"/>
        <w:rPr>
          <w:rFonts w:ascii="Courier New" w:cs="Courier New" w:eastAsia="Courier New" w:hAnsi="Courier New"/>
          <w:sz w:val="16"/>
          <w:szCs w:val="16"/>
          <w:color w:val="auto"/>
        </w:rPr>
      </w:pPr>
    </w:p>
    <w:p>
      <w:pPr>
        <w:ind w:left="4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under</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revolving and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bank lines of</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credit 419.7</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167.6 587.3</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Repayment of</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outstanding</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balance on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old credit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facility</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(241.0)</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(241.0)</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Issuance of 8</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5/8% Senior</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Subordinated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Notes 330.0</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330.0</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Extinguishment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of 9 7/8%</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Senior</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Subordinated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Notes (107.1)</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(107.1)</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Settlement of</w:t>
      </w:r>
    </w:p>
    <w:p>
      <w:pPr>
        <w:sectPr>
          <w:pgSz w:w="11900" w:h="16838" w:orient="portrait"/>
          <w:cols w:equalWidth="0" w:num="1">
            <w:col w:w="10219"/>
          </w:cols>
          <w:pgMar w:left="240" w:top="142" w:right="1440" w:bottom="0" w:gutter="0" w:footer="0" w:header="0"/>
        </w:sectPr>
      </w:pPr>
    </w:p>
    <w:bookmarkStart w:id="146" w:name="page147"/>
    <w:bookmarkEnd w:id="146"/>
    <w:p>
      <w:pPr>
        <w:ind w:left="4"/>
        <w:spacing w:after="0"/>
        <w:rPr>
          <w:sz w:val="20"/>
          <w:szCs w:val="20"/>
          <w:color w:val="auto"/>
        </w:rPr>
      </w:pPr>
      <w:r>
        <w:rPr>
          <w:rFonts w:ascii="Courier New" w:cs="Courier New" w:eastAsia="Courier New" w:hAnsi="Courier New"/>
          <w:sz w:val="17"/>
          <w:szCs w:val="17"/>
          <w:color w:val="auto"/>
        </w:rPr>
        <w:t>interest rate</w:t>
      </w:r>
    </w:p>
    <w:p>
      <w:pPr>
        <w:spacing w:after="0" w:line="5" w:lineRule="exact"/>
        <w:rPr>
          <w:sz w:val="20"/>
          <w:szCs w:val="20"/>
          <w:color w:val="auto"/>
        </w:rPr>
      </w:pPr>
    </w:p>
    <w:p>
      <w:pPr>
        <w:ind w:left="44"/>
        <w:spacing w:after="0"/>
        <w:rPr>
          <w:sz w:val="20"/>
          <w:szCs w:val="20"/>
          <w:color w:val="auto"/>
        </w:rPr>
      </w:pPr>
      <w:r>
        <w:rPr>
          <w:rFonts w:ascii="Courier New" w:cs="Courier New" w:eastAsia="Courier New" w:hAnsi="Courier New"/>
          <w:sz w:val="17"/>
          <w:szCs w:val="17"/>
          <w:color w:val="auto"/>
        </w:rPr>
        <w:t>locks (12.9)</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(12.9)</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Financing and</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issuance fees</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(24.1) (24.1)</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Dividends on</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Class A</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Convertible</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Preferred</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Stock (12.1)</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(12.1)</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Repurchase of</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treasury</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shares (10.0)</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(10.0) Cash</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received from</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exercise of</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stock options</w:t>
      </w:r>
    </w:p>
    <w:p>
      <w:pPr>
        <w:spacing w:after="0" w:line="5" w:lineRule="exact"/>
        <w:rPr>
          <w:sz w:val="20"/>
          <w:szCs w:val="20"/>
          <w:color w:val="auto"/>
        </w:rPr>
      </w:pPr>
    </w:p>
    <w:tbl>
      <w:tblPr>
        <w:tblLayout w:type="fixed"/>
        <w:tblInd w:w="4" w:type="dxa"/>
        <w:tblCellMar>
          <w:top w:w="0" w:type="dxa"/>
          <w:left w:w="0" w:type="dxa"/>
          <w:bottom w:w="0" w:type="dxa"/>
          <w:right w:w="0" w:type="dxa"/>
        </w:tblCellMar>
      </w:tblPr>
      <w:tr>
        <w:trPr>
          <w:trHeight w:val="193"/>
        </w:trPr>
        <w:tc>
          <w:tcPr>
            <w:tcW w:w="720" w:type="dxa"/>
            <w:vAlign w:val="bottom"/>
            <w:gridSpan w:val="2"/>
          </w:tcPr>
          <w:p>
            <w:pPr>
              <w:jc w:val="right"/>
              <w:ind w:right="38"/>
              <w:spacing w:after="0"/>
              <w:rPr>
                <w:sz w:val="20"/>
                <w:szCs w:val="20"/>
                <w:color w:val="auto"/>
              </w:rPr>
            </w:pPr>
            <w:r>
              <w:rPr>
                <w:rFonts w:ascii="Courier New" w:cs="Courier New" w:eastAsia="Courier New" w:hAnsi="Courier New"/>
                <w:sz w:val="17"/>
                <w:szCs w:val="17"/>
                <w:color w:val="auto"/>
              </w:rPr>
              <w:t>3.8</w:t>
            </w:r>
          </w:p>
        </w:tc>
        <w:tc>
          <w:tcPr>
            <w:tcW w:w="620" w:type="dxa"/>
            <w:vAlign w:val="bottom"/>
          </w:tcPr>
          <w:p>
            <w:pPr>
              <w:jc w:val="right"/>
              <w:ind w:right="234"/>
              <w:spacing w:after="0"/>
              <w:rPr>
                <w:sz w:val="20"/>
                <w:szCs w:val="20"/>
                <w:color w:val="auto"/>
              </w:rPr>
            </w:pPr>
            <w:r>
              <w:rPr>
                <w:rFonts w:ascii="Courier New" w:cs="Courier New" w:eastAsia="Courier New" w:hAnsi="Courier New"/>
                <w:sz w:val="17"/>
                <w:szCs w:val="17"/>
                <w:color w:val="auto"/>
                <w:w w:val="91"/>
              </w:rPr>
              <w:t>3.8</w:t>
            </w:r>
          </w:p>
        </w:tc>
      </w:tr>
      <w:tr>
        <w:trPr>
          <w:trHeight w:val="198"/>
        </w:trPr>
        <w:tc>
          <w:tcPr>
            <w:tcW w:w="1340" w:type="dxa"/>
            <w:vAlign w:val="bottom"/>
            <w:gridSpan w:val="3"/>
          </w:tcPr>
          <w:p>
            <w:pPr>
              <w:jc w:val="center"/>
              <w:spacing w:after="0"/>
              <w:rPr>
                <w:sz w:val="20"/>
                <w:szCs w:val="20"/>
                <w:color w:val="auto"/>
              </w:rPr>
            </w:pPr>
            <w:r>
              <w:rPr>
                <w:rFonts w:ascii="Courier New" w:cs="Courier New" w:eastAsia="Courier New" w:hAnsi="Courier New"/>
                <w:sz w:val="17"/>
                <w:szCs w:val="17"/>
                <w:color w:val="auto"/>
                <w:w w:val="99"/>
              </w:rPr>
              <w:t>Investment</w:t>
            </w:r>
          </w:p>
        </w:tc>
      </w:tr>
      <w:tr>
        <w:trPr>
          <w:trHeight w:val="198"/>
        </w:trPr>
        <w:tc>
          <w:tcPr>
            <w:tcW w:w="134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from parent</w:t>
            </w:r>
          </w:p>
        </w:tc>
      </w:tr>
      <w:tr>
        <w:trPr>
          <w:trHeight w:val="198"/>
        </w:trPr>
        <w:tc>
          <w:tcPr>
            <w:tcW w:w="480" w:type="dxa"/>
            <w:vAlign w:val="bottom"/>
          </w:tcPr>
          <w:p>
            <w:pPr>
              <w:jc w:val="right"/>
              <w:spacing w:after="0"/>
              <w:rPr>
                <w:sz w:val="20"/>
                <w:szCs w:val="20"/>
                <w:color w:val="auto"/>
              </w:rPr>
            </w:pPr>
            <w:r>
              <w:rPr>
                <w:rFonts w:ascii="Courier New" w:cs="Courier New" w:eastAsia="Courier New" w:hAnsi="Courier New"/>
                <w:sz w:val="17"/>
                <w:szCs w:val="17"/>
                <w:color w:val="auto"/>
              </w:rPr>
              <w:t>76.7</w:t>
            </w:r>
          </w:p>
        </w:tc>
        <w:tc>
          <w:tcPr>
            <w:tcW w:w="8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(109.1)</w:t>
            </w:r>
          </w:p>
        </w:tc>
      </w:tr>
      <w:tr>
        <w:trPr>
          <w:trHeight w:val="198"/>
        </w:trPr>
        <w:tc>
          <w:tcPr>
            <w:tcW w:w="480" w:type="dxa"/>
            <w:vAlign w:val="bottom"/>
          </w:tcPr>
          <w:p>
            <w:pPr>
              <w:jc w:val="right"/>
              <w:spacing w:after="0"/>
              <w:rPr>
                <w:sz w:val="20"/>
                <w:szCs w:val="20"/>
                <w:color w:val="auto"/>
              </w:rPr>
            </w:pPr>
            <w:r>
              <w:rPr>
                <w:rFonts w:ascii="Courier New" w:cs="Courier New" w:eastAsia="Courier New" w:hAnsi="Courier New"/>
                <w:sz w:val="17"/>
                <w:szCs w:val="17"/>
                <w:color w:val="auto"/>
                <w:w w:val="93"/>
              </w:rPr>
              <w:t>32.4</w:t>
            </w:r>
          </w:p>
        </w:tc>
        <w:tc>
          <w:tcPr>
            <w:tcW w:w="240" w:type="dxa"/>
            <w:vAlign w:val="bottom"/>
          </w:tcPr>
          <w:p>
            <w:pPr>
              <w:jc w:val="right"/>
              <w:spacing w:after="0"/>
              <w:rPr>
                <w:sz w:val="20"/>
                <w:szCs w:val="20"/>
                <w:color w:val="auto"/>
              </w:rPr>
            </w:pPr>
            <w:r>
              <w:rPr>
                <w:rFonts w:ascii="Courier New" w:cs="Courier New" w:eastAsia="Courier New" w:hAnsi="Courier New"/>
                <w:sz w:val="8"/>
                <w:szCs w:val="8"/>
                <w:color w:val="auto"/>
                <w:w w:val="76"/>
              </w:rPr>
              <w:t>------</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5" w:lineRule="exact"/>
        <w:rPr>
          <w:sz w:val="20"/>
          <w:szCs w:val="20"/>
          <w:color w:val="auto"/>
        </w:rPr>
      </w:pPr>
    </w:p>
    <w:p>
      <w:pPr>
        <w:ind w:left="624" w:hanging="624"/>
        <w:spacing w:after="0"/>
        <w:tabs>
          <w:tab w:leader="none" w:pos="624" w:val="left"/>
        </w:tabs>
        <w:numPr>
          <w:ilvl w:val="0"/>
          <w:numId w:val="1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jc w:val="center"/>
        <w:ind w:left="4" w:right="8819" w:firstLine="154"/>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Net cash provided by (used in) financing activities 423.0 (109.1) 200.0 513.9 Effect of exchange rate changes on cash 0.0 (0.8) (0.8) -</w:t>
      </w:r>
    </w:p>
    <w:p>
      <w:pPr>
        <w:spacing w:after="0" w:line="7" w:lineRule="exact"/>
        <w:rPr>
          <w:rFonts w:ascii="Courier New" w:cs="Courier New" w:eastAsia="Courier New" w:hAnsi="Courier New"/>
          <w:sz w:val="17"/>
          <w:szCs w:val="17"/>
          <w:color w:val="auto"/>
        </w:rPr>
      </w:pPr>
    </w:p>
    <w:p>
      <w:pPr>
        <w:ind w:left="664" w:hanging="613"/>
        <w:spacing w:after="0"/>
        <w:tabs>
          <w:tab w:leader="none" w:pos="664" w:val="left"/>
        </w:tabs>
        <w:numPr>
          <w:ilvl w:val="1"/>
          <w:numId w:val="1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 Net</w:t>
      </w:r>
    </w:p>
    <w:p>
      <w:pPr>
        <w:spacing w:after="0" w:line="5" w:lineRule="exact"/>
        <w:rPr>
          <w:rFonts w:ascii="Courier New" w:cs="Courier New" w:eastAsia="Courier New" w:hAnsi="Courier New"/>
          <w:sz w:val="17"/>
          <w:szCs w:val="17"/>
          <w:color w:val="auto"/>
        </w:rPr>
      </w:pPr>
    </w:p>
    <w:p>
      <w:pPr>
        <w:jc w:val="center"/>
        <w:ind w:left="4" w:right="8819" w:firstLine="103"/>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increase in cash 3.6 5.2 10.9 19.7 Cash and cash equivalents, beginning of period 4.9 (2.1) 7.8 10.6 ------ -</w:t>
      </w:r>
    </w:p>
    <w:p>
      <w:pPr>
        <w:spacing w:after="0" w:line="5" w:lineRule="exact"/>
        <w:rPr>
          <w:rFonts w:ascii="Courier New" w:cs="Courier New" w:eastAsia="Courier New" w:hAnsi="Courier New"/>
          <w:sz w:val="17"/>
          <w:szCs w:val="17"/>
          <w:color w:val="auto"/>
        </w:rPr>
      </w:pPr>
    </w:p>
    <w:p>
      <w:pPr>
        <w:ind w:left="624" w:hanging="624"/>
        <w:spacing w:after="0"/>
        <w:tabs>
          <w:tab w:leader="none" w:pos="624" w:val="left"/>
        </w:tabs>
        <w:numPr>
          <w:ilvl w:val="0"/>
          <w:numId w:val="1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16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Cash and</w:t>
      </w:r>
    </w:p>
    <w:p>
      <w:pPr>
        <w:spacing w:after="0" w:line="5" w:lineRule="exact"/>
        <w:rPr>
          <w:rFonts w:ascii="Courier New" w:cs="Courier New" w:eastAsia="Courier New" w:hAnsi="Courier New"/>
          <w:sz w:val="17"/>
          <w:szCs w:val="17"/>
          <w:color w:val="auto"/>
        </w:rPr>
      </w:pPr>
    </w:p>
    <w:p>
      <w:pPr>
        <w:ind w:left="46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cash</w:t>
      </w:r>
    </w:p>
    <w:p>
      <w:pPr>
        <w:spacing w:after="0" w:line="5" w:lineRule="exact"/>
        <w:rPr>
          <w:rFonts w:ascii="Courier New" w:cs="Courier New" w:eastAsia="Courier New" w:hAnsi="Courier New"/>
          <w:sz w:val="17"/>
          <w:szCs w:val="17"/>
          <w:color w:val="auto"/>
        </w:rPr>
      </w:pPr>
    </w:p>
    <w:p>
      <w:pPr>
        <w:jc w:val="both"/>
        <w:ind w:left="4" w:right="8819" w:firstLine="51"/>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equivalents, end of period $ 8.5 $ 3.1 $ 18.7 $ 0.0 $ 30.3 ======</w:t>
      </w:r>
    </w:p>
    <w:p>
      <w:pPr>
        <w:spacing w:after="0" w:line="2" w:lineRule="exact"/>
        <w:rPr>
          <w:rFonts w:ascii="Courier New" w:cs="Courier New" w:eastAsia="Courier New" w:hAnsi="Courier New"/>
          <w:sz w:val="17"/>
          <w:szCs w:val="17"/>
          <w:color w:val="auto"/>
        </w:rPr>
      </w:pPr>
    </w:p>
    <w:p>
      <w:pPr>
        <w:ind w:left="36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30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36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30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left="3864"/>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ind w:left="3964"/>
        <w:spacing w:after="0"/>
        <w:rPr>
          <w:sz w:val="20"/>
          <w:szCs w:val="20"/>
          <w:color w:val="auto"/>
        </w:rPr>
      </w:pPr>
      <w:r>
        <w:rPr>
          <w:rFonts w:ascii="Courier New" w:cs="Courier New" w:eastAsia="Courier New" w:hAnsi="Courier New"/>
          <w:sz w:val="17"/>
          <w:szCs w:val="17"/>
          <w:color w:val="auto"/>
        </w:rPr>
        <w:t>83</w:t>
      </w:r>
    </w:p>
    <w:p>
      <w:pPr>
        <w:sectPr>
          <w:pgSz w:w="11900" w:h="16838" w:orient="portrait"/>
          <w:cols w:equalWidth="0" w:num="1">
            <w:col w:w="10163"/>
          </w:cols>
          <w:pgMar w:left="296" w:top="142" w:right="1440" w:bottom="1440" w:gutter="0" w:footer="0" w:header="0"/>
        </w:sectPr>
      </w:pPr>
    </w:p>
    <w:bookmarkStart w:id="147" w:name="page148"/>
    <w:bookmarkEnd w:id="147"/>
    <w:p>
      <w:pPr>
        <w:ind w:left="720"/>
        <w:spacing w:after="0"/>
        <w:rPr>
          <w:sz w:val="20"/>
          <w:szCs w:val="20"/>
          <w:color w:val="auto"/>
        </w:rPr>
      </w:pPr>
      <w:r>
        <w:rPr>
          <w:rFonts w:ascii="Courier New" w:cs="Courier New" w:eastAsia="Courier New" w:hAnsi="Courier New"/>
          <w:sz w:val="17"/>
          <w:szCs w:val="17"/>
          <w:color w:val="auto"/>
        </w:rPr>
        <w:t>REPORT OF INDEPENDENT ACCOUNTANTS ON FINANCIAL STATEMENT SCHEDULES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Board of Directors and Shareholders of The Scotts Company</w:t>
      </w:r>
    </w:p>
    <w:p>
      <w:pPr>
        <w:spacing w:after="0" w:line="203" w:lineRule="exact"/>
        <w:rPr>
          <w:sz w:val="20"/>
          <w:szCs w:val="20"/>
          <w:color w:val="auto"/>
        </w:rPr>
      </w:pPr>
    </w:p>
    <w:p>
      <w:pPr>
        <w:ind w:right="2499" w:firstLine="515"/>
        <w:spacing w:after="0" w:line="246" w:lineRule="auto"/>
        <w:rPr>
          <w:sz w:val="20"/>
          <w:szCs w:val="20"/>
          <w:color w:val="auto"/>
        </w:rPr>
      </w:pPr>
      <w:r>
        <w:rPr>
          <w:rFonts w:ascii="Courier New" w:cs="Courier New" w:eastAsia="Courier New" w:hAnsi="Courier New"/>
          <w:sz w:val="17"/>
          <w:szCs w:val="17"/>
          <w:color w:val="auto"/>
        </w:rPr>
        <w:t>Our audits of the consolidated financial statements referred to in our report dated October 29, 2001, except for Note 22, as to which the date is December 12, 2001, appearing in Item 14(a)(1) of this Annual Report on Form</w:t>
      </w:r>
    </w:p>
    <w:p>
      <w:pPr>
        <w:spacing w:after="0" w:line="2"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10-K, also included an audit of the financial statement schedules appearing in Item 14(a)(2) of this Form 10-K. In our opinion, these financial statement schedules present fairly, in all material respects, the information set forth therein when read in conjunction with the related consolidated 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PRICEWATERHOUSECOOPERS LLP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Columbus, Ohio</w:t>
      </w:r>
    </w:p>
    <w:p>
      <w:pPr>
        <w:spacing w:after="0" w:line="203"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October 29, 2001, except for Note 22, as to which the date is December 12, 2001</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84</w:t>
      </w:r>
    </w:p>
    <w:p>
      <w:pPr>
        <w:sectPr>
          <w:pgSz w:w="11900" w:h="16838" w:orient="portrait"/>
          <w:cols w:equalWidth="0" w:num="1">
            <w:col w:w="10219"/>
          </w:cols>
          <w:pgMar w:left="240" w:top="709" w:right="1440" w:bottom="1440" w:gutter="0" w:footer="0" w:header="0"/>
        </w:sectPr>
      </w:pPr>
    </w:p>
    <w:bookmarkStart w:id="148" w:name="page149"/>
    <w:bookmarkEnd w:id="148"/>
    <w:p>
      <w:pPr>
        <w:jc w:val="center"/>
        <w:ind w:right="1959"/>
        <w:spacing w:after="0"/>
        <w:rPr>
          <w:sz w:val="20"/>
          <w:szCs w:val="20"/>
          <w:color w:val="auto"/>
        </w:rPr>
      </w:pPr>
      <w:r>
        <w:rPr>
          <w:rFonts w:ascii="Courier New" w:cs="Courier New" w:eastAsia="Courier New" w:hAnsi="Courier New"/>
          <w:sz w:val="17"/>
          <w:szCs w:val="17"/>
          <w:color w:val="auto"/>
        </w:rPr>
        <w:t>THE SCOTTS COMPANY</w:t>
      </w:r>
    </w:p>
    <w:p>
      <w:pPr>
        <w:spacing w:after="0" w:line="5"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SCHEDULE II -- VALUATION AND QUALIFYING ACCOUNTS</w:t>
      </w:r>
    </w:p>
    <w:p>
      <w:pPr>
        <w:spacing w:after="0" w:line="5"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FOR THE FISCAL YEAR ENDED SEPTEMBER 30, 2001</w:t>
      </w:r>
    </w:p>
    <w:p>
      <w:pPr>
        <w:spacing w:after="0" w:line="5"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(IN MILLIONS)</w:t>
      </w:r>
    </w:p>
    <w:p>
      <w:pPr>
        <w:spacing w:after="0" w:line="203"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Column A</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Column B</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Column C</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Column 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Column 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Column F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520" w:hanging="413"/>
        <w:spacing w:after="0"/>
        <w:tabs>
          <w:tab w:leader="none" w:pos="520" w:val="left"/>
        </w:tabs>
        <w:numPr>
          <w:ilvl w:val="0"/>
          <w:numId w:val="1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20" w:hanging="513"/>
        <w:spacing w:after="0"/>
        <w:tabs>
          <w:tab w:leader="none" w:pos="620" w:val="left"/>
        </w:tabs>
        <w:numPr>
          <w:ilvl w:val="1"/>
          <w:numId w:val="1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Balance</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Additions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Deductions at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Charged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Credited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Balance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Beginning</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Reserves to</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and at End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Classification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of Period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Acquired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Expense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Write-Offs of</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Period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 Valuation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and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qualifying</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accounts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deducted from</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the assets to</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which they</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apply:</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Inventory</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reserve $20.1</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 -- $10.5 $</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(8.3) $22.3</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Allowance for</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doubtful</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accounts 11.7</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0.2 20.9</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(8.9) 23.9</w:t>
      </w:r>
    </w:p>
    <w:p>
      <w:pPr>
        <w:spacing w:after="0" w:line="200" w:lineRule="exact"/>
        <w:rPr>
          <w:sz w:val="20"/>
          <w:szCs w:val="20"/>
          <w:color w:val="auto"/>
        </w:rPr>
      </w:pPr>
    </w:p>
    <w:p>
      <w:pPr>
        <w:spacing w:after="0" w:line="201"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SCHEDULE II -- VALUATION AND QUALIFYING ACCOUNTS</w:t>
      </w:r>
    </w:p>
    <w:p>
      <w:pPr>
        <w:spacing w:after="0" w:line="5"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FOR THE FISCAL YEAR ENDED SEPTEMBER 30, 2000</w:t>
      </w:r>
    </w:p>
    <w:p>
      <w:pPr>
        <w:spacing w:after="0" w:line="5"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(IN MILLIONS)</w:t>
      </w:r>
    </w:p>
    <w:p>
      <w:pPr>
        <w:spacing w:after="0" w:line="203"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Column A</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Column B</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Column C</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Column 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Column 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Column F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520" w:hanging="413"/>
        <w:spacing w:after="0"/>
        <w:tabs>
          <w:tab w:leader="none" w:pos="520" w:val="left"/>
        </w:tabs>
        <w:numPr>
          <w:ilvl w:val="0"/>
          <w:numId w:val="1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20" w:hanging="513"/>
        <w:spacing w:after="0"/>
        <w:tabs>
          <w:tab w:leader="none" w:pos="620" w:val="left"/>
        </w:tabs>
        <w:numPr>
          <w:ilvl w:val="1"/>
          <w:numId w:val="1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Balance</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Additions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Deductions at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Charged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Credited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Balance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Beginning</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Reserves to</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and at End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Classification</w:t>
      </w:r>
    </w:p>
    <w:p>
      <w:pPr>
        <w:sectPr>
          <w:pgSz w:w="11900" w:h="16838" w:orient="portrait"/>
          <w:cols w:equalWidth="0" w:num="1">
            <w:col w:w="10219"/>
          </w:cols>
          <w:pgMar w:left="240" w:top="709" w:right="1440" w:bottom="0" w:gutter="0" w:footer="0" w:header="0"/>
        </w:sectPr>
      </w:pPr>
    </w:p>
    <w:bookmarkStart w:id="149" w:name="page150"/>
    <w:bookmarkEnd w:id="149"/>
    <w:p>
      <w:pPr>
        <w:ind w:left="260"/>
        <w:spacing w:after="0"/>
        <w:rPr>
          <w:sz w:val="20"/>
          <w:szCs w:val="20"/>
          <w:color w:val="auto"/>
        </w:rPr>
      </w:pPr>
      <w:r>
        <w:rPr>
          <w:rFonts w:ascii="Courier New" w:cs="Courier New" w:eastAsia="Courier New" w:hAnsi="Courier New"/>
          <w:sz w:val="17"/>
          <w:szCs w:val="17"/>
          <w:color w:val="auto"/>
        </w:rPr>
        <w:t>of Period</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Acquired</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Expense</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Write-Offs of</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Period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580" w:right="8819" w:hanging="524"/>
        <w:spacing w:after="0" w:line="246" w:lineRule="auto"/>
        <w:tabs>
          <w:tab w:leader="none" w:pos="477" w:val="left"/>
        </w:tabs>
        <w:numPr>
          <w:ilvl w:val="0"/>
          <w:numId w:val="1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Valuation and</w:t>
      </w:r>
    </w:p>
    <w:p>
      <w:pPr>
        <w:spacing w:after="0" w:line="1"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qualifying</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accounts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deducted from</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the assets to</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which they</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apply:</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Inventory</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reserve $30.5</w:t>
      </w:r>
    </w:p>
    <w:p>
      <w:pPr>
        <w:spacing w:after="0" w:line="5" w:lineRule="exact"/>
        <w:rPr>
          <w:sz w:val="20"/>
          <w:szCs w:val="20"/>
          <w:color w:val="auto"/>
        </w:rPr>
      </w:pPr>
    </w:p>
    <w:p>
      <w:pPr>
        <w:ind w:left="60" w:right="8819" w:firstLine="99"/>
        <w:spacing w:after="0" w:line="246" w:lineRule="auto"/>
        <w:tabs>
          <w:tab w:leader="none" w:pos="369" w:val="left"/>
        </w:tabs>
        <w:numPr>
          <w:ilvl w:val="0"/>
          <w:numId w:val="1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0.0 $ 9.7 $(20.1) $20.1 Allowance for doubtful accounts 16.4 0.0 4.8 (9.5) 11.7</w:t>
      </w:r>
    </w:p>
    <w:p>
      <w:pPr>
        <w:spacing w:after="0" w:line="400"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SCHEDULE II -- VALUATION AND QUALIFYING ACCOUNTS</w:t>
      </w:r>
    </w:p>
    <w:p>
      <w:pPr>
        <w:spacing w:after="0" w:line="5"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FOR THE FISCAL YEAR ENDED SEPTEMBER 30, 1999</w:t>
      </w:r>
    </w:p>
    <w:p>
      <w:pPr>
        <w:spacing w:after="0" w:line="5"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(IN MILLIONS)</w:t>
      </w:r>
    </w:p>
    <w:p>
      <w:pPr>
        <w:spacing w:after="0" w:line="203"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Column A</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Column B</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Column C</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Column 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Column 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Column F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520" w:hanging="413"/>
        <w:spacing w:after="0"/>
        <w:tabs>
          <w:tab w:leader="none" w:pos="520" w:val="left"/>
        </w:tabs>
        <w:numPr>
          <w:ilvl w:val="0"/>
          <w:numId w:val="1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20" w:hanging="513"/>
        <w:spacing w:after="0"/>
        <w:tabs>
          <w:tab w:leader="none" w:pos="620" w:val="left"/>
        </w:tabs>
        <w:numPr>
          <w:ilvl w:val="1"/>
          <w:numId w:val="1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Balance</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Additions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Deductions at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Charged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Credited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Balance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Beginning</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Reserves to</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and at End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Classification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of Period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Acquired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Expense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Write-Offs of</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Period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580" w:right="8819" w:hanging="524"/>
        <w:spacing w:after="0" w:line="246" w:lineRule="auto"/>
        <w:tabs>
          <w:tab w:leader="none" w:pos="477" w:val="left"/>
        </w:tabs>
        <w:numPr>
          <w:ilvl w:val="0"/>
          <w:numId w:val="1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Valuation and</w:t>
      </w:r>
    </w:p>
    <w:p>
      <w:pPr>
        <w:spacing w:after="0" w:line="1"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qualifying</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accounts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deducted from</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the assets to</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which they</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apply:</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Inventory</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reserve $12.0</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$19.0 $12.9</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$(13.4) $30.5</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Allowance for</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doubtful</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accounts 6.3</w:t>
      </w:r>
    </w:p>
    <w:p>
      <w:pPr>
        <w:sectPr>
          <w:pgSz w:w="11900" w:h="16838" w:orient="portrait"/>
          <w:cols w:equalWidth="0" w:num="1">
            <w:col w:w="10219"/>
          </w:cols>
          <w:pgMar w:left="240" w:top="142" w:right="1440" w:bottom="0" w:gutter="0" w:footer="0" w:header="0"/>
        </w:sectPr>
      </w:pPr>
    </w:p>
    <w:bookmarkStart w:id="150" w:name="page151"/>
    <w:bookmarkEnd w:id="150"/>
    <w:p>
      <w:pPr>
        <w:jc w:val="center"/>
        <w:ind w:right="8979"/>
        <w:spacing w:after="0"/>
        <w:rPr>
          <w:sz w:val="20"/>
          <w:szCs w:val="20"/>
          <w:color w:val="auto"/>
        </w:rPr>
      </w:pPr>
      <w:r>
        <w:rPr>
          <w:rFonts w:ascii="Courier New" w:cs="Courier New" w:eastAsia="Courier New" w:hAnsi="Courier New"/>
          <w:sz w:val="17"/>
          <w:szCs w:val="17"/>
          <w:color w:val="auto"/>
        </w:rPr>
        <w:t>3.4 11.1</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(4.4) 16.4</w:t>
      </w:r>
    </w:p>
    <w:p>
      <w:pPr>
        <w:spacing w:after="0" w:line="200" w:lineRule="exact"/>
        <w:rPr>
          <w:sz w:val="20"/>
          <w:szCs w:val="20"/>
          <w:color w:val="auto"/>
        </w:rPr>
      </w:pPr>
    </w:p>
    <w:p>
      <w:pPr>
        <w:spacing w:after="0" w:line="213"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ind w:left="3800"/>
        <w:spacing w:after="0"/>
        <w:rPr>
          <w:sz w:val="20"/>
          <w:szCs w:val="20"/>
          <w:color w:val="auto"/>
        </w:rPr>
      </w:pPr>
      <w:r>
        <w:rPr>
          <w:rFonts w:ascii="Courier New" w:cs="Courier New" w:eastAsia="Courier New" w:hAnsi="Courier New"/>
          <w:sz w:val="17"/>
          <w:szCs w:val="17"/>
          <w:color w:val="auto"/>
        </w:rPr>
        <w:t>85</w:t>
      </w:r>
    </w:p>
    <w:p>
      <w:pPr>
        <w:sectPr>
          <w:pgSz w:w="11900" w:h="16838" w:orient="portrait"/>
          <w:cols w:equalWidth="0" w:num="1">
            <w:col w:w="9999"/>
          </w:cols>
          <w:pgMar w:left="460" w:top="142" w:right="1440" w:bottom="1440" w:gutter="0" w:footer="0" w:header="0"/>
        </w:sectPr>
      </w:pPr>
    </w:p>
    <w:bookmarkStart w:id="151" w:name="page152"/>
    <w:bookmarkEnd w:id="151"/>
    <w:p>
      <w:pPr>
        <w:jc w:val="center"/>
        <w:ind w:right="2039"/>
        <w:spacing w:after="0"/>
        <w:rPr>
          <w:sz w:val="20"/>
          <w:szCs w:val="20"/>
          <w:color w:val="auto"/>
        </w:rPr>
      </w:pPr>
      <w:r>
        <w:rPr>
          <w:rFonts w:ascii="Courier New" w:cs="Courier New" w:eastAsia="Courier New" w:hAnsi="Courier New"/>
          <w:sz w:val="17"/>
          <w:szCs w:val="17"/>
          <w:color w:val="auto"/>
        </w:rPr>
        <w:t>THE SCOTTS COMPANY</w:t>
      </w:r>
    </w:p>
    <w:p>
      <w:pPr>
        <w:spacing w:after="0" w:line="5" w:lineRule="exact"/>
        <w:rPr>
          <w:sz w:val="20"/>
          <w:szCs w:val="20"/>
          <w:color w:val="auto"/>
        </w:rPr>
      </w:pPr>
    </w:p>
    <w:p>
      <w:pPr>
        <w:jc w:val="center"/>
        <w:ind w:right="2039"/>
        <w:spacing w:after="0"/>
        <w:rPr>
          <w:sz w:val="20"/>
          <w:szCs w:val="20"/>
          <w:color w:val="auto"/>
        </w:rPr>
      </w:pPr>
      <w:r>
        <w:rPr>
          <w:rFonts w:ascii="Courier New" w:cs="Courier New" w:eastAsia="Courier New" w:hAnsi="Courier New"/>
          <w:sz w:val="17"/>
          <w:szCs w:val="17"/>
          <w:color w:val="auto"/>
        </w:rPr>
        <w:t>ANNUAL REPORT ON FORM 10-K</w:t>
      </w:r>
    </w:p>
    <w:p>
      <w:pPr>
        <w:spacing w:after="0" w:line="5" w:lineRule="exact"/>
        <w:rPr>
          <w:sz w:val="20"/>
          <w:szCs w:val="20"/>
          <w:color w:val="auto"/>
        </w:rPr>
      </w:pPr>
    </w:p>
    <w:p>
      <w:pPr>
        <w:jc w:val="center"/>
        <w:ind w:right="2039"/>
        <w:spacing w:after="0"/>
        <w:rPr>
          <w:sz w:val="20"/>
          <w:szCs w:val="20"/>
          <w:color w:val="auto"/>
        </w:rPr>
      </w:pPr>
      <w:r>
        <w:rPr>
          <w:rFonts w:ascii="Courier New" w:cs="Courier New" w:eastAsia="Courier New" w:hAnsi="Courier New"/>
          <w:sz w:val="17"/>
          <w:szCs w:val="17"/>
          <w:color w:val="auto"/>
        </w:rPr>
        <w:t>FOR THE FISCAL YEAR ENDED SEPTEMBER 30, 2001</w:t>
      </w:r>
    </w:p>
    <w:p>
      <w:pPr>
        <w:spacing w:after="0" w:line="203"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INDEX TO EXHIBITS</w:t>
      </w:r>
    </w:p>
    <w:p>
      <w:pPr>
        <w:spacing w:after="0" w:line="203"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Exhibit No.</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Description Location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---------------- 2(a)</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Amended and Restated</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Agreement and Plan of</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Merger, Incorporated</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herein by reference to</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the dated as of May</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19, 1995, among</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Stern's Miracle-Gro</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Registrant's Current</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Report on Form 8-K</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Products, Inc.,</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Stern's Nurseries,</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Inc., dated May 31,</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1995 (File No. 0-</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19768) Miracle-Gro</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Lawn Products Inc.,</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Miracle-Gro [Exhibit</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2(b)] Products</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Limited, Hagedorn</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Partnership, L.P., the</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general partners of</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Hagedorn Partnership,</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L.P., Horace Hagedorn,</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Community Funds, Inc.,</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and John Kenlon, The</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Scotts Company (the</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"Registrant"), and ZYX</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Corporation 2(b) First</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Amendment to Amended</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and Restated Agreement</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Incorporated herein by</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reference to the and</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Plan of Merger, made</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and entered into as of</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Registrant's Current</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Report on Form 8-K</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October 1, 1999, among</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the Registrant, Scotts</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dated October 4, 1999</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(File No. 1-11593)</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Miracle-Gro Products,</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Inc. (as successor to</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ZYX [Exhibit 2]</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Corporation and</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Stern's Miracle-Gro</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Products, Inc.),</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Miracle-Gro Lawn</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Products Inc.,</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Miracle-Gro Products</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Limited, Hagedorn</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Partnership, L.P.,</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Community Funds, Inc.,</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Horace Hagedorn and</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John Kenlon, and James</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Hagedorn, Katherine</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Hagedorn Littlefield,</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Paul Hagedorn, Peter</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Hagedorn, Robert</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Hagedorn and Susan</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Hagedorn 2(c) Master</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Contract, dated</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September 30, 1998, by</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and Incorporated</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herein by reference to</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the between Rhone-</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Poulenc Agro; the</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Registrant; Scotts</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Registrant's Current</w:t>
      </w:r>
    </w:p>
    <w:p>
      <w:pPr>
        <w:sectPr>
          <w:pgSz w:w="11900" w:h="16838" w:orient="portrait"/>
          <w:cols w:equalWidth="0" w:num="1">
            <w:col w:w="10159"/>
          </w:cols>
          <w:pgMar w:left="300" w:top="709" w:right="1440" w:bottom="0" w:gutter="0" w:footer="0" w:header="0"/>
        </w:sectPr>
      </w:pPr>
    </w:p>
    <w:bookmarkStart w:id="152" w:name="page153"/>
    <w:bookmarkEnd w:id="152"/>
    <w:p>
      <w:pPr>
        <w:jc w:val="center"/>
        <w:ind w:right="7859"/>
        <w:spacing w:after="0"/>
        <w:rPr>
          <w:sz w:val="20"/>
          <w:szCs w:val="20"/>
          <w:color w:val="auto"/>
        </w:rPr>
      </w:pPr>
      <w:r>
        <w:rPr>
          <w:rFonts w:ascii="Courier New" w:cs="Courier New" w:eastAsia="Courier New" w:hAnsi="Courier New"/>
          <w:sz w:val="17"/>
          <w:szCs w:val="17"/>
          <w:color w:val="auto"/>
        </w:rPr>
        <w:t>Report on Form 8-K</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Celaflor GmbH &amp; Co.</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K.G.; "David" dated</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October 22, 1998 (File</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No. 1-11593)</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Sechsundfunfzigste</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Beteiligungs und</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[Exhibit 2]</w:t>
      </w:r>
    </w:p>
    <w:p>
      <w:pPr>
        <w:spacing w:after="0" w:line="5" w:lineRule="exact"/>
        <w:rPr>
          <w:sz w:val="20"/>
          <w:szCs w:val="20"/>
          <w:color w:val="auto"/>
        </w:rPr>
      </w:pPr>
    </w:p>
    <w:p>
      <w:pPr>
        <w:jc w:val="center"/>
        <w:ind w:right="7839"/>
        <w:spacing w:after="0"/>
        <w:rPr>
          <w:sz w:val="20"/>
          <w:szCs w:val="20"/>
          <w:color w:val="auto"/>
        </w:rPr>
      </w:pPr>
      <w:r>
        <w:rPr>
          <w:rFonts w:ascii="Courier New" w:cs="Courier New" w:eastAsia="Courier New" w:hAnsi="Courier New"/>
          <w:sz w:val="17"/>
          <w:szCs w:val="17"/>
          <w:color w:val="auto"/>
        </w:rPr>
        <w:t>Verwaltungsgesellschaft</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GmbH; Rhone-Poulenc</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Agro Europe GmbH;</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Scotts France Holdings</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S.A.R.L.; Scotts</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France S.A.R.L.; and</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Scotts Belgium 2</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B.V.B.A. 2(d)(1) U.S.</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Asset Purchase</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Agreement, dated as of</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March Incorporated</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herein by reference to</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the 29, 2000, by and</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among The Andersons,</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Inc. and The</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Registrant's Quarterly</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Report on Form 10-Q</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Andersons</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Agriservices, Inc., as</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buyers, and the for</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the fiscal quarter</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ended July 1, 2000</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Registrant and OMS</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Investments, Inc., as</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sellers (File No. 1-</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13292) [Exhibit 2(e)</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(i)] 2(d)(2) Canadian</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Asset Purchase</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Agreement, dated as of</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Incorporated herein by</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reference to the March</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29, 2000, by and among</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The Nu-Gro</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Registrant's Quarterly</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Report on Form 10-Q</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Corporation, as buyer,</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and the Registrant and</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OMS for the fiscal</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quarter ended July 1,</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2000 Investments,</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Inc., as sellers (File</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No. 1-13292) [Exhibit</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2(e)(ii)] 3(a)(1)</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Certificate of</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Amendment by</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Shareholders to</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Incorporated herein by</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reference to the</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Articles of The Scotts</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Company reflecting</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adoption Registrant's</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Quarterly Report on</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Form 10-Q of amendment</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to Article FOURTH of</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Amended Articles for</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the fiscal quarter</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ended December 30, of</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Incorporation by the</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shareholders of The</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Scotts 2000 (File No.</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1-13292) [Exhibit 3(a)</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(1)] Company on</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January 18, 2001, as</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filed with Ohio</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Secretary of State on</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January 18, 2001 3(a)</w:t>
      </w:r>
    </w:p>
    <w:p>
      <w:pPr>
        <w:spacing w:after="0" w:line="5" w:lineRule="exact"/>
        <w:rPr>
          <w:sz w:val="20"/>
          <w:szCs w:val="20"/>
          <w:color w:val="auto"/>
        </w:rPr>
      </w:pPr>
    </w:p>
    <w:p>
      <w:pPr>
        <w:ind w:left="60" w:right="7899" w:firstLine="200"/>
        <w:spacing w:after="0" w:line="246" w:lineRule="auto"/>
        <w:tabs>
          <w:tab w:leader="none" w:pos="678" w:val="left"/>
        </w:tabs>
        <w:numPr>
          <w:ilvl w:val="0"/>
          <w:numId w:val="1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Certificate of Amendment by Directors</w:t>
      </w:r>
    </w:p>
    <w:p>
      <w:pPr>
        <w:spacing w:after="0" w:line="1" w:lineRule="exact"/>
        <w:rPr>
          <w:rFonts w:ascii="Courier New" w:cs="Courier New" w:eastAsia="Courier New" w:hAnsi="Courier New"/>
          <w:sz w:val="17"/>
          <w:szCs w:val="17"/>
          <w:color w:val="auto"/>
        </w:rPr>
      </w:pP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of The Scotts</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herein by</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reference to the</w:t>
      </w:r>
    </w:p>
    <w:p>
      <w:pPr>
        <w:spacing w:after="0" w:line="5" w:lineRule="exact"/>
        <w:rPr>
          <w:rFonts w:ascii="Courier New" w:cs="Courier New" w:eastAsia="Courier New" w:hAnsi="Courier New"/>
          <w:sz w:val="17"/>
          <w:szCs w:val="17"/>
          <w:color w:val="auto"/>
        </w:rPr>
      </w:pPr>
    </w:p>
    <w:p>
      <w:pPr>
        <w:jc w:val="center"/>
        <w:ind w:left="60" w:right="7899" w:firstLine="206"/>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Company reflecting adoption of Restated Articles of Registrant's Quarterly</w:t>
      </w:r>
    </w:p>
    <w:p>
      <w:pPr>
        <w:sectPr>
          <w:pgSz w:w="11900" w:h="16838" w:orient="portrait"/>
          <w:cols w:equalWidth="0" w:num="1">
            <w:col w:w="10219"/>
          </w:cols>
          <w:pgMar w:left="240" w:top="142" w:right="1440" w:bottom="0" w:gutter="0" w:footer="0" w:header="0"/>
        </w:sectPr>
      </w:pPr>
    </w:p>
    <w:bookmarkStart w:id="153" w:name="page154"/>
    <w:bookmarkEnd w:id="153"/>
    <w:p>
      <w:pPr>
        <w:jc w:val="center"/>
        <w:ind w:right="7899"/>
        <w:spacing w:after="0"/>
        <w:rPr>
          <w:sz w:val="20"/>
          <w:szCs w:val="20"/>
          <w:color w:val="auto"/>
        </w:rPr>
      </w:pPr>
      <w:r>
        <w:rPr>
          <w:rFonts w:ascii="Courier New" w:cs="Courier New" w:eastAsia="Courier New" w:hAnsi="Courier New"/>
          <w:sz w:val="17"/>
          <w:szCs w:val="17"/>
          <w:color w:val="auto"/>
        </w:rPr>
        <w:t>Report on Form 10-Q</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Incorporation attached</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thereto, by the Board</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of for the fiscal</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quarter ended December</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30, Directors of The</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Scotts Company on</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January 18, 2000 (File</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No. 1-13292) [Exhibit</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3(a)(2)] 2001, as</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filed with Ohio</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Secretary of State on</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January 29, 2001</w:t>
      </w:r>
    </w:p>
    <w:p>
      <w:pPr>
        <w:spacing w:after="0" w:line="200" w:lineRule="exact"/>
        <w:rPr>
          <w:sz w:val="20"/>
          <w:szCs w:val="20"/>
          <w:color w:val="auto"/>
        </w:rPr>
      </w:pPr>
    </w:p>
    <w:p>
      <w:pPr>
        <w:spacing w:after="0" w:line="201" w:lineRule="exact"/>
        <w:rPr>
          <w:sz w:val="20"/>
          <w:szCs w:val="20"/>
          <w:color w:val="auto"/>
        </w:rPr>
      </w:pPr>
    </w:p>
    <w:p>
      <w:pPr>
        <w:ind w:left="3860"/>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86</w:t>
      </w:r>
    </w:p>
    <w:p>
      <w:pPr>
        <w:sectPr>
          <w:pgSz w:w="11900" w:h="16838" w:orient="portrait"/>
          <w:cols w:equalWidth="0" w:num="1">
            <w:col w:w="10159"/>
          </w:cols>
          <w:pgMar w:left="300" w:top="142" w:right="1440" w:bottom="1440" w:gutter="0" w:footer="0" w:header="0"/>
        </w:sectPr>
      </w:pPr>
    </w:p>
    <w:bookmarkStart w:id="154" w:name="page155"/>
    <w:bookmarkEnd w:id="154"/>
    <w:p>
      <w:pPr>
        <w:ind w:left="100"/>
        <w:spacing w:after="0"/>
        <w:rPr>
          <w:sz w:val="20"/>
          <w:szCs w:val="20"/>
          <w:color w:val="auto"/>
        </w:rPr>
      </w:pPr>
      <w:r>
        <w:rPr>
          <w:rFonts w:ascii="Courier New" w:cs="Courier New" w:eastAsia="Courier New" w:hAnsi="Courier New"/>
          <w:sz w:val="17"/>
          <w:szCs w:val="17"/>
          <w:color w:val="auto"/>
        </w:rPr>
        <w:t>Exhibit No.</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Description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Location -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3(b)(1)</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Certificate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regarding</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Adoption of</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Amendments to</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the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Incorporated</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reference to</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the Code of</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Regulations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of The Scotts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Company by</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the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Registrant's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Quarterly</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Report on</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Form 10-Q</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Shareholders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on January</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18, 2001 for</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the fiscal</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quarter ended</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December 30,</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2000 (File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No. 1-13292)</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[Exhibit 3(b)</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(1)] 3(b)(2)</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Code of</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Regulations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of The Scotts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Company</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Incorporated</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reference to</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the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(reflecting</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amendments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through</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January 18,</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2001)</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Registrant's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Quarterly</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Report on</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Form 10-Q</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[for SEC</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reporting</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compliance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purposes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only] for the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fiscal</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quarter ended</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December 30,</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2000 (File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No. 1-13292)</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[Exhibit 3(b)</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(2)] 4(a)</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Form of</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Series A</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Warrant</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Included in</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Exhibit 2(a)</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above 4(b)</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Form of</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Series B</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Warrant</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Included in</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Exhibit 2(a)</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above 4(c)</w:t>
      </w:r>
    </w:p>
    <w:p>
      <w:pPr>
        <w:sectPr>
          <w:pgSz w:w="11900" w:h="16838" w:orient="portrait"/>
          <w:cols w:equalWidth="0" w:num="1">
            <w:col w:w="10159"/>
          </w:cols>
          <w:pgMar w:left="300" w:top="709" w:right="1440" w:bottom="0" w:gutter="0" w:footer="0" w:header="0"/>
        </w:sectPr>
      </w:pPr>
    </w:p>
    <w:bookmarkStart w:id="155" w:name="page156"/>
    <w:bookmarkEnd w:id="155"/>
    <w:p>
      <w:pPr>
        <w:ind w:left="360"/>
        <w:spacing w:after="0"/>
        <w:rPr>
          <w:sz w:val="20"/>
          <w:szCs w:val="20"/>
          <w:color w:val="auto"/>
        </w:rPr>
      </w:pPr>
      <w:r>
        <w:rPr>
          <w:rFonts w:ascii="Courier New" w:cs="Courier New" w:eastAsia="Courier New" w:hAnsi="Courier New"/>
          <w:sz w:val="17"/>
          <w:szCs w:val="17"/>
          <w:color w:val="auto"/>
        </w:rPr>
        <w:t>Form of</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Series C</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Warrant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Included in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Exhibit 2(a)</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above 4(d)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Credit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dated as of</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December 4,</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1998, by</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Incorporated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reference to</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the and among</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the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OM Scott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International</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Registrant's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Current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Report on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Form 8-K</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Investments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Ltd., Miracle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Garden Care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Limited,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dated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December 11,</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1998 (File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No. 1-11593)</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Scotts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Holdings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Limited,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Hyponex</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Corporation,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[Exhibit 4]</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Scotts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Miracle-Gro</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Products,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Inc., Scotts-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Sierra</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Horticultural</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Products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Company,</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Republic Tool</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&amp;</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Manufacturing</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Corp.,</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Scotts-Sierra</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Investments,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Inc., Scotts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France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Holdings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SARL, Scotts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Holding GmbH,</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Scotts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Celaflor GmbH</w:t>
      </w:r>
    </w:p>
    <w:p>
      <w:pPr>
        <w:spacing w:after="0" w:line="5" w:lineRule="exact"/>
        <w:rPr>
          <w:sz w:val="20"/>
          <w:szCs w:val="20"/>
          <w:color w:val="auto"/>
        </w:rPr>
      </w:pPr>
    </w:p>
    <w:p>
      <w:pPr>
        <w:ind w:right="8779" w:firstLine="262"/>
        <w:spacing w:after="0" w:line="246" w:lineRule="auto"/>
        <w:tabs>
          <w:tab w:leader="none" w:pos="462" w:val="left"/>
        </w:tabs>
        <w:numPr>
          <w:ilvl w:val="0"/>
          <w:numId w:val="1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 KG, Scotts France SARL, Scotts Belgium 2 BVBA and The Scotts Company (UK) Ltd. and other subsidiaries of the Registrant who are also borrowers from time to time; the lenders party thereto; The Chase Manhattan Bank as Administrative Agent; Salomon Smith Barney, Inc.</w:t>
      </w:r>
    </w:p>
    <w:p>
      <w:pPr>
        <w:sectPr>
          <w:pgSz w:w="11900" w:h="16838" w:orient="portrait"/>
          <w:cols w:equalWidth="0" w:num="1">
            <w:col w:w="10219"/>
          </w:cols>
          <w:pgMar w:left="240" w:top="142" w:right="1440" w:bottom="306" w:gutter="0" w:footer="0" w:header="0"/>
        </w:sectPr>
      </w:pPr>
    </w:p>
    <w:bookmarkStart w:id="156" w:name="page157"/>
    <w:bookmarkEnd w:id="156"/>
    <w:p>
      <w:pPr>
        <w:jc w:val="center"/>
        <w:ind w:right="8819"/>
        <w:spacing w:after="0"/>
        <w:rPr>
          <w:sz w:val="20"/>
          <w:szCs w:val="20"/>
          <w:color w:val="auto"/>
        </w:rPr>
      </w:pPr>
      <w:r>
        <w:rPr>
          <w:rFonts w:ascii="Courier New" w:cs="Courier New" w:eastAsia="Courier New" w:hAnsi="Courier New"/>
          <w:sz w:val="17"/>
          <w:szCs w:val="17"/>
          <w:color w:val="auto"/>
        </w:rPr>
        <w:t>as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Syndication</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Agent; Credit</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Lyonnais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Chicago</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Branch and</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NBD Bank as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Co-</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Documentation</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Agents; and</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Chase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Securities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Inc. as Lead</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Arranger and</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as Book</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Manager 4(e)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Waiver, dated</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as of January</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19, 1999, to</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the Credit</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Incorporated</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reference to</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the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dated as of</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December 4,</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1998, among</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the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Registrant's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Annual Report</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on Form 10-K</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OM Scott</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International</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Investments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for the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fiscal year</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ended</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September 30,</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Ltd., Miracle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Garden Care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Limited,</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Scotts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Holdings 1999</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(File No. 1-</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11593)</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4(e)]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Limited,</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Hyponex</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Corporation,</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Scotts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Miracle-Gro</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Products,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Inc., Scotts-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Sierra</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Horticultural</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Products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Company,</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Republic Tool</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&amp;</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Manufacturing</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Corp.,</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Scotts-Sierra</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Investments,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Inc., Scotts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France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Holdings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SARL, Scotts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Holding GmbH,</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Scotts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Celaflor GmbH</w:t>
      </w:r>
    </w:p>
    <w:p>
      <w:pPr>
        <w:spacing w:after="0" w:line="5" w:lineRule="exact"/>
        <w:rPr>
          <w:sz w:val="20"/>
          <w:szCs w:val="20"/>
          <w:color w:val="auto"/>
        </w:rPr>
      </w:pPr>
    </w:p>
    <w:p>
      <w:pPr>
        <w:ind w:right="8819" w:firstLine="202"/>
        <w:spacing w:after="0" w:line="246" w:lineRule="auto"/>
        <w:tabs>
          <w:tab w:leader="none" w:pos="412" w:val="left"/>
        </w:tabs>
        <w:numPr>
          <w:ilvl w:val="0"/>
          <w:numId w:val="1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 KG, Scotts France SARL, Scotts Belgium 2 BVBA, The Scotts Company (UK) Ltd. and other subsidiaries</w:t>
      </w:r>
    </w:p>
    <w:p>
      <w:pPr>
        <w:sectPr>
          <w:pgSz w:w="11900" w:h="16838" w:orient="portrait"/>
          <w:cols w:equalWidth="0" w:num="1">
            <w:col w:w="10159"/>
          </w:cols>
          <w:pgMar w:left="300" w:top="142" w:right="1440" w:bottom="0" w:gutter="0" w:footer="0" w:header="0"/>
        </w:sectPr>
      </w:pPr>
    </w:p>
    <w:bookmarkStart w:id="157" w:name="page158"/>
    <w:bookmarkEnd w:id="157"/>
    <w:p>
      <w:pPr>
        <w:jc w:val="center"/>
        <w:ind w:right="8779"/>
        <w:spacing w:after="0"/>
        <w:rPr>
          <w:sz w:val="20"/>
          <w:szCs w:val="20"/>
          <w:color w:val="auto"/>
        </w:rPr>
      </w:pPr>
      <w:r>
        <w:rPr>
          <w:rFonts w:ascii="Courier New" w:cs="Courier New" w:eastAsia="Courier New" w:hAnsi="Courier New"/>
          <w:sz w:val="17"/>
          <w:szCs w:val="17"/>
          <w:color w:val="auto"/>
        </w:rPr>
        <w:t>of the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who are also</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borrowers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from time to</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time; the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lenders party</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thereto; The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Chase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Manhattan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Bank as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Administrative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Agent;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Salomon Smith</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Barney, Inc.</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Syndication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Agent; Credit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Lyonnais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Chicago</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Branch and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NBD Bank as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Documentation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Agents; and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Chase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Securities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Inc., as Lead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Arranger and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Book Manager</w:t>
      </w:r>
    </w:p>
    <w:p>
      <w:pPr>
        <w:spacing w:after="0" w:line="200" w:lineRule="exact"/>
        <w:rPr>
          <w:sz w:val="20"/>
          <w:szCs w:val="20"/>
          <w:color w:val="auto"/>
        </w:rPr>
      </w:pPr>
    </w:p>
    <w:p>
      <w:pPr>
        <w:spacing w:after="0" w:line="201"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87</w:t>
      </w:r>
    </w:p>
    <w:p>
      <w:pPr>
        <w:sectPr>
          <w:pgSz w:w="11900" w:h="16838" w:orient="portrait"/>
          <w:cols w:equalWidth="0" w:num="1">
            <w:col w:w="10219"/>
          </w:cols>
          <w:pgMar w:left="240" w:top="142" w:right="1440" w:bottom="1440" w:gutter="0" w:footer="0" w:header="0"/>
        </w:sectPr>
      </w:pPr>
    </w:p>
    <w:bookmarkStart w:id="158" w:name="page159"/>
    <w:bookmarkEnd w:id="158"/>
    <w:p>
      <w:pPr>
        <w:ind w:left="100"/>
        <w:spacing w:after="0"/>
        <w:rPr>
          <w:sz w:val="20"/>
          <w:szCs w:val="20"/>
          <w:color w:val="auto"/>
        </w:rPr>
      </w:pPr>
      <w:r>
        <w:rPr>
          <w:rFonts w:ascii="Courier New" w:cs="Courier New" w:eastAsia="Courier New" w:hAnsi="Courier New"/>
          <w:sz w:val="17"/>
          <w:szCs w:val="17"/>
          <w:color w:val="auto"/>
        </w:rPr>
        <w:t>Exhibit No.</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Description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Location -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4(f)</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Amendment No.</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1 and Consent</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dated as of</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October 13,</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Incorporated</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reference to</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the 1999 to</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the Credit</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dated as of</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December</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Registrant's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Annual Report</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on Form 10-K</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4, 1998, as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amended by</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the Waiver,</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dated as of</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for the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fiscal year</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ended</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September 30,</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January 19,</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1999, among</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the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OM Scott 1999</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(File No. 1-</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11593)</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4(f)]</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International</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Investments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Ltd., Miracle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Garden Care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Limited,</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Scotts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Holdings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Limited,</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Hyponex</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Corporation,</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Scotts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Miracle-Gro</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Products,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Inc., Scotts-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Sierra</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Horticultural</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Products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Company,</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Republic Tool</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&amp;</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Manufacturing</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Corp.,</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Scotts-Sierra</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Investments,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Inc., Scotts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France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Holdings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SARL, Scotts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Holding GmbH,</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Scotts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Celaflor GmbH</w:t>
      </w:r>
    </w:p>
    <w:p>
      <w:pPr>
        <w:spacing w:after="0" w:line="5" w:lineRule="exact"/>
        <w:rPr>
          <w:sz w:val="20"/>
          <w:szCs w:val="20"/>
          <w:color w:val="auto"/>
        </w:rPr>
      </w:pPr>
    </w:p>
    <w:p>
      <w:pPr>
        <w:ind w:right="8819" w:firstLine="202"/>
        <w:spacing w:after="0" w:line="246" w:lineRule="auto"/>
        <w:tabs>
          <w:tab w:leader="none" w:pos="412" w:val="left"/>
        </w:tabs>
        <w:numPr>
          <w:ilvl w:val="0"/>
          <w:numId w:val="1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 KG, Scotts France SARL, Scotts Belgium 2 BVBA, The</w:t>
      </w:r>
    </w:p>
    <w:p>
      <w:pPr>
        <w:sectPr>
          <w:pgSz w:w="11900" w:h="16838" w:orient="portrait"/>
          <w:cols w:equalWidth="0" w:num="1">
            <w:col w:w="10159"/>
          </w:cols>
          <w:pgMar w:left="300" w:top="709" w:right="1440" w:bottom="0" w:gutter="0" w:footer="0" w:header="0"/>
        </w:sectPr>
      </w:pPr>
    </w:p>
    <w:bookmarkStart w:id="159" w:name="page160"/>
    <w:bookmarkEnd w:id="159"/>
    <w:p>
      <w:pPr>
        <w:jc w:val="center"/>
        <w:ind w:right="8779"/>
        <w:spacing w:after="0"/>
        <w:rPr>
          <w:sz w:val="20"/>
          <w:szCs w:val="20"/>
          <w:color w:val="auto"/>
        </w:rPr>
      </w:pPr>
      <w:r>
        <w:rPr>
          <w:rFonts w:ascii="Courier New" w:cs="Courier New" w:eastAsia="Courier New" w:hAnsi="Courier New"/>
          <w:sz w:val="17"/>
          <w:szCs w:val="17"/>
          <w:color w:val="auto"/>
        </w:rPr>
        <w:t>Scotts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Company (UK)</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Ltd., Scotts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Canada Ltd.,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Scotts Europe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B.V., ASEF</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B.V. and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other</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subsidiaries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of the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who are also</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borrowers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from time to</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time; the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lenders party</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thereto; The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Chase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Manhattan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Bank as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Administrative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Agent;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Salomon Smith</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Barney, Inc.</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Syndication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Agent; Credit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Lyonnais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Chicago and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NBD Bank as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Documentation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Agents; and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Chase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Securities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Inc. as Lead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Arranger and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Book Manager</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4(g) Waiver</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No. 2, dated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as of</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February 14,</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2000, to the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Incorporated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reference to</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the Credit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dated as of</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December 4,</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1998, as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Registrant's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Quarterly</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Report on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Form 10-Q</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amended by</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the Waiver,</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dated as of</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January 19,</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for the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fiscal</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quarter ended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April 1, 2000</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1999, and the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Amendment No.</w:t>
      </w:r>
    </w:p>
    <w:p>
      <w:pPr>
        <w:spacing w:after="0" w:line="5" w:lineRule="exact"/>
        <w:rPr>
          <w:sz w:val="20"/>
          <w:szCs w:val="20"/>
          <w:color w:val="auto"/>
        </w:rPr>
      </w:pPr>
    </w:p>
    <w:p>
      <w:pPr>
        <w:ind w:left="680" w:hanging="212"/>
        <w:spacing w:after="0"/>
        <w:tabs>
          <w:tab w:leader="none" w:pos="680" w:val="left"/>
        </w:tabs>
        <w:numPr>
          <w:ilvl w:val="0"/>
          <w:numId w:val="1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and</w:t>
      </w:r>
    </w:p>
    <w:p>
      <w:pPr>
        <w:spacing w:after="0" w:line="5" w:lineRule="exact"/>
        <w:rPr>
          <w:rFonts w:ascii="Courier New" w:cs="Courier New" w:eastAsia="Courier New" w:hAnsi="Courier New"/>
          <w:sz w:val="17"/>
          <w:szCs w:val="17"/>
          <w:color w:val="auto"/>
        </w:rPr>
      </w:pPr>
    </w:p>
    <w:p>
      <w:pPr>
        <w:jc w:val="both"/>
        <w:ind w:left="320" w:right="90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Consent, dated as</w:t>
      </w:r>
    </w:p>
    <w:p>
      <w:pPr>
        <w:spacing w:after="0" w:line="1"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(File No. 1-</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13292)</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4(h)] of</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October 13,</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1999, among</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the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OM Scott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International</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Investments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Ltd., Miracle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Garden Care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Limited,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Scotts</w:t>
      </w:r>
    </w:p>
    <w:p>
      <w:pPr>
        <w:sectPr>
          <w:pgSz w:w="11900" w:h="16838" w:orient="portrait"/>
          <w:cols w:equalWidth="0" w:num="1">
            <w:col w:w="10219"/>
          </w:cols>
          <w:pgMar w:left="240" w:top="142" w:right="1440" w:bottom="0" w:gutter="0" w:footer="0" w:header="0"/>
        </w:sectPr>
      </w:pPr>
    </w:p>
    <w:bookmarkStart w:id="160" w:name="page161"/>
    <w:bookmarkEnd w:id="160"/>
    <w:p>
      <w:pPr>
        <w:jc w:val="center"/>
        <w:ind w:right="8779"/>
        <w:spacing w:after="0"/>
        <w:rPr>
          <w:sz w:val="20"/>
          <w:szCs w:val="20"/>
          <w:color w:val="auto"/>
        </w:rPr>
      </w:pPr>
      <w:r>
        <w:rPr>
          <w:rFonts w:ascii="Courier New" w:cs="Courier New" w:eastAsia="Courier New" w:hAnsi="Courier New"/>
          <w:sz w:val="17"/>
          <w:szCs w:val="17"/>
          <w:color w:val="auto"/>
        </w:rPr>
        <w:t>Holdings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Limited,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Hyponex</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Corporation,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Scotts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Miracle-Gro</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Products,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Inc., Scotts-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Sierra</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Horticultural</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Products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Company,</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Republic Tool</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&amp;</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Manufacturing</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Corp.,</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Scotts-Sierra</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Investments,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Inc., Scotts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France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Holdings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SARL, Scotts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Holding GmbH,</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Scotts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Celaflor GmbH</w:t>
      </w:r>
    </w:p>
    <w:p>
      <w:pPr>
        <w:spacing w:after="0" w:line="5" w:lineRule="exact"/>
        <w:rPr>
          <w:sz w:val="20"/>
          <w:szCs w:val="20"/>
          <w:color w:val="auto"/>
        </w:rPr>
      </w:pPr>
    </w:p>
    <w:p>
      <w:pPr>
        <w:ind w:left="60" w:right="8819" w:firstLine="202"/>
        <w:spacing w:after="0" w:line="246" w:lineRule="auto"/>
        <w:tabs>
          <w:tab w:leader="none" w:pos="472" w:val="left"/>
        </w:tabs>
        <w:numPr>
          <w:ilvl w:val="0"/>
          <w:numId w:val="1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 KG, Scotts France SARL, Scotts</w:t>
      </w:r>
    </w:p>
    <w:p>
      <w:pPr>
        <w:spacing w:after="0" w:line="1"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ASEF BVBA</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(fka Scotts</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Belgium 2</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BVBA), The</w:t>
      </w:r>
    </w:p>
    <w:p>
      <w:pPr>
        <w:spacing w:after="0" w:line="5"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Scotts</w:t>
      </w:r>
    </w:p>
    <w:p>
      <w:pPr>
        <w:spacing w:after="0" w:line="5" w:lineRule="exact"/>
        <w:rPr>
          <w:rFonts w:ascii="Courier New" w:cs="Courier New" w:eastAsia="Courier New" w:hAnsi="Courier New"/>
          <w:sz w:val="17"/>
          <w:szCs w:val="17"/>
          <w:color w:val="auto"/>
        </w:rPr>
      </w:pPr>
    </w:p>
    <w:p>
      <w:pPr>
        <w:jc w:val="center"/>
        <w:ind w:right="8779" w:firstLine="101"/>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Company (UK) Ltd., Scotts Canada Ltd., Scotts Europe B.V., ASEF B.V., Scotts Australia PTY Ltd., and other subsidiaries of the Registrant who are also borrowers from time to time; the lenders party thereto; The Chase Manhattan Bank as Administrative Agent; Salomon Smith Barney, Inc. as Syndication Agent; Credit Lyonnais Chicago Branch and Bank One, Michigan, as successor to NBD Bank, as Co-Documentation Agents; and Chase Securities Inc., as Lead Arranger and Book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88</w:t>
      </w:r>
    </w:p>
    <w:p>
      <w:pPr>
        <w:sectPr>
          <w:pgSz w:w="11900" w:h="16838" w:orient="portrait"/>
          <w:cols w:equalWidth="0" w:num="1">
            <w:col w:w="10219"/>
          </w:cols>
          <w:pgMar w:left="240" w:top="142" w:right="1440" w:bottom="299" w:gutter="0" w:footer="0" w:header="0"/>
        </w:sectPr>
      </w:pPr>
    </w:p>
    <w:bookmarkStart w:id="161" w:name="page162"/>
    <w:bookmarkEnd w:id="161"/>
    <w:p>
      <w:pPr>
        <w:ind w:left="100"/>
        <w:spacing w:after="0"/>
        <w:rPr>
          <w:sz w:val="20"/>
          <w:szCs w:val="20"/>
          <w:color w:val="auto"/>
        </w:rPr>
      </w:pPr>
      <w:r>
        <w:rPr>
          <w:rFonts w:ascii="Courier New" w:cs="Courier New" w:eastAsia="Courier New" w:hAnsi="Courier New"/>
          <w:sz w:val="17"/>
          <w:szCs w:val="17"/>
          <w:color w:val="auto"/>
        </w:rPr>
        <w:t>Exhibit No.</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Description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Location -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4(h)</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Amendment No.</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2, dated as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of June 9,</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2000, to the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Incorporated</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reference to</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the Credit</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dated as of</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December 4,</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1998, as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Registrant's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Quarterly</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Report on</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Form 10-Q</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amended by</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the Waiver,</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dated as of</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January 19,</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for the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fiscal</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quarter ended</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July 1, 2000</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1999, the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Amendment No.</w:t>
      </w:r>
    </w:p>
    <w:p>
      <w:pPr>
        <w:spacing w:after="0" w:line="5" w:lineRule="exact"/>
        <w:rPr>
          <w:sz w:val="20"/>
          <w:szCs w:val="20"/>
          <w:color w:val="auto"/>
        </w:rPr>
      </w:pPr>
    </w:p>
    <w:p>
      <w:pPr>
        <w:ind w:left="620" w:hanging="212"/>
        <w:spacing w:after="0"/>
        <w:tabs>
          <w:tab w:leader="none" w:pos="620" w:val="left"/>
        </w:tabs>
        <w:numPr>
          <w:ilvl w:val="0"/>
          <w:numId w:val="1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and</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Consent,</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dated as of</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(File No. 1-</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13292)</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4(i)] October</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13, 1999, and</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the Waiver</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No. 2, dated</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as of</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February 14,</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2000, among</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the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OM Scott</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International</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Investments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Ltd., Miracle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Garden Care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Limited,</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Scotts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Holdings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Limited,</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Hyponex</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Corporation,</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Scotts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Miracle-Gro</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Products,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Inc., Scotts-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Sierra</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Horticultural</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Products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Company,</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Republic Tool</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&amp;</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Manufacturing</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Corp.,</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Scotts-Sierra</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Investments,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Inc., Scotts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France</w:t>
      </w:r>
    </w:p>
    <w:p>
      <w:pPr>
        <w:sectPr>
          <w:pgSz w:w="11900" w:h="16838" w:orient="portrait"/>
          <w:cols w:equalWidth="0" w:num="1">
            <w:col w:w="10159"/>
          </w:cols>
          <w:pgMar w:left="300" w:top="709" w:right="1440" w:bottom="0" w:gutter="0" w:footer="0" w:header="0"/>
        </w:sectPr>
      </w:pPr>
    </w:p>
    <w:bookmarkStart w:id="162" w:name="page163"/>
    <w:bookmarkEnd w:id="162"/>
    <w:p>
      <w:pPr>
        <w:jc w:val="center"/>
        <w:ind w:right="8779"/>
        <w:spacing w:after="0"/>
        <w:rPr>
          <w:sz w:val="20"/>
          <w:szCs w:val="20"/>
          <w:color w:val="auto"/>
        </w:rPr>
      </w:pPr>
      <w:r>
        <w:rPr>
          <w:rFonts w:ascii="Courier New" w:cs="Courier New" w:eastAsia="Courier New" w:hAnsi="Courier New"/>
          <w:sz w:val="17"/>
          <w:szCs w:val="17"/>
          <w:color w:val="auto"/>
        </w:rPr>
        <w:t>Holdings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SARL, Scotts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Holding GmbH,</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Scotts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Celaflor GmbH</w:t>
      </w:r>
    </w:p>
    <w:p>
      <w:pPr>
        <w:spacing w:after="0" w:line="5" w:lineRule="exact"/>
        <w:rPr>
          <w:sz w:val="20"/>
          <w:szCs w:val="20"/>
          <w:color w:val="auto"/>
        </w:rPr>
      </w:pPr>
    </w:p>
    <w:p>
      <w:pPr>
        <w:ind w:left="60" w:right="8819" w:firstLine="202"/>
        <w:spacing w:after="0" w:line="246" w:lineRule="auto"/>
        <w:tabs>
          <w:tab w:leader="none" w:pos="472" w:val="left"/>
        </w:tabs>
        <w:numPr>
          <w:ilvl w:val="0"/>
          <w:numId w:val="1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 KG, Scotts France SARL, Scotts</w:t>
      </w:r>
    </w:p>
    <w:p>
      <w:pPr>
        <w:spacing w:after="0" w:line="1"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ASEF BVBA</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(fka Scotts</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Belgium 2</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BVBA), The</w:t>
      </w:r>
    </w:p>
    <w:p>
      <w:pPr>
        <w:spacing w:after="0" w:line="5"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Scotts</w:t>
      </w:r>
    </w:p>
    <w:p>
      <w:pPr>
        <w:spacing w:after="0" w:line="5" w:lineRule="exact"/>
        <w:rPr>
          <w:rFonts w:ascii="Courier New" w:cs="Courier New" w:eastAsia="Courier New" w:hAnsi="Courier New"/>
          <w:sz w:val="17"/>
          <w:szCs w:val="17"/>
          <w:color w:val="auto"/>
        </w:rPr>
      </w:pPr>
    </w:p>
    <w:p>
      <w:pPr>
        <w:jc w:val="center"/>
        <w:ind w:right="8779" w:firstLine="101"/>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Company (UK) Ltd., Scotts Canada Ltd., Scotts Europe B.V., ASEF B.V., Scotts Australia PTY Ltd., and other subsidiaries of the Registrant who are also borrowers from time to time; the lenders party thereto; The Chase Manhattan Bank as Administrative Agent; Salomon Smith Barney, Inc. as Syndication Agent; Credit Lyonnais New York Branch and Bank One, Michigan, as successor to NBD Bank, as Co-Documentation Agents; and Chase Securities Inc., as Lead Arranger and Book Manager 4(i) Amended and Restated Credit Agreement, dated as of Incorporated herein by reference to the December 5, 2000, among the Registrant, as Registrant's Annual Report on Form 10-K Borrower; OM Scott International Investments Ltd., for the fiscal year ended September 30, Miracle Garden Care Limited, Scotts</w:t>
      </w:r>
    </w:p>
    <w:p>
      <w:pPr>
        <w:sectPr>
          <w:pgSz w:w="11900" w:h="16838" w:orient="portrait"/>
          <w:cols w:equalWidth="0" w:num="1">
            <w:col w:w="10219"/>
          </w:cols>
          <w:pgMar w:left="240" w:top="142" w:right="1440" w:bottom="530" w:gutter="0" w:footer="0" w:header="0"/>
        </w:sectPr>
      </w:pPr>
    </w:p>
    <w:bookmarkStart w:id="163" w:name="page164"/>
    <w:bookmarkEnd w:id="163"/>
    <w:p>
      <w:pPr>
        <w:jc w:val="center"/>
        <w:ind w:right="8779"/>
        <w:spacing w:after="0"/>
        <w:rPr>
          <w:sz w:val="20"/>
          <w:szCs w:val="20"/>
          <w:color w:val="auto"/>
        </w:rPr>
      </w:pPr>
      <w:r>
        <w:rPr>
          <w:rFonts w:ascii="Courier New" w:cs="Courier New" w:eastAsia="Courier New" w:hAnsi="Courier New"/>
          <w:sz w:val="17"/>
          <w:szCs w:val="17"/>
          <w:color w:val="auto"/>
        </w:rPr>
        <w:t>Holdings 2000</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(File No. 1-</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13292)</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4(i)]</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Limited,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Hyponex</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Corporation,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Scotts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Manufacturing</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Company,</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Scotts-Sierra</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Horticultural</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Products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Company,</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Republic Tool</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&amp;</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Manufacturing</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Corp.,</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Scotts-Sierra</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Investments,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Inc., Scotts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France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Holdings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SARL, Scotts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Holding GmbH,</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Scotts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Celaflor GmbH</w:t>
      </w:r>
    </w:p>
    <w:p>
      <w:pPr>
        <w:spacing w:after="0" w:line="5" w:lineRule="exact"/>
        <w:rPr>
          <w:sz w:val="20"/>
          <w:szCs w:val="20"/>
          <w:color w:val="auto"/>
        </w:rPr>
      </w:pPr>
    </w:p>
    <w:p>
      <w:pPr>
        <w:ind w:right="8779" w:firstLine="262"/>
        <w:spacing w:after="0" w:line="246" w:lineRule="auto"/>
        <w:tabs>
          <w:tab w:leader="none" w:pos="462" w:val="left"/>
        </w:tabs>
        <w:numPr>
          <w:ilvl w:val="0"/>
          <w:numId w:val="1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 KG, Scotts France SARL, Scotts Belgium BVBA, The Scotts Company (UK) Ltd., Scotts Canada Ltd., Scotts International B.V., ASEF B.V., Scotts Australia PTY Ltd., and other subsidiaries of the Registrant who are also borrowers from time to time; the lenders party thereto; Salomon Smith Barney Inc., as Syndication Agent; Credit Lyonnais New York Branch, as Co-Documentation Agent; Bank One, Michigan, as successor to NBD Bank, as Co-Documentation Agent; The Chase Manhattan Bank as Administrative Agent; and Chase Securities Inc., as Lead Arranger and Book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89</w:t>
      </w:r>
    </w:p>
    <w:p>
      <w:pPr>
        <w:sectPr>
          <w:pgSz w:w="11900" w:h="16838" w:orient="portrait"/>
          <w:cols w:equalWidth="0" w:num="1">
            <w:col w:w="10219"/>
          </w:cols>
          <w:pgMar w:left="240" w:top="142" w:right="1440" w:bottom="0" w:gutter="0" w:footer="0" w:header="0"/>
        </w:sectPr>
      </w:pPr>
    </w:p>
    <w:bookmarkStart w:id="164" w:name="page165"/>
    <w:bookmarkEnd w:id="164"/>
    <w:p>
      <w:pPr>
        <w:ind w:left="160"/>
        <w:spacing w:after="0"/>
        <w:rPr>
          <w:sz w:val="20"/>
          <w:szCs w:val="20"/>
          <w:color w:val="auto"/>
        </w:rPr>
      </w:pPr>
      <w:r>
        <w:rPr>
          <w:rFonts w:ascii="Courier New" w:cs="Courier New" w:eastAsia="Courier New" w:hAnsi="Courier New"/>
          <w:sz w:val="17"/>
          <w:szCs w:val="17"/>
          <w:color w:val="auto"/>
        </w:rPr>
        <w:t>Exhibit No.</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Description</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Location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4(j) Waiver</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No. 3, dated</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as of October</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19, 2001, to</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the * Credit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dated as of</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December 4,</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1998, as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amended by</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the Waiver,</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dated as of</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January 19,</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1999, the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Amendment No.</w:t>
      </w:r>
    </w:p>
    <w:p>
      <w:pPr>
        <w:spacing w:after="0" w:line="5" w:lineRule="exact"/>
        <w:rPr>
          <w:sz w:val="20"/>
          <w:szCs w:val="20"/>
          <w:color w:val="auto"/>
        </w:rPr>
      </w:pPr>
    </w:p>
    <w:p>
      <w:pPr>
        <w:ind w:left="680" w:hanging="212"/>
        <w:spacing w:after="0"/>
        <w:tabs>
          <w:tab w:leader="none" w:pos="680" w:val="left"/>
        </w:tabs>
        <w:numPr>
          <w:ilvl w:val="0"/>
          <w:numId w:val="1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and</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Consent,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dated as of</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October 13,</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1999, Waiver</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No. 2, dated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as of</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February 14,</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2000,</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Amendment No.</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2, dated as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of June 9,</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2000, and as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amended and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restated by</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the Amended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and Restated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Credit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dated as of</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December 5,</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2000, among</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the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the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subsidiaries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of the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who are also</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borrowers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from time to</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time; the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lenders party</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thereto; The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Chase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Manhattan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Bank as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Administrative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Agent;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Salomon Smith</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Barney, Inc.</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Syndication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Agent; Credit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Lyonnais New</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York Branch</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as Co-</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Documentation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Agent; Bank</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One,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Michigan, as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successor to</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NBD Bank, as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w:t>
      </w:r>
    </w:p>
    <w:p>
      <w:pPr>
        <w:sectPr>
          <w:pgSz w:w="11900" w:h="16838" w:orient="portrait"/>
          <w:cols w:equalWidth="0" w:num="1">
            <w:col w:w="10219"/>
          </w:cols>
          <w:pgMar w:left="240" w:top="709" w:right="1440" w:bottom="0" w:gutter="0" w:footer="0" w:header="0"/>
        </w:sectPr>
      </w:pPr>
    </w:p>
    <w:bookmarkStart w:id="165" w:name="page166"/>
    <w:bookmarkEnd w:id="165"/>
    <w:p>
      <w:pPr>
        <w:ind w:left="60"/>
        <w:spacing w:after="0"/>
        <w:rPr>
          <w:sz w:val="20"/>
          <w:szCs w:val="20"/>
          <w:color w:val="auto"/>
        </w:rPr>
      </w:pPr>
      <w:r>
        <w:rPr>
          <w:rFonts w:ascii="Courier New" w:cs="Courier New" w:eastAsia="Courier New" w:hAnsi="Courier New"/>
          <w:sz w:val="17"/>
          <w:szCs w:val="17"/>
          <w:color w:val="auto"/>
        </w:rPr>
        <w:t>Documentation</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Agent; and J.</w:t>
      </w:r>
    </w:p>
    <w:p>
      <w:pPr>
        <w:spacing w:after="0" w:line="5" w:lineRule="exact"/>
        <w:rPr>
          <w:sz w:val="20"/>
          <w:szCs w:val="20"/>
          <w:color w:val="auto"/>
        </w:rPr>
      </w:pPr>
    </w:p>
    <w:p>
      <w:pPr>
        <w:ind w:left="220" w:right="8979" w:firstLine="42"/>
        <w:spacing w:after="0" w:line="246" w:lineRule="auto"/>
        <w:tabs>
          <w:tab w:leader="none" w:pos="580" w:val="left"/>
        </w:tabs>
        <w:numPr>
          <w:ilvl w:val="0"/>
          <w:numId w:val="1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Morgan Securities Inc., as</w:t>
      </w:r>
    </w:p>
    <w:p>
      <w:pPr>
        <w:spacing w:after="0" w:line="2"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successor to</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Chase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Securities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Inc., as Lead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Arranger and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Book Manager</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4(k)</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Amendment No.</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3, dated as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of December</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12, 2001, to</w:t>
      </w:r>
    </w:p>
    <w:p>
      <w:pPr>
        <w:spacing w:after="0" w:line="5" w:lineRule="exact"/>
        <w:rPr>
          <w:sz w:val="20"/>
          <w:szCs w:val="20"/>
          <w:color w:val="auto"/>
        </w:rPr>
      </w:pPr>
    </w:p>
    <w:p>
      <w:pPr>
        <w:ind w:left="220" w:right="8879" w:hanging="113"/>
        <w:spacing w:after="0" w:line="262" w:lineRule="auto"/>
        <w:tabs>
          <w:tab w:leader="none" w:pos="323" w:val="left"/>
        </w:tabs>
        <w:numPr>
          <w:ilvl w:val="0"/>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Credit Agreement,</w:t>
      </w:r>
    </w:p>
    <w:p>
      <w:pPr>
        <w:jc w:val="center"/>
        <w:ind w:right="8779"/>
        <w:spacing w:after="0"/>
        <w:rPr>
          <w:sz w:val="20"/>
          <w:szCs w:val="20"/>
          <w:color w:val="auto"/>
        </w:rPr>
      </w:pPr>
      <w:r>
        <w:rPr>
          <w:rFonts w:ascii="Courier New" w:cs="Courier New" w:eastAsia="Courier New" w:hAnsi="Courier New"/>
          <w:sz w:val="17"/>
          <w:szCs w:val="17"/>
          <w:color w:val="auto"/>
        </w:rPr>
        <w:t>dated as of</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December 4,</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1998, as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amended by</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the Waiver,</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dated as of</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January 19,</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1999, the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Amendment No.</w:t>
      </w:r>
    </w:p>
    <w:p>
      <w:pPr>
        <w:spacing w:after="0" w:line="5" w:lineRule="exact"/>
        <w:rPr>
          <w:sz w:val="20"/>
          <w:szCs w:val="20"/>
          <w:color w:val="auto"/>
        </w:rPr>
      </w:pPr>
    </w:p>
    <w:p>
      <w:pPr>
        <w:ind w:left="680" w:hanging="212"/>
        <w:spacing w:after="0"/>
        <w:tabs>
          <w:tab w:leader="none" w:pos="680" w:val="left"/>
        </w:tabs>
        <w:numPr>
          <w:ilvl w:val="0"/>
          <w:numId w:val="1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and</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Consent,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dated as of</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October 13,</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1999, Waiver</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No. 2, dated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as of</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February 14,</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2000,</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Amendment No.</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2, dated as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of June 9,</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2000, and as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amended and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restated by</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the Amended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and Restated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Credit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dated as of</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December 5,</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2000, as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amended by</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Waiver No. 3,</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dated as of</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October 19,</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2001, among</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the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the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subsidiaries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of the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who are also</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borrowers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from time to</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time; the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lenders party</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thereto; JP</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Morgan Chase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Bank (The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Chase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Manhattan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Bank), as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Administrative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Agent;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Salomon Smith</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Barney, Inc.,</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Syndication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Agent; Credit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Lyonnais New</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York Branch,</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as Co-</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Documentation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Agent; Bank</w:t>
      </w:r>
    </w:p>
    <w:p>
      <w:pPr>
        <w:sectPr>
          <w:pgSz w:w="11900" w:h="16838" w:orient="portrait"/>
          <w:cols w:equalWidth="0" w:num="1">
            <w:col w:w="10219"/>
          </w:cols>
          <w:pgMar w:left="240" w:top="142" w:right="1440" w:bottom="0" w:gutter="0" w:footer="0" w:header="0"/>
        </w:sectPr>
      </w:pPr>
    </w:p>
    <w:bookmarkStart w:id="166" w:name="page167"/>
    <w:bookmarkEnd w:id="166"/>
    <w:p>
      <w:pPr>
        <w:jc w:val="center"/>
        <w:ind w:right="8819"/>
        <w:spacing w:after="0"/>
        <w:rPr>
          <w:sz w:val="20"/>
          <w:szCs w:val="20"/>
          <w:color w:val="auto"/>
        </w:rPr>
      </w:pPr>
      <w:r>
        <w:rPr>
          <w:rFonts w:ascii="Courier New" w:cs="Courier New" w:eastAsia="Courier New" w:hAnsi="Courier New"/>
          <w:sz w:val="17"/>
          <w:szCs w:val="17"/>
          <w:color w:val="auto"/>
        </w:rPr>
        <w:t>One,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Michigan, as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successor to</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NBD Bank, as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Co-</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Documentation</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Agent; and</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J.P. Morgan</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Securities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Inc., as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successor to</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Chase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Securities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Inc., as Lead</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Arranger and</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Book Manager</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4(l)</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Indenture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dated as of</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January 21,</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1999 between</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The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Incorporated</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reference to</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the Scotts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Company and</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State Street</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Bank and</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Trust</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Registrant's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Registration</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Statement on</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Company, as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Trustee Form</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S-4 filed on</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April 21,</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1999</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(Registration</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No. 333-</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76739)</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[Exhibit 4]</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10(a)(1) The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O.M. Scott &amp;</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Sons Company</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Excess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Benefit Plan,</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Incorporated</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reference to</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the effective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October 1,</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1993 Annual</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Report on</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Form 10-K for</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the fiscal</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year ended</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September 30,</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1993, of The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Scotts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Company, a</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Delaware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corporation</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(File No. 0-</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19768)</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10(h)] 10(a)</w:t>
      </w:r>
    </w:p>
    <w:p>
      <w:pPr>
        <w:spacing w:after="0" w:line="5" w:lineRule="exact"/>
        <w:rPr>
          <w:sz w:val="20"/>
          <w:szCs w:val="20"/>
          <w:color w:val="auto"/>
        </w:rPr>
      </w:pPr>
    </w:p>
    <w:p>
      <w:pPr>
        <w:ind w:left="620" w:hanging="418"/>
        <w:spacing w:after="0"/>
        <w:tabs>
          <w:tab w:leader="none" w:pos="620" w:val="left"/>
        </w:tabs>
        <w:numPr>
          <w:ilvl w:val="0"/>
          <w:numId w:val="1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First</w:t>
      </w:r>
    </w:p>
    <w:p>
      <w:pPr>
        <w:spacing w:after="0" w:line="5" w:lineRule="exact"/>
        <w:rPr>
          <w:rFonts w:ascii="Courier New" w:cs="Courier New" w:eastAsia="Courier New" w:hAnsi="Courier New"/>
          <w:sz w:val="17"/>
          <w:szCs w:val="17"/>
          <w:color w:val="auto"/>
        </w:rPr>
      </w:pPr>
    </w:p>
    <w:p>
      <w:pPr>
        <w:ind w:left="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 to</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The O.M.</w:t>
      </w:r>
    </w:p>
    <w:p>
      <w:pPr>
        <w:spacing w:after="0" w:line="5" w:lineRule="exact"/>
        <w:rPr>
          <w:rFonts w:ascii="Courier New" w:cs="Courier New" w:eastAsia="Courier New" w:hAnsi="Courier New"/>
          <w:sz w:val="17"/>
          <w:szCs w:val="17"/>
          <w:color w:val="auto"/>
        </w:rPr>
      </w:pPr>
    </w:p>
    <w:p>
      <w:pPr>
        <w:ind w:left="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Scott &amp; Sons</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Company *</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Excess</w:t>
      </w:r>
    </w:p>
    <w:p>
      <w:pPr>
        <w:spacing w:after="0" w:line="5" w:lineRule="exact"/>
        <w:rPr>
          <w:rFonts w:ascii="Courier New" w:cs="Courier New" w:eastAsia="Courier New" w:hAnsi="Courier New"/>
          <w:sz w:val="17"/>
          <w:szCs w:val="17"/>
          <w:color w:val="auto"/>
        </w:rPr>
      </w:pPr>
    </w:p>
    <w:p>
      <w:pPr>
        <w:jc w:val="both"/>
        <w:ind w:right="881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Benefit Plan, effective as of January 1, 1998 10(a)(3)</w:t>
      </w:r>
    </w:p>
    <w:p>
      <w:pPr>
        <w:spacing w:after="0" w:line="2"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Second</w:t>
      </w:r>
    </w:p>
    <w:p>
      <w:pPr>
        <w:spacing w:after="0" w:line="5" w:lineRule="exact"/>
        <w:rPr>
          <w:rFonts w:ascii="Courier New" w:cs="Courier New" w:eastAsia="Courier New" w:hAnsi="Courier New"/>
          <w:sz w:val="17"/>
          <w:szCs w:val="17"/>
          <w:color w:val="auto"/>
        </w:rPr>
      </w:pPr>
    </w:p>
    <w:p>
      <w:pPr>
        <w:ind w:left="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 to</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The O.M.</w:t>
      </w:r>
    </w:p>
    <w:p>
      <w:pPr>
        <w:spacing w:after="0" w:line="5" w:lineRule="exact"/>
        <w:rPr>
          <w:rFonts w:ascii="Courier New" w:cs="Courier New" w:eastAsia="Courier New" w:hAnsi="Courier New"/>
          <w:sz w:val="17"/>
          <w:szCs w:val="17"/>
          <w:color w:val="auto"/>
        </w:rPr>
      </w:pPr>
    </w:p>
    <w:p>
      <w:pPr>
        <w:ind w:left="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Scott &amp; Sons</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Company *</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Excess</w:t>
      </w:r>
    </w:p>
    <w:p>
      <w:pPr>
        <w:sectPr>
          <w:pgSz w:w="11900" w:h="16838" w:orient="portrait"/>
          <w:cols w:equalWidth="0" w:num="1">
            <w:col w:w="10159"/>
          </w:cols>
          <w:pgMar w:left="300" w:top="142" w:right="1440" w:bottom="0" w:gutter="0" w:footer="0" w:header="0"/>
        </w:sectPr>
      </w:pPr>
    </w:p>
    <w:bookmarkStart w:id="167" w:name="page168"/>
    <w:bookmarkEnd w:id="167"/>
    <w:p>
      <w:pPr>
        <w:jc w:val="center"/>
        <w:ind w:right="8819"/>
        <w:spacing w:after="0"/>
        <w:rPr>
          <w:sz w:val="20"/>
          <w:szCs w:val="20"/>
          <w:color w:val="auto"/>
        </w:rPr>
      </w:pPr>
      <w:r>
        <w:rPr>
          <w:rFonts w:ascii="Courier New" w:cs="Courier New" w:eastAsia="Courier New" w:hAnsi="Courier New"/>
          <w:sz w:val="17"/>
          <w:szCs w:val="17"/>
          <w:color w:val="auto"/>
        </w:rPr>
        <w:t>Benefit Plan,</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effective as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of January 1,</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1999</w:t>
      </w:r>
    </w:p>
    <w:p>
      <w:pPr>
        <w:spacing w:after="0" w:line="200" w:lineRule="exact"/>
        <w:rPr>
          <w:sz w:val="20"/>
          <w:szCs w:val="20"/>
          <w:color w:val="auto"/>
        </w:rPr>
      </w:pPr>
    </w:p>
    <w:p>
      <w:pPr>
        <w:spacing w:after="0" w:line="201" w:lineRule="exact"/>
        <w:rPr>
          <w:sz w:val="20"/>
          <w:szCs w:val="20"/>
          <w:color w:val="auto"/>
        </w:rPr>
      </w:pPr>
    </w:p>
    <w:p>
      <w:pPr>
        <w:ind w:left="3860"/>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90</w:t>
      </w:r>
    </w:p>
    <w:p>
      <w:pPr>
        <w:sectPr>
          <w:pgSz w:w="11900" w:h="16838" w:orient="portrait"/>
          <w:cols w:equalWidth="0" w:num="1">
            <w:col w:w="10159"/>
          </w:cols>
          <w:pgMar w:left="300" w:top="142" w:right="1440" w:bottom="1440" w:gutter="0" w:footer="0" w:header="0"/>
        </w:sectPr>
      </w:pPr>
    </w:p>
    <w:bookmarkStart w:id="168" w:name="page169"/>
    <w:bookmarkEnd w:id="168"/>
    <w:p>
      <w:pPr>
        <w:ind w:left="60"/>
        <w:spacing w:after="0"/>
        <w:rPr>
          <w:sz w:val="20"/>
          <w:szCs w:val="20"/>
          <w:color w:val="auto"/>
        </w:rPr>
      </w:pPr>
      <w:r>
        <w:rPr>
          <w:rFonts w:ascii="Courier New" w:cs="Courier New" w:eastAsia="Courier New" w:hAnsi="Courier New"/>
          <w:sz w:val="17"/>
          <w:szCs w:val="17"/>
          <w:color w:val="auto"/>
        </w:rPr>
        <w:t>Exhibit No.</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Description</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Location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right"/>
        <w:ind w:left="100" w:right="9039" w:hanging="47"/>
        <w:spacing w:after="0" w:line="246" w:lineRule="auto"/>
        <w:tabs>
          <w:tab w:leader="none" w:pos="666" w:val="left"/>
        </w:tabs>
        <w:numPr>
          <w:ilvl w:val="0"/>
          <w:numId w:val="1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10(b) The Scotts</w:t>
      </w:r>
    </w:p>
    <w:p>
      <w:pPr>
        <w:spacing w:after="0" w:line="1"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Company</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1992 Long</w:t>
      </w:r>
    </w:p>
    <w:p>
      <w:pPr>
        <w:spacing w:after="0" w:line="5"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Term</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Incentive</w:t>
      </w:r>
    </w:p>
    <w:p>
      <w:pPr>
        <w:spacing w:after="0" w:line="5"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Plan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Incorporated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reference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to the (as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amended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through May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15, 2000)</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Registrant's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Quarterly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Report 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Form 10-Q</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fiscal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quarter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ended April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1, 2000</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(File No.</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1-13292)</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10(b)]</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10(c)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Scotts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Company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Executive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Annual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Incentive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Plan *</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10(d)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Scotts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Company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1996 Stock</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Option Plan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Incorporated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reference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to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amended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through May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15, 2000)</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Registrant's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Quarterly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Report 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Form 10-Q</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fiscal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quarter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ended April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1, 2000</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(File No.</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1-13292)</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Specimen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form of</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Stock</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Option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(as amended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 through</w:t>
      </w:r>
    </w:p>
    <w:p>
      <w:pPr>
        <w:sectPr>
          <w:pgSz w:w="11900" w:h="16838" w:orient="portrait"/>
          <w:cols w:equalWidth="0" w:num="1">
            <w:col w:w="10219"/>
          </w:cols>
          <w:pgMar w:left="240" w:top="709" w:right="1440" w:bottom="0" w:gutter="0" w:footer="0" w:header="0"/>
        </w:sectPr>
      </w:pPr>
    </w:p>
    <w:bookmarkStart w:id="169" w:name="page170"/>
    <w:bookmarkEnd w:id="169"/>
    <w:p>
      <w:pPr>
        <w:jc w:val="center"/>
        <w:ind w:right="8979"/>
        <w:spacing w:after="0"/>
        <w:rPr>
          <w:sz w:val="20"/>
          <w:szCs w:val="20"/>
          <w:color w:val="auto"/>
        </w:rPr>
      </w:pPr>
      <w:r>
        <w:rPr>
          <w:rFonts w:ascii="Courier New" w:cs="Courier New" w:eastAsia="Courier New" w:hAnsi="Courier New"/>
          <w:sz w:val="17"/>
          <w:szCs w:val="17"/>
          <w:color w:val="auto"/>
        </w:rPr>
        <w:t>October 23,</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2001) for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Non-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Qualified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Stock</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Options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granted to</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employees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under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Scotts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Company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1996 Stock</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Option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Plan, U.S.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specimen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10(f)</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Specimen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form of</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Stock</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Option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(as amended</w:t>
      </w:r>
    </w:p>
    <w:p>
      <w:pPr>
        <w:spacing w:after="0" w:line="5" w:lineRule="exact"/>
        <w:rPr>
          <w:sz w:val="20"/>
          <w:szCs w:val="20"/>
          <w:color w:val="auto"/>
        </w:rPr>
      </w:pPr>
    </w:p>
    <w:p>
      <w:pPr>
        <w:ind w:left="60" w:right="9039" w:firstLine="96"/>
        <w:spacing w:after="0" w:line="262" w:lineRule="auto"/>
        <w:tabs>
          <w:tab w:leader="none" w:pos="369" w:val="left"/>
        </w:tabs>
        <w:numPr>
          <w:ilvl w:val="0"/>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through October 23,</w:t>
      </w:r>
    </w:p>
    <w:p>
      <w:pPr>
        <w:ind w:left="1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2001) for</w:t>
      </w:r>
    </w:p>
    <w:p>
      <w:pPr>
        <w:spacing w:after="0" w:line="5"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Non-</w:t>
      </w:r>
    </w:p>
    <w:p>
      <w:pPr>
        <w:spacing w:after="0" w:line="5" w:lineRule="exact"/>
        <w:rPr>
          <w:rFonts w:ascii="Courier New" w:cs="Courier New" w:eastAsia="Courier New" w:hAnsi="Courier New"/>
          <w:sz w:val="16"/>
          <w:szCs w:val="16"/>
          <w:color w:val="auto"/>
        </w:rPr>
      </w:pPr>
    </w:p>
    <w:p>
      <w:pPr>
        <w:ind w:left="1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Qualified</w:t>
      </w:r>
    </w:p>
    <w:p>
      <w:pPr>
        <w:spacing w:after="0" w:line="5" w:lineRule="exact"/>
        <w:rPr>
          <w:rFonts w:ascii="Courier New" w:cs="Courier New" w:eastAsia="Courier New" w:hAnsi="Courier New"/>
          <w:sz w:val="16"/>
          <w:szCs w:val="16"/>
          <w:color w:val="auto"/>
        </w:rPr>
      </w:pPr>
    </w:p>
    <w:p>
      <w:pPr>
        <w:ind w:left="3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Stock</w:t>
      </w:r>
    </w:p>
    <w:p>
      <w:pPr>
        <w:spacing w:after="0" w:line="5" w:lineRule="exact"/>
        <w:rPr>
          <w:rFonts w:ascii="Courier New" w:cs="Courier New" w:eastAsia="Courier New" w:hAnsi="Courier New"/>
          <w:sz w:val="16"/>
          <w:szCs w:val="16"/>
          <w:color w:val="auto"/>
        </w:rPr>
      </w:pPr>
    </w:p>
    <w:p>
      <w:pPr>
        <w:ind w:left="2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Options</w:t>
      </w:r>
    </w:p>
    <w:p>
      <w:pPr>
        <w:spacing w:after="0" w:line="5"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granted to</w:t>
      </w:r>
    </w:p>
    <w:p>
      <w:pPr>
        <w:spacing w:after="0" w:line="5" w:lineRule="exact"/>
        <w:rPr>
          <w:rFonts w:ascii="Courier New" w:cs="Courier New" w:eastAsia="Courier New" w:hAnsi="Courier New"/>
          <w:sz w:val="16"/>
          <w:szCs w:val="16"/>
          <w:color w:val="auto"/>
        </w:rPr>
      </w:pPr>
    </w:p>
    <w:p>
      <w:pPr>
        <w:jc w:val="center"/>
        <w:ind w:right="8979" w:firstLine="150"/>
        <w:spacing w:after="0" w:line="24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employees under The Scotts Company 1996 Stock Option Plan, French specimen 10(g)(1) The Scotts Company Executive Retirement Plan Incorporated herein by reference to the Registrant's Annual Report on Form 10-K for the fiscal year ended September 30, 1998 (File No.</w:t>
      </w:r>
    </w:p>
    <w:p>
      <w:pPr>
        <w:spacing w:after="0" w:line="200" w:lineRule="exact"/>
        <w:rPr>
          <w:rFonts w:ascii="Courier New" w:cs="Courier New" w:eastAsia="Courier New" w:hAnsi="Courier New"/>
          <w:sz w:val="16"/>
          <w:szCs w:val="16"/>
          <w:color w:val="auto"/>
        </w:rPr>
      </w:pPr>
    </w:p>
    <w:p>
      <w:pPr>
        <w:spacing w:after="0" w:line="211" w:lineRule="exact"/>
        <w:rPr>
          <w:rFonts w:ascii="Courier New" w:cs="Courier New" w:eastAsia="Courier New" w:hAnsi="Courier New"/>
          <w:sz w:val="16"/>
          <w:szCs w:val="16"/>
          <w:color w:val="auto"/>
        </w:rPr>
      </w:pPr>
    </w:p>
    <w:p>
      <w:pPr>
        <w:jc w:val="center"/>
        <w:ind w:left="60" w:right="9039" w:firstLine="154"/>
        <w:spacing w:after="0" w:line="26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1-11593) [Exhibit 10(j)] 10(g)(2) First Amendment to The Scotts Company Executive * Retirement Plan, effective as of January 1, 1999 10(g)</w:t>
      </w:r>
    </w:p>
    <w:p>
      <w:pPr>
        <w:spacing w:after="0" w:line="1"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(3) Second</w:t>
      </w:r>
    </w:p>
    <w:p>
      <w:pPr>
        <w:spacing w:after="0" w:line="5" w:lineRule="exact"/>
        <w:rPr>
          <w:rFonts w:ascii="Courier New" w:cs="Courier New" w:eastAsia="Courier New" w:hAnsi="Courier New"/>
          <w:sz w:val="16"/>
          <w:szCs w:val="16"/>
          <w:color w:val="auto"/>
        </w:rPr>
      </w:pPr>
    </w:p>
    <w:p>
      <w:pPr>
        <w:ind w:left="1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Amendment</w:t>
      </w:r>
    </w:p>
    <w:p>
      <w:pPr>
        <w:spacing w:after="0" w:line="5" w:lineRule="exact"/>
        <w:rPr>
          <w:rFonts w:ascii="Courier New" w:cs="Courier New" w:eastAsia="Courier New" w:hAnsi="Courier New"/>
          <w:sz w:val="16"/>
          <w:szCs w:val="16"/>
          <w:color w:val="auto"/>
        </w:rPr>
      </w:pPr>
    </w:p>
    <w:p>
      <w:pPr>
        <w:jc w:val="center"/>
        <w:ind w:left="60" w:right="9039" w:firstLine="257"/>
        <w:spacing w:after="0" w:line="26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to The Scotts Company Executive * Retirement Plan,</w:t>
      </w:r>
    </w:p>
    <w:p>
      <w:pPr>
        <w:sectPr>
          <w:pgSz w:w="11900" w:h="16838" w:orient="portrait"/>
          <w:cols w:equalWidth="0" w:num="1">
            <w:col w:w="10219"/>
          </w:cols>
          <w:pgMar w:left="240" w:top="142" w:right="1440" w:bottom="0" w:gutter="0" w:footer="0" w:header="0"/>
        </w:sectPr>
      </w:pPr>
    </w:p>
    <w:bookmarkStart w:id="170" w:name="page171"/>
    <w:bookmarkEnd w:id="170"/>
    <w:p>
      <w:pPr>
        <w:jc w:val="center"/>
        <w:ind w:right="8979"/>
        <w:spacing w:after="0"/>
        <w:rPr>
          <w:sz w:val="20"/>
          <w:szCs w:val="20"/>
          <w:color w:val="auto"/>
        </w:rPr>
      </w:pPr>
      <w:r>
        <w:rPr>
          <w:rFonts w:ascii="Courier New" w:cs="Courier New" w:eastAsia="Courier New" w:hAnsi="Courier New"/>
          <w:sz w:val="17"/>
          <w:szCs w:val="17"/>
          <w:color w:val="auto"/>
        </w:rPr>
        <w:t>effective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as of</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January 1,</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2000 10(h)</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Employment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dated as of</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August 7,</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1998,</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Incorporated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reference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to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between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and Charles</w:t>
      </w:r>
    </w:p>
    <w:p>
      <w:pPr>
        <w:spacing w:after="0" w:line="5" w:lineRule="exact"/>
        <w:rPr>
          <w:sz w:val="20"/>
          <w:szCs w:val="20"/>
          <w:color w:val="auto"/>
        </w:rPr>
      </w:pPr>
    </w:p>
    <w:p>
      <w:pPr>
        <w:ind w:left="460" w:right="9079" w:hanging="355"/>
        <w:spacing w:after="0" w:line="246" w:lineRule="auto"/>
        <w:tabs>
          <w:tab w:leader="none" w:pos="409" w:val="left"/>
        </w:tabs>
        <w:numPr>
          <w:ilvl w:val="0"/>
          <w:numId w:val="1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Berger, and</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Registrant's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Annual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Report 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Form 10-K</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three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attached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Stock</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Option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Agreements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with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fiscal year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ended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30,</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following</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effective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dates: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23, 1998,</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1998 (File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No. 1-</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11593)</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October 21,</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1998 and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24, 1999</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10(i) Stock</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Option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dated as of</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August 7,</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1996,</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Incorporated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reference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to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between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and Charles</w:t>
      </w:r>
    </w:p>
    <w:p>
      <w:pPr>
        <w:spacing w:after="0" w:line="5" w:lineRule="exact"/>
        <w:rPr>
          <w:sz w:val="20"/>
          <w:szCs w:val="20"/>
          <w:color w:val="auto"/>
        </w:rPr>
      </w:pPr>
    </w:p>
    <w:p>
      <w:pPr>
        <w:ind w:left="460" w:hanging="304"/>
        <w:spacing w:after="0"/>
        <w:tabs>
          <w:tab w:leader="none" w:pos="460" w:val="left"/>
        </w:tabs>
        <w:numPr>
          <w:ilvl w:val="0"/>
          <w:numId w:val="1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Berger</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Registrant's</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Annual</w:t>
      </w:r>
    </w:p>
    <w:p>
      <w:pPr>
        <w:spacing w:after="0" w:line="5" w:lineRule="exact"/>
        <w:rPr>
          <w:rFonts w:ascii="Courier New" w:cs="Courier New" w:eastAsia="Courier New" w:hAnsi="Courier New"/>
          <w:sz w:val="17"/>
          <w:szCs w:val="17"/>
          <w:color w:val="auto"/>
        </w:rPr>
      </w:pPr>
    </w:p>
    <w:p>
      <w:pPr>
        <w:jc w:val="center"/>
        <w:ind w:left="60" w:right="9039" w:firstLine="103"/>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Report on Form 10-K for the fiscal year ended September 30, 1996 (File No.</w:t>
      </w:r>
    </w:p>
    <w:p>
      <w:pPr>
        <w:spacing w:after="0" w:line="4" w:lineRule="exact"/>
        <w:rPr>
          <w:rFonts w:ascii="Courier New" w:cs="Courier New" w:eastAsia="Courier New" w:hAnsi="Courier New"/>
          <w:sz w:val="17"/>
          <w:szCs w:val="17"/>
          <w:color w:val="auto"/>
        </w:rPr>
      </w:pPr>
    </w:p>
    <w:p>
      <w:pPr>
        <w:jc w:val="center"/>
        <w:ind w:right="8979" w:firstLine="202"/>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1-11593) [Exhibit 10(m)] 10(j) Letter agreement, dated March 21, 2001, pertaining Incorporated herein by reference</w:t>
      </w:r>
    </w:p>
    <w:p>
      <w:pPr>
        <w:sectPr>
          <w:pgSz w:w="11900" w:h="16838" w:orient="portrait"/>
          <w:cols w:equalWidth="0" w:num="1">
            <w:col w:w="10219"/>
          </w:cols>
          <w:pgMar w:left="240" w:top="142" w:right="1440" w:bottom="0" w:gutter="0" w:footer="0" w:header="0"/>
        </w:sectPr>
      </w:pPr>
    </w:p>
    <w:bookmarkStart w:id="171" w:name="page172"/>
    <w:bookmarkEnd w:id="171"/>
    <w:p>
      <w:pPr>
        <w:jc w:val="center"/>
        <w:ind w:right="8979"/>
        <w:spacing w:after="0"/>
        <w:rPr>
          <w:sz w:val="20"/>
          <w:szCs w:val="20"/>
          <w:color w:val="auto"/>
        </w:rPr>
      </w:pPr>
      <w:r>
        <w:rPr>
          <w:rFonts w:ascii="Courier New" w:cs="Courier New" w:eastAsia="Courier New" w:hAnsi="Courier New"/>
          <w:sz w:val="17"/>
          <w:szCs w:val="17"/>
          <w:color w:val="auto"/>
        </w:rPr>
        <w:t>to the to</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amendment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of</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Employment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dated as of</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Registrant's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Quarterly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Report 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Form 10-Q</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August 7,</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1998,</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between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and Charles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fiscal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quarter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ended March</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31, M.</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Berger; and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employment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of Mr.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Berger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through</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2001 (File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No. 1-</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13292)</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10(w)]</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January 16,</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2003 10(k)</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Letter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dated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25, 2001, *</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replacing</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superseding</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the letter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dated March</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21, 2001,</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pertaining</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to</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amendment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of</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Employment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dated as of</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August 7,</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1998,</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between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and Charles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M. Berger</w:t>
      </w:r>
    </w:p>
    <w:p>
      <w:pPr>
        <w:spacing w:after="0" w:line="200" w:lineRule="exact"/>
        <w:rPr>
          <w:sz w:val="20"/>
          <w:szCs w:val="20"/>
          <w:color w:val="auto"/>
        </w:rPr>
      </w:pPr>
    </w:p>
    <w:p>
      <w:pPr>
        <w:spacing w:after="0" w:line="201"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91</w:t>
      </w:r>
    </w:p>
    <w:p>
      <w:pPr>
        <w:sectPr>
          <w:pgSz w:w="11900" w:h="16838" w:orient="portrait"/>
          <w:cols w:equalWidth="0" w:num="1">
            <w:col w:w="10219"/>
          </w:cols>
          <w:pgMar w:left="240" w:top="142" w:right="1440" w:bottom="1440" w:gutter="0" w:footer="0" w:header="0"/>
        </w:sectPr>
      </w:pPr>
    </w:p>
    <w:bookmarkStart w:id="172" w:name="page173"/>
    <w:bookmarkEnd w:id="172"/>
    <w:p>
      <w:pPr>
        <w:ind w:left="40"/>
        <w:spacing w:after="0"/>
        <w:rPr>
          <w:sz w:val="20"/>
          <w:szCs w:val="20"/>
          <w:color w:val="auto"/>
        </w:rPr>
      </w:pPr>
      <w:r>
        <w:rPr>
          <w:rFonts w:ascii="Courier New" w:cs="Courier New" w:eastAsia="Courier New" w:hAnsi="Courier New"/>
          <w:sz w:val="17"/>
          <w:szCs w:val="17"/>
          <w:color w:val="auto"/>
        </w:rPr>
        <w:t>Exhibit No.</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Description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Location - -</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10(l)</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Employment</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dated as of</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May 19,</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1995,</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Incorporated</w:t>
      </w:r>
    </w:p>
    <w:p>
      <w:pPr>
        <w:spacing w:after="0" w:line="1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reference to</w:t>
      </w:r>
    </w:p>
    <w:p>
      <w:pPr>
        <w:spacing w:after="0" w:line="1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the between</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the</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and James</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Hagedorn</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Registrant's</w:t>
      </w:r>
    </w:p>
    <w:p>
      <w:pPr>
        <w:spacing w:after="0" w:line="1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Annual</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Report on</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Form 10-K</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for the</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fiscal year</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ended</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30, 1995</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(File No. 1-</w:t>
      </w:r>
    </w:p>
    <w:p>
      <w:pPr>
        <w:spacing w:after="0" w:line="1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11593)</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10(p)] 10(m)</w:t>
      </w:r>
    </w:p>
    <w:p>
      <w:pPr>
        <w:spacing w:after="0" w:line="1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Letter</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dated April</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10, 1997,</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between the</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Incorporated</w:t>
      </w:r>
    </w:p>
    <w:p>
      <w:pPr>
        <w:spacing w:after="0" w:line="1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reference to</w:t>
      </w:r>
    </w:p>
    <w:p>
      <w:pPr>
        <w:spacing w:after="0" w:line="1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the</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and G.</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Robert Lucas</w:t>
      </w:r>
    </w:p>
    <w:p>
      <w:pPr>
        <w:spacing w:after="0" w:line="1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Registrant's</w:t>
      </w:r>
    </w:p>
    <w:p>
      <w:pPr>
        <w:spacing w:after="0" w:line="1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Annual</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Report on</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Form 10-K</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for the</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fiscal year</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ended</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0" w:type="dxa"/>
            <w:vAlign w:val="bottom"/>
          </w:tcPr>
          <w:p>
            <w:pPr>
              <w:ind w:left="200"/>
              <w:spacing w:after="0"/>
              <w:rPr>
                <w:sz w:val="20"/>
                <w:szCs w:val="20"/>
                <w:color w:val="auto"/>
              </w:rPr>
            </w:pPr>
            <w:r>
              <w:rPr>
                <w:rFonts w:ascii="Courier New" w:cs="Courier New" w:eastAsia="Courier New" w:hAnsi="Courier New"/>
                <w:sz w:val="17"/>
                <w:szCs w:val="17"/>
                <w:color w:val="auto"/>
              </w:rPr>
              <w:t>30,</w:t>
            </w:r>
          </w:p>
        </w:tc>
        <w:tc>
          <w:tcPr>
            <w:tcW w:w="600" w:type="dxa"/>
            <w:vAlign w:val="bottom"/>
          </w:tcPr>
          <w:p>
            <w:pPr>
              <w:spacing w:after="0"/>
              <w:rPr>
                <w:sz w:val="20"/>
                <w:szCs w:val="20"/>
                <w:color w:val="auto"/>
              </w:rPr>
            </w:pPr>
            <w:r>
              <w:rPr>
                <w:rFonts w:ascii="Courier New" w:cs="Courier New" w:eastAsia="Courier New" w:hAnsi="Courier New"/>
                <w:sz w:val="17"/>
                <w:szCs w:val="17"/>
                <w:color w:val="auto"/>
              </w:rPr>
              <w:t>1997</w:t>
            </w:r>
          </w:p>
        </w:tc>
      </w:tr>
      <w:tr>
        <w:trPr>
          <w:trHeight w:val="198"/>
        </w:trPr>
        <w:tc>
          <w:tcPr>
            <w:tcW w:w="620" w:type="dxa"/>
            <w:vAlign w:val="bottom"/>
          </w:tcPr>
          <w:p>
            <w:pPr>
              <w:spacing w:after="0"/>
              <w:rPr>
                <w:sz w:val="20"/>
                <w:szCs w:val="20"/>
                <w:color w:val="auto"/>
              </w:rPr>
            </w:pPr>
            <w:r>
              <w:rPr>
                <w:rFonts w:ascii="Courier New" w:cs="Courier New" w:eastAsia="Courier New" w:hAnsi="Courier New"/>
                <w:sz w:val="17"/>
                <w:szCs w:val="17"/>
                <w:color w:val="auto"/>
              </w:rPr>
              <w:t>(File</w:t>
            </w:r>
          </w:p>
        </w:tc>
        <w:tc>
          <w:tcPr>
            <w:tcW w:w="600" w:type="dxa"/>
            <w:vAlign w:val="bottom"/>
          </w:tcPr>
          <w:p>
            <w:pPr>
              <w:spacing w:after="0"/>
              <w:rPr>
                <w:sz w:val="20"/>
                <w:szCs w:val="20"/>
                <w:color w:val="auto"/>
              </w:rPr>
            </w:pPr>
            <w:r>
              <w:rPr>
                <w:rFonts w:ascii="Courier New" w:cs="Courier New" w:eastAsia="Courier New" w:hAnsi="Courier New"/>
                <w:sz w:val="17"/>
                <w:szCs w:val="17"/>
                <w:color w:val="auto"/>
                <w:w w:val="94"/>
              </w:rPr>
              <w:t>No. 1-</w:t>
            </w:r>
          </w:p>
        </w:tc>
      </w:tr>
      <w:tr>
        <w:trPr>
          <w:trHeight w:val="198"/>
        </w:trPr>
        <w:tc>
          <w:tcPr>
            <w:tcW w:w="12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11593)</w:t>
            </w:r>
          </w:p>
        </w:tc>
      </w:tr>
      <w:tr>
        <w:trPr>
          <w:trHeight w:val="198"/>
        </w:trPr>
        <w:tc>
          <w:tcPr>
            <w:tcW w:w="12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[Exhibit</w:t>
            </w:r>
          </w:p>
        </w:tc>
      </w:tr>
      <w:tr>
        <w:trPr>
          <w:trHeight w:val="198"/>
        </w:trPr>
        <w:tc>
          <w:tcPr>
            <w:tcW w:w="620" w:type="dxa"/>
            <w:vAlign w:val="bottom"/>
          </w:tcPr>
          <w:p>
            <w:pPr>
              <w:spacing w:after="0"/>
              <w:rPr>
                <w:sz w:val="20"/>
                <w:szCs w:val="20"/>
                <w:color w:val="auto"/>
              </w:rPr>
            </w:pPr>
            <w:r>
              <w:rPr>
                <w:rFonts w:ascii="Courier New" w:cs="Courier New" w:eastAsia="Courier New" w:hAnsi="Courier New"/>
                <w:sz w:val="17"/>
                <w:szCs w:val="17"/>
                <w:color w:val="auto"/>
                <w:w w:val="97"/>
              </w:rPr>
              <w:t>10(r)]</w:t>
            </w:r>
          </w:p>
        </w:tc>
        <w:tc>
          <w:tcPr>
            <w:tcW w:w="600" w:type="dxa"/>
            <w:vAlign w:val="bottom"/>
          </w:tcPr>
          <w:p>
            <w:pPr>
              <w:ind w:left="100"/>
              <w:spacing w:after="0"/>
              <w:rPr>
                <w:sz w:val="20"/>
                <w:szCs w:val="20"/>
                <w:color w:val="auto"/>
              </w:rPr>
            </w:pPr>
            <w:r>
              <w:rPr>
                <w:rFonts w:ascii="Courier New" w:cs="Courier New" w:eastAsia="Courier New" w:hAnsi="Courier New"/>
                <w:sz w:val="17"/>
                <w:szCs w:val="17"/>
                <w:color w:val="auto"/>
                <w:w w:val="94"/>
              </w:rPr>
              <w:t>10(n)</w:t>
            </w:r>
          </w:p>
        </w:tc>
      </w:tr>
    </w:tbl>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Letter</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dated June</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11, 2001,</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between the</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Incorporated</w:t>
      </w:r>
    </w:p>
    <w:p>
      <w:pPr>
        <w:spacing w:after="0" w:line="1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reference to</w:t>
      </w:r>
    </w:p>
    <w:p>
      <w:pPr>
        <w:spacing w:after="0" w:line="1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the</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and G.</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Robert</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Lucas,</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regarding</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Mr.</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Registrant's</w:t>
      </w:r>
    </w:p>
    <w:p>
      <w:pPr>
        <w:sectPr>
          <w:pgSz w:w="11900" w:h="16838" w:orient="portrait"/>
          <w:cols w:equalWidth="0" w:num="1">
            <w:col w:w="10159"/>
          </w:cols>
          <w:pgMar w:left="300" w:top="709" w:right="1440" w:bottom="0" w:gutter="0" w:footer="0" w:header="0"/>
        </w:sectPr>
      </w:pPr>
    </w:p>
    <w:bookmarkStart w:id="173" w:name="page174"/>
    <w:bookmarkEnd w:id="173"/>
    <w:p>
      <w:pPr>
        <w:jc w:val="center"/>
        <w:ind w:right="8939"/>
        <w:spacing w:after="0"/>
        <w:rPr>
          <w:sz w:val="20"/>
          <w:szCs w:val="20"/>
          <w:color w:val="auto"/>
        </w:rPr>
      </w:pPr>
      <w:r>
        <w:rPr>
          <w:rFonts w:ascii="Courier New" w:cs="Courier New" w:eastAsia="Courier New" w:hAnsi="Courier New"/>
          <w:sz w:val="17"/>
          <w:szCs w:val="17"/>
          <w:color w:val="auto"/>
        </w:rPr>
        <w:t>Quarterly</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Report on</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Form 10-Q</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Lucas'</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retirement</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from</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employment</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by the</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for the</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fiscal</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quarter</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ended June</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30, 2001</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(File No. 1-</w:t>
      </w:r>
    </w:p>
    <w:p>
      <w:pPr>
        <w:spacing w:after="0" w:line="1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13292)</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10(x)] 10(o)</w:t>
      </w:r>
    </w:p>
    <w:p>
      <w:pPr>
        <w:spacing w:after="0" w:line="1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Letter</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dated March</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16, 1999,</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between the</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Incorporated</w:t>
      </w:r>
    </w:p>
    <w:p>
      <w:pPr>
        <w:spacing w:after="0" w:line="1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reference to</w:t>
      </w:r>
    </w:p>
    <w:p>
      <w:pPr>
        <w:spacing w:after="0" w:line="1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the</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and Hadia</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Lefavre</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Registrant's</w:t>
      </w:r>
    </w:p>
    <w:p>
      <w:pPr>
        <w:spacing w:after="0" w:line="1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Annual</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Report on</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Form 10-K</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for the</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fiscal year</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ended</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30, 1999</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(File No. 1-</w:t>
      </w:r>
    </w:p>
    <w:p>
      <w:pPr>
        <w:spacing w:after="0" w:line="1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11593)</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10(p)] 10(p)</w:t>
      </w:r>
    </w:p>
    <w:p>
      <w:pPr>
        <w:spacing w:after="0" w:line="1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Letter</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dated</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October 14,</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2001,</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between *</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the</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and Hadia</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Lefavre,</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pertaining</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to terms of</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employment</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of Ms.</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Lefavre</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through</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30, 2002,</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and</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superseding</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certain</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provisions</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of letter</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dated March</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16, 1999,</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between the</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and Ms.</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Lefavre</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10(q) Letter</w:t>
      </w:r>
    </w:p>
    <w:p>
      <w:pPr>
        <w:spacing w:after="0" w:line="1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dated June</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8, 2000,</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between the</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Incorporated</w:t>
      </w:r>
    </w:p>
    <w:p>
      <w:pPr>
        <w:spacing w:after="0" w:line="1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reference to</w:t>
      </w:r>
    </w:p>
    <w:p>
      <w:pPr>
        <w:spacing w:after="0" w:line="1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the</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Registrant</w:t>
      </w:r>
    </w:p>
    <w:p>
      <w:pPr>
        <w:sectPr>
          <w:pgSz w:w="11900" w:h="16838" w:orient="portrait"/>
          <w:cols w:equalWidth="0" w:num="1">
            <w:col w:w="10159"/>
          </w:cols>
          <w:pgMar w:left="300" w:top="142" w:right="1440" w:bottom="0" w:gutter="0" w:footer="0" w:header="0"/>
        </w:sectPr>
      </w:pPr>
    </w:p>
    <w:bookmarkStart w:id="174" w:name="page175"/>
    <w:bookmarkEnd w:id="174"/>
    <w:p>
      <w:pPr>
        <w:ind w:left="100"/>
        <w:spacing w:after="0"/>
        <w:rPr>
          <w:sz w:val="20"/>
          <w:szCs w:val="20"/>
          <w:color w:val="auto"/>
        </w:rPr>
      </w:pPr>
      <w:r>
        <w:rPr>
          <w:rFonts w:ascii="Courier New" w:cs="Courier New" w:eastAsia="Courier New" w:hAnsi="Courier New"/>
          <w:sz w:val="17"/>
          <w:szCs w:val="17"/>
          <w:color w:val="auto"/>
        </w:rPr>
        <w:t>and Patrick</w:t>
      </w:r>
    </w:p>
    <w:p>
      <w:pPr>
        <w:spacing w:after="0" w:line="5" w:lineRule="exact"/>
        <w:rPr>
          <w:sz w:val="20"/>
          <w:szCs w:val="20"/>
          <w:color w:val="auto"/>
        </w:rPr>
      </w:pPr>
    </w:p>
    <w:p>
      <w:pPr>
        <w:ind w:left="520" w:hanging="311"/>
        <w:spacing w:after="0"/>
        <w:tabs>
          <w:tab w:leader="none" w:pos="520" w:val="left"/>
        </w:tabs>
        <w:numPr>
          <w:ilvl w:val="0"/>
          <w:numId w:val="1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Norton</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Registrant's</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Annual</w:t>
      </w:r>
    </w:p>
    <w:p>
      <w:pPr>
        <w:spacing w:after="0" w:line="5" w:lineRule="exact"/>
        <w:rPr>
          <w:rFonts w:ascii="Courier New" w:cs="Courier New" w:eastAsia="Courier New" w:hAnsi="Courier New"/>
          <w:sz w:val="17"/>
          <w:szCs w:val="17"/>
          <w:color w:val="auto"/>
        </w:rPr>
      </w:pPr>
    </w:p>
    <w:p>
      <w:pPr>
        <w:jc w:val="center"/>
        <w:ind w:right="8879" w:firstLine="203"/>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Report on Form 10-K for the fiscal year ended September 30, 2000 (File No. 1-13292) [Exhibit 10(q)] 10(r) Employment Agreement, dated August 1, 1995, between Incorporated herein by reference to the Scotts Europe B.V. (now Scotts International B.V.) Registrant's Annual Report on Form 10-K and Laurens J.M. de Kort for the fiscal year ended September 30, 1999 (File No. 1-11593) [Exhibit 10(s)] 10(s) Settlement Agreement, dated November 27, 2001, * between the Registrant and Laurens J.M. de Kort 10(t) Letter agreement, dated July 16, 2001, between the Incorporated herein by reference to the Registrant and James Rogula, regarding Mr. Rogula's Registrant's Quarterly Report on Form 10-Q retirement from employment by the Registrant for the fiscal quarter ended June 30, 2001 (File No. 1-13292) [Exhibit</w:t>
      </w:r>
    </w:p>
    <w:p>
      <w:pPr>
        <w:sectPr>
          <w:pgSz w:w="11900" w:h="16838" w:orient="portrait"/>
          <w:cols w:equalWidth="0" w:num="1">
            <w:col w:w="10219"/>
          </w:cols>
          <w:pgMar w:left="240" w:top="142" w:right="1440" w:bottom="733" w:gutter="0" w:footer="0" w:header="0"/>
        </w:sectPr>
      </w:pPr>
    </w:p>
    <w:bookmarkStart w:id="175" w:name="page176"/>
    <w:bookmarkEnd w:id="175"/>
    <w:p>
      <w:pPr>
        <w:jc w:val="center"/>
        <w:ind w:right="8879"/>
        <w:spacing w:after="0"/>
        <w:rPr>
          <w:sz w:val="20"/>
          <w:szCs w:val="20"/>
          <w:color w:val="auto"/>
        </w:rPr>
      </w:pPr>
      <w:r>
        <w:rPr>
          <w:rFonts w:ascii="Courier New" w:cs="Courier New" w:eastAsia="Courier New" w:hAnsi="Courier New"/>
          <w:sz w:val="17"/>
          <w:szCs w:val="17"/>
          <w:color w:val="auto"/>
        </w:rPr>
        <w:t>10(y)] 10(u)</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Written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description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of</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employment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between *</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the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and Michael</w:t>
      </w:r>
    </w:p>
    <w:p>
      <w:pPr>
        <w:spacing w:after="0" w:line="5" w:lineRule="exact"/>
        <w:rPr>
          <w:sz w:val="20"/>
          <w:szCs w:val="20"/>
          <w:color w:val="auto"/>
        </w:rPr>
      </w:pPr>
    </w:p>
    <w:p>
      <w:pPr>
        <w:ind w:left="520" w:hanging="311"/>
        <w:spacing w:after="0"/>
        <w:tabs>
          <w:tab w:leader="none" w:pos="520" w:val="left"/>
        </w:tabs>
        <w:numPr>
          <w:ilvl w:val="0"/>
          <w:numId w:val="1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Kelty,</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Ph.D. 10(v)</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Exclusive</w:t>
      </w:r>
    </w:p>
    <w:p>
      <w:pPr>
        <w:spacing w:after="0" w:line="5" w:lineRule="exact"/>
        <w:rPr>
          <w:rFonts w:ascii="Courier New" w:cs="Courier New" w:eastAsia="Courier New" w:hAnsi="Courier New"/>
          <w:sz w:val="17"/>
          <w:szCs w:val="17"/>
          <w:color w:val="auto"/>
        </w:rPr>
      </w:pPr>
    </w:p>
    <w:p>
      <w:pPr>
        <w:jc w:val="both"/>
        <w:ind w:left="100" w:right="89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Distributor Agreement--</w:t>
      </w:r>
    </w:p>
    <w:p>
      <w:pPr>
        <w:spacing w:after="0" w:line="1"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Horticulture,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Incorporated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reference to</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the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effective as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of June 22,</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1998,</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between the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Registrant's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Annual</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Report 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Form 10-K</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and AgrEvo</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USA for the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fiscal year</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ended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30, 1998</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(File No. 1-</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11593)</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10(v)]</w:t>
      </w:r>
    </w:p>
    <w:p>
      <w:pPr>
        <w:spacing w:after="0" w:line="200" w:lineRule="exact"/>
        <w:rPr>
          <w:sz w:val="20"/>
          <w:szCs w:val="20"/>
          <w:color w:val="auto"/>
        </w:rPr>
      </w:pPr>
    </w:p>
    <w:p>
      <w:pPr>
        <w:spacing w:after="0" w:line="201"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92</w:t>
      </w:r>
    </w:p>
    <w:p>
      <w:pPr>
        <w:sectPr>
          <w:pgSz w:w="11900" w:h="16838" w:orient="portrait"/>
          <w:cols w:equalWidth="0" w:num="1">
            <w:col w:w="10219"/>
          </w:cols>
          <w:pgMar w:left="240" w:top="142" w:right="1440" w:bottom="1440" w:gutter="0" w:footer="0" w:header="0"/>
        </w:sectPr>
      </w:pPr>
    </w:p>
    <w:bookmarkStart w:id="176" w:name="page177"/>
    <w:bookmarkEnd w:id="176"/>
    <w:p>
      <w:pPr>
        <w:ind w:left="60"/>
        <w:spacing w:after="0"/>
        <w:rPr>
          <w:sz w:val="20"/>
          <w:szCs w:val="20"/>
          <w:color w:val="auto"/>
        </w:rPr>
      </w:pPr>
      <w:r>
        <w:rPr>
          <w:rFonts w:ascii="Courier New" w:cs="Courier New" w:eastAsia="Courier New" w:hAnsi="Courier New"/>
          <w:sz w:val="17"/>
          <w:szCs w:val="17"/>
          <w:color w:val="auto"/>
        </w:rPr>
        <w:t>Exhibit No.</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Description</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Location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right"/>
        <w:ind w:left="60" w:right="9039" w:hanging="7"/>
        <w:spacing w:after="0" w:line="262" w:lineRule="auto"/>
        <w:tabs>
          <w:tab w:leader="none" w:pos="678" w:val="left"/>
        </w:tabs>
        <w:numPr>
          <w:ilvl w:val="1"/>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10(w) Amended and</w:t>
      </w:r>
    </w:p>
    <w:p>
      <w:pPr>
        <w:ind w:left="2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Restated</w:t>
      </w:r>
    </w:p>
    <w:p>
      <w:pPr>
        <w:spacing w:after="0" w:line="5" w:lineRule="exact"/>
        <w:rPr>
          <w:rFonts w:ascii="Courier New" w:cs="Courier New" w:eastAsia="Courier New" w:hAnsi="Courier New"/>
          <w:sz w:val="16"/>
          <w:szCs w:val="16"/>
          <w:color w:val="auto"/>
        </w:rPr>
      </w:pPr>
    </w:p>
    <w:p>
      <w:pPr>
        <w:ind w:left="1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Exclusive</w:t>
      </w:r>
    </w:p>
    <w:p>
      <w:pPr>
        <w:spacing w:after="0" w:line="5"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Agency and</w:t>
      </w:r>
    </w:p>
    <w:p>
      <w:pPr>
        <w:spacing w:after="0" w:line="5" w:lineRule="exact"/>
        <w:rPr>
          <w:rFonts w:ascii="Courier New" w:cs="Courier New" w:eastAsia="Courier New" w:hAnsi="Courier New"/>
          <w:sz w:val="16"/>
          <w:szCs w:val="16"/>
          <w:color w:val="auto"/>
        </w:rPr>
      </w:pPr>
    </w:p>
    <w:p>
      <w:pPr>
        <w:jc w:val="center"/>
        <w:ind w:right="8979" w:firstLine="150"/>
        <w:spacing w:after="0" w:line="24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Marketing Incorporated herein by reference to the Agreement, dated as of September 30, 1998, between Registrant's Annual Report on Form 10-K Monsanto Company (now Pharmacia Corporation) and for the fiscal year ended September 30, the Registrant** 1999 (File No. 1-11593) [Exhibit 10(v)] 21 Subsidiaries of the Registrant * 23 Consent of Independent Accountants</w:t>
      </w:r>
    </w:p>
    <w:p>
      <w:pPr>
        <w:spacing w:after="0" w:line="200" w:lineRule="exact"/>
        <w:rPr>
          <w:rFonts w:ascii="Courier New" w:cs="Courier New" w:eastAsia="Courier New" w:hAnsi="Courier New"/>
          <w:sz w:val="16"/>
          <w:szCs w:val="16"/>
          <w:color w:val="auto"/>
        </w:rPr>
      </w:pPr>
    </w:p>
    <w:p>
      <w:pPr>
        <w:spacing w:after="0" w:line="216" w:lineRule="exact"/>
        <w:rPr>
          <w:rFonts w:ascii="Courier New" w:cs="Courier New" w:eastAsia="Courier New" w:hAnsi="Courier New"/>
          <w:sz w:val="16"/>
          <w:szCs w:val="16"/>
          <w:color w:val="auto"/>
        </w:rPr>
      </w:pPr>
    </w:p>
    <w:p>
      <w:pPr>
        <w:ind w:left="5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6"/>
          <w:szCs w:val="16"/>
          <w:color w:val="auto"/>
        </w:rPr>
      </w:pPr>
    </w:p>
    <w:p>
      <w:pPr>
        <w:spacing w:after="0" w:line="201" w:lineRule="exact"/>
        <w:rPr>
          <w:rFonts w:ascii="Courier New" w:cs="Courier New" w:eastAsia="Courier New" w:hAnsi="Courier New"/>
          <w:sz w:val="16"/>
          <w:szCs w:val="16"/>
          <w:color w:val="auto"/>
        </w:rPr>
      </w:pPr>
    </w:p>
    <w:p>
      <w:pPr>
        <w:ind w:left="220" w:hanging="214"/>
        <w:spacing w:after="0"/>
        <w:tabs>
          <w:tab w:leader="none" w:pos="220" w:val="left"/>
        </w:tabs>
        <w:numPr>
          <w:ilvl w:val="0"/>
          <w:numId w:val="1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3"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Filed herewith.</w:t>
      </w:r>
    </w:p>
    <w:p>
      <w:pPr>
        <w:spacing w:after="0" w:line="203" w:lineRule="exact"/>
        <w:rPr>
          <w:sz w:val="20"/>
          <w:szCs w:val="20"/>
          <w:color w:val="auto"/>
        </w:rPr>
      </w:pPr>
    </w:p>
    <w:p>
      <w:pPr>
        <w:ind w:left="320" w:right="2179" w:hanging="314"/>
        <w:spacing w:after="0" w:line="246" w:lineRule="auto"/>
        <w:tabs>
          <w:tab w:leader="none" w:pos="320" w:val="left"/>
        </w:tabs>
        <w:numPr>
          <w:ilvl w:val="0"/>
          <w:numId w:val="1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Certain portions of this Exhibit have been omitted based upon a request for extended confidential treatment filed with the Securities and Exchange Commission.</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93</w:t>
      </w:r>
    </w:p>
    <w:p>
      <w:pPr>
        <w:sectPr>
          <w:pgSz w:w="11900" w:h="16838" w:orient="portrait"/>
          <w:cols w:equalWidth="0" w:num="1">
            <w:col w:w="10219"/>
          </w:cols>
          <w:pgMar w:left="240" w:top="710" w:right="1440" w:bottom="1440" w:gutter="0" w:footer="0" w:header="0"/>
        </w:sectPr>
      </w:pPr>
    </w:p>
    <w:bookmarkStart w:id="177" w:name="page178"/>
    <w:bookmarkEnd w:id="177"/>
    <w:p>
      <w:pPr>
        <w:jc w:val="center"/>
        <w:ind w:right="2599"/>
        <w:spacing w:after="0"/>
        <w:rPr>
          <w:sz w:val="20"/>
          <w:szCs w:val="20"/>
          <w:color w:val="auto"/>
        </w:rPr>
      </w:pPr>
      <w:r>
        <w:rPr>
          <w:rFonts w:ascii="Courier New" w:cs="Courier New" w:eastAsia="Courier New" w:hAnsi="Courier New"/>
          <w:sz w:val="17"/>
          <w:szCs w:val="17"/>
          <w:color w:val="auto"/>
        </w:rPr>
        <w:t>EXHIBIT 4(j)</w:t>
      </w:r>
    </w:p>
    <w:p>
      <w:pPr>
        <w:spacing w:after="0" w:line="203"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7"/>
          <w:szCs w:val="17"/>
          <w:color w:val="auto"/>
        </w:rPr>
        <w:t>Waiver No. 3, dated as of October 19, 2001, to the Credit Agreement,</w:t>
      </w:r>
    </w:p>
    <w:p>
      <w:pPr>
        <w:spacing w:after="0" w:line="5"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7"/>
          <w:szCs w:val="17"/>
          <w:color w:val="auto"/>
        </w:rPr>
        <w:t>dated as of December 4, 1998</w:t>
      </w:r>
    </w:p>
    <w:p>
      <w:pPr>
        <w:sectPr>
          <w:pgSz w:w="11900" w:h="16838" w:orient="portrait"/>
          <w:cols w:equalWidth="0" w:num="1">
            <w:col w:w="9599"/>
          </w:cols>
          <w:pgMar w:left="860" w:top="340" w:right="1440" w:bottom="1440" w:gutter="0" w:footer="0" w:header="0"/>
        </w:sectPr>
      </w:pPr>
    </w:p>
    <w:bookmarkStart w:id="178" w:name="page179"/>
    <w:bookmarkEnd w:id="178"/>
    <w:p>
      <w:pPr>
        <w:spacing w:after="0" w:line="62"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WAIVER NO. 3</w:t>
      </w:r>
    </w:p>
    <w:p>
      <w:pPr>
        <w:spacing w:after="0" w:line="203"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WAIVER NO. 3, dated as of October 19, 2001 (this "THIRD WAIVER"), to the Credit Agreement, dated as of December 4, 1998 (as amended by the Waiver, dated as of January 19, 1999, the Amendment No. 1 and Consent, dated as of October 13, 1999, Waiver No. 2, dated as of February 14, 2000, Amendment No. 2, dated as of June 9, 2000, and the Amended and Restated Credit Agreement, dated as of December 5, 2000, and as otherwise amended, supplemented or modified from time to time, the "CREDIT AGREEMENT"), among THE SCOTTS COMPANY, an Ohio corporation (the "BORROWER"), certain subsidiaries of the Borrower who are also borrowers from time to time under the Credit Agreement (the "SUBSIDIARY BORROWERS"), the several banks and other financial institutions from time to time parties to the Credit Agreement (the "LENDERS"), THE CHASE MANHATTAN BANK, as agent for the Lenders (in such capacity, the "ADMINISTRATIVE AGENT"), SALOMON SMITH BARNEY, INC., as syndication agent (the "SYNDICATION AGENT"), CREDIT LYONNAIS NEW YORK BRANCH and BANK ONE, MICHIGAN, as successor to NBD BANK, as co-documentation agents (the "CO-DOCUMENTATION AGENTS"), and J.P. MORGAN SECURITIES INC., as successor to CHASE SECURITIES INC., as lead arranger (the "LEAD ARRANGER") and book manager (the "BOOK MANAGER").</w:t>
      </w:r>
    </w:p>
    <w:p>
      <w:pPr>
        <w:spacing w:after="0" w:line="208"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W I T N E S S E T H :</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 - - - - - - - - -</w:t>
      </w:r>
    </w:p>
    <w:p>
      <w:pPr>
        <w:spacing w:after="0" w:line="203" w:lineRule="exact"/>
        <w:rPr>
          <w:sz w:val="20"/>
          <w:szCs w:val="20"/>
          <w:color w:val="auto"/>
        </w:rPr>
      </w:pPr>
    </w:p>
    <w:p>
      <w:pPr>
        <w:ind w:right="2399" w:firstLine="927"/>
        <w:spacing w:after="0" w:line="247" w:lineRule="auto"/>
        <w:rPr>
          <w:sz w:val="20"/>
          <w:szCs w:val="20"/>
          <w:color w:val="auto"/>
        </w:rPr>
      </w:pPr>
      <w:r>
        <w:rPr>
          <w:rFonts w:ascii="Courier New" w:cs="Courier New" w:eastAsia="Courier New" w:hAnsi="Courier New"/>
          <w:sz w:val="17"/>
          <w:szCs w:val="17"/>
          <w:color w:val="auto"/>
        </w:rPr>
        <w:t>WHEREAS, subsections 6.9, 6.10 and 6.11 of the Credit Agreement set forth certain financial covenants to be observed by the Borrower;</w:t>
      </w:r>
    </w:p>
    <w:p>
      <w:pPr>
        <w:spacing w:after="0" w:line="198"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WHEREAS, the Borrower has advised the Administrative Agent that it will not satisfy the requirements set forth in subsections 6.9, 6.10 and 6.11 of the Credit Agreement with respect to the fiscal quarter ending September 30, 2001;</w:t>
      </w:r>
    </w:p>
    <w:p>
      <w:pPr>
        <w:spacing w:after="0" w:line="200"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WHEREAS, the Borrower has requested that the Required Lenders waive, for the period to and including December 31, 2001 but not thereafter, the requirements set forth in subsections 6.9, 6.10 and 6.11 of the Credit Agreement with respect to the fiscal quarter ending September 30, 2001; and</w:t>
      </w:r>
    </w:p>
    <w:p>
      <w:pPr>
        <w:spacing w:after="0" w:line="200" w:lineRule="exact"/>
        <w:rPr>
          <w:sz w:val="20"/>
          <w:szCs w:val="20"/>
          <w:color w:val="auto"/>
        </w:rPr>
      </w:pPr>
    </w:p>
    <w:p>
      <w:pPr>
        <w:ind w:right="2079" w:firstLine="927"/>
        <w:spacing w:after="0" w:line="246" w:lineRule="auto"/>
        <w:rPr>
          <w:sz w:val="20"/>
          <w:szCs w:val="20"/>
          <w:color w:val="auto"/>
        </w:rPr>
      </w:pPr>
      <w:r>
        <w:rPr>
          <w:rFonts w:ascii="Courier New" w:cs="Courier New" w:eastAsia="Courier New" w:hAnsi="Courier New"/>
          <w:sz w:val="17"/>
          <w:szCs w:val="17"/>
          <w:color w:val="auto"/>
        </w:rPr>
        <w:t>WHEREAS, the Required Lenders have agreed to waive such requirements with respect to such period but only on the terms and subject to the conditions set forth herein;</w:t>
      </w:r>
    </w:p>
    <w:p>
      <w:pPr>
        <w:spacing w:after="0" w:line="200" w:lineRule="exact"/>
        <w:rPr>
          <w:sz w:val="20"/>
          <w:szCs w:val="20"/>
          <w:color w:val="auto"/>
        </w:rPr>
      </w:pPr>
    </w:p>
    <w:p>
      <w:pPr>
        <w:ind w:right="2499" w:firstLine="927"/>
        <w:spacing w:after="0" w:line="247" w:lineRule="auto"/>
        <w:rPr>
          <w:sz w:val="20"/>
          <w:szCs w:val="20"/>
          <w:color w:val="auto"/>
        </w:rPr>
      </w:pPr>
      <w:r>
        <w:rPr>
          <w:rFonts w:ascii="Courier New" w:cs="Courier New" w:eastAsia="Courier New" w:hAnsi="Courier New"/>
          <w:sz w:val="17"/>
          <w:szCs w:val="17"/>
          <w:color w:val="auto"/>
        </w:rPr>
        <w:t>NOW, THEREFORE, in consideration of the premises and of the mutual agreements contained herein, the parties hereto agree as follows:</w:t>
      </w:r>
    </w:p>
    <w:p>
      <w:pPr>
        <w:spacing w:after="0" w:line="198" w:lineRule="exact"/>
        <w:rPr>
          <w:sz w:val="20"/>
          <w:szCs w:val="20"/>
          <w:color w:val="auto"/>
        </w:rPr>
      </w:pPr>
    </w:p>
    <w:p>
      <w:pPr>
        <w:ind w:right="2279" w:firstLine="932"/>
        <w:spacing w:after="0" w:line="247" w:lineRule="auto"/>
        <w:tabs>
          <w:tab w:leader="none" w:pos="1235" w:val="left"/>
        </w:tabs>
        <w:numPr>
          <w:ilvl w:val="0"/>
          <w:numId w:val="2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DEFINED TERMS. Unless otherwise defined herein, capitalized terms have the meanings given to them in the Credit Agreement.</w:t>
      </w:r>
    </w:p>
    <w:p>
      <w:pPr>
        <w:spacing w:after="0" w:line="197" w:lineRule="exact"/>
        <w:rPr>
          <w:rFonts w:ascii="Courier New" w:cs="Courier New" w:eastAsia="Courier New" w:hAnsi="Courier New"/>
          <w:sz w:val="17"/>
          <w:szCs w:val="17"/>
          <w:color w:val="auto"/>
        </w:rPr>
      </w:pPr>
    </w:p>
    <w:p>
      <w:pPr>
        <w:ind w:right="2079" w:firstLine="932"/>
        <w:spacing w:after="0" w:line="246" w:lineRule="auto"/>
        <w:tabs>
          <w:tab w:leader="none" w:pos="1235" w:val="left"/>
        </w:tabs>
        <w:numPr>
          <w:ilvl w:val="0"/>
          <w:numId w:val="2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COMPLIANCE WITH SUBSECTION 6.9 (INTEREST COVERAGE). The Required Lenders hereby waive, for the period to and including December 31, 2001 but not thereafter, the requirements of subsection 6.9 of the Credit Agreement with respect to the fiscal quarter ending</w:t>
      </w:r>
    </w:p>
    <w:p>
      <w:pPr>
        <w:sectPr>
          <w:pgSz w:w="11900" w:h="16838" w:orient="portrait"/>
          <w:cols w:equalWidth="0" w:num="1">
            <w:col w:w="10219"/>
          </w:cols>
          <w:pgMar w:left="240" w:top="1440" w:right="1440" w:bottom="1440" w:gutter="0" w:footer="0" w:header="0"/>
        </w:sectPr>
      </w:pPr>
    </w:p>
    <w:bookmarkStart w:id="179" w:name="page180"/>
    <w:bookmarkEnd w:id="179"/>
    <w:p>
      <w:pPr>
        <w:jc w:val="right"/>
        <w:ind w:right="1979"/>
        <w:spacing w:after="0"/>
        <w:rPr>
          <w:sz w:val="20"/>
          <w:szCs w:val="20"/>
          <w:color w:val="auto"/>
        </w:rPr>
      </w:pPr>
      <w:r>
        <w:rPr>
          <w:rFonts w:ascii="Courier New" w:cs="Courier New" w:eastAsia="Courier New" w:hAnsi="Courier New"/>
          <w:sz w:val="17"/>
          <w:szCs w:val="17"/>
          <w:color w:val="auto"/>
        </w:rPr>
        <w:t>2</w:t>
      </w:r>
    </w:p>
    <w:p>
      <w:pPr>
        <w:spacing w:after="0" w:line="200" w:lineRule="exact"/>
        <w:rPr>
          <w:sz w:val="20"/>
          <w:szCs w:val="20"/>
          <w:color w:val="auto"/>
        </w:rPr>
      </w:pPr>
    </w:p>
    <w:p>
      <w:pPr>
        <w:spacing w:after="0" w:line="399" w:lineRule="exact"/>
        <w:rPr>
          <w:sz w:val="20"/>
          <w:szCs w:val="20"/>
          <w:color w:val="auto"/>
        </w:rPr>
      </w:pPr>
    </w:p>
    <w:p>
      <w:pPr>
        <w:jc w:val="both"/>
        <w:ind w:right="1979"/>
        <w:spacing w:after="0" w:line="247" w:lineRule="auto"/>
        <w:rPr>
          <w:sz w:val="20"/>
          <w:szCs w:val="20"/>
          <w:color w:val="auto"/>
        </w:rPr>
      </w:pPr>
      <w:r>
        <w:rPr>
          <w:rFonts w:ascii="Courier New" w:cs="Courier New" w:eastAsia="Courier New" w:hAnsi="Courier New"/>
          <w:sz w:val="17"/>
          <w:szCs w:val="17"/>
          <w:color w:val="auto"/>
        </w:rPr>
        <w:t>September 30, 2001; PROVIDED that the Borrower's Minimum Interest Coverage as of the last day of such fiscal quarter was not less than 2.20 to 1.</w:t>
      </w:r>
    </w:p>
    <w:p>
      <w:pPr>
        <w:spacing w:after="0" w:line="198" w:lineRule="exact"/>
        <w:rPr>
          <w:sz w:val="20"/>
          <w:szCs w:val="20"/>
          <w:color w:val="auto"/>
        </w:rPr>
      </w:pPr>
    </w:p>
    <w:p>
      <w:pPr>
        <w:ind w:right="1979" w:firstLine="932"/>
        <w:spacing w:after="0" w:line="246" w:lineRule="auto"/>
        <w:tabs>
          <w:tab w:leader="none" w:pos="1235" w:val="left"/>
        </w:tabs>
        <w:numPr>
          <w:ilvl w:val="0"/>
          <w:numId w:val="2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COMPLIANCE WITH SUBSECTION 6.10 (MAINTENANCE OF LEVERAGE RATIO). The Required Lenders hereby waive, for the period to and including December 31, 2001 but not thereafter, the requirements of subsection 6.10 of the Credit Agreement with respect to the fiscal quarter ending September 30, 2001; PROVIDED that the Borrower's Leverage Ratio as of the last day of such fiscal quarter was not greater than 4.90 to 1.</w:t>
      </w:r>
    </w:p>
    <w:p>
      <w:pPr>
        <w:spacing w:after="0" w:line="201" w:lineRule="exact"/>
        <w:rPr>
          <w:rFonts w:ascii="Courier New" w:cs="Courier New" w:eastAsia="Courier New" w:hAnsi="Courier New"/>
          <w:sz w:val="17"/>
          <w:szCs w:val="17"/>
          <w:color w:val="auto"/>
        </w:rPr>
      </w:pPr>
    </w:p>
    <w:p>
      <w:pPr>
        <w:ind w:right="1979" w:firstLine="932"/>
        <w:spacing w:after="0" w:line="246" w:lineRule="auto"/>
        <w:tabs>
          <w:tab w:leader="none" w:pos="1235" w:val="left"/>
        </w:tabs>
        <w:numPr>
          <w:ilvl w:val="0"/>
          <w:numId w:val="2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COMPLIANCE WITH SUBSECTION 6.11 (MAINTENANCE OF CONSOLIDATED NET WORTH). The Required Lenders hereby waive, for the period to and including December 31, 2001 but not thereafter, the requirements of subsection 6.11 of the Credit Agreement with respect to the fiscal quarter ending September 30, 2001; PROVIDED that the Borrower's Consolidated Net Worth as of the last day of such fiscal quarter was not less than $490,000,000.</w:t>
      </w:r>
    </w:p>
    <w:p>
      <w:pPr>
        <w:spacing w:after="0" w:line="201" w:lineRule="exact"/>
        <w:rPr>
          <w:rFonts w:ascii="Courier New" w:cs="Courier New" w:eastAsia="Courier New" w:hAnsi="Courier New"/>
          <w:sz w:val="17"/>
          <w:szCs w:val="17"/>
          <w:color w:val="auto"/>
        </w:rPr>
      </w:pPr>
    </w:p>
    <w:p>
      <w:pPr>
        <w:ind w:right="1979" w:firstLine="932"/>
        <w:spacing w:after="0" w:line="246" w:lineRule="auto"/>
        <w:tabs>
          <w:tab w:leader="none" w:pos="1235" w:val="left"/>
        </w:tabs>
        <w:numPr>
          <w:ilvl w:val="0"/>
          <w:numId w:val="2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APPLICABLE MARGIN AND FACILITY FEE RATE. The Leverage Ratio shall be deemed to be greater than 4.0 to 1.0 for purposes of determining the Applicable Margin and the Facility Fee Rate pursuant to the Pricing Grid, effective from the date this Third Waiver becomes effective to and including December 31, 2001.</w:t>
      </w:r>
    </w:p>
    <w:p>
      <w:pPr>
        <w:spacing w:after="0" w:line="200" w:lineRule="exact"/>
        <w:rPr>
          <w:rFonts w:ascii="Courier New" w:cs="Courier New" w:eastAsia="Courier New" w:hAnsi="Courier New"/>
          <w:sz w:val="17"/>
          <w:szCs w:val="17"/>
          <w:color w:val="auto"/>
        </w:rPr>
      </w:pPr>
    </w:p>
    <w:p>
      <w:pPr>
        <w:ind w:right="1979" w:firstLine="932"/>
        <w:spacing w:after="0" w:line="246" w:lineRule="auto"/>
        <w:tabs>
          <w:tab w:leader="none" w:pos="1235" w:val="left"/>
        </w:tabs>
        <w:numPr>
          <w:ilvl w:val="0"/>
          <w:numId w:val="2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REPRESENTATIONS AND WARRANTIES. On and as of the date hereof, and after giving effect to this Third Waiver, the Borrower hereby confirms, reaffirms and restates the representations and warranties set forth in Section 4 of the Credit Agreement MUTATIS MUTANDIS, except to the extent that such representations and warranties expressly relate to a specific earlier date, in which case the Borrower hereby confirms, reaffirms and restates such representations and warranties as of such earlier date.</w:t>
      </w:r>
    </w:p>
    <w:p>
      <w:pPr>
        <w:spacing w:after="0" w:line="202" w:lineRule="exact"/>
        <w:rPr>
          <w:rFonts w:ascii="Courier New" w:cs="Courier New" w:eastAsia="Courier New" w:hAnsi="Courier New"/>
          <w:sz w:val="17"/>
          <w:szCs w:val="17"/>
          <w:color w:val="auto"/>
        </w:rPr>
      </w:pPr>
    </w:p>
    <w:p>
      <w:pPr>
        <w:ind w:right="2179" w:firstLine="932"/>
        <w:spacing w:after="0" w:line="246" w:lineRule="auto"/>
        <w:tabs>
          <w:tab w:leader="none" w:pos="1235" w:val="left"/>
        </w:tabs>
        <w:numPr>
          <w:ilvl w:val="0"/>
          <w:numId w:val="2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CONDITIONS TO EFFECTIVENESS. This Third Waiver shall become effective as of the date the Administrative Agent receives (i) counterparts of this Third Waiver, duly executed and delivered by the Borrower, the Administrative Agent and the Required Lenders and (ii) a waiver fee for the account of each Lender that executes and delivers a counterpart of this Third Waiver on or prior to October 29, 2001 in an amount equal to 0.05% of the Aggregate Exposure of such Lender.</w:t>
      </w:r>
    </w:p>
    <w:p>
      <w:pPr>
        <w:spacing w:after="0" w:line="202" w:lineRule="exact"/>
        <w:rPr>
          <w:rFonts w:ascii="Courier New" w:cs="Courier New" w:eastAsia="Courier New" w:hAnsi="Courier New"/>
          <w:sz w:val="17"/>
          <w:szCs w:val="17"/>
          <w:color w:val="auto"/>
        </w:rPr>
      </w:pPr>
    </w:p>
    <w:p>
      <w:pPr>
        <w:ind w:right="2079" w:firstLine="932"/>
        <w:spacing w:after="0" w:line="246" w:lineRule="auto"/>
        <w:tabs>
          <w:tab w:leader="none" w:pos="1235" w:val="left"/>
        </w:tabs>
        <w:numPr>
          <w:ilvl w:val="0"/>
          <w:numId w:val="2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CONTINUING EFFECT; NO OTHER WAIVER. Except as expressly waived hereby, all of the terms and provisions of the Credit Agreement are and shall remain in full force and effect. The waivers provided for herein are limited to the specific subsections of the Credit Agreement specified herein and for the time period specified herein and shall not constitute a waiver of, or an indication of any Lender's willingness to waive, any other provisions of the Credit Agreement or the same subsections for any other date or time period.</w:t>
      </w:r>
    </w:p>
    <w:p>
      <w:pPr>
        <w:spacing w:after="0" w:line="202" w:lineRule="exact"/>
        <w:rPr>
          <w:rFonts w:ascii="Courier New" w:cs="Courier New" w:eastAsia="Courier New" w:hAnsi="Courier New"/>
          <w:sz w:val="17"/>
          <w:szCs w:val="17"/>
          <w:color w:val="auto"/>
        </w:rPr>
      </w:pPr>
    </w:p>
    <w:p>
      <w:pPr>
        <w:ind w:right="2279" w:firstLine="932"/>
        <w:spacing w:after="0" w:line="246" w:lineRule="auto"/>
        <w:tabs>
          <w:tab w:leader="none" w:pos="1235" w:val="left"/>
        </w:tabs>
        <w:numPr>
          <w:ilvl w:val="0"/>
          <w:numId w:val="2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EXPENSES. The Borrower agrees to pay and reimburse the Administrative Agent for all of its reasonable costs and expenses incurred in connection with the preparation and delivery of this Third Waiver, including, without limitation, the reasonable fees and disbursements of counsel to the Administrative Agent.</w:t>
      </w:r>
    </w:p>
    <w:p>
      <w:pPr>
        <w:sectPr>
          <w:pgSz w:w="11900" w:h="16838" w:orient="portrait"/>
          <w:cols w:equalWidth="0" w:num="1">
            <w:col w:w="10219"/>
          </w:cols>
          <w:pgMar w:left="240" w:top="511" w:right="1440" w:bottom="1440" w:gutter="0" w:footer="0" w:header="0"/>
        </w:sectPr>
      </w:pPr>
    </w:p>
    <w:bookmarkStart w:id="180" w:name="page181"/>
    <w:bookmarkEnd w:id="180"/>
    <w:p>
      <w:pPr>
        <w:jc w:val="right"/>
        <w:ind w:right="1979"/>
        <w:spacing w:after="0"/>
        <w:rPr>
          <w:sz w:val="20"/>
          <w:szCs w:val="20"/>
          <w:color w:val="auto"/>
        </w:rPr>
      </w:pPr>
      <w:r>
        <w:rPr>
          <w:rFonts w:ascii="Courier New" w:cs="Courier New" w:eastAsia="Courier New" w:hAnsi="Courier New"/>
          <w:sz w:val="17"/>
          <w:szCs w:val="17"/>
          <w:color w:val="auto"/>
        </w:rPr>
        <w:t>3</w:t>
      </w:r>
    </w:p>
    <w:p>
      <w:pPr>
        <w:spacing w:after="0" w:line="200" w:lineRule="exact"/>
        <w:rPr>
          <w:sz w:val="20"/>
          <w:szCs w:val="20"/>
          <w:color w:val="auto"/>
        </w:rPr>
      </w:pPr>
    </w:p>
    <w:p>
      <w:pPr>
        <w:spacing w:after="0" w:line="201" w:lineRule="exact"/>
        <w:rPr>
          <w:sz w:val="20"/>
          <w:szCs w:val="20"/>
          <w:color w:val="auto"/>
        </w:rPr>
      </w:pPr>
    </w:p>
    <w:p>
      <w:pPr>
        <w:ind w:right="1979" w:firstLine="932"/>
        <w:spacing w:after="0" w:line="247" w:lineRule="auto"/>
        <w:tabs>
          <w:tab w:leader="none" w:pos="1338" w:val="left"/>
        </w:tabs>
        <w:numPr>
          <w:ilvl w:val="0"/>
          <w:numId w:val="2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GOVERNING LAW. THIS THIRD WAIVER SHALL BE GOVERNED BY, AND CONSTRUED AND INTERPRETED IN ACCORDANCE WITH, THE LAWS OF THE STATE OF NEW YORK.</w:t>
      </w:r>
    </w:p>
    <w:p>
      <w:pPr>
        <w:spacing w:after="0" w:line="197" w:lineRule="exact"/>
        <w:rPr>
          <w:rFonts w:ascii="Courier New" w:cs="Courier New" w:eastAsia="Courier New" w:hAnsi="Courier New"/>
          <w:sz w:val="17"/>
          <w:szCs w:val="17"/>
          <w:color w:val="auto"/>
        </w:rPr>
      </w:pPr>
    </w:p>
    <w:p>
      <w:pPr>
        <w:jc w:val="both"/>
        <w:ind w:right="2499" w:firstLine="932"/>
        <w:spacing w:after="0" w:line="246" w:lineRule="auto"/>
        <w:tabs>
          <w:tab w:leader="none" w:pos="1338" w:val="left"/>
        </w:tabs>
        <w:numPr>
          <w:ilvl w:val="0"/>
          <w:numId w:val="2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COUNTERPARTS. This Third Waiver may be executed by the parties hereto in any number of separate counterparts, and all of said counterparts taken together shall be deemed to constitute one and the same instrument.</w:t>
      </w:r>
    </w:p>
    <w:p>
      <w:pPr>
        <w:sectPr>
          <w:pgSz w:w="11900" w:h="16838" w:orient="portrait"/>
          <w:cols w:equalWidth="0" w:num="1">
            <w:col w:w="10219"/>
          </w:cols>
          <w:pgMar w:left="240" w:top="511" w:right="1440" w:bottom="1440" w:gutter="0" w:footer="0" w:header="0"/>
        </w:sectPr>
      </w:pPr>
    </w:p>
    <w:bookmarkStart w:id="181" w:name="page182"/>
    <w:bookmarkEnd w:id="181"/>
    <w:p>
      <w:pPr>
        <w:ind w:right="1979" w:firstLine="927"/>
        <w:spacing w:after="0" w:line="246" w:lineRule="auto"/>
        <w:rPr>
          <w:sz w:val="20"/>
          <w:szCs w:val="20"/>
          <w:color w:val="auto"/>
        </w:rPr>
      </w:pPr>
      <w:r>
        <w:rPr>
          <w:rFonts w:ascii="Courier New" w:cs="Courier New" w:eastAsia="Courier New" w:hAnsi="Courier New"/>
          <w:sz w:val="17"/>
          <w:szCs w:val="17"/>
          <w:color w:val="auto"/>
        </w:rPr>
        <w:t>IN WITNESS WHEREOF, the parties hereto have caused this Third Waiver to be duly executed and delivered by their proper and duly authorized officers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THE SCOTTS COMPANY</w:t>
      </w:r>
    </w:p>
    <w:p>
      <w:pPr>
        <w:spacing w:after="0" w:line="200" w:lineRule="exact"/>
        <w:rPr>
          <w:sz w:val="20"/>
          <w:szCs w:val="20"/>
          <w:color w:val="auto"/>
        </w:rPr>
      </w:pPr>
    </w:p>
    <w:p>
      <w:pPr>
        <w:spacing w:after="0" w:line="399" w:lineRule="exact"/>
        <w:rPr>
          <w:sz w:val="20"/>
          <w:szCs w:val="20"/>
          <w:color w:val="auto"/>
        </w:rPr>
      </w:pPr>
    </w:p>
    <w:p>
      <w:pPr>
        <w:ind w:left="3400"/>
        <w:spacing w:after="0"/>
        <w:tabs>
          <w:tab w:leader="none" w:pos="4000" w:val="left"/>
        </w:tabs>
        <w:rPr>
          <w:sz w:val="20"/>
          <w:szCs w:val="20"/>
          <w:color w:val="auto"/>
        </w:rPr>
      </w:pPr>
      <w:r>
        <w:rPr>
          <w:rFonts w:ascii="Courier New" w:cs="Courier New" w:eastAsia="Courier New" w:hAnsi="Courier New"/>
          <w:sz w:val="17"/>
          <w:szCs w:val="17"/>
          <w:color w:val="auto"/>
        </w:rPr>
        <w:t>By:</w:t>
        <w:tab/>
        <w:t>/s/ Rebecca J. Bruening</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Name: Rebecca J. Bruening</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Title: Vice President, Corporate Treasurer</w:t>
      </w:r>
    </w:p>
    <w:p>
      <w:pPr>
        <w:spacing w:after="0" w:line="200" w:lineRule="exact"/>
        <w:rPr>
          <w:sz w:val="20"/>
          <w:szCs w:val="20"/>
          <w:color w:val="auto"/>
        </w:rPr>
      </w:pPr>
    </w:p>
    <w:p>
      <w:pPr>
        <w:spacing w:after="0" w:line="399"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THE CHASE MANHATTAN BANK, as</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Administrative Agent</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and as a Lender</w:t>
      </w:r>
    </w:p>
    <w:p>
      <w:pPr>
        <w:spacing w:after="0" w:line="200" w:lineRule="exact"/>
        <w:rPr>
          <w:sz w:val="20"/>
          <w:szCs w:val="20"/>
          <w:color w:val="auto"/>
        </w:rPr>
      </w:pPr>
    </w:p>
    <w:p>
      <w:pPr>
        <w:spacing w:after="0" w:line="399" w:lineRule="exact"/>
        <w:rPr>
          <w:sz w:val="20"/>
          <w:szCs w:val="20"/>
          <w:color w:val="auto"/>
        </w:rPr>
      </w:pPr>
    </w:p>
    <w:p>
      <w:pPr>
        <w:ind w:left="3400"/>
        <w:spacing w:after="0"/>
        <w:tabs>
          <w:tab w:leader="none" w:pos="4000" w:val="left"/>
        </w:tabs>
        <w:rPr>
          <w:sz w:val="20"/>
          <w:szCs w:val="20"/>
          <w:color w:val="auto"/>
        </w:rPr>
      </w:pPr>
      <w:r>
        <w:rPr>
          <w:rFonts w:ascii="Courier New" w:cs="Courier New" w:eastAsia="Courier New" w:hAnsi="Courier New"/>
          <w:sz w:val="17"/>
          <w:szCs w:val="17"/>
          <w:color w:val="auto"/>
        </w:rPr>
        <w:t>By:</w:t>
        <w:tab/>
        <w:t>/s/ Randolph E. Cates</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Name: Randolph E. Cates</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Title: Vice President</w:t>
      </w:r>
    </w:p>
    <w:p>
      <w:pPr>
        <w:spacing w:after="0" w:line="200" w:lineRule="exact"/>
        <w:rPr>
          <w:sz w:val="20"/>
          <w:szCs w:val="20"/>
          <w:color w:val="auto"/>
        </w:rPr>
      </w:pPr>
    </w:p>
    <w:p>
      <w:pPr>
        <w:spacing w:after="0" w:line="399"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CREDIT LYONNAIS NEW YORK BRANCH, as</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Co-Documentation Agent and as a Lender</w:t>
      </w:r>
    </w:p>
    <w:p>
      <w:pPr>
        <w:spacing w:after="0" w:line="200" w:lineRule="exact"/>
        <w:rPr>
          <w:sz w:val="20"/>
          <w:szCs w:val="20"/>
          <w:color w:val="auto"/>
        </w:rPr>
      </w:pPr>
    </w:p>
    <w:p>
      <w:pPr>
        <w:spacing w:after="0" w:line="399" w:lineRule="exact"/>
        <w:rPr>
          <w:sz w:val="20"/>
          <w:szCs w:val="20"/>
          <w:color w:val="auto"/>
        </w:rPr>
      </w:pPr>
    </w:p>
    <w:p>
      <w:pPr>
        <w:ind w:left="3400"/>
        <w:spacing w:after="0"/>
        <w:tabs>
          <w:tab w:leader="none" w:pos="4000" w:val="left"/>
        </w:tabs>
        <w:rPr>
          <w:sz w:val="20"/>
          <w:szCs w:val="20"/>
          <w:color w:val="auto"/>
        </w:rPr>
      </w:pPr>
      <w:r>
        <w:rPr>
          <w:rFonts w:ascii="Courier New" w:cs="Courier New" w:eastAsia="Courier New" w:hAnsi="Courier New"/>
          <w:sz w:val="17"/>
          <w:szCs w:val="17"/>
          <w:color w:val="auto"/>
        </w:rPr>
        <w:t>By:</w:t>
        <w:tab/>
        <w:t>/s/ Joseph A. Philbin</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Name: Joseph A. Philbin</w:t>
      </w:r>
    </w:p>
    <w:p>
      <w:pPr>
        <w:spacing w:after="0" w:line="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Title: V.P.</w:t>
      </w:r>
    </w:p>
    <w:p>
      <w:pPr>
        <w:spacing w:after="0" w:line="200" w:lineRule="exact"/>
        <w:rPr>
          <w:sz w:val="20"/>
          <w:szCs w:val="20"/>
          <w:color w:val="auto"/>
        </w:rPr>
      </w:pPr>
    </w:p>
    <w:p>
      <w:pPr>
        <w:spacing w:after="0" w:line="399"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BANK ONE, MICHIGAN, as successor to</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NBD BANK, as Co-Documentation Agent and as a</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Lender</w:t>
      </w:r>
    </w:p>
    <w:p>
      <w:pPr>
        <w:spacing w:after="0" w:line="200" w:lineRule="exact"/>
        <w:rPr>
          <w:sz w:val="20"/>
          <w:szCs w:val="20"/>
          <w:color w:val="auto"/>
        </w:rPr>
      </w:pPr>
    </w:p>
    <w:p>
      <w:pPr>
        <w:spacing w:after="0" w:line="399" w:lineRule="exact"/>
        <w:rPr>
          <w:sz w:val="20"/>
          <w:szCs w:val="20"/>
          <w:color w:val="auto"/>
        </w:rPr>
      </w:pPr>
    </w:p>
    <w:p>
      <w:pPr>
        <w:ind w:left="3400"/>
        <w:spacing w:after="0"/>
        <w:tabs>
          <w:tab w:leader="none" w:pos="4000" w:val="left"/>
        </w:tabs>
        <w:rPr>
          <w:sz w:val="20"/>
          <w:szCs w:val="20"/>
          <w:color w:val="auto"/>
        </w:rPr>
      </w:pPr>
      <w:r>
        <w:rPr>
          <w:rFonts w:ascii="Courier New" w:cs="Courier New" w:eastAsia="Courier New" w:hAnsi="Courier New"/>
          <w:sz w:val="17"/>
          <w:szCs w:val="17"/>
          <w:color w:val="auto"/>
        </w:rPr>
        <w:t>By:</w:t>
        <w:tab/>
        <w:t>/s/ Paul Harris</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Name: Paul Harris</w:t>
      </w:r>
    </w:p>
    <w:p>
      <w:pPr>
        <w:spacing w:after="0" w:line="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Title: FVP</w:t>
      </w:r>
    </w:p>
    <w:p>
      <w:pPr>
        <w:sectPr>
          <w:pgSz w:w="11900" w:h="16838" w:orient="portrait"/>
          <w:cols w:equalWidth="0" w:num="1">
            <w:col w:w="10219"/>
          </w:cols>
          <w:pgMar w:left="240" w:top="1303" w:right="1440" w:bottom="1440" w:gutter="0" w:footer="0" w:header="0"/>
        </w:sectPr>
      </w:pPr>
    </w:p>
    <w:bookmarkStart w:id="182" w:name="page183"/>
    <w:bookmarkEnd w:id="182"/>
    <w:p>
      <w:pPr>
        <w:ind w:left="2200"/>
        <w:spacing w:after="0"/>
        <w:rPr>
          <w:sz w:val="20"/>
          <w:szCs w:val="20"/>
          <w:color w:val="auto"/>
        </w:rPr>
      </w:pPr>
      <w:r>
        <w:rPr>
          <w:rFonts w:ascii="Courier New" w:cs="Courier New" w:eastAsia="Courier New" w:hAnsi="Courier New"/>
          <w:sz w:val="17"/>
          <w:szCs w:val="17"/>
          <w:color w:val="auto"/>
        </w:rPr>
        <w:t>ABN AMRO BANK N.V.</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800" w:val="left"/>
        </w:tabs>
        <w:rPr>
          <w:sz w:val="20"/>
          <w:szCs w:val="20"/>
          <w:color w:val="auto"/>
        </w:rPr>
      </w:pPr>
      <w:r>
        <w:rPr>
          <w:rFonts w:ascii="Courier New" w:cs="Courier New" w:eastAsia="Courier New" w:hAnsi="Courier New"/>
          <w:sz w:val="17"/>
          <w:szCs w:val="17"/>
          <w:color w:val="auto"/>
        </w:rPr>
        <w:t>By:</w:t>
        <w:tab/>
        <w:t>/s/ Thomas Comfort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Thomas Comfort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Senior Vice President</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800" w:val="left"/>
        </w:tabs>
        <w:rPr>
          <w:sz w:val="20"/>
          <w:szCs w:val="20"/>
          <w:color w:val="auto"/>
        </w:rPr>
      </w:pPr>
      <w:r>
        <w:rPr>
          <w:rFonts w:ascii="Courier New" w:cs="Courier New" w:eastAsia="Courier New" w:hAnsi="Courier New"/>
          <w:sz w:val="17"/>
          <w:szCs w:val="17"/>
          <w:color w:val="auto"/>
        </w:rPr>
        <w:t>By:</w:t>
        <w:tab/>
        <w:t>/s/ Wendy E. Pace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Wendy E. Pace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Assistant Vice President</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BANK OF MONTREAL</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800" w:val="left"/>
        </w:tabs>
        <w:rPr>
          <w:sz w:val="20"/>
          <w:szCs w:val="20"/>
          <w:color w:val="auto"/>
        </w:rPr>
      </w:pPr>
      <w:r>
        <w:rPr>
          <w:rFonts w:ascii="Courier New" w:cs="Courier New" w:eastAsia="Courier New" w:hAnsi="Courier New"/>
          <w:sz w:val="17"/>
          <w:szCs w:val="17"/>
          <w:color w:val="auto"/>
        </w:rPr>
        <w:t>By:</w:t>
        <w:tab/>
        <w:t>/s/ Robert H. Welchen</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Robert H. Welchen</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Vice President</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ADDISON CDO, LIMITED</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AERIES-II FINANCE LTD.</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w:t>
      </w:r>
    </w:p>
    <w:p>
      <w:pPr>
        <w:sectPr>
          <w:pgSz w:w="11900" w:h="16838" w:orient="portrait"/>
          <w:cols w:equalWidth="0" w:num="1">
            <w:col w:w="9019"/>
          </w:cols>
          <w:pgMar w:left="1440" w:top="907" w:right="1440" w:bottom="1440" w:gutter="0" w:footer="0" w:header="0"/>
        </w:sectPr>
      </w:pPr>
    </w:p>
    <w:bookmarkStart w:id="183" w:name="page184"/>
    <w:bookmarkEnd w:id="183"/>
    <w:p>
      <w:pPr>
        <w:ind w:left="2200"/>
        <w:spacing w:after="0"/>
        <w:rPr>
          <w:sz w:val="20"/>
          <w:szCs w:val="20"/>
          <w:color w:val="auto"/>
        </w:rPr>
      </w:pPr>
      <w:r>
        <w:rPr>
          <w:rFonts w:ascii="Courier New" w:cs="Courier New" w:eastAsia="Courier New" w:hAnsi="Courier New"/>
          <w:sz w:val="17"/>
          <w:szCs w:val="17"/>
          <w:color w:val="auto"/>
        </w:rPr>
        <w:t>AIMCO CDO SERIES 2000-A</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By: /s/ Charles D. Mires</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Charles D. Mires</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Authorized Signatory</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By: /s/ Robert B. Bodett</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Robert B. Bodett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Authorized Signatory</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ALLSTATE LIFE INSURANCE CO.</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By: /s/ Charles D. Mires</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Charles D. Mires</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Authorized Signatory</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By: /s/ Robert B. Bodett</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Robert B. Bodett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Authorized Signatory</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AMMC CDO I, LIMITED</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APEX (IPM) CDO I, LTD.</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By: /s/ Roshan White</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Roshan White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Vice President</w:t>
      </w:r>
    </w:p>
    <w:p>
      <w:pPr>
        <w:sectPr>
          <w:pgSz w:w="11900" w:h="16838" w:orient="portrait"/>
          <w:cols w:equalWidth="0" w:num="1">
            <w:col w:w="9019"/>
          </w:cols>
          <w:pgMar w:left="1440" w:top="512" w:right="1440" w:bottom="1440" w:gutter="0" w:footer="0" w:header="0"/>
        </w:sectPr>
      </w:pPr>
    </w:p>
    <w:bookmarkStart w:id="184" w:name="page185"/>
    <w:bookmarkEnd w:id="184"/>
    <w:p>
      <w:pPr>
        <w:ind w:left="2200"/>
        <w:spacing w:after="0"/>
        <w:rPr>
          <w:sz w:val="20"/>
          <w:szCs w:val="20"/>
          <w:color w:val="auto"/>
        </w:rPr>
      </w:pPr>
      <w:r>
        <w:rPr>
          <w:rFonts w:ascii="Courier New" w:cs="Courier New" w:eastAsia="Courier New" w:hAnsi="Courier New"/>
          <w:sz w:val="17"/>
          <w:szCs w:val="17"/>
          <w:color w:val="auto"/>
        </w:rPr>
        <w:t>ARCHIMEDES FUNDING IV, LTD.</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By: ING Capital Advisors LLC, as Collateral</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Manager</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By: /s/ Mark M. O'Shaughnessy</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Mark M. O'Shaughnessy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Vice President</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ARES III CLO LTD.</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ARES IV CLO LTD.</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ARES LEVERAGED INVESTMENT FUND II, L.P.</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w:t>
      </w:r>
    </w:p>
    <w:p>
      <w:pPr>
        <w:sectPr>
          <w:pgSz w:w="11900" w:h="16838" w:orient="portrait"/>
          <w:cols w:equalWidth="0" w:num="1">
            <w:col w:w="9019"/>
          </w:cols>
          <w:pgMar w:left="1440" w:top="511" w:right="1440" w:bottom="1440" w:gutter="0" w:footer="0" w:header="0"/>
        </w:sectPr>
      </w:pPr>
    </w:p>
    <w:bookmarkStart w:id="185" w:name="page186"/>
    <w:bookmarkEnd w:id="185"/>
    <w:p>
      <w:pPr>
        <w:ind w:left="2200"/>
        <w:spacing w:after="0"/>
        <w:rPr>
          <w:sz w:val="20"/>
          <w:szCs w:val="20"/>
          <w:color w:val="auto"/>
        </w:rPr>
      </w:pPr>
      <w:r>
        <w:rPr>
          <w:rFonts w:ascii="Courier New" w:cs="Courier New" w:eastAsia="Courier New" w:hAnsi="Courier New"/>
          <w:sz w:val="17"/>
          <w:szCs w:val="17"/>
          <w:color w:val="auto"/>
        </w:rPr>
        <w:t>AVALON CAPITAL LTD.</w:t>
      </w:r>
    </w:p>
    <w:p>
      <w:pPr>
        <w:spacing w:after="0" w:line="200" w:lineRule="exact"/>
        <w:rPr>
          <w:sz w:val="20"/>
          <w:szCs w:val="20"/>
          <w:color w:val="auto"/>
        </w:rPr>
      </w:pPr>
    </w:p>
    <w:p>
      <w:pPr>
        <w:spacing w:after="0" w:line="399" w:lineRule="exact"/>
        <w:rPr>
          <w:sz w:val="20"/>
          <w:szCs w:val="20"/>
          <w:color w:val="auto"/>
        </w:rPr>
      </w:pPr>
    </w:p>
    <w:p>
      <w:pPr>
        <w:ind w:left="2720" w:right="2079" w:hanging="514"/>
        <w:spacing w:after="0" w:line="247" w:lineRule="auto"/>
        <w:rPr>
          <w:sz w:val="20"/>
          <w:szCs w:val="20"/>
          <w:color w:val="auto"/>
        </w:rPr>
      </w:pPr>
      <w:r>
        <w:rPr>
          <w:rFonts w:ascii="Courier New" w:cs="Courier New" w:eastAsia="Courier New" w:hAnsi="Courier New"/>
          <w:sz w:val="17"/>
          <w:szCs w:val="17"/>
          <w:color w:val="auto"/>
        </w:rPr>
        <w:t>By: INVESCO Senior Secured Management, Inc. as Portfolio Advisor</w:t>
      </w:r>
    </w:p>
    <w:p>
      <w:pPr>
        <w:spacing w:after="0" w:line="200" w:lineRule="exact"/>
        <w:rPr>
          <w:sz w:val="20"/>
          <w:szCs w:val="20"/>
          <w:color w:val="auto"/>
        </w:rPr>
      </w:pPr>
    </w:p>
    <w:p>
      <w:pPr>
        <w:spacing w:after="0" w:line="394"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Thomas H.B. Ewald</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Thomas H. B. Ewald</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Authorized Signatory</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AVALON CAPITAL LTD. II</w:t>
      </w:r>
    </w:p>
    <w:p>
      <w:pPr>
        <w:spacing w:after="0" w:line="200" w:lineRule="exact"/>
        <w:rPr>
          <w:sz w:val="20"/>
          <w:szCs w:val="20"/>
          <w:color w:val="auto"/>
        </w:rPr>
      </w:pPr>
    </w:p>
    <w:p>
      <w:pPr>
        <w:spacing w:after="0" w:line="399" w:lineRule="exact"/>
        <w:rPr>
          <w:sz w:val="20"/>
          <w:szCs w:val="20"/>
          <w:color w:val="auto"/>
        </w:rPr>
      </w:pPr>
    </w:p>
    <w:p>
      <w:pPr>
        <w:ind w:left="2720" w:right="2079" w:hanging="514"/>
        <w:spacing w:after="0" w:line="247" w:lineRule="auto"/>
        <w:rPr>
          <w:sz w:val="20"/>
          <w:szCs w:val="20"/>
          <w:color w:val="auto"/>
        </w:rPr>
      </w:pPr>
      <w:r>
        <w:rPr>
          <w:rFonts w:ascii="Courier New" w:cs="Courier New" w:eastAsia="Courier New" w:hAnsi="Courier New"/>
          <w:sz w:val="17"/>
          <w:szCs w:val="17"/>
          <w:color w:val="auto"/>
        </w:rPr>
        <w:t>By: INVESCO Senior Secured Management, Inc. as Portfolio Advisor</w:t>
      </w:r>
    </w:p>
    <w:p>
      <w:pPr>
        <w:spacing w:after="0" w:line="200" w:lineRule="exact"/>
        <w:rPr>
          <w:sz w:val="20"/>
          <w:szCs w:val="20"/>
          <w:color w:val="auto"/>
        </w:rPr>
      </w:pPr>
    </w:p>
    <w:p>
      <w:pPr>
        <w:spacing w:after="0" w:line="394"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Thomas H.B. Ewald</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Thomas H. B. Ewald</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Authorized Signatory</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PB CAPITAL CORPORATION</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Nina Zhou</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Nina Zhou</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Associate</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Jeffrey Frost</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Jeffrey Frost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Managing Director Client Services</w:t>
      </w:r>
    </w:p>
    <w:p>
      <w:pPr>
        <w:sectPr>
          <w:pgSz w:w="11900" w:h="16838" w:orient="portrait"/>
          <w:cols w:equalWidth="0" w:num="1">
            <w:col w:w="9019"/>
          </w:cols>
          <w:pgMar w:left="1440" w:top="511" w:right="1440" w:bottom="1440" w:gutter="0" w:footer="0" w:header="0"/>
        </w:sectPr>
      </w:pPr>
    </w:p>
    <w:bookmarkStart w:id="186" w:name="page187"/>
    <w:bookmarkEnd w:id="186"/>
    <w:p>
      <w:pPr>
        <w:ind w:left="2200"/>
        <w:spacing w:after="0"/>
        <w:rPr>
          <w:sz w:val="20"/>
          <w:szCs w:val="20"/>
          <w:color w:val="auto"/>
        </w:rPr>
      </w:pPr>
      <w:r>
        <w:rPr>
          <w:rFonts w:ascii="Courier New" w:cs="Courier New" w:eastAsia="Courier New" w:hAnsi="Courier New"/>
          <w:sz w:val="17"/>
          <w:szCs w:val="17"/>
          <w:color w:val="auto"/>
        </w:rPr>
        <w:t>BANK AUSTRIA CREDITANSTALT</w:t>
      </w:r>
    </w:p>
    <w:p>
      <w:pPr>
        <w:spacing w:after="0" w:line="5"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CORPORATE FINANCE, INC.</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Francesco Ossino</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Francesco Ossino</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Vice President</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David M. Harnisch</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David M. Harnisch</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Managing Director</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BANK OF AMERICA, N.A.</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Gretchen Spoo</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Gretchen Spoo</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Principal</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BANK OF HAWAII</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J. Bryan Scearce</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J. Bryan Scearce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Vice President</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THE BANK OF NEW YORK</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Randolph E. J. Medrano</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Randolph E. J. Medrano</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Vice President</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THE BANK OF NOVA SCOTIA</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A.S. Norsworthy</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A.S. Norsworthy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Sr. Team Leader-Loan Operations</w:t>
      </w:r>
    </w:p>
    <w:p>
      <w:pPr>
        <w:sectPr>
          <w:pgSz w:w="11900" w:h="16838" w:orient="portrait"/>
          <w:cols w:equalWidth="0" w:num="1">
            <w:col w:w="9019"/>
          </w:cols>
          <w:pgMar w:left="1440" w:top="512" w:right="1440" w:bottom="1440" w:gutter="0" w:footer="0" w:header="0"/>
        </w:sectPr>
      </w:pPr>
    </w:p>
    <w:bookmarkStart w:id="187" w:name="page188"/>
    <w:bookmarkEnd w:id="187"/>
    <w:p>
      <w:pPr>
        <w:ind w:left="2200"/>
        <w:spacing w:after="0"/>
        <w:rPr>
          <w:sz w:val="20"/>
          <w:szCs w:val="20"/>
          <w:color w:val="auto"/>
        </w:rPr>
      </w:pPr>
      <w:r>
        <w:rPr>
          <w:rFonts w:ascii="Courier New" w:cs="Courier New" w:eastAsia="Courier New" w:hAnsi="Courier New"/>
          <w:sz w:val="17"/>
          <w:szCs w:val="17"/>
          <w:color w:val="auto"/>
        </w:rPr>
        <w:t>BANK OF TOKYO-MITSUBISHI TRUST COMPANY</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BALANCED HIGH YIELD FUND II, LTD.</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Mark M. O'Shaughnessy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Mark M. O'Shaughnessy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Vice President</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BAVARIA TRR CORPORATION</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Lori Rezza</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Lori Rezza</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Vice President</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BNP PARIBAS</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Kristin Petinaux</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Kristin Petinaux</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Richard L. Sted</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Richard L. Sted</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Central Region Manager</w:t>
      </w:r>
    </w:p>
    <w:p>
      <w:pPr>
        <w:sectPr>
          <w:pgSz w:w="11900" w:h="16838" w:orient="portrait"/>
          <w:cols w:equalWidth="0" w:num="1">
            <w:col w:w="9019"/>
          </w:cols>
          <w:pgMar w:left="1440" w:top="907" w:right="1440" w:bottom="1440" w:gutter="0" w:footer="0" w:header="0"/>
        </w:sectPr>
      </w:pPr>
    </w:p>
    <w:bookmarkStart w:id="188" w:name="page189"/>
    <w:bookmarkEnd w:id="188"/>
    <w:p>
      <w:pPr>
        <w:ind w:left="2200"/>
        <w:spacing w:after="0"/>
        <w:rPr>
          <w:sz w:val="20"/>
          <w:szCs w:val="20"/>
          <w:color w:val="auto"/>
        </w:rPr>
      </w:pPr>
      <w:r>
        <w:rPr>
          <w:rFonts w:ascii="Courier New" w:cs="Courier New" w:eastAsia="Courier New" w:hAnsi="Courier New"/>
          <w:sz w:val="17"/>
          <w:szCs w:val="17"/>
          <w:color w:val="auto"/>
        </w:rPr>
        <w:t>BW CAPITAL MARKETS, INC.</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Thomas A. Lowe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Thomas A. Lowe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Vice President</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Philip G. Waldrop</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Philip G. Waldrop</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Vice President</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CAPTIVA IV FINANCE LTD.</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CENTURION CDO II, LTD.</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Michael M. Leyland</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Michael M. Leyland</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Managing Director</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CERES II FINANCE, LTD.</w:t>
      </w:r>
    </w:p>
    <w:p>
      <w:pPr>
        <w:spacing w:after="0" w:line="200" w:lineRule="exact"/>
        <w:rPr>
          <w:sz w:val="20"/>
          <w:szCs w:val="20"/>
          <w:color w:val="auto"/>
        </w:rPr>
      </w:pPr>
    </w:p>
    <w:p>
      <w:pPr>
        <w:spacing w:after="0" w:line="399" w:lineRule="exact"/>
        <w:rPr>
          <w:sz w:val="20"/>
          <w:szCs w:val="20"/>
          <w:color w:val="auto"/>
        </w:rPr>
      </w:pPr>
    </w:p>
    <w:p>
      <w:pPr>
        <w:ind w:left="2720" w:right="2079" w:hanging="514"/>
        <w:spacing w:after="0" w:line="247" w:lineRule="auto"/>
        <w:rPr>
          <w:sz w:val="20"/>
          <w:szCs w:val="20"/>
          <w:color w:val="auto"/>
        </w:rPr>
      </w:pPr>
      <w:r>
        <w:rPr>
          <w:rFonts w:ascii="Courier New" w:cs="Courier New" w:eastAsia="Courier New" w:hAnsi="Courier New"/>
          <w:sz w:val="17"/>
          <w:szCs w:val="17"/>
          <w:color w:val="auto"/>
        </w:rPr>
        <w:t>By: INVESCO Senior Secured Management, Inc. as Sub-Managing Agent (Financial)</w:t>
      </w:r>
    </w:p>
    <w:p>
      <w:pPr>
        <w:spacing w:after="0" w:line="200" w:lineRule="exact"/>
        <w:rPr>
          <w:sz w:val="20"/>
          <w:szCs w:val="20"/>
          <w:color w:val="auto"/>
        </w:rPr>
      </w:pPr>
    </w:p>
    <w:p>
      <w:pPr>
        <w:spacing w:after="0" w:line="394"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Thomas H. B. Ewald</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Thomas H. B. Ewald</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Authorized Signatory</w:t>
      </w:r>
    </w:p>
    <w:p>
      <w:pPr>
        <w:sectPr>
          <w:pgSz w:w="11900" w:h="16838" w:orient="portrait"/>
          <w:cols w:equalWidth="0" w:num="1">
            <w:col w:w="9019"/>
          </w:cols>
          <w:pgMar w:left="1440" w:top="1105" w:right="1440" w:bottom="1440" w:gutter="0" w:footer="0" w:header="0"/>
        </w:sectPr>
      </w:pPr>
    </w:p>
    <w:bookmarkStart w:id="189" w:name="page190"/>
    <w:bookmarkEnd w:id="189"/>
    <w:p>
      <w:pPr>
        <w:ind w:left="2200"/>
        <w:spacing w:after="0"/>
        <w:rPr>
          <w:sz w:val="20"/>
          <w:szCs w:val="20"/>
          <w:color w:val="auto"/>
        </w:rPr>
      </w:pPr>
      <w:r>
        <w:rPr>
          <w:rFonts w:ascii="Courier New" w:cs="Courier New" w:eastAsia="Courier New" w:hAnsi="Courier New"/>
          <w:sz w:val="17"/>
          <w:szCs w:val="17"/>
          <w:color w:val="auto"/>
        </w:rPr>
        <w:t>CHARTER VIEW PORTFOLIO</w:t>
      </w:r>
    </w:p>
    <w:p>
      <w:pPr>
        <w:spacing w:after="0" w:line="200" w:lineRule="exact"/>
        <w:rPr>
          <w:sz w:val="20"/>
          <w:szCs w:val="20"/>
          <w:color w:val="auto"/>
        </w:rPr>
      </w:pPr>
    </w:p>
    <w:p>
      <w:pPr>
        <w:spacing w:after="0" w:line="399" w:lineRule="exact"/>
        <w:rPr>
          <w:sz w:val="20"/>
          <w:szCs w:val="20"/>
          <w:color w:val="auto"/>
        </w:rPr>
      </w:pPr>
    </w:p>
    <w:p>
      <w:pPr>
        <w:ind w:left="2720" w:right="2079" w:hanging="514"/>
        <w:spacing w:after="0" w:line="247" w:lineRule="auto"/>
        <w:rPr>
          <w:sz w:val="20"/>
          <w:szCs w:val="20"/>
          <w:color w:val="auto"/>
        </w:rPr>
      </w:pPr>
      <w:r>
        <w:rPr>
          <w:rFonts w:ascii="Courier New" w:cs="Courier New" w:eastAsia="Courier New" w:hAnsi="Courier New"/>
          <w:sz w:val="17"/>
          <w:szCs w:val="17"/>
          <w:color w:val="auto"/>
        </w:rPr>
        <w:t>By: INVESCO Senior Secured Management, Inc. as Investment Advisor</w:t>
      </w:r>
    </w:p>
    <w:p>
      <w:pPr>
        <w:spacing w:after="0" w:line="200" w:lineRule="exact"/>
        <w:rPr>
          <w:sz w:val="20"/>
          <w:szCs w:val="20"/>
          <w:color w:val="auto"/>
        </w:rPr>
      </w:pPr>
    </w:p>
    <w:p>
      <w:pPr>
        <w:spacing w:after="0" w:line="394"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Thomas H. B. Ewald</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Thomas H. B. Ewald</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Authorized Signatory</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CITICORP USA, INC.</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Allen Fisher</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Allen Fisher</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Vice President</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COLUMBUS LOAN FUNDING, LTD.</w:t>
      </w:r>
    </w:p>
    <w:p>
      <w:pPr>
        <w:spacing w:after="0" w:line="200" w:lineRule="exact"/>
        <w:rPr>
          <w:sz w:val="20"/>
          <w:szCs w:val="20"/>
          <w:color w:val="auto"/>
        </w:rPr>
      </w:pPr>
    </w:p>
    <w:p>
      <w:pPr>
        <w:spacing w:after="0" w:line="399" w:lineRule="exact"/>
        <w:rPr>
          <w:sz w:val="20"/>
          <w:szCs w:val="20"/>
          <w:color w:val="auto"/>
        </w:rPr>
      </w:pPr>
    </w:p>
    <w:p>
      <w:pPr>
        <w:ind w:left="2720" w:right="2179" w:hanging="519"/>
        <w:spacing w:after="0" w:line="247" w:lineRule="auto"/>
        <w:tabs>
          <w:tab w:leader="none" w:pos="2700" w:val="left"/>
        </w:tabs>
        <w:rPr>
          <w:sz w:val="20"/>
          <w:szCs w:val="20"/>
          <w:color w:val="auto"/>
        </w:rPr>
      </w:pPr>
      <w:r>
        <w:rPr>
          <w:rFonts w:ascii="Courier New" w:cs="Courier New" w:eastAsia="Courier New" w:hAnsi="Courier New"/>
          <w:sz w:val="17"/>
          <w:szCs w:val="17"/>
          <w:color w:val="auto"/>
        </w:rPr>
        <w:t>By:</w:t>
        <w:tab/>
        <w:t>Travelers Asset Management International Company, LLC</w:t>
      </w:r>
    </w:p>
    <w:p>
      <w:pPr>
        <w:spacing w:after="0" w:line="200" w:lineRule="exact"/>
        <w:rPr>
          <w:sz w:val="20"/>
          <w:szCs w:val="20"/>
          <w:color w:val="auto"/>
        </w:rPr>
      </w:pPr>
    </w:p>
    <w:p>
      <w:pPr>
        <w:spacing w:after="0" w:line="394"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Allen Cantrell</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Allen Cantrell</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Investment Officer</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COMERICA BANK, Detroit</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Anthony L. Davis</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Anthony L. Davis</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Asst. Vice President</w:t>
      </w:r>
    </w:p>
    <w:p>
      <w:pPr>
        <w:sectPr>
          <w:pgSz w:w="11900" w:h="16838" w:orient="portrait"/>
          <w:cols w:equalWidth="0" w:num="1">
            <w:col w:w="9019"/>
          </w:cols>
          <w:pgMar w:left="1440" w:top="511" w:right="1440" w:bottom="1440" w:gutter="0" w:footer="0" w:header="0"/>
        </w:sectPr>
      </w:pPr>
    </w:p>
    <w:bookmarkStart w:id="190" w:name="page191"/>
    <w:bookmarkEnd w:id="190"/>
    <w:p>
      <w:pPr>
        <w:ind w:left="2200"/>
        <w:spacing w:after="0"/>
        <w:rPr>
          <w:sz w:val="20"/>
          <w:szCs w:val="20"/>
          <w:color w:val="auto"/>
        </w:rPr>
      </w:pPr>
      <w:r>
        <w:rPr>
          <w:rFonts w:ascii="Courier New" w:cs="Courier New" w:eastAsia="Courier New" w:hAnsi="Courier New"/>
          <w:sz w:val="17"/>
          <w:szCs w:val="17"/>
          <w:color w:val="auto"/>
        </w:rPr>
        <w:t>CREDIT AGRICOLE INDOSUEZ, Chicago</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Theodore D. Tice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Theodore D. Tice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Vice President Senior Relationship</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Manager</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Bradley C. Peterson</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Bradley C. Peterson</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First Vice President</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CREDIT SUISSE FIRST BOSTON</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CYPRESSTREE FOCUSED INVESTMENT</w:t>
      </w:r>
    </w:p>
    <w:p>
      <w:pPr>
        <w:spacing w:after="0" w:line="5"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FUND, LLC</w:t>
      </w:r>
    </w:p>
    <w:p>
      <w:pPr>
        <w:spacing w:after="0" w:line="203" w:lineRule="exact"/>
        <w:rPr>
          <w:sz w:val="20"/>
          <w:szCs w:val="20"/>
          <w:color w:val="auto"/>
        </w:rPr>
      </w:pPr>
    </w:p>
    <w:p>
      <w:pPr>
        <w:ind w:left="2720" w:right="1979" w:hanging="519"/>
        <w:spacing w:after="0" w:line="247" w:lineRule="auto"/>
        <w:tabs>
          <w:tab w:leader="none" w:pos="2700" w:val="left"/>
        </w:tabs>
        <w:rPr>
          <w:sz w:val="20"/>
          <w:szCs w:val="20"/>
          <w:color w:val="auto"/>
        </w:rPr>
      </w:pPr>
      <w:r>
        <w:rPr>
          <w:rFonts w:ascii="Courier New" w:cs="Courier New" w:eastAsia="Courier New" w:hAnsi="Courier New"/>
          <w:sz w:val="17"/>
          <w:szCs w:val="17"/>
          <w:color w:val="auto"/>
        </w:rPr>
        <w:t>By:</w:t>
        <w:tab/>
        <w:t>CypressTree Investment Management Company, Inc., its Managing Member</w:t>
      </w:r>
    </w:p>
    <w:p>
      <w:pPr>
        <w:spacing w:after="0" w:line="200" w:lineRule="exact"/>
        <w:rPr>
          <w:sz w:val="20"/>
          <w:szCs w:val="20"/>
          <w:color w:val="auto"/>
        </w:rPr>
      </w:pPr>
    </w:p>
    <w:p>
      <w:pPr>
        <w:spacing w:after="0" w:line="394"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CYPRESSTREE INVESTMENT PARTNERS I, LTD</w:t>
      </w:r>
    </w:p>
    <w:p>
      <w:pPr>
        <w:spacing w:after="0" w:line="203" w:lineRule="exact"/>
        <w:rPr>
          <w:sz w:val="20"/>
          <w:szCs w:val="20"/>
          <w:color w:val="auto"/>
        </w:rPr>
      </w:pPr>
    </w:p>
    <w:p>
      <w:pPr>
        <w:ind w:left="2720" w:right="1979" w:hanging="519"/>
        <w:spacing w:after="0" w:line="247" w:lineRule="auto"/>
        <w:tabs>
          <w:tab w:leader="none" w:pos="2700" w:val="left"/>
        </w:tabs>
        <w:rPr>
          <w:sz w:val="20"/>
          <w:szCs w:val="20"/>
          <w:color w:val="auto"/>
        </w:rPr>
      </w:pPr>
      <w:r>
        <w:rPr>
          <w:rFonts w:ascii="Courier New" w:cs="Courier New" w:eastAsia="Courier New" w:hAnsi="Courier New"/>
          <w:sz w:val="17"/>
          <w:szCs w:val="17"/>
          <w:color w:val="auto"/>
        </w:rPr>
        <w:t>By:</w:t>
        <w:tab/>
        <w:t>CypressTree Investment Management Company, Inc., as Portfolio Manager</w:t>
      </w:r>
    </w:p>
    <w:p>
      <w:pPr>
        <w:spacing w:after="0" w:line="200" w:lineRule="exact"/>
        <w:rPr>
          <w:sz w:val="20"/>
          <w:szCs w:val="20"/>
          <w:color w:val="auto"/>
        </w:rPr>
      </w:pPr>
    </w:p>
    <w:p>
      <w:pPr>
        <w:spacing w:after="0" w:line="394"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Jonathan D. Sharkey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Jonathan D. Sharkey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Principal</w:t>
      </w:r>
    </w:p>
    <w:p>
      <w:pPr>
        <w:sectPr>
          <w:pgSz w:w="11900" w:h="16838" w:orient="portrait"/>
          <w:cols w:equalWidth="0" w:num="1">
            <w:col w:w="9019"/>
          </w:cols>
          <w:pgMar w:left="1440" w:top="511" w:right="1440" w:bottom="1440" w:gutter="0" w:footer="0" w:header="0"/>
        </w:sectPr>
      </w:pPr>
    </w:p>
    <w:bookmarkStart w:id="191" w:name="page192"/>
    <w:bookmarkEnd w:id="191"/>
    <w:p>
      <w:pPr>
        <w:ind w:left="2200"/>
        <w:spacing w:after="0"/>
        <w:rPr>
          <w:sz w:val="20"/>
          <w:szCs w:val="20"/>
          <w:color w:val="auto"/>
        </w:rPr>
      </w:pPr>
      <w:r>
        <w:rPr>
          <w:rFonts w:ascii="Courier New" w:cs="Courier New" w:eastAsia="Courier New" w:hAnsi="Courier New"/>
          <w:sz w:val="17"/>
          <w:szCs w:val="17"/>
          <w:color w:val="auto"/>
        </w:rPr>
        <w:t>CYPRESSTREE INVESTMENT PARTNERS II, LTD</w:t>
      </w:r>
    </w:p>
    <w:p>
      <w:pPr>
        <w:spacing w:after="0" w:line="203" w:lineRule="exact"/>
        <w:rPr>
          <w:sz w:val="20"/>
          <w:szCs w:val="20"/>
          <w:color w:val="auto"/>
        </w:rPr>
      </w:pPr>
    </w:p>
    <w:p>
      <w:pPr>
        <w:ind w:left="2720" w:right="1979" w:hanging="519"/>
        <w:spacing w:after="0" w:line="247" w:lineRule="auto"/>
        <w:tabs>
          <w:tab w:leader="none" w:pos="2700" w:val="left"/>
        </w:tabs>
        <w:rPr>
          <w:sz w:val="20"/>
          <w:szCs w:val="20"/>
          <w:color w:val="auto"/>
        </w:rPr>
      </w:pPr>
      <w:r>
        <w:rPr>
          <w:rFonts w:ascii="Courier New" w:cs="Courier New" w:eastAsia="Courier New" w:hAnsi="Courier New"/>
          <w:sz w:val="17"/>
          <w:szCs w:val="17"/>
          <w:color w:val="auto"/>
        </w:rPr>
        <w:t>By:</w:t>
        <w:tab/>
        <w:t>CypressTree Investment Management Company, Inc., as Portfolio Manager</w:t>
      </w:r>
    </w:p>
    <w:p>
      <w:pPr>
        <w:spacing w:after="0" w:line="200" w:lineRule="exact"/>
        <w:rPr>
          <w:sz w:val="20"/>
          <w:szCs w:val="20"/>
          <w:color w:val="auto"/>
        </w:rPr>
      </w:pPr>
    </w:p>
    <w:p>
      <w:pPr>
        <w:spacing w:after="0" w:line="394"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Jonathan D. Sharkey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Jonathan D. Sharkey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Principal</w:t>
      </w:r>
    </w:p>
    <w:p>
      <w:pPr>
        <w:spacing w:after="0" w:line="203"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CYPRESSTREE INVESTMENT MANAGEMENT COMPANY, INC.</w:t>
      </w:r>
    </w:p>
    <w:p>
      <w:pPr>
        <w:spacing w:after="0" w:line="200" w:lineRule="exact"/>
        <w:rPr>
          <w:sz w:val="20"/>
          <w:szCs w:val="20"/>
          <w:color w:val="auto"/>
        </w:rPr>
      </w:pPr>
    </w:p>
    <w:p>
      <w:pPr>
        <w:spacing w:after="0" w:line="399" w:lineRule="exact"/>
        <w:rPr>
          <w:sz w:val="20"/>
          <w:szCs w:val="20"/>
          <w:color w:val="auto"/>
        </w:rPr>
      </w:pPr>
    </w:p>
    <w:p>
      <w:pPr>
        <w:ind w:left="2200" w:right="2179"/>
        <w:spacing w:after="0" w:line="246" w:lineRule="auto"/>
        <w:rPr>
          <w:sz w:val="20"/>
          <w:szCs w:val="20"/>
          <w:color w:val="auto"/>
        </w:rPr>
      </w:pPr>
      <w:r>
        <w:rPr>
          <w:rFonts w:ascii="Courier New" w:cs="Courier New" w:eastAsia="Courier New" w:hAnsi="Courier New"/>
          <w:sz w:val="17"/>
          <w:szCs w:val="17"/>
          <w:color w:val="auto"/>
        </w:rPr>
        <w:t>As: Attorney-in-Fact and on behalf of First Allmerica Financial Life Insurance Company as Portfolio Manager</w:t>
      </w:r>
    </w:p>
    <w:p>
      <w:pPr>
        <w:spacing w:after="0" w:line="200" w:lineRule="exact"/>
        <w:rPr>
          <w:sz w:val="20"/>
          <w:szCs w:val="20"/>
          <w:color w:val="auto"/>
        </w:rPr>
      </w:pPr>
    </w:p>
    <w:p>
      <w:pPr>
        <w:spacing w:after="0" w:line="396"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Jonathan D. Sharkey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Jonathan D. Sharkey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Principal</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DELANO COMPANY</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Pacific Investment Management Company,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as its Investment Advisor</w:t>
      </w:r>
    </w:p>
    <w:p>
      <w:pPr>
        <w:spacing w:after="0" w:line="203" w:lineRule="exact"/>
        <w:rPr>
          <w:sz w:val="20"/>
          <w:szCs w:val="20"/>
          <w:color w:val="auto"/>
        </w:rPr>
      </w:pPr>
    </w:p>
    <w:p>
      <w:pPr>
        <w:jc w:val="center"/>
        <w:ind w:right="-20"/>
        <w:spacing w:after="0"/>
        <w:tabs>
          <w:tab w:leader="none" w:pos="180" w:val="left"/>
        </w:tabs>
        <w:rPr>
          <w:sz w:val="20"/>
          <w:szCs w:val="20"/>
          <w:color w:val="auto"/>
        </w:rPr>
      </w:pPr>
      <w:r>
        <w:rPr>
          <w:rFonts w:ascii="Courier New" w:cs="Courier New" w:eastAsia="Courier New" w:hAnsi="Courier New"/>
          <w:sz w:val="17"/>
          <w:szCs w:val="17"/>
          <w:color w:val="auto"/>
        </w:rPr>
        <w:t>By:</w:t>
        <w:tab/>
        <w:t>PIMCO Management Inc., a General Partner</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w:t>
      </w:r>
    </w:p>
    <w:p>
      <w:pPr>
        <w:sectPr>
          <w:pgSz w:w="11900" w:h="16838" w:orient="portrait"/>
          <w:cols w:equalWidth="0" w:num="1">
            <w:col w:w="9019"/>
          </w:cols>
          <w:pgMar w:left="1440" w:top="511" w:right="1440" w:bottom="1440" w:gutter="0" w:footer="0" w:header="0"/>
        </w:sectPr>
      </w:pPr>
    </w:p>
    <w:bookmarkStart w:id="192" w:name="page193"/>
    <w:bookmarkEnd w:id="192"/>
    <w:p>
      <w:pPr>
        <w:ind w:left="2200"/>
        <w:spacing w:after="0"/>
        <w:rPr>
          <w:sz w:val="20"/>
          <w:szCs w:val="20"/>
          <w:color w:val="auto"/>
        </w:rPr>
      </w:pPr>
      <w:r>
        <w:rPr>
          <w:rFonts w:ascii="Courier New" w:cs="Courier New" w:eastAsia="Courier New" w:hAnsi="Courier New"/>
          <w:sz w:val="17"/>
          <w:szCs w:val="17"/>
          <w:color w:val="auto"/>
        </w:rPr>
        <w:t>DRESDNER BANK AG</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Joanna M. Solowski</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Joanna M. Solowski</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Vice President</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John A. Ramelli</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John A. Ramelli</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Vice President</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EATON VANCE CDO II, LTD.</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By: Eaton Vance Management as Investment</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Advisor</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Payson F. Swaffield</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Payson F. Swaffield</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Vice President</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EATON VANCE CDO III, LTD.</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Eaton Vance Management as Investment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Advisor</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Payson F. Swaffield</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Payson F. Swaffield</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Vice President</w:t>
      </w:r>
    </w:p>
    <w:p>
      <w:pPr>
        <w:sectPr>
          <w:pgSz w:w="11900" w:h="16838" w:orient="portrait"/>
          <w:cols w:equalWidth="0" w:num="1">
            <w:col w:w="9019"/>
          </w:cols>
          <w:pgMar w:left="1440" w:top="511" w:right="1440" w:bottom="1440" w:gutter="0" w:footer="0" w:header="0"/>
        </w:sectPr>
      </w:pPr>
    </w:p>
    <w:bookmarkStart w:id="193" w:name="page194"/>
    <w:bookmarkEnd w:id="193"/>
    <w:p>
      <w:pPr>
        <w:ind w:left="2200"/>
        <w:spacing w:after="0"/>
        <w:rPr>
          <w:sz w:val="20"/>
          <w:szCs w:val="20"/>
          <w:color w:val="auto"/>
        </w:rPr>
      </w:pPr>
      <w:r>
        <w:rPr>
          <w:rFonts w:ascii="Courier New" w:cs="Courier New" w:eastAsia="Courier New" w:hAnsi="Courier New"/>
          <w:sz w:val="17"/>
          <w:szCs w:val="17"/>
          <w:color w:val="auto"/>
        </w:rPr>
        <w:t>EATON VANCE INSTITUTIONAL SENIOR LOAN FUND</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By: Eaton Vance Management as Investment</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Advisor</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Payson F. Swaffield</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Payson F. Swaffield</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Vice President</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EATON VANCE SENIOR INCOME TRUST</w:t>
      </w:r>
    </w:p>
    <w:p>
      <w:pPr>
        <w:spacing w:after="0" w:line="203"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Eaton Vance Management as Investment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Advisor</w:t>
      </w:r>
    </w:p>
    <w:p>
      <w:pPr>
        <w:spacing w:after="0" w:line="203"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Payson F. Swaffield</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Payson F. Swaffield</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Vice President</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ELC (CAYMAN) LTD. 1999-III</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Roshan White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Roshan White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Vice President</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ELC (CAYMAN) LTD. 2000-I</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Roshan White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Roshan White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Vice President</w:t>
      </w:r>
    </w:p>
    <w:p>
      <w:pPr>
        <w:sectPr>
          <w:pgSz w:w="11900" w:h="16838" w:orient="portrait"/>
          <w:cols w:equalWidth="0" w:num="1">
            <w:col w:w="9019"/>
          </w:cols>
          <w:pgMar w:left="1440" w:top="512" w:right="1440" w:bottom="1440" w:gutter="0" w:footer="0" w:header="0"/>
        </w:sectPr>
      </w:pPr>
    </w:p>
    <w:bookmarkStart w:id="194" w:name="page195"/>
    <w:bookmarkEnd w:id="194"/>
    <w:p>
      <w:pPr>
        <w:ind w:left="2200"/>
        <w:spacing w:after="0"/>
        <w:rPr>
          <w:sz w:val="20"/>
          <w:szCs w:val="20"/>
          <w:color w:val="auto"/>
        </w:rPr>
      </w:pPr>
      <w:r>
        <w:rPr>
          <w:rFonts w:ascii="Courier New" w:cs="Courier New" w:eastAsia="Courier New" w:hAnsi="Courier New"/>
          <w:sz w:val="17"/>
          <w:szCs w:val="17"/>
          <w:color w:val="auto"/>
        </w:rPr>
        <w:t>ERSTE BANK NEW YORK</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Paul Judicke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Paul Judicke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Vice President Erste Bank New York</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Branch</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John S.Runnion</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John S. Runnion</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Managing Director Erste Bank New</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York Branch</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FIDELITY II: ADVANCED FLOATING RATE HIGH</w:t>
      </w:r>
    </w:p>
    <w:p>
      <w:pPr>
        <w:spacing w:after="0" w:line="5"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INCOME FUND</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By: /s/ John H. Costillo</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John H. Costillo</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Assistant Treasurer</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FIFTH THIRD BANK OF COLUMBUS</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John K. Beanslee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John K. Beanslee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Vice President</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FIRST ALLMERICA FINANCIAL LIFE INSURANCE</w:t>
      </w:r>
    </w:p>
    <w:p>
      <w:pPr>
        <w:spacing w:after="0" w:line="5"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COMPANY</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w:t>
      </w:r>
    </w:p>
    <w:p>
      <w:pPr>
        <w:sectPr>
          <w:pgSz w:w="11900" w:h="16838" w:orient="portrait"/>
          <w:cols w:equalWidth="0" w:num="1">
            <w:col w:w="9019"/>
          </w:cols>
          <w:pgMar w:left="1440" w:top="511" w:right="1440" w:bottom="1440" w:gutter="0" w:footer="0" w:header="0"/>
        </w:sectPr>
      </w:pPr>
    </w:p>
    <w:bookmarkStart w:id="195" w:name="page196"/>
    <w:bookmarkEnd w:id="195"/>
    <w:p>
      <w:pPr>
        <w:ind w:left="2200"/>
        <w:spacing w:after="0"/>
        <w:rPr>
          <w:sz w:val="20"/>
          <w:szCs w:val="20"/>
          <w:color w:val="auto"/>
        </w:rPr>
      </w:pPr>
      <w:r>
        <w:rPr>
          <w:rFonts w:ascii="Courier New" w:cs="Courier New" w:eastAsia="Courier New" w:hAnsi="Courier New"/>
          <w:sz w:val="17"/>
          <w:szCs w:val="17"/>
          <w:color w:val="auto"/>
        </w:rPr>
        <w:t>FIRST UNION NATIONAL BANK</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800" w:val="left"/>
        </w:tabs>
        <w:rPr>
          <w:sz w:val="20"/>
          <w:szCs w:val="20"/>
          <w:color w:val="auto"/>
        </w:rPr>
      </w:pPr>
      <w:r>
        <w:rPr>
          <w:rFonts w:ascii="Courier New" w:cs="Courier New" w:eastAsia="Courier New" w:hAnsi="Courier New"/>
          <w:sz w:val="17"/>
          <w:szCs w:val="17"/>
          <w:color w:val="auto"/>
        </w:rPr>
        <w:t>By:</w:t>
        <w:tab/>
        <w:t>/s/ David J. C. Silander</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David J. C. Silander</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Vice President</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FIRSTAR BANK, N.A.</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R. H. Friend</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R. H. Friend</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Vice President</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FLAGSHIP CAPITAL</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FLEET NATIONAL BANK</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800" w:val="left"/>
        </w:tabs>
        <w:rPr>
          <w:sz w:val="20"/>
          <w:szCs w:val="20"/>
          <w:color w:val="auto"/>
        </w:rPr>
      </w:pPr>
      <w:r>
        <w:rPr>
          <w:rFonts w:ascii="Courier New" w:cs="Courier New" w:eastAsia="Courier New" w:hAnsi="Courier New"/>
          <w:sz w:val="17"/>
          <w:szCs w:val="17"/>
          <w:color w:val="auto"/>
        </w:rPr>
        <w:t>By:</w:t>
        <w:tab/>
        <w:t>/s/ Mario F. Teixeira</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Mario F. Teixeira</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Vice President</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FORTIS PROJECT FINANCE LIMITED</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Euan Lynes</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Euan Lynes</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Director</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Peter Hanratty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Peter Hnaratty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Authorized Signatory</w:t>
      </w:r>
    </w:p>
    <w:p>
      <w:pPr>
        <w:sectPr>
          <w:pgSz w:w="11900" w:h="16838" w:orient="portrait"/>
          <w:cols w:equalWidth="0" w:num="1">
            <w:col w:w="9019"/>
          </w:cols>
          <w:pgMar w:left="1440" w:top="511" w:right="1440" w:bottom="1440" w:gutter="0" w:footer="0" w:header="0"/>
        </w:sectPr>
      </w:pPr>
    </w:p>
    <w:bookmarkStart w:id="196" w:name="page197"/>
    <w:bookmarkEnd w:id="196"/>
    <w:p>
      <w:pPr>
        <w:ind w:left="2200"/>
        <w:spacing w:after="0"/>
        <w:rPr>
          <w:sz w:val="20"/>
          <w:szCs w:val="20"/>
          <w:color w:val="auto"/>
        </w:rPr>
      </w:pPr>
      <w:r>
        <w:rPr>
          <w:rFonts w:ascii="Courier New" w:cs="Courier New" w:eastAsia="Courier New" w:hAnsi="Courier New"/>
          <w:sz w:val="17"/>
          <w:szCs w:val="17"/>
          <w:color w:val="auto"/>
        </w:rPr>
        <w:t>FRANKLIN CLO I, LIMITED</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FRANKLIN FLOATING RATE MASTER SERIES</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Chauncey Lufkin</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Chauncey Lufkin</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Vice President</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FREMONT INVESTMENT &amp; LOAN</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Kannika Viravan</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Kannika Viravan</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Vice President</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THE FUJI BANK, LIMITED</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Nobuoki Koike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Nobuoki Koike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Senior Vice President</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GENERAL ELECTRIC CAPITAL CORPORATION</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Robert M. Kadlick</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Robert M. Kadlick</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Duly Authorized Signatory</w:t>
      </w:r>
    </w:p>
    <w:p>
      <w:pPr>
        <w:sectPr>
          <w:pgSz w:w="11900" w:h="16838" w:orient="portrait"/>
          <w:cols w:equalWidth="0" w:num="1">
            <w:col w:w="9019"/>
          </w:cols>
          <w:pgMar w:left="1440" w:top="907" w:right="1440" w:bottom="1440" w:gutter="0" w:footer="0" w:header="0"/>
        </w:sectPr>
      </w:pPr>
    </w:p>
    <w:bookmarkStart w:id="197" w:name="page198"/>
    <w:bookmarkEnd w:id="197"/>
    <w:p>
      <w:pPr>
        <w:ind w:left="2200"/>
        <w:spacing w:after="0"/>
        <w:rPr>
          <w:sz w:val="20"/>
          <w:szCs w:val="20"/>
          <w:color w:val="auto"/>
        </w:rPr>
      </w:pPr>
      <w:r>
        <w:rPr>
          <w:rFonts w:ascii="Courier New" w:cs="Courier New" w:eastAsia="Courier New" w:hAnsi="Courier New"/>
          <w:sz w:val="17"/>
          <w:szCs w:val="17"/>
          <w:color w:val="auto"/>
        </w:rPr>
        <w:t>GRAYSON &amp; CO.</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By: Boston Management and Research as</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Investment Advisor</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Payson F. Swaffield</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Payson F. Swaffield</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Vice President</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GREAT POINT CLO 1999-1 LTD.</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By: Sankaty Advisors, LLC as Collateral Manager</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Diane J. Exter</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Diane J. Exter</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Managing Director Portfolio Manager</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HARRIS TRUST AND SAVINGS BANK</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Christopher Fisher</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Christopher Fisher</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Vice President</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HELLER FINANCIAL INC.</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THE HUNTINGTON NATIONAL BANK</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Mark A. Koscielski</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Mark A. Koscielski</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Vice President</w:t>
      </w:r>
    </w:p>
    <w:p>
      <w:pPr>
        <w:sectPr>
          <w:pgSz w:w="11900" w:h="16838" w:orient="portrait"/>
          <w:cols w:equalWidth="0" w:num="1">
            <w:col w:w="9019"/>
          </w:cols>
          <w:pgMar w:left="1440" w:top="511" w:right="1440" w:bottom="1440" w:gutter="0" w:footer="0" w:header="0"/>
        </w:sectPr>
      </w:pPr>
    </w:p>
    <w:bookmarkStart w:id="198" w:name="page199"/>
    <w:bookmarkEnd w:id="198"/>
    <w:p>
      <w:pPr>
        <w:ind w:left="2200"/>
        <w:spacing w:after="0"/>
        <w:rPr>
          <w:sz w:val="20"/>
          <w:szCs w:val="20"/>
          <w:color w:val="auto"/>
        </w:rPr>
      </w:pPr>
      <w:r>
        <w:rPr>
          <w:rFonts w:ascii="Courier New" w:cs="Courier New" w:eastAsia="Courier New" w:hAnsi="Courier New"/>
          <w:sz w:val="17"/>
          <w:szCs w:val="17"/>
          <w:color w:val="auto"/>
        </w:rPr>
        <w:t>IKB DEUTSCHE INDUSTRIEBANK FG LUXEMBOURG BRANCH</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Manfred Ziwey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Manfred Ziwey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Director</w:t>
      </w:r>
    </w:p>
    <w:p>
      <w:pPr>
        <w:spacing w:after="0" w:line="200" w:lineRule="exact"/>
        <w:rPr>
          <w:sz w:val="20"/>
          <w:szCs w:val="20"/>
          <w:color w:val="auto"/>
        </w:rPr>
      </w:pPr>
    </w:p>
    <w:p>
      <w:pPr>
        <w:spacing w:after="0" w:line="399"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7"/>
          <w:szCs w:val="17"/>
          <w:color w:val="auto"/>
        </w:rPr>
        <w:t>IKB DEUTSCHE INDUSTRIEBANK AG LONDON BRANCH</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Manfred Ziwey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Manfred Ziwey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Director</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INDOSUEZ CAPITAL FUNDING VI, LTD.</w:t>
      </w:r>
    </w:p>
    <w:p>
      <w:pPr>
        <w:spacing w:after="0" w:line="200" w:lineRule="exact"/>
        <w:rPr>
          <w:sz w:val="20"/>
          <w:szCs w:val="20"/>
          <w:color w:val="auto"/>
        </w:rPr>
      </w:pPr>
    </w:p>
    <w:p>
      <w:pPr>
        <w:spacing w:after="0" w:line="399" w:lineRule="exact"/>
        <w:rPr>
          <w:sz w:val="20"/>
          <w:szCs w:val="20"/>
          <w:color w:val="auto"/>
        </w:rPr>
      </w:pPr>
    </w:p>
    <w:p>
      <w:pPr>
        <w:ind w:left="2620" w:right="2279" w:hanging="419"/>
        <w:spacing w:after="0" w:line="247" w:lineRule="auto"/>
        <w:tabs>
          <w:tab w:leader="none" w:pos="2600" w:val="left"/>
        </w:tabs>
        <w:rPr>
          <w:sz w:val="20"/>
          <w:szCs w:val="20"/>
          <w:color w:val="auto"/>
        </w:rPr>
      </w:pPr>
      <w:r>
        <w:rPr>
          <w:rFonts w:ascii="Courier New" w:cs="Courier New" w:eastAsia="Courier New" w:hAnsi="Courier New"/>
          <w:sz w:val="17"/>
          <w:szCs w:val="17"/>
          <w:color w:val="auto"/>
        </w:rPr>
        <w:t>By:</w:t>
        <w:tab/>
        <w:t>Indosuez Capital Luxembourg as Portfolio Advisor</w:t>
      </w:r>
    </w:p>
    <w:p>
      <w:pPr>
        <w:spacing w:after="0" w:line="200" w:lineRule="exact"/>
        <w:rPr>
          <w:sz w:val="20"/>
          <w:szCs w:val="20"/>
          <w:color w:val="auto"/>
        </w:rPr>
      </w:pPr>
    </w:p>
    <w:p>
      <w:pPr>
        <w:spacing w:after="0" w:line="394"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Jack Henry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Jack Henry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Vice President &amp; Portfolio Manager</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JISSEKIKUN FUNDING, LTD.</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KZH CNC LLC</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Anthony Iarubino</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Anthony Iarubino</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VP</w:t>
      </w:r>
    </w:p>
    <w:p>
      <w:pPr>
        <w:sectPr>
          <w:pgSz w:w="11900" w:h="16838" w:orient="portrait"/>
          <w:cols w:equalWidth="0" w:num="1">
            <w:col w:w="9019"/>
          </w:cols>
          <w:pgMar w:left="1440" w:top="907" w:right="1440" w:bottom="1440" w:gutter="0" w:footer="0" w:header="0"/>
        </w:sectPr>
      </w:pPr>
    </w:p>
    <w:bookmarkStart w:id="199" w:name="page200"/>
    <w:bookmarkEnd w:id="199"/>
    <w:p>
      <w:pPr>
        <w:ind w:left="2200"/>
        <w:spacing w:after="0"/>
        <w:rPr>
          <w:sz w:val="20"/>
          <w:szCs w:val="20"/>
          <w:color w:val="auto"/>
        </w:rPr>
      </w:pPr>
      <w:r>
        <w:rPr>
          <w:rFonts w:ascii="Courier New" w:cs="Courier New" w:eastAsia="Courier New" w:hAnsi="Courier New"/>
          <w:sz w:val="17"/>
          <w:szCs w:val="17"/>
          <w:color w:val="auto"/>
        </w:rPr>
        <w:t>KZH CRESCENT 3 LLC</w:t>
      </w:r>
    </w:p>
    <w:p>
      <w:pPr>
        <w:spacing w:after="0" w:line="5"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KZH CYPRESSTREE-1 LLC</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Anthony Iarubino</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Anthony Iarubino</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VP</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KZH HIGHLAND-2 LLC</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KZH LANGDALE LLC</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Anthony Iarubino</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Anthony Iarubino</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VP</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KZH RIVERSIDE LLC</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Anthony Iarubino</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Anthony Iarubino</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VP</w:t>
      </w:r>
    </w:p>
    <w:p>
      <w:pPr>
        <w:sectPr>
          <w:pgSz w:w="11900" w:h="16838" w:orient="portrait"/>
          <w:cols w:equalWidth="0" w:num="1">
            <w:col w:w="9019"/>
          </w:cols>
          <w:pgMar w:left="1440" w:top="512" w:right="1440" w:bottom="1440" w:gutter="0" w:footer="0" w:header="0"/>
        </w:sectPr>
      </w:pPr>
    </w:p>
    <w:bookmarkStart w:id="200" w:name="page201"/>
    <w:bookmarkEnd w:id="200"/>
    <w:p>
      <w:pPr>
        <w:ind w:left="2200"/>
        <w:spacing w:after="0"/>
        <w:rPr>
          <w:sz w:val="20"/>
          <w:szCs w:val="20"/>
          <w:color w:val="auto"/>
        </w:rPr>
      </w:pPr>
      <w:r>
        <w:rPr>
          <w:rFonts w:ascii="Courier New" w:cs="Courier New" w:eastAsia="Courier New" w:hAnsi="Courier New"/>
          <w:sz w:val="17"/>
          <w:szCs w:val="17"/>
          <w:color w:val="auto"/>
        </w:rPr>
        <w:t>KZH SOLEIL-2 LLC</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KZH STERLING LLC</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Anthony Iarubino</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Anthony Iarubino</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VP</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KZH WATERSIDE LLC</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Anthony Iarubino</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Anthony Iarubino</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VP</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KEY BANK NATIONAL ASSOCIATION</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LANDESBANK RHEINLAND-PFALTZ</w:t>
      </w:r>
    </w:p>
    <w:p>
      <w:pPr>
        <w:spacing w:after="0" w:line="5"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GIROZENTRALE</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Stefan Gilsdorf</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Stefan Gilsdorf</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SVP</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Anne-Marie Theobald</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Anne-Marie Theobald</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Manager</w:t>
      </w:r>
    </w:p>
    <w:p>
      <w:pPr>
        <w:sectPr>
          <w:pgSz w:w="11900" w:h="16838" w:orient="portrait"/>
          <w:cols w:equalWidth="0" w:num="1">
            <w:col w:w="9019"/>
          </w:cols>
          <w:pgMar w:left="1440" w:top="511" w:right="1440" w:bottom="1440" w:gutter="0" w:footer="0" w:header="0"/>
        </w:sectPr>
      </w:pPr>
    </w:p>
    <w:bookmarkStart w:id="201" w:name="page202"/>
    <w:bookmarkEnd w:id="201"/>
    <w:p>
      <w:pPr>
        <w:ind w:left="2200"/>
        <w:spacing w:after="0"/>
        <w:rPr>
          <w:sz w:val="20"/>
          <w:szCs w:val="20"/>
          <w:color w:val="auto"/>
        </w:rPr>
      </w:pPr>
      <w:r>
        <w:rPr>
          <w:rFonts w:ascii="Courier New" w:cs="Courier New" w:eastAsia="Courier New" w:hAnsi="Courier New"/>
          <w:sz w:val="17"/>
          <w:szCs w:val="17"/>
          <w:color w:val="auto"/>
        </w:rPr>
        <w:t>LIBERTY-STEIN ROE ADVANCED FLOATING</w:t>
      </w:r>
    </w:p>
    <w:p>
      <w:pPr>
        <w:spacing w:after="0" w:line="5"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RATE ADVANTAGE FUND</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By: Stein Roe &amp; Farnham Incorporated, as</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Advisor</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James R. Fellows</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James R. Fellows</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Sr. Vice President &amp;</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Portfolio Manager</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ML CLO XII PILGRIM AMERICA (CAYMAN)</w:t>
      </w:r>
    </w:p>
    <w:p>
      <w:pPr>
        <w:spacing w:after="0" w:line="203"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ING Pilgrim Investments, as its</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Investment Manager</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Brian Horton</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Brian Horton</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Vice President</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ML CLO XX PILGRIM AMERICA (CAYMAN)</w:t>
      </w:r>
    </w:p>
    <w:p>
      <w:pPr>
        <w:spacing w:after="0" w:line="203" w:lineRule="exact"/>
        <w:rPr>
          <w:sz w:val="20"/>
          <w:szCs w:val="20"/>
          <w:color w:val="auto"/>
        </w:rPr>
      </w:pPr>
    </w:p>
    <w:p>
      <w:pPr>
        <w:ind w:left="2720" w:right="1979" w:hanging="519"/>
        <w:spacing w:after="0" w:line="247" w:lineRule="auto"/>
        <w:tabs>
          <w:tab w:leader="none" w:pos="2700" w:val="left"/>
        </w:tabs>
        <w:rPr>
          <w:sz w:val="20"/>
          <w:szCs w:val="20"/>
          <w:color w:val="auto"/>
        </w:rPr>
      </w:pPr>
      <w:r>
        <w:rPr>
          <w:rFonts w:ascii="Courier New" w:cs="Courier New" w:eastAsia="Courier New" w:hAnsi="Courier New"/>
          <w:sz w:val="17"/>
          <w:szCs w:val="17"/>
          <w:color w:val="auto"/>
        </w:rPr>
        <w:t>By:</w:t>
        <w:tab/>
        <w:t>ING Pilgrim Investments, as its Investment Manager</w:t>
      </w:r>
    </w:p>
    <w:p>
      <w:pPr>
        <w:spacing w:after="0" w:line="200" w:lineRule="exact"/>
        <w:rPr>
          <w:sz w:val="20"/>
          <w:szCs w:val="20"/>
          <w:color w:val="auto"/>
        </w:rPr>
      </w:pPr>
    </w:p>
    <w:p>
      <w:pPr>
        <w:spacing w:after="0" w:line="394"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Brian Horton</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Brian Horton</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Vice President</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MADISON AVENUE CDO I LTD.</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By: Metropolitan Life Insurance Company as</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Collateral Manager</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James R. Dingler</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James R. Dingler</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Director</w:t>
      </w:r>
    </w:p>
    <w:p>
      <w:pPr>
        <w:sectPr>
          <w:pgSz w:w="11900" w:h="16838" w:orient="portrait"/>
          <w:cols w:equalWidth="0" w:num="1">
            <w:col w:w="9019"/>
          </w:cols>
          <w:pgMar w:left="1440" w:top="511" w:right="1440" w:bottom="1440" w:gutter="0" w:footer="0" w:header="0"/>
        </w:sectPr>
      </w:pPr>
    </w:p>
    <w:bookmarkStart w:id="202" w:name="page203"/>
    <w:bookmarkEnd w:id="202"/>
    <w:p>
      <w:pPr>
        <w:ind w:left="2200"/>
        <w:spacing w:after="0"/>
        <w:rPr>
          <w:sz w:val="20"/>
          <w:szCs w:val="20"/>
          <w:color w:val="auto"/>
        </w:rPr>
      </w:pPr>
      <w:r>
        <w:rPr>
          <w:rFonts w:ascii="Courier New" w:cs="Courier New" w:eastAsia="Courier New" w:hAnsi="Courier New"/>
          <w:sz w:val="17"/>
          <w:szCs w:val="17"/>
          <w:color w:val="auto"/>
        </w:rPr>
        <w:t>MAPLEWOOD (CAYMAN) LIMITED</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By: David L. Babson &amp; Company Inc. under</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delegated authority from Massachusetts</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Mutual Life Insurance Company as</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Investment Manager</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Mary S. Law</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Mary S. Law</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Managing Director</w:t>
      </w:r>
    </w:p>
    <w:p>
      <w:pPr>
        <w:spacing w:after="0" w:line="200" w:lineRule="exact"/>
        <w:rPr>
          <w:sz w:val="20"/>
          <w:szCs w:val="20"/>
          <w:color w:val="auto"/>
        </w:rPr>
      </w:pPr>
    </w:p>
    <w:p>
      <w:pPr>
        <w:spacing w:after="0" w:line="399"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7"/>
          <w:szCs w:val="17"/>
          <w:color w:val="auto"/>
        </w:rPr>
        <w:t>MASSACHUSETTS MUTUAL LIFE INSURANCE COMPANY</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By: David L. Babson &amp; Company Inc. as</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Investment Adviser</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Mary S. Law</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Mary S. Law</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Managing Director</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METROPOLITAN LIFE INSURANCE COMPANY</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James R. Dingler</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James R. Dingler</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Director</w:t>
      </w: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7"/>
          <w:szCs w:val="17"/>
          <w:color w:val="auto"/>
        </w:rPr>
        <w:t>MORGAN STANLEY DEAN WITTER PRIME INCOME TRUST</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w:t>
      </w:r>
    </w:p>
    <w:p>
      <w:pPr>
        <w:sectPr>
          <w:pgSz w:w="11900" w:h="16838" w:orient="portrait"/>
          <w:cols w:equalWidth="0" w:num="1">
            <w:col w:w="9019"/>
          </w:cols>
          <w:pgMar w:left="1440" w:top="511" w:right="1440" w:bottom="1440" w:gutter="0" w:footer="0" w:header="0"/>
        </w:sectPr>
      </w:pPr>
    </w:p>
    <w:bookmarkStart w:id="203" w:name="page204"/>
    <w:bookmarkEnd w:id="203"/>
    <w:p>
      <w:pPr>
        <w:ind w:left="2200"/>
        <w:spacing w:after="0"/>
        <w:rPr>
          <w:sz w:val="20"/>
          <w:szCs w:val="20"/>
          <w:color w:val="auto"/>
        </w:rPr>
      </w:pPr>
      <w:r>
        <w:rPr>
          <w:rFonts w:ascii="Courier New" w:cs="Courier New" w:eastAsia="Courier New" w:hAnsi="Courier New"/>
          <w:sz w:val="17"/>
          <w:szCs w:val="17"/>
          <w:color w:val="auto"/>
        </w:rPr>
        <w:t>MOUNTAIN CAPITAL CLO I, LTD.</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NBD BANK</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NATEXIS BANQUE POPULAIRES</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Frank H. Madden Jr.</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Frank H. Madden Jr.</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Vice President &amp; Group Manager</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Christian Giordano</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Christian Giordano</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Vice President</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NATIONAL CITY BANK</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Anthony F. Salvatore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Anthony F. Salvatore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Senior Vice President</w:t>
      </w:r>
    </w:p>
    <w:p>
      <w:pPr>
        <w:sectPr>
          <w:pgSz w:w="11900" w:h="16838" w:orient="portrait"/>
          <w:cols w:equalWidth="0" w:num="1">
            <w:col w:w="9019"/>
          </w:cols>
          <w:pgMar w:left="1440" w:top="512" w:right="1440" w:bottom="1440" w:gutter="0" w:footer="0" w:header="0"/>
        </w:sectPr>
      </w:pPr>
    </w:p>
    <w:bookmarkStart w:id="204" w:name="page205"/>
    <w:bookmarkEnd w:id="204"/>
    <w:p>
      <w:pPr>
        <w:ind w:left="2200"/>
        <w:spacing w:after="0"/>
        <w:rPr>
          <w:sz w:val="20"/>
          <w:szCs w:val="20"/>
          <w:color w:val="auto"/>
        </w:rPr>
      </w:pPr>
      <w:r>
        <w:rPr>
          <w:rFonts w:ascii="Courier New" w:cs="Courier New" w:eastAsia="Courier New" w:hAnsi="Courier New"/>
          <w:sz w:val="17"/>
          <w:szCs w:val="17"/>
          <w:color w:val="auto"/>
        </w:rPr>
        <w:t>NEMEAN CLO. LTD.</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By: ING Capital Advisors LLC, as Investment</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Manager</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Mark M. O'Shaughnessy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Mark M. O'Shaughnessy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Vice President</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NORTH AMERICAN SENIOR FLOATING RATE FUND</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NUVEEN SENIOR INCOME FUND</w:t>
      </w:r>
    </w:p>
    <w:p>
      <w:pPr>
        <w:spacing w:after="0" w:line="203"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Nuveen Senior Loan Asset Management Inc.</w:t>
      </w:r>
    </w:p>
    <w:p>
      <w:pPr>
        <w:spacing w:after="0" w:line="203"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OASIS COLLATERALIZED HIGH INCOME</w:t>
      </w:r>
    </w:p>
    <w:p>
      <w:pPr>
        <w:spacing w:after="0" w:line="5"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PORTFOLIO-1 LTD.</w:t>
      </w:r>
    </w:p>
    <w:p>
      <w:pPr>
        <w:spacing w:after="0" w:line="200" w:lineRule="exact"/>
        <w:rPr>
          <w:sz w:val="20"/>
          <w:szCs w:val="20"/>
          <w:color w:val="auto"/>
        </w:rPr>
      </w:pPr>
    </w:p>
    <w:p>
      <w:pPr>
        <w:spacing w:after="0" w:line="399" w:lineRule="exact"/>
        <w:rPr>
          <w:sz w:val="20"/>
          <w:szCs w:val="20"/>
          <w:color w:val="auto"/>
        </w:rPr>
      </w:pPr>
    </w:p>
    <w:p>
      <w:pPr>
        <w:ind w:left="2200" w:right="2079"/>
        <w:spacing w:after="0" w:line="247" w:lineRule="auto"/>
        <w:rPr>
          <w:sz w:val="20"/>
          <w:szCs w:val="20"/>
          <w:color w:val="auto"/>
        </w:rPr>
      </w:pPr>
      <w:r>
        <w:rPr>
          <w:rFonts w:ascii="Courier New" w:cs="Courier New" w:eastAsia="Courier New" w:hAnsi="Courier New"/>
          <w:sz w:val="17"/>
          <w:szCs w:val="17"/>
          <w:color w:val="auto"/>
        </w:rPr>
        <w:t>By: INVESCO Senior Secured Management, Inc. As Subadvisor</w:t>
      </w:r>
    </w:p>
    <w:p>
      <w:pPr>
        <w:spacing w:after="0" w:line="200" w:lineRule="exact"/>
        <w:rPr>
          <w:sz w:val="20"/>
          <w:szCs w:val="20"/>
          <w:color w:val="auto"/>
        </w:rPr>
      </w:pPr>
    </w:p>
    <w:p>
      <w:pPr>
        <w:spacing w:after="0" w:line="394"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Thomas H. B. Ewald</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Thomas H. B. Ewald</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Authorized Signatory</w:t>
      </w:r>
    </w:p>
    <w:p>
      <w:pPr>
        <w:sectPr>
          <w:pgSz w:w="11900" w:h="16838" w:orient="portrait"/>
          <w:cols w:equalWidth="0" w:num="1">
            <w:col w:w="9019"/>
          </w:cols>
          <w:pgMar w:left="1440" w:top="512" w:right="1440" w:bottom="1440" w:gutter="0" w:footer="0" w:header="0"/>
        </w:sectPr>
      </w:pPr>
    </w:p>
    <w:bookmarkStart w:id="205" w:name="page206"/>
    <w:bookmarkEnd w:id="205"/>
    <w:p>
      <w:pPr>
        <w:ind w:left="2200"/>
        <w:spacing w:after="0"/>
        <w:rPr>
          <w:sz w:val="20"/>
          <w:szCs w:val="20"/>
          <w:color w:val="auto"/>
        </w:rPr>
      </w:pPr>
      <w:r>
        <w:rPr>
          <w:rFonts w:ascii="Courier New" w:cs="Courier New" w:eastAsia="Courier New" w:hAnsi="Courier New"/>
          <w:sz w:val="17"/>
          <w:szCs w:val="17"/>
          <w:color w:val="auto"/>
        </w:rPr>
        <w:t>OCTAGON INVESTMENT PARTNERS III, LTD.</w:t>
      </w:r>
    </w:p>
    <w:p>
      <w:pPr>
        <w:spacing w:after="0" w:line="200" w:lineRule="exact"/>
        <w:rPr>
          <w:sz w:val="20"/>
          <w:szCs w:val="20"/>
          <w:color w:val="auto"/>
        </w:rPr>
      </w:pPr>
    </w:p>
    <w:p>
      <w:pPr>
        <w:spacing w:after="0" w:line="399" w:lineRule="exact"/>
        <w:rPr>
          <w:sz w:val="20"/>
          <w:szCs w:val="20"/>
          <w:color w:val="auto"/>
        </w:rPr>
      </w:pPr>
    </w:p>
    <w:p>
      <w:pPr>
        <w:ind w:left="2720" w:right="2079" w:hanging="514"/>
        <w:spacing w:after="0" w:line="247" w:lineRule="auto"/>
        <w:rPr>
          <w:sz w:val="20"/>
          <w:szCs w:val="20"/>
          <w:color w:val="auto"/>
        </w:rPr>
      </w:pPr>
      <w:r>
        <w:rPr>
          <w:rFonts w:ascii="Courier New" w:cs="Courier New" w:eastAsia="Courier New" w:hAnsi="Courier New"/>
          <w:sz w:val="17"/>
          <w:szCs w:val="17"/>
          <w:color w:val="auto"/>
        </w:rPr>
        <w:t>By: Octagon Credit Investors, LLC as Portfolio Manager</w:t>
      </w:r>
    </w:p>
    <w:p>
      <w:pPr>
        <w:spacing w:after="0" w:line="200" w:lineRule="exact"/>
        <w:rPr>
          <w:sz w:val="20"/>
          <w:szCs w:val="20"/>
          <w:color w:val="auto"/>
        </w:rPr>
      </w:pPr>
    </w:p>
    <w:p>
      <w:pPr>
        <w:spacing w:after="0" w:line="394"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Andrew D. Gordon</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Andrew D. Gordon</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Portfolio Manager</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OCTAGON INVESTMENT PARTNERS IV, LTD.</w:t>
      </w:r>
    </w:p>
    <w:p>
      <w:pPr>
        <w:spacing w:after="0" w:line="200" w:lineRule="exact"/>
        <w:rPr>
          <w:sz w:val="20"/>
          <w:szCs w:val="20"/>
          <w:color w:val="auto"/>
        </w:rPr>
      </w:pPr>
    </w:p>
    <w:p>
      <w:pPr>
        <w:spacing w:after="0" w:line="399" w:lineRule="exact"/>
        <w:rPr>
          <w:sz w:val="20"/>
          <w:szCs w:val="20"/>
          <w:color w:val="auto"/>
        </w:rPr>
      </w:pPr>
    </w:p>
    <w:p>
      <w:pPr>
        <w:ind w:left="2720" w:right="1979" w:hanging="514"/>
        <w:spacing w:after="0" w:line="247" w:lineRule="auto"/>
        <w:rPr>
          <w:sz w:val="20"/>
          <w:szCs w:val="20"/>
          <w:color w:val="auto"/>
        </w:rPr>
      </w:pPr>
      <w:r>
        <w:rPr>
          <w:rFonts w:ascii="Courier New" w:cs="Courier New" w:eastAsia="Courier New" w:hAnsi="Courier New"/>
          <w:sz w:val="17"/>
          <w:szCs w:val="17"/>
          <w:color w:val="auto"/>
        </w:rPr>
        <w:t>By: Octagon Credit Investors, LLC as Collateral Manager</w:t>
      </w:r>
    </w:p>
    <w:p>
      <w:pPr>
        <w:spacing w:after="0" w:line="200" w:lineRule="exact"/>
        <w:rPr>
          <w:sz w:val="20"/>
          <w:szCs w:val="20"/>
          <w:color w:val="auto"/>
        </w:rPr>
      </w:pPr>
    </w:p>
    <w:p>
      <w:pPr>
        <w:spacing w:after="0" w:line="394"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Andrew D. Gordon</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Andrew D. Gordon</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Portfolio Manager</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OLYMPIC FUNDING TRUST, SERIES 1999-1</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Ann E. Morris</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Ann E. Morris</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Authorized Agent</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OSPREY INVESTMENTS PORTFOLIO</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w:t>
      </w:r>
    </w:p>
    <w:p>
      <w:pPr>
        <w:sectPr>
          <w:pgSz w:w="11900" w:h="16838" w:orient="portrait"/>
          <w:cols w:equalWidth="0" w:num="1">
            <w:col w:w="9019"/>
          </w:cols>
          <w:pgMar w:left="1440" w:top="511" w:right="1440" w:bottom="1440" w:gutter="0" w:footer="0" w:header="0"/>
        </w:sectPr>
      </w:pPr>
    </w:p>
    <w:bookmarkStart w:id="206" w:name="page207"/>
    <w:bookmarkEnd w:id="206"/>
    <w:p>
      <w:pPr>
        <w:ind w:left="2200"/>
        <w:spacing w:after="0"/>
        <w:rPr>
          <w:sz w:val="20"/>
          <w:szCs w:val="20"/>
          <w:color w:val="auto"/>
        </w:rPr>
      </w:pPr>
      <w:r>
        <w:rPr>
          <w:rFonts w:ascii="Courier New" w:cs="Courier New" w:eastAsia="Courier New" w:hAnsi="Courier New"/>
          <w:sz w:val="17"/>
          <w:szCs w:val="17"/>
          <w:color w:val="auto"/>
        </w:rPr>
        <w:t>OXFORD STRATEGIC INCOME FUND</w:t>
      </w:r>
    </w:p>
    <w:p>
      <w:pPr>
        <w:spacing w:after="0" w:line="203"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By: Eaton Vance Management as Investment</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Advisor</w:t>
      </w:r>
    </w:p>
    <w:p>
      <w:pPr>
        <w:spacing w:after="0" w:line="200" w:lineRule="exact"/>
        <w:rPr>
          <w:sz w:val="20"/>
          <w:szCs w:val="20"/>
          <w:color w:val="auto"/>
        </w:rPr>
      </w:pPr>
    </w:p>
    <w:p>
      <w:pPr>
        <w:spacing w:after="0" w:line="201"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By: /s/ Payson F. Swaffield</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Payson F. Swaffield</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Vice President</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PILGRIM SENIOR INCOME FUND</w:t>
      </w:r>
    </w:p>
    <w:p>
      <w:pPr>
        <w:spacing w:after="0" w:line="200" w:lineRule="exact"/>
        <w:rPr>
          <w:sz w:val="20"/>
          <w:szCs w:val="20"/>
          <w:color w:val="auto"/>
        </w:rPr>
      </w:pPr>
    </w:p>
    <w:p>
      <w:pPr>
        <w:spacing w:after="0" w:line="399" w:lineRule="exact"/>
        <w:rPr>
          <w:sz w:val="20"/>
          <w:szCs w:val="20"/>
          <w:color w:val="auto"/>
        </w:rPr>
      </w:pPr>
    </w:p>
    <w:p>
      <w:pPr>
        <w:ind w:left="2720" w:right="2079" w:hanging="514"/>
        <w:spacing w:after="0" w:line="247" w:lineRule="auto"/>
        <w:rPr>
          <w:sz w:val="20"/>
          <w:szCs w:val="20"/>
          <w:color w:val="auto"/>
        </w:rPr>
      </w:pPr>
      <w:r>
        <w:rPr>
          <w:rFonts w:ascii="Courier New" w:cs="Courier New" w:eastAsia="Courier New" w:hAnsi="Courier New"/>
          <w:sz w:val="17"/>
          <w:szCs w:val="17"/>
          <w:color w:val="auto"/>
        </w:rPr>
        <w:t>By: ING Pilgrim Investments, as its Investment Manager</w:t>
      </w:r>
    </w:p>
    <w:p>
      <w:pPr>
        <w:spacing w:after="0" w:line="200" w:lineRule="exact"/>
        <w:rPr>
          <w:sz w:val="20"/>
          <w:szCs w:val="20"/>
          <w:color w:val="auto"/>
        </w:rPr>
      </w:pPr>
    </w:p>
    <w:p>
      <w:pPr>
        <w:spacing w:after="0" w:line="394"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Brian Horton</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Brian Horton</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Vice President</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PINEHURST TRADING, INC.</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Ann E. Morris</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Ann E. Morris</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Asst. Vice President</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PPM SPYGLASS FUNDING TRUST</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Ann E. Morris</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Ann E. Morris</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Authorized Agent</w:t>
      </w:r>
    </w:p>
    <w:p>
      <w:pPr>
        <w:sectPr>
          <w:pgSz w:w="11900" w:h="16838" w:orient="portrait"/>
          <w:cols w:equalWidth="0" w:num="1">
            <w:col w:w="9019"/>
          </w:cols>
          <w:pgMar w:left="1440" w:top="511" w:right="1440" w:bottom="1440" w:gutter="0" w:footer="0" w:header="0"/>
        </w:sectPr>
      </w:pPr>
    </w:p>
    <w:bookmarkStart w:id="207" w:name="page208"/>
    <w:bookmarkEnd w:id="207"/>
    <w:p>
      <w:pPr>
        <w:jc w:val="center"/>
        <w:ind w:right="199"/>
        <w:spacing w:after="0"/>
        <w:rPr>
          <w:sz w:val="20"/>
          <w:szCs w:val="20"/>
          <w:color w:val="auto"/>
        </w:rPr>
      </w:pPr>
      <w:r>
        <w:rPr>
          <w:rFonts w:ascii="Courier New" w:cs="Courier New" w:eastAsia="Courier New" w:hAnsi="Courier New"/>
          <w:sz w:val="17"/>
          <w:szCs w:val="17"/>
          <w:color w:val="auto"/>
        </w:rPr>
        <w:t>THE PRUDENTIAL INSURANCE COMPANY OF AMERICA</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B. Ross Smead</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B. Ross Smead</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Senior Vice President</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RABOBANK INTERNATIONAL, NEW YORK BRANCH</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Thomas A. Levinsen</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Thomas A. Levinsen</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Executive Director</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Ian Reece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Ian Reece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Managing Director</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RIVIERA FUNDING LLC</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Ann E. Morris</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Ann E. Morris</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Asst. Vice President</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SANKATY HIGH YIELD ASSET PARTNERS, L.P.</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Diane J. Exter</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Diane J. Exter</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Managing Director Portfolio Manager</w:t>
      </w:r>
    </w:p>
    <w:p>
      <w:pPr>
        <w:sectPr>
          <w:pgSz w:w="11900" w:h="16838" w:orient="portrait"/>
          <w:cols w:equalWidth="0" w:num="1">
            <w:col w:w="9019"/>
          </w:cols>
          <w:pgMar w:left="1440" w:top="511" w:right="1440" w:bottom="1440" w:gutter="0" w:footer="0" w:header="0"/>
        </w:sectPr>
      </w:pPr>
    </w:p>
    <w:bookmarkStart w:id="208" w:name="page209"/>
    <w:bookmarkEnd w:id="208"/>
    <w:p>
      <w:pPr>
        <w:ind w:left="2200"/>
        <w:spacing w:after="0"/>
        <w:rPr>
          <w:sz w:val="20"/>
          <w:szCs w:val="20"/>
          <w:color w:val="auto"/>
        </w:rPr>
      </w:pPr>
      <w:r>
        <w:rPr>
          <w:rFonts w:ascii="Courier New" w:cs="Courier New" w:eastAsia="Courier New" w:hAnsi="Courier New"/>
          <w:sz w:val="17"/>
          <w:szCs w:val="17"/>
          <w:color w:val="auto"/>
        </w:rPr>
        <w:t>SANKATY HIGH YIELD PARTNERS II, L.P.</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Diane J. Exter</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Diane J. Exter</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Managing Director Portfolio Manager</w:t>
      </w:r>
    </w:p>
    <w:p>
      <w:pPr>
        <w:spacing w:after="0" w:line="200" w:lineRule="exact"/>
        <w:rPr>
          <w:sz w:val="20"/>
          <w:szCs w:val="20"/>
          <w:color w:val="auto"/>
        </w:rPr>
      </w:pPr>
    </w:p>
    <w:p>
      <w:pPr>
        <w:spacing w:after="0" w:line="201"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SCUDDER FLOATING RATE FUND</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Kenneth Weber</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Kenneth Weber</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Senior Vice President</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SEABOARD CLO 2000, LTD.</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Sheppard H. C. Davis, Jr.</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Sheppard H. C. Davis, Jr.</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CEO of Seaboard &amp; Co. its</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Collateral Manager</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SENIOR DEBT PORTFOLIO</w:t>
      </w:r>
    </w:p>
    <w:p>
      <w:pPr>
        <w:spacing w:after="0" w:line="203"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Boston Management and Research,</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as Investment Advisor</w:t>
      </w:r>
    </w:p>
    <w:p>
      <w:pPr>
        <w:spacing w:after="0" w:line="200" w:lineRule="exact"/>
        <w:rPr>
          <w:sz w:val="20"/>
          <w:szCs w:val="20"/>
          <w:color w:val="auto"/>
        </w:rPr>
      </w:pPr>
    </w:p>
    <w:p>
      <w:pPr>
        <w:spacing w:after="0" w:line="201"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Payson F. Swaffield</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Payson F. Swaffield</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Vice President</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SEQUILS IV, LTD.</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w:t>
      </w:r>
    </w:p>
    <w:p>
      <w:pPr>
        <w:sectPr>
          <w:pgSz w:w="11900" w:h="16838" w:orient="portrait"/>
          <w:cols w:equalWidth="0" w:num="1">
            <w:col w:w="9019"/>
          </w:cols>
          <w:pgMar w:left="1440" w:top="709" w:right="1440" w:bottom="1440" w:gutter="0" w:footer="0" w:header="0"/>
        </w:sectPr>
      </w:pPr>
    </w:p>
    <w:bookmarkStart w:id="209" w:name="page210"/>
    <w:bookmarkEnd w:id="209"/>
    <w:p>
      <w:pPr>
        <w:ind w:left="2200"/>
        <w:spacing w:after="0"/>
        <w:rPr>
          <w:sz w:val="20"/>
          <w:szCs w:val="20"/>
          <w:color w:val="auto"/>
        </w:rPr>
      </w:pPr>
      <w:r>
        <w:rPr>
          <w:rFonts w:ascii="Courier New" w:cs="Courier New" w:eastAsia="Courier New" w:hAnsi="Courier New"/>
          <w:sz w:val="17"/>
          <w:szCs w:val="17"/>
          <w:color w:val="auto"/>
        </w:rPr>
        <w:t>SEQUILS-CENTURION V, LTD.</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Michael M. Leyland</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Michael M. Leyland</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Managing Director</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SEQUILS-CUMBERLAND I, LTD.</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Dale Burrow</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Dale Burrow</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Senior Vice President</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SIERRA CLO I LTD.</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John M. Casparian</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John M. Casparian</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Chief Operating Officer,</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Centre Pacific LLP (Manager)</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SPS HIGH YIELD LOAN TRADING</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SRF 2000 LLC</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w:t>
      </w:r>
    </w:p>
    <w:p>
      <w:pPr>
        <w:sectPr>
          <w:pgSz w:w="11900" w:h="16838" w:orient="portrait"/>
          <w:cols w:equalWidth="0" w:num="1">
            <w:col w:w="9019"/>
          </w:cols>
          <w:pgMar w:left="1440" w:top="511" w:right="1440" w:bottom="1440" w:gutter="0" w:footer="0" w:header="0"/>
        </w:sectPr>
      </w:pPr>
    </w:p>
    <w:bookmarkStart w:id="210" w:name="page211"/>
    <w:bookmarkEnd w:id="210"/>
    <w:p>
      <w:pPr>
        <w:ind w:left="2200"/>
        <w:spacing w:after="0"/>
        <w:rPr>
          <w:sz w:val="20"/>
          <w:szCs w:val="20"/>
          <w:color w:val="auto"/>
        </w:rPr>
      </w:pPr>
      <w:r>
        <w:rPr>
          <w:rFonts w:ascii="Courier New" w:cs="Courier New" w:eastAsia="Courier New" w:hAnsi="Courier New"/>
          <w:sz w:val="17"/>
          <w:szCs w:val="17"/>
          <w:color w:val="auto"/>
        </w:rPr>
        <w:t>STEIN ROE FLOATING RATE LLC</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SUFFIELD CLO, LIMITED</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David L. Babson &amp; Company Inc. as</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Collateral Manager</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Mary S. Law</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Mary S. Law</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Managing Director</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SUNTRUST BANK</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Frank A. Coe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Frank A. Coe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Vice President</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SWAPS CSLT</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THOROUGHBRED LIMITED PARTNERSHIP I</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w:t>
      </w:r>
    </w:p>
    <w:p>
      <w:pPr>
        <w:sectPr>
          <w:pgSz w:w="11900" w:h="16838" w:orient="portrait"/>
          <w:cols w:equalWidth="0" w:num="1">
            <w:col w:w="9019"/>
          </w:cols>
          <w:pgMar w:left="1440" w:top="907" w:right="1440" w:bottom="1440" w:gutter="0" w:footer="0" w:header="0"/>
        </w:sectPr>
      </w:pPr>
    </w:p>
    <w:bookmarkStart w:id="211" w:name="page212"/>
    <w:bookmarkEnd w:id="211"/>
    <w:p>
      <w:pPr>
        <w:ind w:left="2200"/>
        <w:spacing w:after="0"/>
        <w:rPr>
          <w:sz w:val="20"/>
          <w:szCs w:val="20"/>
          <w:color w:val="auto"/>
        </w:rPr>
      </w:pPr>
      <w:r>
        <w:rPr>
          <w:rFonts w:ascii="Courier New" w:cs="Courier New" w:eastAsia="Courier New" w:hAnsi="Courier New"/>
          <w:sz w:val="17"/>
          <w:szCs w:val="17"/>
          <w:color w:val="auto"/>
        </w:rPr>
        <w:t>TORONTO DOMINION (NEW YORK), INC.</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THE TRAVELERS INSURANCE COMPANY</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Allen Cantrell</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Allen Cantrell</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Investment Officer</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TRYON CLO LTD. 2000-1</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Roshan White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Roshan White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Vice President</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TYLER TRADING, INC.</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Don C. Day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Don C. Day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Vice President</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UBS AG</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w:t>
      </w:r>
    </w:p>
    <w:p>
      <w:pPr>
        <w:sectPr>
          <w:pgSz w:w="11900" w:h="16838" w:orient="portrait"/>
          <w:cols w:equalWidth="0" w:num="1">
            <w:col w:w="9019"/>
          </w:cols>
          <w:pgMar w:left="1440" w:top="511" w:right="1440" w:bottom="1440" w:gutter="0" w:footer="0" w:header="0"/>
        </w:sectPr>
      </w:pPr>
    </w:p>
    <w:bookmarkStart w:id="212" w:name="page213"/>
    <w:bookmarkEnd w:id="212"/>
    <w:p>
      <w:pPr>
        <w:ind w:left="2200"/>
        <w:spacing w:after="0"/>
        <w:rPr>
          <w:sz w:val="20"/>
          <w:szCs w:val="20"/>
          <w:color w:val="auto"/>
        </w:rPr>
      </w:pPr>
      <w:r>
        <w:rPr>
          <w:rFonts w:ascii="Courier New" w:cs="Courier New" w:eastAsia="Courier New" w:hAnsi="Courier New"/>
          <w:sz w:val="17"/>
          <w:szCs w:val="17"/>
          <w:color w:val="auto"/>
        </w:rPr>
        <w:t>VAN KAMPEN CLO II, LIMITED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VAN KAMPEN PRIME RATE INCOME TRUST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VAN KAMPEN SENIOR FLOATING RATE FUND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VAN KAMPEN SENIOR INCOME TRUST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VARIABLE INSURANCE PRODUCTS FUND II: ASSET</w:t>
      </w:r>
    </w:p>
    <w:p>
      <w:pPr>
        <w:spacing w:after="0" w:line="5"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MANAGEMENT GROWTH PORTFOLIO</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w:t>
      </w:r>
    </w:p>
    <w:p>
      <w:pPr>
        <w:sectPr>
          <w:pgSz w:w="11900" w:h="16838" w:orient="portrait"/>
          <w:cols w:equalWidth="0" w:num="1">
            <w:col w:w="9019"/>
          </w:cols>
          <w:pgMar w:left="1440" w:top="511" w:right="1440" w:bottom="1440" w:gutter="0" w:footer="0" w:header="0"/>
        </w:sectPr>
      </w:pPr>
    </w:p>
    <w:bookmarkStart w:id="213" w:name="page214"/>
    <w:bookmarkEnd w:id="213"/>
    <w:p>
      <w:pPr>
        <w:ind w:left="2200"/>
        <w:spacing w:after="0"/>
        <w:rPr>
          <w:sz w:val="20"/>
          <w:szCs w:val="20"/>
          <w:color w:val="auto"/>
        </w:rPr>
      </w:pPr>
      <w:r>
        <w:rPr>
          <w:rFonts w:ascii="Courier New" w:cs="Courier New" w:eastAsia="Courier New" w:hAnsi="Courier New"/>
          <w:sz w:val="17"/>
          <w:szCs w:val="17"/>
          <w:color w:val="auto"/>
        </w:rPr>
        <w:t>WINDSOR LOAN FUNDING, LIMITED</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WINGED FOOT FUNDING TRUST</w:t>
      </w:r>
    </w:p>
    <w:p>
      <w:pPr>
        <w:spacing w:after="0" w:line="200" w:lineRule="exact"/>
        <w:rPr>
          <w:sz w:val="20"/>
          <w:szCs w:val="20"/>
          <w:color w:val="auto"/>
        </w:rPr>
      </w:pPr>
    </w:p>
    <w:p>
      <w:pPr>
        <w:spacing w:after="0" w:line="399" w:lineRule="exact"/>
        <w:rPr>
          <w:sz w:val="20"/>
          <w:szCs w:val="20"/>
          <w:color w:val="auto"/>
        </w:rPr>
      </w:pPr>
    </w:p>
    <w:p>
      <w:pPr>
        <w:ind w:left="2200"/>
        <w:spacing w:after="0"/>
        <w:tabs>
          <w:tab w:leader="none" w:pos="2700" w:val="left"/>
        </w:tabs>
        <w:rPr>
          <w:sz w:val="20"/>
          <w:szCs w:val="20"/>
          <w:color w:val="auto"/>
        </w:rPr>
      </w:pPr>
      <w:r>
        <w:rPr>
          <w:rFonts w:ascii="Courier New" w:cs="Courier New" w:eastAsia="Courier New" w:hAnsi="Courier New"/>
          <w:sz w:val="17"/>
          <w:szCs w:val="17"/>
          <w:color w:val="auto"/>
        </w:rPr>
        <w:t>By:</w:t>
        <w:tab/>
        <w:t>/s/ Ann E. Morris</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Ann E. Morris</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Authorized Agent</w:t>
      </w:r>
    </w:p>
    <w:p>
      <w:pPr>
        <w:sectPr>
          <w:pgSz w:w="11900" w:h="16838" w:orient="portrait"/>
          <w:cols w:equalWidth="0" w:num="1">
            <w:col w:w="9019"/>
          </w:cols>
          <w:pgMar w:left="1440" w:top="512" w:right="1440" w:bottom="1440" w:gutter="0" w:footer="0" w:header="0"/>
        </w:sectPr>
      </w:pPr>
    </w:p>
    <w:bookmarkStart w:id="214" w:name="page215"/>
    <w:bookmarkEnd w:id="214"/>
    <w:p>
      <w:pPr>
        <w:ind w:left="2780"/>
        <w:spacing w:after="0"/>
        <w:rPr>
          <w:sz w:val="20"/>
          <w:szCs w:val="20"/>
          <w:color w:val="auto"/>
        </w:rPr>
      </w:pPr>
      <w:r>
        <w:rPr>
          <w:rFonts w:ascii="Courier New" w:cs="Courier New" w:eastAsia="Courier New" w:hAnsi="Courier New"/>
          <w:sz w:val="17"/>
          <w:szCs w:val="17"/>
          <w:color w:val="auto"/>
        </w:rPr>
        <w:t>ACKNOWLEDGEMENT AND CONSENT</w:t>
      </w:r>
    </w:p>
    <w:p>
      <w:pPr>
        <w:spacing w:after="0" w:line="203" w:lineRule="exact"/>
        <w:rPr>
          <w:sz w:val="20"/>
          <w:szCs w:val="20"/>
          <w:color w:val="auto"/>
        </w:rPr>
      </w:pPr>
    </w:p>
    <w:p>
      <w:pPr>
        <w:ind w:right="2079" w:firstLine="1853"/>
        <w:spacing w:after="0" w:line="246" w:lineRule="auto"/>
        <w:rPr>
          <w:sz w:val="20"/>
          <w:szCs w:val="20"/>
          <w:color w:val="auto"/>
        </w:rPr>
      </w:pPr>
      <w:r>
        <w:rPr>
          <w:rFonts w:ascii="Courier New" w:cs="Courier New" w:eastAsia="Courier New" w:hAnsi="Courier New"/>
          <w:sz w:val="17"/>
          <w:szCs w:val="17"/>
          <w:color w:val="auto"/>
        </w:rPr>
        <w:t>In consideration of each Agent's and the Lenders' execution, delivery and performance of the foregoing Waiver No. 3 (the "THIRD WAIVER"), each of the undersigned hereby (i) acknowledges the terms and provisions of the Third Waiver and consents thereto and (ii) confirms and agrees that (a) the Borrower and Domestic Subsidiary Guarantee and Collateral Agreement (the "GUARANTEE AND COLLATERAL AGREEMENT") is, and shall continue to be, in full force and effect and is hereby ratified and confirmed in all respects and shall apply to the Credit Agreement and (b) the guarantees and all of the Collateral (as defined in the Guarantee and Collateral Agreement) do, and shall continue to, secure the payment of all of the Obligations (as defined in the Guarantee and Collateral Agreement) pursuant to the terms of the Guarantee and Collateral Agreement. Capitalized terms not otherwise defined herein shall have the meanings assigned to them in the Credit Agreement referred to in the Third Waiver to which this Acknowledgment and Consent is attached.</w:t>
      </w:r>
    </w:p>
    <w:p>
      <w:pPr>
        <w:spacing w:after="0" w:line="206"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THE SCOTTS COMPANY</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HYPONEX CORPORATION</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SCOTTS MANUFACTURING COMPANY</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SCOTTS-SIERRA HORTICULTURAL PRODUCTS COMPANY</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SCOTTS-SIERRA INVESTMENTS, INC.</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SCOTTS PROFESSIONAL PRODUCTS CO.</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SCOTTS PRODUCTS CO.</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OMS INVESTMENTS, INC.</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MIRACLE-GRO LAWN PRODUCTS, INC.</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MIRACLE-GRO PRODUCTS LTD.</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SCOTTS-SIERRA CROP PROTECTION COMPANY</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EARTHGRO, INC.</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SANFORD SCIENTIFIC, INC.</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EG SYSTEMS, INC.</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SWISS FARMS PRODUCTS, INC.</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SCOTTS TEMECULA OPERATIONS, LLC</w:t>
      </w:r>
    </w:p>
    <w:p>
      <w:pPr>
        <w:spacing w:after="0" w:line="200" w:lineRule="exact"/>
        <w:rPr>
          <w:sz w:val="20"/>
          <w:szCs w:val="20"/>
          <w:color w:val="auto"/>
        </w:rPr>
      </w:pPr>
    </w:p>
    <w:p>
      <w:pPr>
        <w:spacing w:after="0" w:line="201" w:lineRule="exact"/>
        <w:rPr>
          <w:sz w:val="20"/>
          <w:szCs w:val="20"/>
          <w:color w:val="auto"/>
        </w:rPr>
      </w:pPr>
    </w:p>
    <w:p>
      <w:pPr>
        <w:ind w:left="2380"/>
        <w:spacing w:after="0"/>
        <w:tabs>
          <w:tab w:leader="none" w:pos="2860" w:val="left"/>
        </w:tabs>
        <w:rPr>
          <w:sz w:val="20"/>
          <w:szCs w:val="20"/>
          <w:color w:val="auto"/>
        </w:rPr>
      </w:pPr>
      <w:r>
        <w:rPr>
          <w:rFonts w:ascii="Courier New" w:cs="Courier New" w:eastAsia="Courier New" w:hAnsi="Courier New"/>
          <w:sz w:val="17"/>
          <w:szCs w:val="17"/>
          <w:color w:val="auto"/>
        </w:rPr>
        <w:t>By:</w:t>
        <w:tab/>
        <w:t>/s/ Rebecca J. Bruening</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Name: Rebecca J. Bruening</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Title: Vice President, Corporate</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Treasurer</w:t>
      </w:r>
    </w:p>
    <w:p>
      <w:pPr>
        <w:sectPr>
          <w:pgSz w:w="11900" w:h="16838" w:orient="portrait"/>
          <w:cols w:equalWidth="0" w:num="1">
            <w:col w:w="10219"/>
          </w:cols>
          <w:pgMar w:left="240" w:top="907" w:right="1440" w:bottom="1440" w:gutter="0" w:footer="0" w:header="0"/>
        </w:sectPr>
      </w:pPr>
    </w:p>
    <w:bookmarkStart w:id="215" w:name="page216"/>
    <w:bookmarkEnd w:id="215"/>
    <w:p>
      <w:pPr>
        <w:jc w:val="center"/>
        <w:ind w:right="2399"/>
        <w:spacing w:after="0"/>
        <w:rPr>
          <w:sz w:val="20"/>
          <w:szCs w:val="20"/>
          <w:color w:val="auto"/>
        </w:rPr>
      </w:pPr>
      <w:r>
        <w:rPr>
          <w:rFonts w:ascii="Courier New" w:cs="Courier New" w:eastAsia="Courier New" w:hAnsi="Courier New"/>
          <w:sz w:val="17"/>
          <w:szCs w:val="17"/>
          <w:color w:val="auto"/>
        </w:rPr>
        <w:t>EXHIBIT 4(k)</w:t>
      </w:r>
    </w:p>
    <w:p>
      <w:pPr>
        <w:spacing w:after="0" w:line="203"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7"/>
          <w:szCs w:val="17"/>
          <w:color w:val="auto"/>
        </w:rPr>
        <w:t>Amendment No. 3, dated as of December 12, 2001, to the Credit Agreement,</w:t>
      </w:r>
    </w:p>
    <w:p>
      <w:pPr>
        <w:spacing w:after="0" w:line="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7"/>
          <w:szCs w:val="17"/>
          <w:color w:val="auto"/>
        </w:rPr>
        <w:t>dated as of December 4, 1998</w:t>
      </w:r>
    </w:p>
    <w:p>
      <w:pPr>
        <w:sectPr>
          <w:pgSz w:w="11900" w:h="16838" w:orient="portrait"/>
          <w:cols w:equalWidth="0" w:num="1">
            <w:col w:w="9799"/>
          </w:cols>
          <w:pgMar w:left="660" w:top="736" w:right="1440" w:bottom="1440" w:gutter="0" w:footer="0" w:header="0"/>
        </w:sectPr>
      </w:pPr>
    </w:p>
    <w:bookmarkStart w:id="216" w:name="page217"/>
    <w:bookmarkEnd w:id="216"/>
    <w:p>
      <w:pPr>
        <w:jc w:val="right"/>
        <w:ind w:right="1979"/>
        <w:spacing w:after="0"/>
        <w:rPr>
          <w:sz w:val="20"/>
          <w:szCs w:val="20"/>
          <w:color w:val="auto"/>
        </w:rPr>
      </w:pPr>
      <w:r>
        <w:rPr>
          <w:rFonts w:ascii="Courier New" w:cs="Courier New" w:eastAsia="Courier New" w:hAnsi="Courier New"/>
          <w:sz w:val="17"/>
          <w:szCs w:val="17"/>
          <w:color w:val="auto"/>
        </w:rPr>
        <w:t>Exhbit 4(k)</w:t>
      </w:r>
    </w:p>
    <w:p>
      <w:pPr>
        <w:spacing w:after="0" w:line="200" w:lineRule="exact"/>
        <w:rPr>
          <w:sz w:val="20"/>
          <w:szCs w:val="20"/>
          <w:color w:val="auto"/>
        </w:rPr>
      </w:pPr>
    </w:p>
    <w:p>
      <w:pPr>
        <w:spacing w:after="0" w:line="399"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AMENDMENT NO. 3</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AMENDMENT NO. 3, dated as of December 12, 2001 (this "THIRD AMENDMENT"), to the Credit Agreement, dated as of December 4, 1998 (as amended by the Waiver, dated as of January 19, 1999, the Amendment No. 1 and Consent, dated as of October 13, 1999, Waiver No. 2, dated as of February 14, 2000, Amendment No. 2, dated as of June 9, 2000, the Amended and Restated Credit Agreement, dated as of December 5, 2000, and Waiver No. 3, dated as of October 19, 2001, and as otherwise amended, supplemented or otherwise modified from time to time, the "CREDIT AGREEMENT"), among THE SCOTTS COMPANY, an Ohio corporation (the "BORROWER"), certain subsidiaries of the Borrower who are also borrowers from time to time under the Credit Agreement (the "SUBSIDIARY BORROWERS"), the several banks and other financial institutions from time to time parties to the Credit Agreement (the "LENDERS"), JPMORGAN CHASE BANK (formerly The Chase Manhattan Bank), as agent for the Lenders (in such capacity, the "ADMINISTRATIVE Agent"), SALOMON SMITH BARNEY, INC., as syndication agent (the "SYNDICATION AGENT"), CREDIT LYONNAIS NEW YORK BRANCH and BANK ONE, MICHIGAN, as successor to NBD BANK, as co-documentation agents (the "CO-DOCUMENTATION AGENTS"), and J.P. MORGAN SECURITIES INC., as successor to CHASE SECURITIES INC., as lead arranger (the "LEAD ARRANGER") and book manager (the "BOOK MANAGER").</w:t>
      </w:r>
    </w:p>
    <w:p>
      <w:pPr>
        <w:spacing w:after="0" w:line="20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W I T N E S S E T H :</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 - - - - - - - - -</w:t>
      </w:r>
    </w:p>
    <w:p>
      <w:pPr>
        <w:spacing w:after="0" w:line="203" w:lineRule="exact"/>
        <w:rPr>
          <w:sz w:val="20"/>
          <w:szCs w:val="20"/>
          <w:color w:val="auto"/>
        </w:rPr>
      </w:pPr>
    </w:p>
    <w:p>
      <w:pPr>
        <w:ind w:right="2079" w:firstLine="1853"/>
        <w:spacing w:after="0" w:line="246" w:lineRule="auto"/>
        <w:rPr>
          <w:sz w:val="20"/>
          <w:szCs w:val="20"/>
          <w:color w:val="auto"/>
        </w:rPr>
      </w:pPr>
      <w:r>
        <w:rPr>
          <w:rFonts w:ascii="Courier New" w:cs="Courier New" w:eastAsia="Courier New" w:hAnsi="Courier New"/>
          <w:sz w:val="17"/>
          <w:szCs w:val="17"/>
          <w:color w:val="auto"/>
        </w:rPr>
        <w:t>WHEREAS, the Borrower wishes to amend the Credit Agreement as described herein and requests the waiver under the Credit Agreement described herein; and</w:t>
      </w:r>
    </w:p>
    <w:p>
      <w:pPr>
        <w:spacing w:after="0" w:line="200" w:lineRule="exact"/>
        <w:rPr>
          <w:sz w:val="20"/>
          <w:szCs w:val="20"/>
          <w:color w:val="auto"/>
        </w:rPr>
      </w:pPr>
    </w:p>
    <w:p>
      <w:pPr>
        <w:jc w:val="both"/>
        <w:ind w:right="2079" w:firstLine="1853"/>
        <w:spacing w:after="0" w:line="246" w:lineRule="auto"/>
        <w:rPr>
          <w:sz w:val="20"/>
          <w:szCs w:val="20"/>
          <w:color w:val="auto"/>
        </w:rPr>
      </w:pPr>
      <w:r>
        <w:rPr>
          <w:rFonts w:ascii="Courier New" w:cs="Courier New" w:eastAsia="Courier New" w:hAnsi="Courier New"/>
          <w:sz w:val="17"/>
          <w:szCs w:val="17"/>
          <w:color w:val="auto"/>
        </w:rPr>
        <w:t>WHEREAS, the Lenders and the Administrative Agent are willing to amend and waive the Credit Agreement as provided for herein, but only on the terms and conditions contained herein;</w:t>
      </w:r>
    </w:p>
    <w:p>
      <w:pPr>
        <w:spacing w:after="0" w:line="200" w:lineRule="exact"/>
        <w:rPr>
          <w:sz w:val="20"/>
          <w:szCs w:val="20"/>
          <w:color w:val="auto"/>
        </w:rPr>
      </w:pPr>
    </w:p>
    <w:p>
      <w:pPr>
        <w:ind w:right="2279" w:firstLine="1853"/>
        <w:spacing w:after="0" w:line="247" w:lineRule="auto"/>
        <w:rPr>
          <w:sz w:val="20"/>
          <w:szCs w:val="20"/>
          <w:color w:val="auto"/>
        </w:rPr>
      </w:pPr>
      <w:r>
        <w:rPr>
          <w:rFonts w:ascii="Courier New" w:cs="Courier New" w:eastAsia="Courier New" w:hAnsi="Courier New"/>
          <w:sz w:val="17"/>
          <w:szCs w:val="17"/>
          <w:color w:val="auto"/>
        </w:rPr>
        <w:t>NOW, THEREFORE, in consideration of the premises and of the mutual agreements herein contained, the parties hereto agree as follows:</w:t>
      </w:r>
    </w:p>
    <w:p>
      <w:pPr>
        <w:spacing w:after="0" w:line="198" w:lineRule="exact"/>
        <w:rPr>
          <w:sz w:val="20"/>
          <w:szCs w:val="20"/>
          <w:color w:val="auto"/>
        </w:rPr>
      </w:pPr>
    </w:p>
    <w:p>
      <w:pPr>
        <w:ind w:left="420" w:hanging="414"/>
        <w:spacing w:after="0"/>
        <w:tabs>
          <w:tab w:leader="none" w:pos="420" w:val="left"/>
        </w:tabs>
        <w:numPr>
          <w:ilvl w:val="0"/>
          <w:numId w:val="2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AMENDMENTS AND WAIVER</w:t>
      </w:r>
    </w:p>
    <w:p>
      <w:pPr>
        <w:spacing w:after="0" w:line="203" w:lineRule="exact"/>
        <w:rPr>
          <w:rFonts w:ascii="Courier New" w:cs="Courier New" w:eastAsia="Courier New" w:hAnsi="Courier New"/>
          <w:sz w:val="17"/>
          <w:szCs w:val="17"/>
          <w:color w:val="auto"/>
        </w:rPr>
      </w:pPr>
    </w:p>
    <w:p>
      <w:pPr>
        <w:jc w:val="both"/>
        <w:ind w:right="1979" w:firstLine="1859"/>
        <w:spacing w:after="0" w:line="247" w:lineRule="auto"/>
        <w:tabs>
          <w:tab w:leader="none" w:pos="2162" w:val="left"/>
        </w:tabs>
        <w:numPr>
          <w:ilvl w:val="1"/>
          <w:numId w:val="2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DEFINED TERMS. Unless otherwise defined herein, capitalized terms used herein shall have the meanings given to them in the Credit Agreement.</w:t>
      </w:r>
    </w:p>
    <w:p>
      <w:pPr>
        <w:spacing w:after="0" w:line="197" w:lineRule="exact"/>
        <w:rPr>
          <w:rFonts w:ascii="Courier New" w:cs="Courier New" w:eastAsia="Courier New" w:hAnsi="Courier New"/>
          <w:sz w:val="17"/>
          <w:szCs w:val="17"/>
          <w:color w:val="auto"/>
        </w:rPr>
      </w:pPr>
    </w:p>
    <w:p>
      <w:pPr>
        <w:jc w:val="both"/>
        <w:ind w:right="2179" w:firstLine="1859"/>
        <w:spacing w:after="0" w:line="246" w:lineRule="auto"/>
        <w:tabs>
          <w:tab w:leader="none" w:pos="2162" w:val="left"/>
        </w:tabs>
        <w:numPr>
          <w:ilvl w:val="1"/>
          <w:numId w:val="2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 TO SECTION 1.1 (DEFINED TERMS). (a) Section 1.1 of the Credit Agreement is hereby amended by deleting therefrom the definition of "EBITDA" in its entirety and substituting, in lieu thereof, the following:</w:t>
      </w:r>
    </w:p>
    <w:p>
      <w:pPr>
        <w:spacing w:after="0" w:line="200" w:lineRule="exact"/>
        <w:rPr>
          <w:sz w:val="20"/>
          <w:szCs w:val="20"/>
          <w:color w:val="auto"/>
        </w:rPr>
      </w:pPr>
    </w:p>
    <w:p>
      <w:pPr>
        <w:ind w:right="2279" w:firstLine="1853"/>
        <w:spacing w:after="0" w:line="246" w:lineRule="auto"/>
        <w:rPr>
          <w:sz w:val="20"/>
          <w:szCs w:val="20"/>
          <w:color w:val="auto"/>
        </w:rPr>
      </w:pPr>
      <w:r>
        <w:rPr>
          <w:rFonts w:ascii="Courier New" w:cs="Courier New" w:eastAsia="Courier New" w:hAnsi="Courier New"/>
          <w:sz w:val="17"/>
          <w:szCs w:val="17"/>
          <w:color w:val="auto"/>
        </w:rPr>
        <w:t>""EBITDA" shall mean without duplication, for any fiscal period, the sum of the amounts for such fiscal period of (i) Consolidated Net Income, (ii) provision for taxes based on income, (iii) depreciation expense,</w:t>
      </w:r>
    </w:p>
    <w:p>
      <w:pPr>
        <w:spacing w:after="0" w:line="398" w:lineRule="exact"/>
        <w:rPr>
          <w:sz w:val="20"/>
          <w:szCs w:val="20"/>
          <w:color w:val="auto"/>
        </w:rPr>
      </w:pPr>
    </w:p>
    <w:p>
      <w:pPr>
        <w:jc w:val="right"/>
        <w:ind w:right="1979"/>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511" w:right="1440" w:bottom="1440" w:gutter="0" w:footer="0" w:header="0"/>
        </w:sectPr>
      </w:pPr>
    </w:p>
    <w:bookmarkStart w:id="217" w:name="page218"/>
    <w:bookmarkEnd w:id="217"/>
    <w:p>
      <w:pPr>
        <w:jc w:val="right"/>
        <w:ind w:right="1979"/>
        <w:spacing w:after="0"/>
        <w:rPr>
          <w:sz w:val="20"/>
          <w:szCs w:val="20"/>
          <w:color w:val="auto"/>
        </w:rPr>
      </w:pPr>
      <w:r>
        <w:rPr>
          <w:rFonts w:ascii="Courier New" w:cs="Courier New" w:eastAsia="Courier New" w:hAnsi="Courier New"/>
          <w:sz w:val="17"/>
          <w:szCs w:val="17"/>
          <w:color w:val="auto"/>
        </w:rPr>
        <w:t>2</w:t>
      </w:r>
    </w:p>
    <w:p>
      <w:pPr>
        <w:spacing w:after="0" w:line="200" w:lineRule="exact"/>
        <w:rPr>
          <w:sz w:val="20"/>
          <w:szCs w:val="20"/>
          <w:color w:val="auto"/>
        </w:rPr>
      </w:pPr>
    </w:p>
    <w:p>
      <w:pPr>
        <w:spacing w:after="0" w:line="201"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(iv) Consolidated Interest Expense, (v) amortization expense, (vi) other non-recurring, non-cash items reducing Consolidated Net Income (reduced by any non-recurring, non-cash items increasing Consolidated Net Income), all as determined on a consolidated basis for the Borrower and its Subsidiaries in conformity with GAAP and (vii) in respect of the periods of four consecutive quarterly periods ending September 30, 2001, December 31, 2001, March 31, 2002 and June 30, 2002, $47,814,000, $47,814,000, $47,814,000 and $41,119,000 respectively, to reflect cash restructuring charges; PROVIDED, HOWEVER, that the amounts set forth in clause (vii) above shall not be included in EBITDA for purposes of determining the Leverage Ratio pursuant to the Pricing Grid."</w:t>
      </w:r>
    </w:p>
    <w:p>
      <w:pPr>
        <w:spacing w:after="0" w:line="204" w:lineRule="exact"/>
        <w:rPr>
          <w:sz w:val="20"/>
          <w:szCs w:val="20"/>
          <w:color w:val="auto"/>
        </w:rPr>
      </w:pPr>
    </w:p>
    <w:p>
      <w:pPr>
        <w:ind w:right="2079" w:firstLine="1859"/>
        <w:spacing w:after="0" w:line="246" w:lineRule="auto"/>
        <w:tabs>
          <w:tab w:leader="none" w:pos="2265" w:val="left"/>
        </w:tabs>
        <w:numPr>
          <w:ilvl w:val="0"/>
          <w:numId w:val="2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1.1 of the Credit Agreement is hereby further amended by deleting in the definition of "Subordinated Debt" the phrase "clause (iii)" and inserting, in lieu thereof, the phrase "clause (ii)".</w:t>
      </w:r>
    </w:p>
    <w:p>
      <w:pPr>
        <w:spacing w:after="0" w:line="200" w:lineRule="exact"/>
        <w:rPr>
          <w:sz w:val="20"/>
          <w:szCs w:val="20"/>
          <w:color w:val="auto"/>
        </w:rPr>
      </w:pPr>
    </w:p>
    <w:p>
      <w:pPr>
        <w:ind w:right="2179" w:firstLine="1859"/>
        <w:spacing w:after="0" w:line="246" w:lineRule="auto"/>
        <w:tabs>
          <w:tab w:leader="none" w:pos="2162" w:val="left"/>
        </w:tabs>
        <w:numPr>
          <w:ilvl w:val="0"/>
          <w:numId w:val="2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 TO SECTION 2.4 (REVOLVING CREDIT COMMITMENTS). Sections 2.4(i) and (ii) are hereby amended by deleting them in their entirety and substituting, in lieu thereof, the following new Sections 2.4(i) and (ii):</w:t>
      </w:r>
    </w:p>
    <w:p>
      <w:pPr>
        <w:spacing w:after="0" w:line="200" w:lineRule="exact"/>
        <w:rPr>
          <w:sz w:val="20"/>
          <w:szCs w:val="20"/>
          <w:color w:val="auto"/>
        </w:rPr>
      </w:pPr>
    </w:p>
    <w:p>
      <w:pPr>
        <w:ind w:right="2079" w:firstLine="1853"/>
        <w:spacing w:after="0" w:line="246" w:lineRule="auto"/>
        <w:rPr>
          <w:sz w:val="20"/>
          <w:szCs w:val="20"/>
          <w:color w:val="auto"/>
        </w:rPr>
      </w:pPr>
      <w:r>
        <w:rPr>
          <w:rFonts w:ascii="Courier New" w:cs="Courier New" w:eastAsia="Courier New" w:hAnsi="Courier New"/>
          <w:sz w:val="17"/>
          <w:szCs w:val="17"/>
          <w:color w:val="auto"/>
        </w:rPr>
        <w:t>"(i) the sum of the Dollar Equivalent of the then outstanding Revolving Credit Loans in Optional Currencies other than Sterling and the then outstanding L/C Obligations in Optional Currencies other than Sterling would exceed the Optional Currency Equivalent of $200,000,000 (such Optional Currency Equivalent, the "MAXIMUM NON-STERLING OPTIONAL CURRENCY AMOUNT"); or</w:t>
      </w:r>
    </w:p>
    <w:p>
      <w:pPr>
        <w:spacing w:after="0" w:line="201" w:lineRule="exact"/>
        <w:rPr>
          <w:sz w:val="20"/>
          <w:szCs w:val="20"/>
          <w:color w:val="auto"/>
        </w:rPr>
      </w:pPr>
    </w:p>
    <w:p>
      <w:pPr>
        <w:ind w:right="1979" w:firstLine="1859"/>
        <w:spacing w:after="0" w:line="246" w:lineRule="auto"/>
        <w:tabs>
          <w:tab w:leader="none" w:pos="2368" w:val="left"/>
        </w:tabs>
        <w:numPr>
          <w:ilvl w:val="0"/>
          <w:numId w:val="2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sum of the Dollar Equivalent of the then outstanding Revolving Credit Loans in Optional Currencies including Sterling and outstanding L/C Obligations in Optional Currencies including Sterling would exceed the Optional Currency Equivalent of $360,000,000 (such Optional Currency Equivalent, the "MAXIMUM OPTIONAL CURRENCY AMOUNT")".</w:t>
      </w:r>
    </w:p>
    <w:p>
      <w:pPr>
        <w:spacing w:after="0" w:line="201" w:lineRule="exact"/>
        <w:rPr>
          <w:sz w:val="20"/>
          <w:szCs w:val="20"/>
          <w:color w:val="auto"/>
        </w:rPr>
      </w:pPr>
    </w:p>
    <w:p>
      <w:pPr>
        <w:ind w:right="1979" w:firstLine="1859"/>
        <w:spacing w:after="0" w:line="246" w:lineRule="auto"/>
        <w:tabs>
          <w:tab w:leader="none" w:pos="2162" w:val="left"/>
        </w:tabs>
        <w:numPr>
          <w:ilvl w:val="0"/>
          <w:numId w:val="2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 TO SECTION 2.12 (MANDATORY PREPAYMENTS). (a) Section 2.12(b) is hereby amended by deleting the figure "25%" and inserting, in lieu thereof, the figure "0%".</w:t>
      </w:r>
    </w:p>
    <w:p>
      <w:pPr>
        <w:spacing w:after="0" w:line="200" w:lineRule="exact"/>
        <w:rPr>
          <w:sz w:val="20"/>
          <w:szCs w:val="20"/>
          <w:color w:val="auto"/>
        </w:rPr>
      </w:pPr>
    </w:p>
    <w:p>
      <w:pPr>
        <w:jc w:val="both"/>
        <w:ind w:right="2079" w:firstLine="1859"/>
        <w:spacing w:after="0" w:line="246" w:lineRule="auto"/>
        <w:tabs>
          <w:tab w:leader="none" w:pos="2265" w:val="left"/>
        </w:tabs>
        <w:numPr>
          <w:ilvl w:val="0"/>
          <w:numId w:val="2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2.12(c) of the Credit Agreement is hereby amended by deleting it in its entirety and substituting, in lieu thereof, the following new Section 2.12(c):</w:t>
      </w:r>
    </w:p>
    <w:p>
      <w:pPr>
        <w:spacing w:after="0" w:line="200"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"Unless the Required Prepayment Lenders shall otherwise agree, if any Indebtedness shall be incurred by the Borrower or any of its Subsidiaries (excluding any Indebtedness incurred in accordance with subsection 7.6), the Borrower shall apply an amount equal to 100% of the Net Cash Proceeds thereof or the equivalent thereof on the date of such incurrence toward the prepayment of the Term Loans and the reduction of the Revolving Credit Commitments as set forth in subsection 2.12(f).</w:t>
      </w:r>
    </w:p>
    <w:p>
      <w:pPr>
        <w:spacing w:after="0" w:line="202" w:lineRule="exact"/>
        <w:rPr>
          <w:sz w:val="20"/>
          <w:szCs w:val="20"/>
          <w:color w:val="auto"/>
        </w:rPr>
      </w:pPr>
    </w:p>
    <w:p>
      <w:pPr>
        <w:ind w:right="2079" w:firstLine="1859"/>
        <w:spacing w:after="0" w:line="246" w:lineRule="auto"/>
        <w:tabs>
          <w:tab w:leader="none" w:pos="2162" w:val="left"/>
        </w:tabs>
        <w:numPr>
          <w:ilvl w:val="0"/>
          <w:numId w:val="2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 TO SECTION 6.9 (INTEREST COVERAGE). Section 6.9 of the Credit Agreement is hereby amended by deleting the portions of the table therein corresponding to the dates set forth below and inserting, in lieu thereof, the following:</w:t>
      </w:r>
    </w:p>
    <w:p>
      <w:pPr>
        <w:sectPr>
          <w:pgSz w:w="11900" w:h="16838" w:orient="portrait"/>
          <w:cols w:equalWidth="0" w:num="1">
            <w:col w:w="10219"/>
          </w:cols>
          <w:pgMar w:left="240" w:top="709" w:right="1440" w:bottom="1440" w:gutter="0" w:footer="0" w:header="0"/>
        </w:sectPr>
      </w:pPr>
    </w:p>
    <w:bookmarkStart w:id="218" w:name="page219"/>
    <w:bookmarkEnd w:id="218"/>
    <w:p>
      <w:pPr>
        <w:jc w:val="right"/>
        <w:ind w:right="1979"/>
        <w:spacing w:after="0"/>
        <w:rPr>
          <w:sz w:val="20"/>
          <w:szCs w:val="20"/>
          <w:color w:val="auto"/>
        </w:rPr>
      </w:pPr>
      <w:r>
        <w:rPr>
          <w:rFonts w:ascii="Courier New" w:cs="Courier New" w:eastAsia="Courier New" w:hAnsi="Courier New"/>
          <w:sz w:val="17"/>
          <w:szCs w:val="17"/>
          <w:color w:val="auto"/>
        </w:rPr>
        <w:t>3</w:t>
      </w:r>
    </w:p>
    <w:p>
      <w:pPr>
        <w:spacing w:after="0" w:line="203" w:lineRule="exact"/>
        <w:rPr>
          <w:sz w:val="20"/>
          <w:szCs w:val="20"/>
          <w:color w:val="auto"/>
        </w:rPr>
      </w:pPr>
    </w:p>
    <w:tbl>
      <w:tblPr>
        <w:tblLayout w:type="fixed"/>
        <w:tblInd w:w="1660" w:type="dxa"/>
        <w:tblCellMar>
          <w:top w:w="0" w:type="dxa"/>
          <w:left w:w="0" w:type="dxa"/>
          <w:bottom w:w="0" w:type="dxa"/>
          <w:right w:w="0" w:type="dxa"/>
        </w:tblCellMar>
      </w:tblPr>
      <w:tr>
        <w:trPr>
          <w:trHeight w:val="193"/>
        </w:trPr>
        <w:tc>
          <w:tcPr>
            <w:tcW w:w="3020" w:type="dxa"/>
            <w:vAlign w:val="bottom"/>
          </w:tcPr>
          <w:p>
            <w:pPr>
              <w:spacing w:after="0"/>
              <w:rPr>
                <w:sz w:val="20"/>
                <w:szCs w:val="20"/>
                <w:color w:val="auto"/>
              </w:rPr>
            </w:pPr>
            <w:r>
              <w:rPr>
                <w:rFonts w:ascii="Courier New" w:cs="Courier New" w:eastAsia="Courier New" w:hAnsi="Courier New"/>
                <w:sz w:val="17"/>
                <w:szCs w:val="17"/>
                <w:color w:val="auto"/>
              </w:rPr>
              <w:t>Date</w:t>
            </w:r>
          </w:p>
        </w:tc>
        <w:tc>
          <w:tcPr>
            <w:tcW w:w="2120" w:type="dxa"/>
            <w:vAlign w:val="bottom"/>
            <w:gridSpan w:val="2"/>
          </w:tcPr>
          <w:p>
            <w:pPr>
              <w:ind w:left="1400"/>
              <w:spacing w:after="0"/>
              <w:rPr>
                <w:sz w:val="20"/>
                <w:szCs w:val="20"/>
                <w:color w:val="auto"/>
              </w:rPr>
            </w:pPr>
            <w:r>
              <w:rPr>
                <w:rFonts w:ascii="Courier New" w:cs="Courier New" w:eastAsia="Courier New" w:hAnsi="Courier New"/>
                <w:sz w:val="17"/>
                <w:szCs w:val="17"/>
                <w:color w:val="auto"/>
              </w:rPr>
              <w:t>Ratio</w:t>
            </w:r>
          </w:p>
        </w:tc>
      </w:tr>
      <w:tr>
        <w:trPr>
          <w:trHeight w:val="198"/>
        </w:trPr>
        <w:tc>
          <w:tcPr>
            <w:tcW w:w="302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2120" w:type="dxa"/>
            <w:vAlign w:val="bottom"/>
            <w:gridSpan w:val="2"/>
          </w:tcPr>
          <w:p>
            <w:pPr>
              <w:ind w:left="1400"/>
              <w:spacing w:after="0"/>
              <w:rPr>
                <w:sz w:val="20"/>
                <w:szCs w:val="20"/>
                <w:color w:val="auto"/>
              </w:rPr>
            </w:pPr>
            <w:r>
              <w:rPr>
                <w:rFonts w:ascii="Courier New" w:cs="Courier New" w:eastAsia="Courier New" w:hAnsi="Courier New"/>
                <w:sz w:val="17"/>
                <w:szCs w:val="17"/>
                <w:color w:val="auto"/>
              </w:rPr>
              <w:t>-----</w:t>
            </w:r>
          </w:p>
        </w:tc>
      </w:tr>
      <w:tr>
        <w:trPr>
          <w:trHeight w:val="396"/>
        </w:trPr>
        <w:tc>
          <w:tcPr>
            <w:tcW w:w="3020" w:type="dxa"/>
            <w:vAlign w:val="bottom"/>
          </w:tcPr>
          <w:p>
            <w:pPr>
              <w:spacing w:after="0"/>
              <w:rPr>
                <w:sz w:val="20"/>
                <w:szCs w:val="20"/>
                <w:color w:val="auto"/>
              </w:rPr>
            </w:pPr>
            <w:r>
              <w:rPr>
                <w:rFonts w:ascii="Courier New" w:cs="Courier New" w:eastAsia="Courier New" w:hAnsi="Courier New"/>
                <w:sz w:val="17"/>
                <w:szCs w:val="17"/>
                <w:color w:val="auto"/>
              </w:rPr>
              <w:t>December 31, 2001</w:t>
            </w:r>
          </w:p>
        </w:tc>
        <w:tc>
          <w:tcPr>
            <w:tcW w:w="1660" w:type="dxa"/>
            <w:vAlign w:val="bottom"/>
          </w:tcPr>
          <w:p>
            <w:pPr>
              <w:jc w:val="right"/>
              <w:spacing w:after="0"/>
              <w:rPr>
                <w:sz w:val="20"/>
                <w:szCs w:val="20"/>
                <w:color w:val="auto"/>
              </w:rPr>
            </w:pPr>
            <w:r>
              <w:rPr>
                <w:rFonts w:ascii="Courier New" w:cs="Courier New" w:eastAsia="Courier New" w:hAnsi="Courier New"/>
                <w:sz w:val="17"/>
                <w:szCs w:val="17"/>
                <w:color w:val="auto"/>
              </w:rPr>
              <w:t>2.40</w:t>
            </w:r>
          </w:p>
        </w:tc>
        <w:tc>
          <w:tcPr>
            <w:tcW w:w="460" w:type="dxa"/>
            <w:vAlign w:val="bottom"/>
          </w:tcPr>
          <w:p>
            <w:pPr>
              <w:ind w:left="40"/>
              <w:spacing w:after="0"/>
              <w:rPr>
                <w:sz w:val="20"/>
                <w:szCs w:val="20"/>
                <w:color w:val="auto"/>
              </w:rPr>
            </w:pPr>
            <w:r>
              <w:rPr>
                <w:rFonts w:ascii="Courier New" w:cs="Courier New" w:eastAsia="Courier New" w:hAnsi="Courier New"/>
                <w:sz w:val="17"/>
                <w:szCs w:val="17"/>
                <w:color w:val="auto"/>
                <w:w w:val="97"/>
              </w:rPr>
              <w:t>to 1</w:t>
            </w:r>
          </w:p>
        </w:tc>
      </w:tr>
      <w:tr>
        <w:trPr>
          <w:trHeight w:val="396"/>
        </w:trPr>
        <w:tc>
          <w:tcPr>
            <w:tcW w:w="3020" w:type="dxa"/>
            <w:vAlign w:val="bottom"/>
          </w:tcPr>
          <w:p>
            <w:pPr>
              <w:spacing w:after="0"/>
              <w:rPr>
                <w:sz w:val="20"/>
                <w:szCs w:val="20"/>
                <w:color w:val="auto"/>
              </w:rPr>
            </w:pPr>
            <w:r>
              <w:rPr>
                <w:rFonts w:ascii="Courier New" w:cs="Courier New" w:eastAsia="Courier New" w:hAnsi="Courier New"/>
                <w:sz w:val="17"/>
                <w:szCs w:val="17"/>
                <w:color w:val="auto"/>
              </w:rPr>
              <w:t>March 31, 2002</w:t>
            </w:r>
          </w:p>
        </w:tc>
        <w:tc>
          <w:tcPr>
            <w:tcW w:w="1660" w:type="dxa"/>
            <w:vAlign w:val="bottom"/>
          </w:tcPr>
          <w:p>
            <w:pPr>
              <w:jc w:val="right"/>
              <w:spacing w:after="0"/>
              <w:rPr>
                <w:sz w:val="20"/>
                <w:szCs w:val="20"/>
                <w:color w:val="auto"/>
              </w:rPr>
            </w:pPr>
            <w:r>
              <w:rPr>
                <w:rFonts w:ascii="Courier New" w:cs="Courier New" w:eastAsia="Courier New" w:hAnsi="Courier New"/>
                <w:sz w:val="17"/>
                <w:szCs w:val="17"/>
                <w:color w:val="auto"/>
              </w:rPr>
              <w:t>2.40</w:t>
            </w:r>
          </w:p>
        </w:tc>
        <w:tc>
          <w:tcPr>
            <w:tcW w:w="460" w:type="dxa"/>
            <w:vAlign w:val="bottom"/>
          </w:tcPr>
          <w:p>
            <w:pPr>
              <w:ind w:left="40"/>
              <w:spacing w:after="0"/>
              <w:rPr>
                <w:sz w:val="20"/>
                <w:szCs w:val="20"/>
                <w:color w:val="auto"/>
              </w:rPr>
            </w:pPr>
            <w:r>
              <w:rPr>
                <w:rFonts w:ascii="Courier New" w:cs="Courier New" w:eastAsia="Courier New" w:hAnsi="Courier New"/>
                <w:sz w:val="17"/>
                <w:szCs w:val="17"/>
                <w:color w:val="auto"/>
                <w:w w:val="97"/>
              </w:rPr>
              <w:t>to 1</w:t>
            </w:r>
          </w:p>
        </w:tc>
      </w:tr>
      <w:tr>
        <w:trPr>
          <w:trHeight w:val="198"/>
        </w:trPr>
        <w:tc>
          <w:tcPr>
            <w:tcW w:w="3020" w:type="dxa"/>
            <w:vAlign w:val="bottom"/>
          </w:tcPr>
          <w:p>
            <w:pPr>
              <w:spacing w:after="0"/>
              <w:rPr>
                <w:sz w:val="20"/>
                <w:szCs w:val="20"/>
                <w:color w:val="auto"/>
              </w:rPr>
            </w:pPr>
            <w:r>
              <w:rPr>
                <w:rFonts w:ascii="Courier New" w:cs="Courier New" w:eastAsia="Courier New" w:hAnsi="Courier New"/>
                <w:sz w:val="17"/>
                <w:szCs w:val="17"/>
                <w:color w:val="auto"/>
              </w:rPr>
              <w:t>June 30, 2002</w:t>
            </w:r>
          </w:p>
        </w:tc>
        <w:tc>
          <w:tcPr>
            <w:tcW w:w="1660" w:type="dxa"/>
            <w:vAlign w:val="bottom"/>
          </w:tcPr>
          <w:p>
            <w:pPr>
              <w:jc w:val="right"/>
              <w:spacing w:after="0"/>
              <w:rPr>
                <w:sz w:val="20"/>
                <w:szCs w:val="20"/>
                <w:color w:val="auto"/>
              </w:rPr>
            </w:pPr>
            <w:r>
              <w:rPr>
                <w:rFonts w:ascii="Courier New" w:cs="Courier New" w:eastAsia="Courier New" w:hAnsi="Courier New"/>
                <w:sz w:val="17"/>
                <w:szCs w:val="17"/>
                <w:color w:val="auto"/>
              </w:rPr>
              <w:t>2.60</w:t>
            </w:r>
          </w:p>
        </w:tc>
        <w:tc>
          <w:tcPr>
            <w:tcW w:w="460" w:type="dxa"/>
            <w:vAlign w:val="bottom"/>
          </w:tcPr>
          <w:p>
            <w:pPr>
              <w:ind w:left="40"/>
              <w:spacing w:after="0"/>
              <w:rPr>
                <w:sz w:val="20"/>
                <w:szCs w:val="20"/>
                <w:color w:val="auto"/>
              </w:rPr>
            </w:pPr>
            <w:r>
              <w:rPr>
                <w:rFonts w:ascii="Courier New" w:cs="Courier New" w:eastAsia="Courier New" w:hAnsi="Courier New"/>
                <w:sz w:val="17"/>
                <w:szCs w:val="17"/>
                <w:color w:val="auto"/>
                <w:w w:val="97"/>
              </w:rPr>
              <w:t>to 1</w:t>
            </w:r>
          </w:p>
        </w:tc>
      </w:tr>
      <w:tr>
        <w:trPr>
          <w:trHeight w:val="198"/>
        </w:trPr>
        <w:tc>
          <w:tcPr>
            <w:tcW w:w="3020" w:type="dxa"/>
            <w:vAlign w:val="bottom"/>
          </w:tcPr>
          <w:p>
            <w:pPr>
              <w:spacing w:after="0"/>
              <w:rPr>
                <w:sz w:val="20"/>
                <w:szCs w:val="20"/>
                <w:color w:val="auto"/>
              </w:rPr>
            </w:pPr>
            <w:r>
              <w:rPr>
                <w:rFonts w:ascii="Courier New" w:cs="Courier New" w:eastAsia="Courier New" w:hAnsi="Courier New"/>
                <w:sz w:val="17"/>
                <w:szCs w:val="17"/>
                <w:color w:val="auto"/>
              </w:rPr>
              <w:t>September 30, 2002</w:t>
            </w:r>
          </w:p>
        </w:tc>
        <w:tc>
          <w:tcPr>
            <w:tcW w:w="1660" w:type="dxa"/>
            <w:vAlign w:val="bottom"/>
          </w:tcPr>
          <w:p>
            <w:pPr>
              <w:jc w:val="right"/>
              <w:spacing w:after="0"/>
              <w:rPr>
                <w:sz w:val="20"/>
                <w:szCs w:val="20"/>
                <w:color w:val="auto"/>
              </w:rPr>
            </w:pPr>
            <w:r>
              <w:rPr>
                <w:rFonts w:ascii="Courier New" w:cs="Courier New" w:eastAsia="Courier New" w:hAnsi="Courier New"/>
                <w:sz w:val="17"/>
                <w:szCs w:val="17"/>
                <w:color w:val="auto"/>
              </w:rPr>
              <w:t>2.75</w:t>
            </w:r>
          </w:p>
        </w:tc>
        <w:tc>
          <w:tcPr>
            <w:tcW w:w="460" w:type="dxa"/>
            <w:vAlign w:val="bottom"/>
          </w:tcPr>
          <w:p>
            <w:pPr>
              <w:ind w:left="40"/>
              <w:spacing w:after="0"/>
              <w:rPr>
                <w:sz w:val="20"/>
                <w:szCs w:val="20"/>
                <w:color w:val="auto"/>
              </w:rPr>
            </w:pPr>
            <w:r>
              <w:rPr>
                <w:rFonts w:ascii="Courier New" w:cs="Courier New" w:eastAsia="Courier New" w:hAnsi="Courier New"/>
                <w:sz w:val="17"/>
                <w:szCs w:val="17"/>
                <w:color w:val="auto"/>
                <w:w w:val="97"/>
              </w:rPr>
              <w:t>to 1</w:t>
            </w:r>
          </w:p>
        </w:tc>
      </w:tr>
      <w:tr>
        <w:trPr>
          <w:trHeight w:val="198"/>
        </w:trPr>
        <w:tc>
          <w:tcPr>
            <w:tcW w:w="3020" w:type="dxa"/>
            <w:vAlign w:val="bottom"/>
          </w:tcPr>
          <w:p>
            <w:pPr>
              <w:spacing w:after="0"/>
              <w:rPr>
                <w:sz w:val="20"/>
                <w:szCs w:val="20"/>
                <w:color w:val="auto"/>
              </w:rPr>
            </w:pPr>
            <w:r>
              <w:rPr>
                <w:rFonts w:ascii="Courier New" w:cs="Courier New" w:eastAsia="Courier New" w:hAnsi="Courier New"/>
                <w:sz w:val="17"/>
                <w:szCs w:val="17"/>
                <w:color w:val="auto"/>
              </w:rPr>
              <w:t>December 31, 2002</w:t>
            </w:r>
          </w:p>
        </w:tc>
        <w:tc>
          <w:tcPr>
            <w:tcW w:w="1660" w:type="dxa"/>
            <w:vAlign w:val="bottom"/>
          </w:tcPr>
          <w:p>
            <w:pPr>
              <w:jc w:val="right"/>
              <w:spacing w:after="0"/>
              <w:rPr>
                <w:sz w:val="20"/>
                <w:szCs w:val="20"/>
                <w:color w:val="auto"/>
              </w:rPr>
            </w:pPr>
            <w:r>
              <w:rPr>
                <w:rFonts w:ascii="Courier New" w:cs="Courier New" w:eastAsia="Courier New" w:hAnsi="Courier New"/>
                <w:sz w:val="17"/>
                <w:szCs w:val="17"/>
                <w:color w:val="auto"/>
              </w:rPr>
              <w:t>2.75</w:t>
            </w:r>
          </w:p>
        </w:tc>
        <w:tc>
          <w:tcPr>
            <w:tcW w:w="460" w:type="dxa"/>
            <w:vAlign w:val="bottom"/>
          </w:tcPr>
          <w:p>
            <w:pPr>
              <w:ind w:left="40"/>
              <w:spacing w:after="0"/>
              <w:rPr>
                <w:sz w:val="20"/>
                <w:szCs w:val="20"/>
                <w:color w:val="auto"/>
              </w:rPr>
            </w:pPr>
            <w:r>
              <w:rPr>
                <w:rFonts w:ascii="Courier New" w:cs="Courier New" w:eastAsia="Courier New" w:hAnsi="Courier New"/>
                <w:sz w:val="17"/>
                <w:szCs w:val="17"/>
                <w:color w:val="auto"/>
                <w:w w:val="97"/>
              </w:rPr>
              <w:t>to 1</w:t>
            </w:r>
          </w:p>
        </w:tc>
      </w:tr>
      <w:tr>
        <w:trPr>
          <w:trHeight w:val="396"/>
        </w:trPr>
        <w:tc>
          <w:tcPr>
            <w:tcW w:w="3020" w:type="dxa"/>
            <w:vAlign w:val="bottom"/>
          </w:tcPr>
          <w:p>
            <w:pPr>
              <w:spacing w:after="0"/>
              <w:rPr>
                <w:sz w:val="20"/>
                <w:szCs w:val="20"/>
                <w:color w:val="auto"/>
              </w:rPr>
            </w:pPr>
            <w:r>
              <w:rPr>
                <w:rFonts w:ascii="Courier New" w:cs="Courier New" w:eastAsia="Courier New" w:hAnsi="Courier New"/>
                <w:sz w:val="17"/>
                <w:szCs w:val="17"/>
                <w:color w:val="auto"/>
              </w:rPr>
              <w:t>March 31, 2003</w:t>
            </w:r>
          </w:p>
        </w:tc>
        <w:tc>
          <w:tcPr>
            <w:tcW w:w="1660" w:type="dxa"/>
            <w:vAlign w:val="bottom"/>
          </w:tcPr>
          <w:p>
            <w:pPr>
              <w:jc w:val="right"/>
              <w:spacing w:after="0"/>
              <w:rPr>
                <w:sz w:val="20"/>
                <w:szCs w:val="20"/>
                <w:color w:val="auto"/>
              </w:rPr>
            </w:pPr>
            <w:r>
              <w:rPr>
                <w:rFonts w:ascii="Courier New" w:cs="Courier New" w:eastAsia="Courier New" w:hAnsi="Courier New"/>
                <w:sz w:val="17"/>
                <w:szCs w:val="17"/>
                <w:color w:val="auto"/>
              </w:rPr>
              <w:t>3.00</w:t>
            </w:r>
          </w:p>
        </w:tc>
        <w:tc>
          <w:tcPr>
            <w:tcW w:w="460" w:type="dxa"/>
            <w:vAlign w:val="bottom"/>
          </w:tcPr>
          <w:p>
            <w:pPr>
              <w:ind w:left="40"/>
              <w:spacing w:after="0"/>
              <w:rPr>
                <w:sz w:val="20"/>
                <w:szCs w:val="20"/>
                <w:color w:val="auto"/>
              </w:rPr>
            </w:pPr>
            <w:r>
              <w:rPr>
                <w:rFonts w:ascii="Courier New" w:cs="Courier New" w:eastAsia="Courier New" w:hAnsi="Courier New"/>
                <w:sz w:val="17"/>
                <w:szCs w:val="17"/>
                <w:color w:val="auto"/>
                <w:w w:val="97"/>
              </w:rPr>
              <w:t>to 1</w:t>
            </w:r>
          </w:p>
        </w:tc>
      </w:tr>
    </w:tbl>
    <w:p>
      <w:pPr>
        <w:spacing w:after="0" w:line="203" w:lineRule="exact"/>
        <w:rPr>
          <w:sz w:val="20"/>
          <w:szCs w:val="20"/>
          <w:color w:val="auto"/>
        </w:rPr>
      </w:pPr>
    </w:p>
    <w:p>
      <w:pPr>
        <w:jc w:val="both"/>
        <w:ind w:right="2079" w:firstLine="1859"/>
        <w:spacing w:after="0" w:line="246" w:lineRule="auto"/>
        <w:tabs>
          <w:tab w:leader="none" w:pos="2162" w:val="left"/>
        </w:tabs>
        <w:numPr>
          <w:ilvl w:val="0"/>
          <w:numId w:val="2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 TO SECTION 6.10 (MAINTENANCE OF LEVERAGE RATIO). Section 6.10 of the Credit Agreement is hereby amended by deleting the portions of the table therein corresponding to the dates set forth below and inserting, in lieu thereof, the following:</w:t>
      </w:r>
    </w:p>
    <w:p>
      <w:pPr>
        <w:spacing w:after="0" w:line="200" w:lineRule="exact"/>
        <w:rPr>
          <w:sz w:val="20"/>
          <w:szCs w:val="20"/>
          <w:color w:val="auto"/>
        </w:rPr>
      </w:pPr>
    </w:p>
    <w:tbl>
      <w:tblPr>
        <w:tblLayout w:type="fixed"/>
        <w:tblInd w:w="1660" w:type="dxa"/>
        <w:tblCellMar>
          <w:top w:w="0" w:type="dxa"/>
          <w:left w:w="0" w:type="dxa"/>
          <w:bottom w:w="0" w:type="dxa"/>
          <w:right w:w="0" w:type="dxa"/>
        </w:tblCellMar>
      </w:tblPr>
      <w:tr>
        <w:trPr>
          <w:trHeight w:val="193"/>
        </w:trPr>
        <w:tc>
          <w:tcPr>
            <w:tcW w:w="3020" w:type="dxa"/>
            <w:vAlign w:val="bottom"/>
          </w:tcPr>
          <w:p>
            <w:pPr>
              <w:spacing w:after="0"/>
              <w:rPr>
                <w:sz w:val="20"/>
                <w:szCs w:val="20"/>
                <w:color w:val="auto"/>
              </w:rPr>
            </w:pPr>
            <w:r>
              <w:rPr>
                <w:rFonts w:ascii="Courier New" w:cs="Courier New" w:eastAsia="Courier New" w:hAnsi="Courier New"/>
                <w:sz w:val="17"/>
                <w:szCs w:val="17"/>
                <w:color w:val="auto"/>
              </w:rPr>
              <w:t>Date</w:t>
            </w:r>
          </w:p>
        </w:tc>
        <w:tc>
          <w:tcPr>
            <w:tcW w:w="2120" w:type="dxa"/>
            <w:vAlign w:val="bottom"/>
            <w:gridSpan w:val="2"/>
          </w:tcPr>
          <w:p>
            <w:pPr>
              <w:ind w:left="1400"/>
              <w:spacing w:after="0"/>
              <w:rPr>
                <w:sz w:val="20"/>
                <w:szCs w:val="20"/>
                <w:color w:val="auto"/>
              </w:rPr>
            </w:pPr>
            <w:r>
              <w:rPr>
                <w:rFonts w:ascii="Courier New" w:cs="Courier New" w:eastAsia="Courier New" w:hAnsi="Courier New"/>
                <w:sz w:val="17"/>
                <w:szCs w:val="17"/>
                <w:color w:val="auto"/>
              </w:rPr>
              <w:t>Ratio</w:t>
            </w:r>
          </w:p>
        </w:tc>
      </w:tr>
      <w:tr>
        <w:trPr>
          <w:trHeight w:val="198"/>
        </w:trPr>
        <w:tc>
          <w:tcPr>
            <w:tcW w:w="302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2120" w:type="dxa"/>
            <w:vAlign w:val="bottom"/>
            <w:gridSpan w:val="2"/>
          </w:tcPr>
          <w:p>
            <w:pPr>
              <w:ind w:left="1400"/>
              <w:spacing w:after="0"/>
              <w:rPr>
                <w:sz w:val="20"/>
                <w:szCs w:val="20"/>
                <w:color w:val="auto"/>
              </w:rPr>
            </w:pPr>
            <w:r>
              <w:rPr>
                <w:rFonts w:ascii="Courier New" w:cs="Courier New" w:eastAsia="Courier New" w:hAnsi="Courier New"/>
                <w:sz w:val="17"/>
                <w:szCs w:val="17"/>
                <w:color w:val="auto"/>
              </w:rPr>
              <w:t>-----</w:t>
            </w:r>
          </w:p>
        </w:tc>
      </w:tr>
      <w:tr>
        <w:trPr>
          <w:trHeight w:val="396"/>
        </w:trPr>
        <w:tc>
          <w:tcPr>
            <w:tcW w:w="3020" w:type="dxa"/>
            <w:vAlign w:val="bottom"/>
          </w:tcPr>
          <w:p>
            <w:pPr>
              <w:spacing w:after="0"/>
              <w:rPr>
                <w:sz w:val="20"/>
                <w:szCs w:val="20"/>
                <w:color w:val="auto"/>
              </w:rPr>
            </w:pPr>
            <w:r>
              <w:rPr>
                <w:rFonts w:ascii="Courier New" w:cs="Courier New" w:eastAsia="Courier New" w:hAnsi="Courier New"/>
                <w:sz w:val="17"/>
                <w:szCs w:val="17"/>
                <w:color w:val="auto"/>
              </w:rPr>
              <w:t>December 31, 2001</w:t>
            </w:r>
          </w:p>
        </w:tc>
        <w:tc>
          <w:tcPr>
            <w:tcW w:w="1660" w:type="dxa"/>
            <w:vAlign w:val="bottom"/>
          </w:tcPr>
          <w:p>
            <w:pPr>
              <w:jc w:val="right"/>
              <w:spacing w:after="0"/>
              <w:rPr>
                <w:sz w:val="20"/>
                <w:szCs w:val="20"/>
                <w:color w:val="auto"/>
              </w:rPr>
            </w:pPr>
            <w:r>
              <w:rPr>
                <w:rFonts w:ascii="Courier New" w:cs="Courier New" w:eastAsia="Courier New" w:hAnsi="Courier New"/>
                <w:sz w:val="17"/>
                <w:szCs w:val="17"/>
                <w:color w:val="auto"/>
              </w:rPr>
              <w:t>4.60</w:t>
            </w:r>
          </w:p>
        </w:tc>
        <w:tc>
          <w:tcPr>
            <w:tcW w:w="460" w:type="dxa"/>
            <w:vAlign w:val="bottom"/>
          </w:tcPr>
          <w:p>
            <w:pPr>
              <w:ind w:left="40"/>
              <w:spacing w:after="0"/>
              <w:rPr>
                <w:sz w:val="20"/>
                <w:szCs w:val="20"/>
                <w:color w:val="auto"/>
              </w:rPr>
            </w:pPr>
            <w:r>
              <w:rPr>
                <w:rFonts w:ascii="Courier New" w:cs="Courier New" w:eastAsia="Courier New" w:hAnsi="Courier New"/>
                <w:sz w:val="17"/>
                <w:szCs w:val="17"/>
                <w:color w:val="auto"/>
                <w:w w:val="97"/>
              </w:rPr>
              <w:t>to 1</w:t>
            </w:r>
          </w:p>
        </w:tc>
      </w:tr>
      <w:tr>
        <w:trPr>
          <w:trHeight w:val="396"/>
        </w:trPr>
        <w:tc>
          <w:tcPr>
            <w:tcW w:w="3020" w:type="dxa"/>
            <w:vAlign w:val="bottom"/>
          </w:tcPr>
          <w:p>
            <w:pPr>
              <w:spacing w:after="0"/>
              <w:rPr>
                <w:sz w:val="20"/>
                <w:szCs w:val="20"/>
                <w:color w:val="auto"/>
              </w:rPr>
            </w:pPr>
            <w:r>
              <w:rPr>
                <w:rFonts w:ascii="Courier New" w:cs="Courier New" w:eastAsia="Courier New" w:hAnsi="Courier New"/>
                <w:sz w:val="17"/>
                <w:szCs w:val="17"/>
                <w:color w:val="auto"/>
              </w:rPr>
              <w:t>March 31, 2002</w:t>
            </w:r>
          </w:p>
        </w:tc>
        <w:tc>
          <w:tcPr>
            <w:tcW w:w="1660" w:type="dxa"/>
            <w:vAlign w:val="bottom"/>
          </w:tcPr>
          <w:p>
            <w:pPr>
              <w:jc w:val="right"/>
              <w:spacing w:after="0"/>
              <w:rPr>
                <w:sz w:val="20"/>
                <w:szCs w:val="20"/>
                <w:color w:val="auto"/>
              </w:rPr>
            </w:pPr>
            <w:r>
              <w:rPr>
                <w:rFonts w:ascii="Courier New" w:cs="Courier New" w:eastAsia="Courier New" w:hAnsi="Courier New"/>
                <w:sz w:val="17"/>
                <w:szCs w:val="17"/>
                <w:color w:val="auto"/>
              </w:rPr>
              <w:t>4.80</w:t>
            </w:r>
          </w:p>
        </w:tc>
        <w:tc>
          <w:tcPr>
            <w:tcW w:w="460" w:type="dxa"/>
            <w:vAlign w:val="bottom"/>
          </w:tcPr>
          <w:p>
            <w:pPr>
              <w:ind w:left="40"/>
              <w:spacing w:after="0"/>
              <w:rPr>
                <w:sz w:val="20"/>
                <w:szCs w:val="20"/>
                <w:color w:val="auto"/>
              </w:rPr>
            </w:pPr>
            <w:r>
              <w:rPr>
                <w:rFonts w:ascii="Courier New" w:cs="Courier New" w:eastAsia="Courier New" w:hAnsi="Courier New"/>
                <w:sz w:val="17"/>
                <w:szCs w:val="17"/>
                <w:color w:val="auto"/>
                <w:w w:val="97"/>
              </w:rPr>
              <w:t>to 1</w:t>
            </w:r>
          </w:p>
        </w:tc>
      </w:tr>
      <w:tr>
        <w:trPr>
          <w:trHeight w:val="198"/>
        </w:trPr>
        <w:tc>
          <w:tcPr>
            <w:tcW w:w="3020" w:type="dxa"/>
            <w:vAlign w:val="bottom"/>
          </w:tcPr>
          <w:p>
            <w:pPr>
              <w:spacing w:after="0"/>
              <w:rPr>
                <w:sz w:val="20"/>
                <w:szCs w:val="20"/>
                <w:color w:val="auto"/>
              </w:rPr>
            </w:pPr>
            <w:r>
              <w:rPr>
                <w:rFonts w:ascii="Courier New" w:cs="Courier New" w:eastAsia="Courier New" w:hAnsi="Courier New"/>
                <w:sz w:val="17"/>
                <w:szCs w:val="17"/>
                <w:color w:val="auto"/>
              </w:rPr>
              <w:t>June 30, 2002</w:t>
            </w:r>
          </w:p>
        </w:tc>
        <w:tc>
          <w:tcPr>
            <w:tcW w:w="1660" w:type="dxa"/>
            <w:vAlign w:val="bottom"/>
          </w:tcPr>
          <w:p>
            <w:pPr>
              <w:jc w:val="right"/>
              <w:spacing w:after="0"/>
              <w:rPr>
                <w:sz w:val="20"/>
                <w:szCs w:val="20"/>
                <w:color w:val="auto"/>
              </w:rPr>
            </w:pPr>
            <w:r>
              <w:rPr>
                <w:rFonts w:ascii="Courier New" w:cs="Courier New" w:eastAsia="Courier New" w:hAnsi="Courier New"/>
                <w:sz w:val="17"/>
                <w:szCs w:val="17"/>
                <w:color w:val="auto"/>
              </w:rPr>
              <w:t>4.50</w:t>
            </w:r>
          </w:p>
        </w:tc>
        <w:tc>
          <w:tcPr>
            <w:tcW w:w="460" w:type="dxa"/>
            <w:vAlign w:val="bottom"/>
          </w:tcPr>
          <w:p>
            <w:pPr>
              <w:ind w:left="40"/>
              <w:spacing w:after="0"/>
              <w:rPr>
                <w:sz w:val="20"/>
                <w:szCs w:val="20"/>
                <w:color w:val="auto"/>
              </w:rPr>
            </w:pPr>
            <w:r>
              <w:rPr>
                <w:rFonts w:ascii="Courier New" w:cs="Courier New" w:eastAsia="Courier New" w:hAnsi="Courier New"/>
                <w:sz w:val="17"/>
                <w:szCs w:val="17"/>
                <w:color w:val="auto"/>
                <w:w w:val="97"/>
              </w:rPr>
              <w:t>to 1</w:t>
            </w:r>
          </w:p>
        </w:tc>
      </w:tr>
      <w:tr>
        <w:trPr>
          <w:trHeight w:val="198"/>
        </w:trPr>
        <w:tc>
          <w:tcPr>
            <w:tcW w:w="3020" w:type="dxa"/>
            <w:vAlign w:val="bottom"/>
          </w:tcPr>
          <w:p>
            <w:pPr>
              <w:spacing w:after="0"/>
              <w:rPr>
                <w:sz w:val="20"/>
                <w:szCs w:val="20"/>
                <w:color w:val="auto"/>
              </w:rPr>
            </w:pPr>
            <w:r>
              <w:rPr>
                <w:rFonts w:ascii="Courier New" w:cs="Courier New" w:eastAsia="Courier New" w:hAnsi="Courier New"/>
                <w:sz w:val="17"/>
                <w:szCs w:val="17"/>
                <w:color w:val="auto"/>
              </w:rPr>
              <w:t>September 30, 2002</w:t>
            </w:r>
          </w:p>
        </w:tc>
        <w:tc>
          <w:tcPr>
            <w:tcW w:w="1660" w:type="dxa"/>
            <w:vAlign w:val="bottom"/>
          </w:tcPr>
          <w:p>
            <w:pPr>
              <w:jc w:val="right"/>
              <w:spacing w:after="0"/>
              <w:rPr>
                <w:sz w:val="20"/>
                <w:szCs w:val="20"/>
                <w:color w:val="auto"/>
              </w:rPr>
            </w:pPr>
            <w:r>
              <w:rPr>
                <w:rFonts w:ascii="Courier New" w:cs="Courier New" w:eastAsia="Courier New" w:hAnsi="Courier New"/>
                <w:sz w:val="17"/>
                <w:szCs w:val="17"/>
                <w:color w:val="auto"/>
              </w:rPr>
              <w:t>4.25</w:t>
            </w:r>
          </w:p>
        </w:tc>
        <w:tc>
          <w:tcPr>
            <w:tcW w:w="460" w:type="dxa"/>
            <w:vAlign w:val="bottom"/>
          </w:tcPr>
          <w:p>
            <w:pPr>
              <w:ind w:left="40"/>
              <w:spacing w:after="0"/>
              <w:rPr>
                <w:sz w:val="20"/>
                <w:szCs w:val="20"/>
                <w:color w:val="auto"/>
              </w:rPr>
            </w:pPr>
            <w:r>
              <w:rPr>
                <w:rFonts w:ascii="Courier New" w:cs="Courier New" w:eastAsia="Courier New" w:hAnsi="Courier New"/>
                <w:sz w:val="17"/>
                <w:szCs w:val="17"/>
                <w:color w:val="auto"/>
                <w:w w:val="97"/>
              </w:rPr>
              <w:t>to 1</w:t>
            </w:r>
          </w:p>
        </w:tc>
      </w:tr>
      <w:tr>
        <w:trPr>
          <w:trHeight w:val="198"/>
        </w:trPr>
        <w:tc>
          <w:tcPr>
            <w:tcW w:w="3020" w:type="dxa"/>
            <w:vAlign w:val="bottom"/>
          </w:tcPr>
          <w:p>
            <w:pPr>
              <w:spacing w:after="0"/>
              <w:rPr>
                <w:sz w:val="20"/>
                <w:szCs w:val="20"/>
                <w:color w:val="auto"/>
              </w:rPr>
            </w:pPr>
            <w:r>
              <w:rPr>
                <w:rFonts w:ascii="Courier New" w:cs="Courier New" w:eastAsia="Courier New" w:hAnsi="Courier New"/>
                <w:sz w:val="17"/>
                <w:szCs w:val="17"/>
                <w:color w:val="auto"/>
              </w:rPr>
              <w:t>December 31, 2002</w:t>
            </w:r>
          </w:p>
        </w:tc>
        <w:tc>
          <w:tcPr>
            <w:tcW w:w="1660" w:type="dxa"/>
            <w:vAlign w:val="bottom"/>
          </w:tcPr>
          <w:p>
            <w:pPr>
              <w:jc w:val="right"/>
              <w:spacing w:after="0"/>
              <w:rPr>
                <w:sz w:val="20"/>
                <w:szCs w:val="20"/>
                <w:color w:val="auto"/>
              </w:rPr>
            </w:pPr>
            <w:r>
              <w:rPr>
                <w:rFonts w:ascii="Courier New" w:cs="Courier New" w:eastAsia="Courier New" w:hAnsi="Courier New"/>
                <w:sz w:val="17"/>
                <w:szCs w:val="17"/>
                <w:color w:val="auto"/>
              </w:rPr>
              <w:t>4.25</w:t>
            </w:r>
          </w:p>
        </w:tc>
        <w:tc>
          <w:tcPr>
            <w:tcW w:w="460" w:type="dxa"/>
            <w:vAlign w:val="bottom"/>
          </w:tcPr>
          <w:p>
            <w:pPr>
              <w:ind w:left="40"/>
              <w:spacing w:after="0"/>
              <w:rPr>
                <w:sz w:val="20"/>
                <w:szCs w:val="20"/>
                <w:color w:val="auto"/>
              </w:rPr>
            </w:pPr>
            <w:r>
              <w:rPr>
                <w:rFonts w:ascii="Courier New" w:cs="Courier New" w:eastAsia="Courier New" w:hAnsi="Courier New"/>
                <w:sz w:val="17"/>
                <w:szCs w:val="17"/>
                <w:color w:val="auto"/>
                <w:w w:val="97"/>
              </w:rPr>
              <w:t>to 1</w:t>
            </w:r>
          </w:p>
        </w:tc>
      </w:tr>
      <w:tr>
        <w:trPr>
          <w:trHeight w:val="396"/>
        </w:trPr>
        <w:tc>
          <w:tcPr>
            <w:tcW w:w="3020" w:type="dxa"/>
            <w:vAlign w:val="bottom"/>
          </w:tcPr>
          <w:p>
            <w:pPr>
              <w:spacing w:after="0"/>
              <w:rPr>
                <w:sz w:val="20"/>
                <w:szCs w:val="20"/>
                <w:color w:val="auto"/>
              </w:rPr>
            </w:pPr>
            <w:r>
              <w:rPr>
                <w:rFonts w:ascii="Courier New" w:cs="Courier New" w:eastAsia="Courier New" w:hAnsi="Courier New"/>
                <w:sz w:val="17"/>
                <w:szCs w:val="17"/>
                <w:color w:val="auto"/>
              </w:rPr>
              <w:t>March 31, 2003</w:t>
            </w:r>
          </w:p>
        </w:tc>
        <w:tc>
          <w:tcPr>
            <w:tcW w:w="1660" w:type="dxa"/>
            <w:vAlign w:val="bottom"/>
          </w:tcPr>
          <w:p>
            <w:pPr>
              <w:jc w:val="right"/>
              <w:spacing w:after="0"/>
              <w:rPr>
                <w:sz w:val="20"/>
                <w:szCs w:val="20"/>
                <w:color w:val="auto"/>
              </w:rPr>
            </w:pPr>
            <w:r>
              <w:rPr>
                <w:rFonts w:ascii="Courier New" w:cs="Courier New" w:eastAsia="Courier New" w:hAnsi="Courier New"/>
                <w:sz w:val="17"/>
                <w:szCs w:val="17"/>
                <w:color w:val="auto"/>
              </w:rPr>
              <w:t>4.00</w:t>
            </w:r>
          </w:p>
        </w:tc>
        <w:tc>
          <w:tcPr>
            <w:tcW w:w="460" w:type="dxa"/>
            <w:vAlign w:val="bottom"/>
          </w:tcPr>
          <w:p>
            <w:pPr>
              <w:ind w:left="40"/>
              <w:spacing w:after="0"/>
              <w:rPr>
                <w:sz w:val="20"/>
                <w:szCs w:val="20"/>
                <w:color w:val="auto"/>
              </w:rPr>
            </w:pPr>
            <w:r>
              <w:rPr>
                <w:rFonts w:ascii="Courier New" w:cs="Courier New" w:eastAsia="Courier New" w:hAnsi="Courier New"/>
                <w:sz w:val="17"/>
                <w:szCs w:val="17"/>
                <w:color w:val="auto"/>
                <w:w w:val="97"/>
              </w:rPr>
              <w:t>to 1</w:t>
            </w:r>
          </w:p>
        </w:tc>
      </w:tr>
    </w:tbl>
    <w:p>
      <w:pPr>
        <w:spacing w:after="0" w:line="203" w:lineRule="exact"/>
        <w:rPr>
          <w:sz w:val="20"/>
          <w:szCs w:val="20"/>
          <w:color w:val="auto"/>
        </w:rPr>
      </w:pPr>
    </w:p>
    <w:p>
      <w:pPr>
        <w:jc w:val="both"/>
        <w:ind w:right="2079" w:firstLine="1859"/>
        <w:spacing w:after="0" w:line="247" w:lineRule="auto"/>
        <w:tabs>
          <w:tab w:leader="none" w:pos="2162" w:val="left"/>
        </w:tabs>
        <w:numPr>
          <w:ilvl w:val="0"/>
          <w:numId w:val="2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 TO SECTION 6.11 (MAINTENANCE OF CONSOLIDATED NET WORTH). Section 6.11 of the Credit Agreement is hereby deleted in its entirety.</w:t>
      </w:r>
    </w:p>
    <w:p>
      <w:pPr>
        <w:spacing w:after="0" w:line="197" w:lineRule="exact"/>
        <w:rPr>
          <w:rFonts w:ascii="Courier New" w:cs="Courier New" w:eastAsia="Courier New" w:hAnsi="Courier New"/>
          <w:sz w:val="17"/>
          <w:szCs w:val="17"/>
          <w:color w:val="auto"/>
        </w:rPr>
      </w:pPr>
    </w:p>
    <w:p>
      <w:pPr>
        <w:ind w:right="2499" w:firstLine="1859"/>
        <w:spacing w:after="0" w:line="246" w:lineRule="auto"/>
        <w:tabs>
          <w:tab w:leader="none" w:pos="2162" w:val="left"/>
        </w:tabs>
        <w:numPr>
          <w:ilvl w:val="0"/>
          <w:numId w:val="2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 TO SECTION 7.6 (LIMITATION ON INDEBTEDNESS). Section 7.6(e) of the Credit Agreement is hereby amended by deleting such Section in its entirety and substituting, in lieu thereof, the following:</w:t>
      </w:r>
    </w:p>
    <w:p>
      <w:pPr>
        <w:spacing w:after="0" w:line="200"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"(e) (i) unsecured Indebtedness of the Borrower in respect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Senior Subordinated Notes in an aggregate principal amount not to exceed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$330,000,000 and (ii) unsecured Indebtedness of the Borrower under subordinated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notes in an aggregate principal amount of up to $225,000,000 pursuant to one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more subordinated note indentures having subordination provisions as favorable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Lenders as those in the Senior Subordinated Note Indenture and having 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scheduled principal payments or prepayments prior to September 30, 2007,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provided that any such Indebtedness in excess of $70,000,000 may only be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incurred after June 30, 2003 and only when the Leverage Ratio for the most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recent quarter ended on or immediately prior to the date of issuance thereof 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equal to or less than 3:50 to 1;"</w:t>
      </w:r>
    </w:p>
    <w:p>
      <w:pPr>
        <w:spacing w:after="0" w:line="203" w:lineRule="exact"/>
        <w:rPr>
          <w:sz w:val="20"/>
          <w:szCs w:val="20"/>
          <w:color w:val="auto"/>
        </w:rPr>
      </w:pPr>
    </w:p>
    <w:p>
      <w:pPr>
        <w:ind w:left="2160" w:hanging="301"/>
        <w:spacing w:after="0"/>
        <w:tabs>
          <w:tab w:leader="none" w:pos="2160" w:val="left"/>
        </w:tabs>
        <w:numPr>
          <w:ilvl w:val="1"/>
          <w:numId w:val="2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 TO SECTION 7.9 (LIMITATION ON SALE OF ASSETS).</w:t>
      </w:r>
    </w:p>
    <w:p>
      <w:pPr>
        <w:spacing w:after="0" w:line="5" w:lineRule="exact"/>
        <w:rPr>
          <w:rFonts w:ascii="Courier New" w:cs="Courier New" w:eastAsia="Courier New" w:hAnsi="Courier New"/>
          <w:sz w:val="17"/>
          <w:szCs w:val="17"/>
          <w:color w:val="auto"/>
        </w:rPr>
      </w:pPr>
    </w:p>
    <w:p>
      <w:pPr>
        <w:ind w:right="2279" w:firstLine="6"/>
        <w:spacing w:after="0" w:line="247" w:lineRule="auto"/>
        <w:tabs>
          <w:tab w:leader="none" w:pos="412" w:val="left"/>
        </w:tabs>
        <w:numPr>
          <w:ilvl w:val="0"/>
          <w:numId w:val="2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7.9(a) of the Credit Agreement is hereby amended by deleting such Section in its entirety and substituting, in lieu thereof, the following:</w:t>
      </w:r>
    </w:p>
    <w:p>
      <w:pPr>
        <w:sectPr>
          <w:pgSz w:w="11900" w:h="16838" w:orient="portrait"/>
          <w:cols w:equalWidth="0" w:num="1">
            <w:col w:w="10219"/>
          </w:cols>
          <w:pgMar w:left="240" w:top="709" w:right="1440" w:bottom="1440" w:gutter="0" w:footer="0" w:header="0"/>
        </w:sectPr>
      </w:pPr>
    </w:p>
    <w:bookmarkStart w:id="219" w:name="page220"/>
    <w:bookmarkEnd w:id="219"/>
    <w:p>
      <w:pPr>
        <w:jc w:val="right"/>
        <w:ind w:right="1979"/>
        <w:spacing w:after="0"/>
        <w:rPr>
          <w:sz w:val="20"/>
          <w:szCs w:val="20"/>
          <w:color w:val="auto"/>
        </w:rPr>
      </w:pPr>
      <w:r>
        <w:rPr>
          <w:rFonts w:ascii="Courier New" w:cs="Courier New" w:eastAsia="Courier New" w:hAnsi="Courier New"/>
          <w:sz w:val="17"/>
          <w:szCs w:val="17"/>
          <w:color w:val="auto"/>
        </w:rPr>
        <w:t>4</w:t>
      </w:r>
    </w:p>
    <w:p>
      <w:pPr>
        <w:spacing w:after="0" w:line="200" w:lineRule="exact"/>
        <w:rPr>
          <w:sz w:val="20"/>
          <w:szCs w:val="20"/>
          <w:color w:val="auto"/>
        </w:rPr>
      </w:pPr>
    </w:p>
    <w:p>
      <w:pPr>
        <w:spacing w:after="0" w:line="201" w:lineRule="exact"/>
        <w:rPr>
          <w:sz w:val="20"/>
          <w:szCs w:val="20"/>
          <w:color w:val="auto"/>
        </w:rPr>
      </w:pPr>
    </w:p>
    <w:p>
      <w:pPr>
        <w:ind w:right="2079" w:firstLine="1853"/>
        <w:spacing w:after="0" w:line="246" w:lineRule="auto"/>
        <w:rPr>
          <w:sz w:val="20"/>
          <w:szCs w:val="20"/>
          <w:color w:val="auto"/>
        </w:rPr>
      </w:pPr>
      <w:r>
        <w:rPr>
          <w:rFonts w:ascii="Courier New" w:cs="Courier New" w:eastAsia="Courier New" w:hAnsi="Courier New"/>
          <w:sz w:val="17"/>
          <w:szCs w:val="17"/>
          <w:color w:val="auto"/>
        </w:rPr>
        <w:t>"(a) assets, PROVIDED that the aggregate fair market value of all such assets in all such transactions after December 12, 2001, shall not exceed $100,000,000."</w:t>
      </w:r>
    </w:p>
    <w:p>
      <w:pPr>
        <w:spacing w:after="0" w:line="200" w:lineRule="exact"/>
        <w:rPr>
          <w:sz w:val="20"/>
          <w:szCs w:val="20"/>
          <w:color w:val="auto"/>
        </w:rPr>
      </w:pPr>
    </w:p>
    <w:p>
      <w:pPr>
        <w:ind w:right="2399" w:firstLine="1859"/>
        <w:spacing w:after="0" w:line="247" w:lineRule="auto"/>
        <w:tabs>
          <w:tab w:leader="none" w:pos="2265" w:val="left"/>
        </w:tabs>
        <w:numPr>
          <w:ilvl w:val="0"/>
          <w:numId w:val="2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7.9 is further amended by inserting at the end thereof, the following:</w:t>
      </w:r>
    </w:p>
    <w:p>
      <w:pPr>
        <w:spacing w:after="0" w:line="198" w:lineRule="exact"/>
        <w:rPr>
          <w:sz w:val="20"/>
          <w:szCs w:val="20"/>
          <w:color w:val="auto"/>
        </w:rPr>
      </w:pPr>
    </w:p>
    <w:p>
      <w:pPr>
        <w:ind w:right="2279" w:firstLine="1853"/>
        <w:spacing w:after="0" w:line="246" w:lineRule="auto"/>
        <w:rPr>
          <w:sz w:val="20"/>
          <w:szCs w:val="20"/>
          <w:color w:val="auto"/>
        </w:rPr>
      </w:pPr>
      <w:r>
        <w:rPr>
          <w:rFonts w:ascii="Courier New" w:cs="Courier New" w:eastAsia="Courier New" w:hAnsi="Courier New"/>
          <w:sz w:val="17"/>
          <w:szCs w:val="17"/>
          <w:color w:val="auto"/>
        </w:rPr>
        <w:t>"For the avoidance of doubt, any Disposition of assets may utilize the then-unused permitted basket amounts specified in clauses (a) and</w:t>
      </w:r>
    </w:p>
    <w:p>
      <w:pPr>
        <w:spacing w:after="0" w:line="1" w:lineRule="exact"/>
        <w:rPr>
          <w:sz w:val="20"/>
          <w:szCs w:val="20"/>
          <w:color w:val="auto"/>
        </w:rPr>
      </w:pPr>
    </w:p>
    <w:p>
      <w:pPr>
        <w:ind w:left="420" w:hanging="414"/>
        <w:spacing w:after="0"/>
        <w:tabs>
          <w:tab w:leader="none" w:pos="420" w:val="left"/>
        </w:tabs>
        <w:numPr>
          <w:ilvl w:val="0"/>
          <w:numId w:val="2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above in any order that the Borrower may elect."</w:t>
      </w:r>
    </w:p>
    <w:p>
      <w:pPr>
        <w:spacing w:after="0" w:line="203" w:lineRule="exact"/>
        <w:rPr>
          <w:rFonts w:ascii="Courier New" w:cs="Courier New" w:eastAsia="Courier New" w:hAnsi="Courier New"/>
          <w:sz w:val="17"/>
          <w:szCs w:val="17"/>
          <w:color w:val="auto"/>
        </w:rPr>
      </w:pPr>
    </w:p>
    <w:p>
      <w:pPr>
        <w:ind w:right="2179" w:firstLine="1859"/>
        <w:spacing w:after="0" w:line="246" w:lineRule="auto"/>
        <w:tabs>
          <w:tab w:leader="none" w:pos="2265" w:val="left"/>
        </w:tabs>
        <w:numPr>
          <w:ilvl w:val="1"/>
          <w:numId w:val="2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 TO ANNEX A TO CREDIT AGREEMENT (PRICING GRID). Annex A to the Credit Agreement is hereby amended by inserting at the end thereof the following:</w:t>
      </w:r>
    </w:p>
    <w:p>
      <w:pPr>
        <w:spacing w:after="0" w:line="200"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"For the avoidance of doubt, each determination of the Leverage Ratio pursuant to this Pricing Grid shall be made without giving effect to the amounts set forth in clause (vii) of the definition of EBITDA.".</w:t>
      </w:r>
    </w:p>
    <w:p>
      <w:pPr>
        <w:spacing w:after="0" w:line="200" w:lineRule="exact"/>
        <w:rPr>
          <w:sz w:val="20"/>
          <w:szCs w:val="20"/>
          <w:color w:val="auto"/>
        </w:rPr>
      </w:pPr>
    </w:p>
    <w:p>
      <w:pPr>
        <w:ind w:left="420" w:hanging="414"/>
        <w:spacing w:after="0"/>
        <w:tabs>
          <w:tab w:leader="none" w:pos="420" w:val="left"/>
        </w:tabs>
        <w:numPr>
          <w:ilvl w:val="0"/>
          <w:numId w:val="2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GENERAL PROVISIONS</w:t>
      </w:r>
    </w:p>
    <w:p>
      <w:pPr>
        <w:spacing w:after="0" w:line="203" w:lineRule="exact"/>
        <w:rPr>
          <w:rFonts w:ascii="Courier New" w:cs="Courier New" w:eastAsia="Courier New" w:hAnsi="Courier New"/>
          <w:sz w:val="17"/>
          <w:szCs w:val="17"/>
          <w:color w:val="auto"/>
        </w:rPr>
      </w:pPr>
    </w:p>
    <w:p>
      <w:pPr>
        <w:ind w:right="1979" w:firstLine="1859"/>
        <w:spacing w:after="0" w:line="246" w:lineRule="auto"/>
        <w:tabs>
          <w:tab w:leader="none" w:pos="2162" w:val="left"/>
        </w:tabs>
        <w:numPr>
          <w:ilvl w:val="1"/>
          <w:numId w:val="2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REPRESENTATIONS AND WARRANTIES. On and as of the date hereof, and after giving effect to this Third Amendment, each of the Borrower and each applicable Subsidiary Borrower hereby confirms, reaffirms and restates the representations and warranties set forth in Section 4 of the Credit Agreement MUTATIS MUTANDIS, and to the extent that such representations and warranties expressly relate to a specific earlier date in which case each of the Borrower and each applicable Subsidiary Borrower hereby confirms, reaffirms and restates such representations and warranties as of such earlier date.</w:t>
      </w:r>
    </w:p>
    <w:p>
      <w:pPr>
        <w:spacing w:after="0" w:line="202" w:lineRule="exact"/>
        <w:rPr>
          <w:rFonts w:ascii="Courier New" w:cs="Courier New" w:eastAsia="Courier New" w:hAnsi="Courier New"/>
          <w:sz w:val="17"/>
          <w:szCs w:val="17"/>
          <w:color w:val="auto"/>
        </w:rPr>
      </w:pPr>
    </w:p>
    <w:p>
      <w:pPr>
        <w:ind w:right="1979" w:firstLine="1859"/>
        <w:spacing w:after="0" w:line="246" w:lineRule="auto"/>
        <w:tabs>
          <w:tab w:leader="none" w:pos="2162" w:val="left"/>
        </w:tabs>
        <w:numPr>
          <w:ilvl w:val="1"/>
          <w:numId w:val="2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CONDITIONS TO EFFECTIVENESS. This Third Amendment shall become effective as of the date (i) the Administrative Agent has received counterparts of this Third Amendment, duly executed and delivered by the Borrower, each Subsidiary Borrower, the Administrative Agent and the Required Prepayment Lenders, (ii) this Third Amendment has been acknowledged and consented to by each Loan Party party to the Guarantee and Collateral Agreement and (iii) an amendment fee has been paid to the Administrative Agent, for the account of each Lender that has executed and delivered to the Administrative Agent a copy of this Third Amendment by not later than 5:00 p.m. (New York time) on December 11, 2001, in an amount equal to 0.10% of the Aggregate Exposure of such Lender.</w:t>
      </w:r>
    </w:p>
    <w:p>
      <w:pPr>
        <w:spacing w:after="0" w:line="204" w:lineRule="exact"/>
        <w:rPr>
          <w:rFonts w:ascii="Courier New" w:cs="Courier New" w:eastAsia="Courier New" w:hAnsi="Courier New"/>
          <w:sz w:val="17"/>
          <w:szCs w:val="17"/>
          <w:color w:val="auto"/>
        </w:rPr>
      </w:pPr>
    </w:p>
    <w:p>
      <w:pPr>
        <w:ind w:right="1979" w:firstLine="1859"/>
        <w:spacing w:after="0" w:line="246" w:lineRule="auto"/>
        <w:tabs>
          <w:tab w:leader="none" w:pos="2162" w:val="left"/>
        </w:tabs>
        <w:numPr>
          <w:ilvl w:val="1"/>
          <w:numId w:val="2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CONTINUING EFFECT; NO OTHER AMENDMENTS. Except as expressly amended or waived hereby, all of the terms and provisions of the Credit Agreement are and shall remain in full force and effect. The amendments provided for herein are limited to the specific subsections of the Credit Agreement specified herein and shall not constitute an amendment of, or an indication of any Lender's willingness to amend or waive, any other provisions of the Credit Agreement or the same subsections for any other date or time period (whether or not other provisions or compliance with such subsections for another date or time period are affected by the circumstances addressed in this Third Amendment).</w:t>
      </w:r>
    </w:p>
    <w:p>
      <w:pPr>
        <w:sectPr>
          <w:pgSz w:w="11900" w:h="16838" w:orient="portrait"/>
          <w:cols w:equalWidth="0" w:num="1">
            <w:col w:w="10219"/>
          </w:cols>
          <w:pgMar w:left="240" w:top="511" w:right="1440" w:bottom="1440" w:gutter="0" w:footer="0" w:header="0"/>
        </w:sectPr>
      </w:pPr>
    </w:p>
    <w:bookmarkStart w:id="220" w:name="page221"/>
    <w:bookmarkEnd w:id="220"/>
    <w:p>
      <w:pPr>
        <w:jc w:val="right"/>
        <w:ind w:right="1979"/>
        <w:spacing w:after="0"/>
        <w:rPr>
          <w:sz w:val="20"/>
          <w:szCs w:val="20"/>
          <w:color w:val="auto"/>
        </w:rPr>
      </w:pPr>
      <w:r>
        <w:rPr>
          <w:rFonts w:ascii="Courier New" w:cs="Courier New" w:eastAsia="Courier New" w:hAnsi="Courier New"/>
          <w:sz w:val="17"/>
          <w:szCs w:val="17"/>
          <w:color w:val="auto"/>
        </w:rPr>
        <w:t>5</w:t>
      </w:r>
    </w:p>
    <w:p>
      <w:pPr>
        <w:spacing w:after="0" w:line="200" w:lineRule="exact"/>
        <w:rPr>
          <w:sz w:val="20"/>
          <w:szCs w:val="20"/>
          <w:color w:val="auto"/>
        </w:rPr>
      </w:pPr>
    </w:p>
    <w:p>
      <w:pPr>
        <w:spacing w:after="0" w:line="201" w:lineRule="exact"/>
        <w:rPr>
          <w:sz w:val="20"/>
          <w:szCs w:val="20"/>
          <w:color w:val="auto"/>
        </w:rPr>
      </w:pPr>
    </w:p>
    <w:p>
      <w:pPr>
        <w:ind w:right="1979" w:firstLine="1859"/>
        <w:spacing w:after="0" w:line="246" w:lineRule="auto"/>
        <w:tabs>
          <w:tab w:leader="none" w:pos="2162" w:val="left"/>
        </w:tabs>
        <w:numPr>
          <w:ilvl w:val="0"/>
          <w:numId w:val="2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EXPENSES. The Borrower agrees to pay and reimburse the Administrative Agent for all its reasonable costs and expenses incurred in connection with the preparation and delivery of this Third Amendment, including, without limitation the reasonable fees and disbursements of counsel to the Administrative Agent.</w:t>
      </w:r>
    </w:p>
    <w:p>
      <w:pPr>
        <w:spacing w:after="0" w:line="200" w:lineRule="exact"/>
        <w:rPr>
          <w:rFonts w:ascii="Courier New" w:cs="Courier New" w:eastAsia="Courier New" w:hAnsi="Courier New"/>
          <w:sz w:val="17"/>
          <w:szCs w:val="17"/>
          <w:color w:val="auto"/>
        </w:rPr>
      </w:pPr>
    </w:p>
    <w:p>
      <w:pPr>
        <w:jc w:val="both"/>
        <w:ind w:right="2179" w:firstLine="1859"/>
        <w:spacing w:after="0" w:line="246" w:lineRule="auto"/>
        <w:tabs>
          <w:tab w:leader="none" w:pos="2162" w:val="left"/>
        </w:tabs>
        <w:numPr>
          <w:ilvl w:val="0"/>
          <w:numId w:val="2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GOVERNING LAW. THIS THIRD AMENDMENT SHALL BE GOVERNED BY, AND CONSTRUED AND INTERPRETED IN ACCORDANCE WITH, THE LAWS OF THE STATE OF NEW YORK.</w:t>
      </w:r>
    </w:p>
    <w:p>
      <w:pPr>
        <w:spacing w:after="0" w:line="199" w:lineRule="exact"/>
        <w:rPr>
          <w:rFonts w:ascii="Courier New" w:cs="Courier New" w:eastAsia="Courier New" w:hAnsi="Courier New"/>
          <w:sz w:val="17"/>
          <w:szCs w:val="17"/>
          <w:color w:val="auto"/>
        </w:rPr>
      </w:pPr>
    </w:p>
    <w:p>
      <w:pPr>
        <w:ind w:right="2179" w:firstLine="1859"/>
        <w:spacing w:after="0" w:line="246" w:lineRule="auto"/>
        <w:tabs>
          <w:tab w:leader="none" w:pos="2162" w:val="left"/>
        </w:tabs>
        <w:numPr>
          <w:ilvl w:val="0"/>
          <w:numId w:val="2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COUNTERPARTS. This Third Amendment may be executed by the parties hereto in any number of separate counterparts, and all of said counterparts taken together shall be deemed to constitute one and the same instrument.</w:t>
      </w:r>
    </w:p>
    <w:p>
      <w:pPr>
        <w:sectPr>
          <w:pgSz w:w="11900" w:h="16838" w:orient="portrait"/>
          <w:cols w:equalWidth="0" w:num="1">
            <w:col w:w="10219"/>
          </w:cols>
          <w:pgMar w:left="240" w:top="512" w:right="1440" w:bottom="1440" w:gutter="0" w:footer="0" w:header="0"/>
        </w:sectPr>
      </w:pPr>
    </w:p>
    <w:bookmarkStart w:id="221" w:name="page222"/>
    <w:bookmarkEnd w:id="221"/>
    <w:p>
      <w:pPr>
        <w:ind w:right="2079" w:firstLine="1544"/>
        <w:spacing w:after="0" w:line="246" w:lineRule="auto"/>
        <w:rPr>
          <w:sz w:val="20"/>
          <w:szCs w:val="20"/>
          <w:color w:val="auto"/>
        </w:rPr>
      </w:pPr>
      <w:r>
        <w:rPr>
          <w:rFonts w:ascii="Courier New" w:cs="Courier New" w:eastAsia="Courier New" w:hAnsi="Courier New"/>
          <w:sz w:val="17"/>
          <w:szCs w:val="17"/>
          <w:color w:val="auto"/>
        </w:rPr>
        <w:t>IN WITNESS WHEREOF, the parties hereto have caused this Third Amendment to be duly executed and delivered by their proper and duly authorized officers as of the day and year first above written.</w:t>
      </w:r>
    </w:p>
    <w:p>
      <w:pPr>
        <w:spacing w:after="0" w:line="200"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THE SCOTTS COMPANY</w:t>
      </w:r>
    </w:p>
    <w:p>
      <w:pPr>
        <w:spacing w:after="0" w:line="200" w:lineRule="exact"/>
        <w:rPr>
          <w:sz w:val="20"/>
          <w:szCs w:val="20"/>
          <w:color w:val="auto"/>
        </w:rPr>
      </w:pPr>
    </w:p>
    <w:p>
      <w:pPr>
        <w:spacing w:after="0" w:line="399"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By: /s/ Rebecca J. Bruening</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500"/>
        <w:spacing w:after="0"/>
        <w:tabs>
          <w:tab w:leader="none" w:pos="4200" w:val="left"/>
        </w:tabs>
        <w:rPr>
          <w:sz w:val="20"/>
          <w:szCs w:val="20"/>
          <w:color w:val="auto"/>
        </w:rPr>
      </w:pPr>
      <w:r>
        <w:rPr>
          <w:rFonts w:ascii="Courier New" w:cs="Courier New" w:eastAsia="Courier New" w:hAnsi="Courier New"/>
          <w:sz w:val="17"/>
          <w:szCs w:val="17"/>
          <w:color w:val="auto"/>
        </w:rPr>
        <w:t>Name:</w:t>
        <w:tab/>
        <w:t>Rebecca J. Bruening</w:t>
      </w:r>
    </w:p>
    <w:p>
      <w:pPr>
        <w:spacing w:after="0" w:line="5" w:lineRule="exact"/>
        <w:rPr>
          <w:sz w:val="20"/>
          <w:szCs w:val="20"/>
          <w:color w:val="auto"/>
        </w:rPr>
      </w:pPr>
    </w:p>
    <w:p>
      <w:pPr>
        <w:ind w:left="3500"/>
        <w:spacing w:after="0"/>
        <w:tabs>
          <w:tab w:leader="none" w:pos="4300" w:val="left"/>
        </w:tabs>
        <w:rPr>
          <w:sz w:val="20"/>
          <w:szCs w:val="20"/>
          <w:color w:val="auto"/>
        </w:rPr>
      </w:pPr>
      <w:r>
        <w:rPr>
          <w:rFonts w:ascii="Courier New" w:cs="Courier New" w:eastAsia="Courier New" w:hAnsi="Courier New"/>
          <w:sz w:val="17"/>
          <w:szCs w:val="17"/>
          <w:color w:val="auto"/>
        </w:rPr>
        <w:t>Title:</w:t>
        <w:tab/>
        <w:t>Vice President and Treasurer</w:t>
      </w:r>
    </w:p>
    <w:p>
      <w:pPr>
        <w:spacing w:after="0" w:line="200" w:lineRule="exact"/>
        <w:rPr>
          <w:sz w:val="20"/>
          <w:szCs w:val="20"/>
          <w:color w:val="auto"/>
        </w:rPr>
      </w:pPr>
    </w:p>
    <w:p>
      <w:pPr>
        <w:spacing w:after="0" w:line="399"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JPMORGAN CHASE BANK (formerly The Chase</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Manhattan Bank), as Administrative Agent and</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as a Lender</w:t>
      </w:r>
    </w:p>
    <w:p>
      <w:pPr>
        <w:spacing w:after="0" w:line="200" w:lineRule="exact"/>
        <w:rPr>
          <w:sz w:val="20"/>
          <w:szCs w:val="20"/>
          <w:color w:val="auto"/>
        </w:rPr>
      </w:pPr>
    </w:p>
    <w:p>
      <w:pPr>
        <w:spacing w:after="0" w:line="399"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By: /s/ Randolph E. Cates</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Name: Randolph E. Cates</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Title: Vice President</w:t>
      </w:r>
    </w:p>
    <w:p>
      <w:pPr>
        <w:spacing w:after="0" w:line="200" w:lineRule="exact"/>
        <w:rPr>
          <w:sz w:val="20"/>
          <w:szCs w:val="20"/>
          <w:color w:val="auto"/>
        </w:rPr>
      </w:pPr>
    </w:p>
    <w:p>
      <w:pPr>
        <w:spacing w:after="0" w:line="399"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CREDIT LYONNAIS NEW YORK BRANCH, as</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Co-Documentation Agent and as a Lender</w:t>
      </w:r>
    </w:p>
    <w:p>
      <w:pPr>
        <w:spacing w:after="0" w:line="200" w:lineRule="exact"/>
        <w:rPr>
          <w:sz w:val="20"/>
          <w:szCs w:val="20"/>
          <w:color w:val="auto"/>
        </w:rPr>
      </w:pPr>
    </w:p>
    <w:p>
      <w:pPr>
        <w:spacing w:after="0" w:line="399"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By: /s/ Guido Van Hauwermeiren</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Name: Guido Van Hauwermeiren</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Title: Senior Vice President Midwest Regional</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Manager</w:t>
      </w:r>
    </w:p>
    <w:p>
      <w:pPr>
        <w:spacing w:after="0" w:line="200" w:lineRule="exact"/>
        <w:rPr>
          <w:sz w:val="20"/>
          <w:szCs w:val="20"/>
          <w:color w:val="auto"/>
        </w:rPr>
      </w:pPr>
    </w:p>
    <w:p>
      <w:pPr>
        <w:spacing w:after="0" w:line="399"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BANK ONE, MICHIGAN, as successor to</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NBD BANK, as Co-Documentation Agent and as a</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Lender</w:t>
      </w:r>
    </w:p>
    <w:p>
      <w:pPr>
        <w:spacing w:after="0" w:line="200" w:lineRule="exact"/>
        <w:rPr>
          <w:sz w:val="20"/>
          <w:szCs w:val="20"/>
          <w:color w:val="auto"/>
        </w:rPr>
      </w:pPr>
    </w:p>
    <w:p>
      <w:pPr>
        <w:spacing w:after="0" w:line="399"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By: /s/ Paul A. Harris</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Name: Paul A. Harris</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Title: Director</w:t>
      </w:r>
    </w:p>
    <w:p>
      <w:pPr>
        <w:sectPr>
          <w:pgSz w:w="11900" w:h="16838" w:orient="portrait"/>
          <w:cols w:equalWidth="0" w:num="1">
            <w:col w:w="10219"/>
          </w:cols>
          <w:pgMar w:left="240" w:top="710" w:right="1440" w:bottom="1440" w:gutter="0" w:footer="0" w:header="0"/>
        </w:sectPr>
      </w:pPr>
    </w:p>
    <w:bookmarkStart w:id="222" w:name="page223"/>
    <w:bookmarkEnd w:id="222"/>
    <w:p>
      <w:pPr>
        <w:ind w:left="2000"/>
        <w:spacing w:after="0"/>
        <w:rPr>
          <w:sz w:val="20"/>
          <w:szCs w:val="20"/>
          <w:color w:val="auto"/>
        </w:rPr>
      </w:pPr>
      <w:r>
        <w:rPr>
          <w:rFonts w:ascii="Courier New" w:cs="Courier New" w:eastAsia="Courier New" w:hAnsi="Courier New"/>
          <w:sz w:val="17"/>
          <w:szCs w:val="17"/>
          <w:color w:val="auto"/>
        </w:rPr>
        <w:t>ABN AMRO BANK N.V.</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Thomas Comfort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Thomas Comfort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Senior Vice President</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Wendy E. Pace</w:t>
      </w:r>
    </w:p>
    <w:p>
      <w:pPr>
        <w:spacing w:after="0" w:line="5" w:lineRule="exact"/>
        <w:rPr>
          <w:sz w:val="20"/>
          <w:szCs w:val="20"/>
          <w:color w:val="auto"/>
        </w:rPr>
      </w:pPr>
    </w:p>
    <w:p>
      <w:pPr>
        <w:ind w:left="24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Wendy E. Pace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Assistant Vice President</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BANK OF MONTREAL</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Christopher Fisher</w:t>
      </w:r>
    </w:p>
    <w:p>
      <w:pPr>
        <w:spacing w:after="0" w:line="5" w:lineRule="exact"/>
        <w:rPr>
          <w:sz w:val="20"/>
          <w:szCs w:val="20"/>
          <w:color w:val="auto"/>
        </w:rPr>
      </w:pPr>
    </w:p>
    <w:p>
      <w:pPr>
        <w:ind w:left="24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Christopher Fisher</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Vice President</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ADDISON CDO, LIMITED (ACCT 1279)</w:t>
      </w:r>
    </w:p>
    <w:p>
      <w:pPr>
        <w:spacing w:after="0" w:line="203" w:lineRule="exact"/>
        <w:rPr>
          <w:sz w:val="20"/>
          <w:szCs w:val="20"/>
          <w:color w:val="auto"/>
        </w:rPr>
      </w:pPr>
    </w:p>
    <w:p>
      <w:pPr>
        <w:ind w:left="2000" w:right="1979"/>
        <w:spacing w:after="0" w:line="247" w:lineRule="auto"/>
        <w:rPr>
          <w:sz w:val="20"/>
          <w:szCs w:val="20"/>
          <w:color w:val="auto"/>
        </w:rPr>
      </w:pPr>
      <w:r>
        <w:rPr>
          <w:rFonts w:ascii="Courier New" w:cs="Courier New" w:eastAsia="Courier New" w:hAnsi="Courier New"/>
          <w:sz w:val="17"/>
          <w:szCs w:val="17"/>
          <w:color w:val="auto"/>
        </w:rPr>
        <w:t>By: Pacific Investment Management Company LLC, as its Investment Advisor</w:t>
      </w:r>
    </w:p>
    <w:p>
      <w:pPr>
        <w:spacing w:after="0" w:line="200" w:lineRule="exact"/>
        <w:rPr>
          <w:sz w:val="20"/>
          <w:szCs w:val="20"/>
          <w:color w:val="auto"/>
        </w:rPr>
      </w:pPr>
    </w:p>
    <w:p>
      <w:pPr>
        <w:spacing w:after="0" w:line="394"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Mohan V. Phansalkar</w:t>
      </w:r>
    </w:p>
    <w:p>
      <w:pPr>
        <w:spacing w:after="0" w:line="5" w:lineRule="exact"/>
        <w:rPr>
          <w:sz w:val="20"/>
          <w:szCs w:val="20"/>
          <w:color w:val="auto"/>
        </w:rPr>
      </w:pPr>
    </w:p>
    <w:p>
      <w:pPr>
        <w:ind w:left="24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Mohan V. Phansalkar</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Executive Vice President</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AERIES-II FINANCE LTD.</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4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w:t>
      </w:r>
    </w:p>
    <w:p>
      <w:pPr>
        <w:sectPr>
          <w:pgSz w:w="11900" w:h="16838" w:orient="portrait"/>
          <w:cols w:equalWidth="0" w:num="1">
            <w:col w:w="9019"/>
          </w:cols>
          <w:pgMar w:left="1440" w:top="1105" w:right="1440" w:bottom="1440" w:gutter="0" w:footer="0" w:header="0"/>
        </w:sectPr>
      </w:pPr>
    </w:p>
    <w:bookmarkStart w:id="223" w:name="page224"/>
    <w:bookmarkEnd w:id="223"/>
    <w:p>
      <w:pPr>
        <w:ind w:left="2000"/>
        <w:spacing w:after="0"/>
        <w:rPr>
          <w:sz w:val="20"/>
          <w:szCs w:val="20"/>
          <w:color w:val="auto"/>
        </w:rPr>
      </w:pPr>
      <w:r>
        <w:rPr>
          <w:rFonts w:ascii="Courier New" w:cs="Courier New" w:eastAsia="Courier New" w:hAnsi="Courier New"/>
          <w:sz w:val="17"/>
          <w:szCs w:val="17"/>
          <w:color w:val="auto"/>
        </w:rPr>
        <w:t>AIMCO CDO SERIES 2000-A</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Jerry D. Zinkula</w:t>
      </w:r>
    </w:p>
    <w:p>
      <w:pPr>
        <w:spacing w:after="0" w:line="5" w:lineRule="exact"/>
        <w:rPr>
          <w:sz w:val="20"/>
          <w:szCs w:val="20"/>
          <w:color w:val="auto"/>
        </w:rPr>
      </w:pPr>
    </w:p>
    <w:p>
      <w:pPr>
        <w:ind w:left="24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Jerry D. Zinkula</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Authorized Signatory</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David Walsh</w:t>
      </w:r>
    </w:p>
    <w:p>
      <w:pPr>
        <w:spacing w:after="0" w:line="5" w:lineRule="exact"/>
        <w:rPr>
          <w:sz w:val="20"/>
          <w:szCs w:val="20"/>
          <w:color w:val="auto"/>
        </w:rPr>
      </w:pPr>
    </w:p>
    <w:p>
      <w:pPr>
        <w:ind w:left="24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David Walsh</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Authorized Signatory</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ALLSTATE LIFE INSURANCE CO.</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Jerry D. Zinkula</w:t>
      </w:r>
    </w:p>
    <w:p>
      <w:pPr>
        <w:spacing w:after="0" w:line="5" w:lineRule="exact"/>
        <w:rPr>
          <w:sz w:val="20"/>
          <w:szCs w:val="20"/>
          <w:color w:val="auto"/>
        </w:rPr>
      </w:pPr>
    </w:p>
    <w:p>
      <w:pPr>
        <w:ind w:left="24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Jerry D. Zinkula</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Authorized Signatory</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David Walsh</w:t>
      </w:r>
    </w:p>
    <w:p>
      <w:pPr>
        <w:spacing w:after="0" w:line="5" w:lineRule="exact"/>
        <w:rPr>
          <w:sz w:val="20"/>
          <w:szCs w:val="20"/>
          <w:color w:val="auto"/>
        </w:rPr>
      </w:pPr>
    </w:p>
    <w:p>
      <w:pPr>
        <w:ind w:left="24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David Walsh</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Authorized Signatory</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AMMC CDO I, LIMITED</w:t>
      </w:r>
    </w:p>
    <w:p>
      <w:pPr>
        <w:spacing w:after="0" w:line="203"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American Money Management Corp., as</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Collateral Manager</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David P. Meyer</w:t>
      </w:r>
    </w:p>
    <w:p>
      <w:pPr>
        <w:spacing w:after="0" w:line="5" w:lineRule="exact"/>
        <w:rPr>
          <w:sz w:val="20"/>
          <w:szCs w:val="20"/>
          <w:color w:val="auto"/>
        </w:rPr>
      </w:pPr>
    </w:p>
    <w:p>
      <w:pPr>
        <w:ind w:left="24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David P. Meyer</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Vice President</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APEX (IPM) CDO I, LTD.</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Roshan White</w:t>
      </w:r>
    </w:p>
    <w:p>
      <w:pPr>
        <w:spacing w:after="0" w:line="5" w:lineRule="exact"/>
        <w:rPr>
          <w:sz w:val="20"/>
          <w:szCs w:val="20"/>
          <w:color w:val="auto"/>
        </w:rPr>
      </w:pPr>
    </w:p>
    <w:p>
      <w:pPr>
        <w:ind w:left="24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Roshan White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Vice President</w:t>
      </w:r>
    </w:p>
    <w:p>
      <w:pPr>
        <w:sectPr>
          <w:pgSz w:w="11900" w:h="16838" w:orient="portrait"/>
          <w:cols w:equalWidth="0" w:num="1">
            <w:col w:w="9019"/>
          </w:cols>
          <w:pgMar w:left="1440" w:top="709" w:right="1440" w:bottom="1440" w:gutter="0" w:footer="0" w:header="0"/>
        </w:sectPr>
      </w:pPr>
    </w:p>
    <w:bookmarkStart w:id="224" w:name="page225"/>
    <w:bookmarkEnd w:id="224"/>
    <w:p>
      <w:pPr>
        <w:ind w:left="2000"/>
        <w:spacing w:after="0"/>
        <w:rPr>
          <w:sz w:val="20"/>
          <w:szCs w:val="20"/>
          <w:color w:val="auto"/>
        </w:rPr>
      </w:pPr>
      <w:r>
        <w:rPr>
          <w:rFonts w:ascii="Courier New" w:cs="Courier New" w:eastAsia="Courier New" w:hAnsi="Courier New"/>
          <w:sz w:val="17"/>
          <w:szCs w:val="17"/>
          <w:color w:val="auto"/>
        </w:rPr>
        <w:t>ARCHIMEDES FUNDING IV, LTD.</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ING Capital Advisors LLC, as Collateral</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Manager</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4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ARES III CLO LTD.</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4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ARES IV CLO LTD.</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4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ARES LEVERAGED INVESTMENT FUND II, L.P.</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w:t>
      </w:r>
    </w:p>
    <w:p>
      <w:pPr>
        <w:sectPr>
          <w:pgSz w:w="11900" w:h="16838" w:orient="portrait"/>
          <w:cols w:equalWidth="0" w:num="1">
            <w:col w:w="9019"/>
          </w:cols>
          <w:pgMar w:left="1440" w:top="907" w:right="1440" w:bottom="1440" w:gutter="0" w:footer="0" w:header="0"/>
        </w:sectPr>
      </w:pPr>
    </w:p>
    <w:bookmarkStart w:id="225" w:name="page226"/>
    <w:bookmarkEnd w:id="225"/>
    <w:p>
      <w:pPr>
        <w:ind w:left="2000"/>
        <w:spacing w:after="0"/>
        <w:rPr>
          <w:sz w:val="20"/>
          <w:szCs w:val="20"/>
          <w:color w:val="auto"/>
        </w:rPr>
      </w:pPr>
      <w:r>
        <w:rPr>
          <w:rFonts w:ascii="Courier New" w:cs="Courier New" w:eastAsia="Courier New" w:hAnsi="Courier New"/>
          <w:sz w:val="17"/>
          <w:szCs w:val="17"/>
          <w:color w:val="auto"/>
        </w:rPr>
        <w:t>AVALON CAPITAL LTD.</w:t>
      </w:r>
    </w:p>
    <w:p>
      <w:pPr>
        <w:spacing w:after="0" w:line="200" w:lineRule="exact"/>
        <w:rPr>
          <w:sz w:val="20"/>
          <w:szCs w:val="20"/>
          <w:color w:val="auto"/>
        </w:rPr>
      </w:pPr>
    </w:p>
    <w:p>
      <w:pPr>
        <w:spacing w:after="0" w:line="399" w:lineRule="exact"/>
        <w:rPr>
          <w:sz w:val="20"/>
          <w:szCs w:val="20"/>
          <w:color w:val="auto"/>
        </w:rPr>
      </w:pPr>
    </w:p>
    <w:p>
      <w:pPr>
        <w:ind w:left="2300" w:right="2279" w:hanging="308"/>
        <w:spacing w:after="0" w:line="247" w:lineRule="auto"/>
        <w:rPr>
          <w:sz w:val="20"/>
          <w:szCs w:val="20"/>
          <w:color w:val="auto"/>
        </w:rPr>
      </w:pPr>
      <w:r>
        <w:rPr>
          <w:rFonts w:ascii="Courier New" w:cs="Courier New" w:eastAsia="Courier New" w:hAnsi="Courier New"/>
          <w:sz w:val="17"/>
          <w:szCs w:val="17"/>
          <w:color w:val="auto"/>
        </w:rPr>
        <w:t>By: INVESCO Senior Secured Management, Inc. as Portfolio Advisor</w:t>
      </w:r>
    </w:p>
    <w:p>
      <w:pPr>
        <w:spacing w:after="0" w:line="200" w:lineRule="exact"/>
        <w:rPr>
          <w:sz w:val="20"/>
          <w:szCs w:val="20"/>
          <w:color w:val="auto"/>
        </w:rPr>
      </w:pPr>
    </w:p>
    <w:p>
      <w:pPr>
        <w:spacing w:after="0" w:line="394"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Thomas H. B. Ewald</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Thomas H. B. Ewald</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Authorized Signatory</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AVALON CAPITAL LTD. II</w:t>
      </w:r>
    </w:p>
    <w:p>
      <w:pPr>
        <w:spacing w:after="0" w:line="200" w:lineRule="exact"/>
        <w:rPr>
          <w:sz w:val="20"/>
          <w:szCs w:val="20"/>
          <w:color w:val="auto"/>
        </w:rPr>
      </w:pPr>
    </w:p>
    <w:p>
      <w:pPr>
        <w:spacing w:after="0" w:line="399" w:lineRule="exact"/>
        <w:rPr>
          <w:sz w:val="20"/>
          <w:szCs w:val="20"/>
          <w:color w:val="auto"/>
        </w:rPr>
      </w:pPr>
    </w:p>
    <w:p>
      <w:pPr>
        <w:ind w:left="2300" w:right="2279" w:hanging="308"/>
        <w:spacing w:after="0" w:line="247" w:lineRule="auto"/>
        <w:rPr>
          <w:sz w:val="20"/>
          <w:szCs w:val="20"/>
          <w:color w:val="auto"/>
        </w:rPr>
      </w:pPr>
      <w:r>
        <w:rPr>
          <w:rFonts w:ascii="Courier New" w:cs="Courier New" w:eastAsia="Courier New" w:hAnsi="Courier New"/>
          <w:sz w:val="17"/>
          <w:szCs w:val="17"/>
          <w:color w:val="auto"/>
        </w:rPr>
        <w:t>By: INVESCO Senior Secured Management, Inc. as Portfolio Advisor</w:t>
      </w:r>
    </w:p>
    <w:p>
      <w:pPr>
        <w:spacing w:after="0" w:line="200" w:lineRule="exact"/>
        <w:rPr>
          <w:sz w:val="20"/>
          <w:szCs w:val="20"/>
          <w:color w:val="auto"/>
        </w:rPr>
      </w:pPr>
    </w:p>
    <w:p>
      <w:pPr>
        <w:spacing w:after="0" w:line="394"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Thomas H. B. Ewald</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Thomas H. B. Ewald</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Authorized Signatory</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PB CAPITAL CORPORATION</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Thomas Dearth</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Thomas Dearth</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Associate</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Jeffrey Frost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Jeffrey Frost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Managing Director Portfolio Management</w:t>
      </w:r>
    </w:p>
    <w:p>
      <w:pPr>
        <w:sectPr>
          <w:pgSz w:w="11900" w:h="16838" w:orient="portrait"/>
          <w:cols w:equalWidth="0" w:num="1">
            <w:col w:w="9019"/>
          </w:cols>
          <w:pgMar w:left="1440" w:top="511" w:right="1440" w:bottom="1440" w:gutter="0" w:footer="0" w:header="0"/>
        </w:sectPr>
      </w:pPr>
    </w:p>
    <w:bookmarkStart w:id="226" w:name="page227"/>
    <w:bookmarkEnd w:id="226"/>
    <w:p>
      <w:pPr>
        <w:ind w:left="2000"/>
        <w:spacing w:after="0"/>
        <w:rPr>
          <w:sz w:val="20"/>
          <w:szCs w:val="20"/>
          <w:color w:val="auto"/>
        </w:rPr>
      </w:pPr>
      <w:r>
        <w:rPr>
          <w:rFonts w:ascii="Courier New" w:cs="Courier New" w:eastAsia="Courier New" w:hAnsi="Courier New"/>
          <w:sz w:val="17"/>
          <w:szCs w:val="17"/>
          <w:color w:val="auto"/>
        </w:rPr>
        <w:t>BANK AUSTRIA CREDITANSTALT</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CORPORATE FINANCE, INC.</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BANK OF AMERICA, N.A.</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Gretchen Spoo</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Gretchen Spoo</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Principal</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BANK OF HAWAII</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THE BANK OF NEW YORK</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Randolph E. J. Medrano</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Randolph E. J. Medrano</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Vice President</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THE BANK OF NOVA SCOTIA</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w:t>
      </w:r>
    </w:p>
    <w:p>
      <w:pPr>
        <w:sectPr>
          <w:pgSz w:w="11900" w:h="16838" w:orient="portrait"/>
          <w:cols w:equalWidth="0" w:num="1">
            <w:col w:w="9019"/>
          </w:cols>
          <w:pgMar w:left="1440" w:top="511" w:right="1440" w:bottom="1440" w:gutter="0" w:footer="0" w:header="0"/>
        </w:sectPr>
      </w:pPr>
    </w:p>
    <w:bookmarkStart w:id="227" w:name="page228"/>
    <w:bookmarkEnd w:id="227"/>
    <w:p>
      <w:pPr>
        <w:ind w:left="2000"/>
        <w:spacing w:after="0"/>
        <w:rPr>
          <w:sz w:val="20"/>
          <w:szCs w:val="20"/>
          <w:color w:val="auto"/>
        </w:rPr>
      </w:pPr>
      <w:r>
        <w:rPr>
          <w:rFonts w:ascii="Courier New" w:cs="Courier New" w:eastAsia="Courier New" w:hAnsi="Courier New"/>
          <w:sz w:val="17"/>
          <w:szCs w:val="17"/>
          <w:color w:val="auto"/>
        </w:rPr>
        <w:t>BANK OF TOKYO-MITSUBISHI TRUST</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COMPANY</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Catherine Moeser</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Catherine Moeser</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Vice President</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BALANCED HIGH YIELD FUND II, LTD.</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BAVARIA TRR CORPORATION</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Lori Rezza</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Lori Rezza</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Vice President</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BNP PARIBAS</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Kristin R. Petinaux</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Kristin R. Petinaux</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Associate</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Richard L. Sted</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Richard L. Sted</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Central Region Manager</w:t>
      </w:r>
    </w:p>
    <w:p>
      <w:pPr>
        <w:sectPr>
          <w:pgSz w:w="11900" w:h="16838" w:orient="portrait"/>
          <w:cols w:equalWidth="0" w:num="1">
            <w:col w:w="9019"/>
          </w:cols>
          <w:pgMar w:left="1440" w:top="907" w:right="1440" w:bottom="1440" w:gutter="0" w:footer="0" w:header="0"/>
        </w:sectPr>
      </w:pPr>
    </w:p>
    <w:bookmarkStart w:id="228" w:name="page229"/>
    <w:bookmarkEnd w:id="228"/>
    <w:p>
      <w:pPr>
        <w:ind w:left="2000"/>
        <w:spacing w:after="0"/>
        <w:rPr>
          <w:sz w:val="20"/>
          <w:szCs w:val="20"/>
          <w:color w:val="auto"/>
        </w:rPr>
      </w:pPr>
      <w:r>
        <w:rPr>
          <w:rFonts w:ascii="Courier New" w:cs="Courier New" w:eastAsia="Courier New" w:hAnsi="Courier New"/>
          <w:sz w:val="17"/>
          <w:szCs w:val="17"/>
          <w:color w:val="auto"/>
        </w:rPr>
        <w:t>BW CAPITAL MARKETS, INC.</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Philip G. Waldrop</w:t>
      </w:r>
    </w:p>
    <w:p>
      <w:pPr>
        <w:spacing w:after="0" w:line="5" w:lineRule="exact"/>
        <w:rPr>
          <w:sz w:val="20"/>
          <w:szCs w:val="20"/>
          <w:color w:val="auto"/>
        </w:rPr>
      </w:pPr>
    </w:p>
    <w:p>
      <w:pPr>
        <w:ind w:left="24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Philip G. Waldrop</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Vice President</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Thomas A. Lowe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Thomas A. Lowe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Vice President</w:t>
      </w:r>
    </w:p>
    <w:p>
      <w:pPr>
        <w:spacing w:after="0" w:line="200" w:lineRule="exact"/>
        <w:rPr>
          <w:sz w:val="20"/>
          <w:szCs w:val="20"/>
          <w:color w:val="auto"/>
        </w:rPr>
      </w:pPr>
    </w:p>
    <w:p>
      <w:pPr>
        <w:spacing w:after="0" w:line="399" w:lineRule="exact"/>
        <w:rPr>
          <w:sz w:val="20"/>
          <w:szCs w:val="20"/>
          <w:color w:val="auto"/>
        </w:rPr>
      </w:pPr>
    </w:p>
    <w:p>
      <w:pPr>
        <w:ind w:left="2000" w:right="2079"/>
        <w:spacing w:after="0" w:line="247" w:lineRule="auto"/>
        <w:rPr>
          <w:sz w:val="20"/>
          <w:szCs w:val="20"/>
          <w:color w:val="auto"/>
        </w:rPr>
      </w:pPr>
      <w:r>
        <w:rPr>
          <w:rFonts w:ascii="Courier New" w:cs="Courier New" w:eastAsia="Courier New" w:hAnsi="Courier New"/>
          <w:sz w:val="17"/>
          <w:szCs w:val="17"/>
          <w:color w:val="auto"/>
        </w:rPr>
        <w:t>CAPTIVA IV FINANCE LTD. (ACCT. 1275), as advised by Pacific Investment Management Company LLC</w:t>
      </w:r>
    </w:p>
    <w:p>
      <w:pPr>
        <w:spacing w:after="0" w:line="200" w:lineRule="exact"/>
        <w:rPr>
          <w:sz w:val="20"/>
          <w:szCs w:val="20"/>
          <w:color w:val="auto"/>
        </w:rPr>
      </w:pPr>
    </w:p>
    <w:p>
      <w:pPr>
        <w:spacing w:after="0" w:line="394"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David Dyer</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David Dyer</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Director</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CENTURION CDO II, LTD.</w:t>
      </w:r>
    </w:p>
    <w:p>
      <w:pPr>
        <w:spacing w:after="0" w:line="203"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American Express Asset Management Group Inc.</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as Collateral Manager</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Michael M. Leyland</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Michael M. Leyland</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Managing Director</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CERES II FINANCE, LTD.</w:t>
      </w:r>
    </w:p>
    <w:p>
      <w:pPr>
        <w:spacing w:after="0" w:line="200" w:lineRule="exact"/>
        <w:rPr>
          <w:sz w:val="20"/>
          <w:szCs w:val="20"/>
          <w:color w:val="auto"/>
        </w:rPr>
      </w:pPr>
    </w:p>
    <w:p>
      <w:pPr>
        <w:spacing w:after="0" w:line="399" w:lineRule="exact"/>
        <w:rPr>
          <w:sz w:val="20"/>
          <w:szCs w:val="20"/>
          <w:color w:val="auto"/>
        </w:rPr>
      </w:pPr>
    </w:p>
    <w:p>
      <w:pPr>
        <w:ind w:left="2300" w:right="2279" w:hanging="308"/>
        <w:spacing w:after="0" w:line="247" w:lineRule="auto"/>
        <w:rPr>
          <w:sz w:val="20"/>
          <w:szCs w:val="20"/>
          <w:color w:val="auto"/>
        </w:rPr>
      </w:pPr>
      <w:r>
        <w:rPr>
          <w:rFonts w:ascii="Courier New" w:cs="Courier New" w:eastAsia="Courier New" w:hAnsi="Courier New"/>
          <w:sz w:val="17"/>
          <w:szCs w:val="17"/>
          <w:color w:val="auto"/>
        </w:rPr>
        <w:t>By: INVESCO Senior Secured Management, Inc. as Sub-Managing Agent (Financial)</w:t>
      </w:r>
    </w:p>
    <w:p>
      <w:pPr>
        <w:spacing w:after="0" w:line="200" w:lineRule="exact"/>
        <w:rPr>
          <w:sz w:val="20"/>
          <w:szCs w:val="20"/>
          <w:color w:val="auto"/>
        </w:rPr>
      </w:pPr>
    </w:p>
    <w:p>
      <w:pPr>
        <w:spacing w:after="0" w:line="394"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Thomas H. B. Ewald</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Thomas H. B. Ewald</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Authorized Signatory</w:t>
      </w:r>
    </w:p>
    <w:p>
      <w:pPr>
        <w:sectPr>
          <w:pgSz w:w="11900" w:h="16838" w:orient="portrait"/>
          <w:cols w:equalWidth="0" w:num="1">
            <w:col w:w="9019"/>
          </w:cols>
          <w:pgMar w:left="1440" w:top="511" w:right="1440" w:bottom="1440" w:gutter="0" w:footer="0" w:header="0"/>
        </w:sectPr>
      </w:pPr>
    </w:p>
    <w:bookmarkStart w:id="229" w:name="page230"/>
    <w:bookmarkEnd w:id="229"/>
    <w:p>
      <w:pPr>
        <w:ind w:left="2000"/>
        <w:spacing w:after="0"/>
        <w:rPr>
          <w:sz w:val="20"/>
          <w:szCs w:val="20"/>
          <w:color w:val="auto"/>
        </w:rPr>
      </w:pPr>
      <w:r>
        <w:rPr>
          <w:rFonts w:ascii="Courier New" w:cs="Courier New" w:eastAsia="Courier New" w:hAnsi="Courier New"/>
          <w:sz w:val="17"/>
          <w:szCs w:val="17"/>
          <w:color w:val="auto"/>
        </w:rPr>
        <w:t>CHARTER VIEW PORTFOLIO</w:t>
      </w:r>
    </w:p>
    <w:p>
      <w:pPr>
        <w:spacing w:after="0" w:line="200" w:lineRule="exact"/>
        <w:rPr>
          <w:sz w:val="20"/>
          <w:szCs w:val="20"/>
          <w:color w:val="auto"/>
        </w:rPr>
      </w:pPr>
    </w:p>
    <w:p>
      <w:pPr>
        <w:spacing w:after="0" w:line="399" w:lineRule="exact"/>
        <w:rPr>
          <w:sz w:val="20"/>
          <w:szCs w:val="20"/>
          <w:color w:val="auto"/>
        </w:rPr>
      </w:pPr>
    </w:p>
    <w:p>
      <w:pPr>
        <w:ind w:left="2300" w:right="2279" w:hanging="308"/>
        <w:spacing w:after="0" w:line="247" w:lineRule="auto"/>
        <w:rPr>
          <w:sz w:val="20"/>
          <w:szCs w:val="20"/>
          <w:color w:val="auto"/>
        </w:rPr>
      </w:pPr>
      <w:r>
        <w:rPr>
          <w:rFonts w:ascii="Courier New" w:cs="Courier New" w:eastAsia="Courier New" w:hAnsi="Courier New"/>
          <w:sz w:val="17"/>
          <w:szCs w:val="17"/>
          <w:color w:val="auto"/>
        </w:rPr>
        <w:t>By: INVESCO Senior Secured Management, Inc. as Investment Advisor</w:t>
      </w:r>
    </w:p>
    <w:p>
      <w:pPr>
        <w:spacing w:after="0" w:line="200" w:lineRule="exact"/>
        <w:rPr>
          <w:sz w:val="20"/>
          <w:szCs w:val="20"/>
          <w:color w:val="auto"/>
        </w:rPr>
      </w:pPr>
    </w:p>
    <w:p>
      <w:pPr>
        <w:spacing w:after="0" w:line="394"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Thomas H. B. Ewald</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Thomas H. B. Ewald</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Authorized Signatory</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CITICORP USA, INC.</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Allen Fisher</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Allen Fisher</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Vice President</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COLUMBUS LOAN FUNDING, LTD.</w:t>
      </w:r>
    </w:p>
    <w:p>
      <w:pPr>
        <w:spacing w:after="0" w:line="200" w:lineRule="exact"/>
        <w:rPr>
          <w:sz w:val="20"/>
          <w:szCs w:val="20"/>
          <w:color w:val="auto"/>
        </w:rPr>
      </w:pPr>
    </w:p>
    <w:p>
      <w:pPr>
        <w:spacing w:after="0" w:line="399" w:lineRule="exact"/>
        <w:rPr>
          <w:sz w:val="20"/>
          <w:szCs w:val="20"/>
          <w:color w:val="auto"/>
        </w:rPr>
      </w:pPr>
    </w:p>
    <w:p>
      <w:pPr>
        <w:ind w:left="2400" w:right="2499" w:hanging="399"/>
        <w:spacing w:after="0" w:line="247" w:lineRule="auto"/>
        <w:tabs>
          <w:tab w:leader="none" w:pos="2380" w:val="left"/>
        </w:tabs>
        <w:rPr>
          <w:sz w:val="20"/>
          <w:szCs w:val="20"/>
          <w:color w:val="auto"/>
        </w:rPr>
      </w:pPr>
      <w:r>
        <w:rPr>
          <w:rFonts w:ascii="Courier New" w:cs="Courier New" w:eastAsia="Courier New" w:hAnsi="Courier New"/>
          <w:sz w:val="17"/>
          <w:szCs w:val="17"/>
          <w:color w:val="auto"/>
        </w:rPr>
        <w:t>By:</w:t>
        <w:tab/>
        <w:t>Travelers Asset Management International Company, LLC</w:t>
      </w:r>
    </w:p>
    <w:p>
      <w:pPr>
        <w:spacing w:after="0" w:line="200" w:lineRule="exact"/>
        <w:rPr>
          <w:sz w:val="20"/>
          <w:szCs w:val="20"/>
          <w:color w:val="auto"/>
        </w:rPr>
      </w:pPr>
    </w:p>
    <w:p>
      <w:pPr>
        <w:spacing w:after="0" w:line="394"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Allen Cantrell</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Allen Cantrell</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Investment Officer</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COMERICA BANK, Detroit</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w:t>
      </w:r>
    </w:p>
    <w:p>
      <w:pPr>
        <w:sectPr>
          <w:pgSz w:w="11900" w:h="16838" w:orient="portrait"/>
          <w:cols w:equalWidth="0" w:num="1">
            <w:col w:w="9019"/>
          </w:cols>
          <w:pgMar w:left="1440" w:top="511" w:right="1440" w:bottom="1440" w:gutter="0" w:footer="0" w:header="0"/>
        </w:sectPr>
      </w:pPr>
    </w:p>
    <w:bookmarkStart w:id="230" w:name="page231"/>
    <w:bookmarkEnd w:id="230"/>
    <w:p>
      <w:pPr>
        <w:ind w:left="2000"/>
        <w:spacing w:after="0"/>
        <w:rPr>
          <w:sz w:val="20"/>
          <w:szCs w:val="20"/>
          <w:color w:val="auto"/>
        </w:rPr>
      </w:pPr>
      <w:r>
        <w:rPr>
          <w:rFonts w:ascii="Courier New" w:cs="Courier New" w:eastAsia="Courier New" w:hAnsi="Courier New"/>
          <w:sz w:val="17"/>
          <w:szCs w:val="17"/>
          <w:color w:val="auto"/>
        </w:rPr>
        <w:t>CREDIT AGRICOLE INDOSUEZ, Chicago</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CREDIT SUISSE FIRST BOSTON</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CYPRESSTREE FOCUSED INVESTMENT FUND, LLC</w:t>
      </w:r>
    </w:p>
    <w:p>
      <w:pPr>
        <w:spacing w:after="0" w:line="203" w:lineRule="exact"/>
        <w:rPr>
          <w:sz w:val="20"/>
          <w:szCs w:val="20"/>
          <w:color w:val="auto"/>
        </w:rPr>
      </w:pPr>
    </w:p>
    <w:p>
      <w:pPr>
        <w:ind w:left="2000" w:right="2399"/>
        <w:spacing w:after="0" w:line="247" w:lineRule="auto"/>
        <w:rPr>
          <w:sz w:val="20"/>
          <w:szCs w:val="20"/>
          <w:color w:val="auto"/>
        </w:rPr>
      </w:pPr>
      <w:r>
        <w:rPr>
          <w:rFonts w:ascii="Courier New" w:cs="Courier New" w:eastAsia="Courier New" w:hAnsi="Courier New"/>
          <w:sz w:val="17"/>
          <w:szCs w:val="17"/>
          <w:color w:val="auto"/>
        </w:rPr>
        <w:t>By:CypressTree Investment Management Company, Inc., its Managing Member</w:t>
      </w:r>
    </w:p>
    <w:p>
      <w:pPr>
        <w:spacing w:after="0" w:line="200" w:lineRule="exact"/>
        <w:rPr>
          <w:sz w:val="20"/>
          <w:szCs w:val="20"/>
          <w:color w:val="auto"/>
        </w:rPr>
      </w:pPr>
    </w:p>
    <w:p>
      <w:pPr>
        <w:spacing w:after="0" w:line="394"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CYPRESSTREE INVESTMENT PARTNERS I, LTD.</w:t>
      </w:r>
    </w:p>
    <w:p>
      <w:pPr>
        <w:spacing w:after="0" w:line="203" w:lineRule="exact"/>
        <w:rPr>
          <w:sz w:val="20"/>
          <w:szCs w:val="20"/>
          <w:color w:val="auto"/>
        </w:rPr>
      </w:pPr>
    </w:p>
    <w:p>
      <w:pPr>
        <w:ind w:left="2300" w:right="2399" w:hanging="308"/>
        <w:spacing w:after="0" w:line="247" w:lineRule="auto"/>
        <w:rPr>
          <w:sz w:val="20"/>
          <w:szCs w:val="20"/>
          <w:color w:val="auto"/>
        </w:rPr>
      </w:pPr>
      <w:r>
        <w:rPr>
          <w:rFonts w:ascii="Courier New" w:cs="Courier New" w:eastAsia="Courier New" w:hAnsi="Courier New"/>
          <w:sz w:val="17"/>
          <w:szCs w:val="17"/>
          <w:color w:val="auto"/>
        </w:rPr>
        <w:t>By:CypressTree Investment Management Company, Inc., as Portfolio Manager</w:t>
      </w:r>
    </w:p>
    <w:p>
      <w:pPr>
        <w:spacing w:after="0" w:line="200" w:lineRule="exact"/>
        <w:rPr>
          <w:sz w:val="20"/>
          <w:szCs w:val="20"/>
          <w:color w:val="auto"/>
        </w:rPr>
      </w:pPr>
    </w:p>
    <w:p>
      <w:pPr>
        <w:spacing w:after="0" w:line="394"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Jonathan D. Sharkey</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Jonathan D. Sharkey</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Principal</w:t>
      </w:r>
    </w:p>
    <w:p>
      <w:pPr>
        <w:sectPr>
          <w:pgSz w:w="11900" w:h="16838" w:orient="portrait"/>
          <w:cols w:equalWidth="0" w:num="1">
            <w:col w:w="9019"/>
          </w:cols>
          <w:pgMar w:left="1440" w:top="512" w:right="1440" w:bottom="1440" w:gutter="0" w:footer="0" w:header="0"/>
        </w:sectPr>
      </w:pPr>
    </w:p>
    <w:bookmarkStart w:id="231" w:name="page232"/>
    <w:bookmarkEnd w:id="231"/>
    <w:p>
      <w:pPr>
        <w:ind w:left="2000"/>
        <w:spacing w:after="0"/>
        <w:rPr>
          <w:sz w:val="20"/>
          <w:szCs w:val="20"/>
          <w:color w:val="auto"/>
        </w:rPr>
      </w:pPr>
      <w:r>
        <w:rPr>
          <w:rFonts w:ascii="Courier New" w:cs="Courier New" w:eastAsia="Courier New" w:hAnsi="Courier New"/>
          <w:sz w:val="17"/>
          <w:szCs w:val="17"/>
          <w:color w:val="auto"/>
        </w:rPr>
        <w:t>CYPRESSTREE INVESTMENT PARTNERS II</w:t>
      </w:r>
    </w:p>
    <w:p>
      <w:pPr>
        <w:spacing w:after="0" w:line="203" w:lineRule="exact"/>
        <w:rPr>
          <w:sz w:val="20"/>
          <w:szCs w:val="20"/>
          <w:color w:val="auto"/>
        </w:rPr>
      </w:pPr>
    </w:p>
    <w:p>
      <w:pPr>
        <w:ind w:left="2300" w:right="2399" w:hanging="308"/>
        <w:spacing w:after="0" w:line="247" w:lineRule="auto"/>
        <w:rPr>
          <w:sz w:val="20"/>
          <w:szCs w:val="20"/>
          <w:color w:val="auto"/>
        </w:rPr>
      </w:pPr>
      <w:r>
        <w:rPr>
          <w:rFonts w:ascii="Courier New" w:cs="Courier New" w:eastAsia="Courier New" w:hAnsi="Courier New"/>
          <w:sz w:val="17"/>
          <w:szCs w:val="17"/>
          <w:color w:val="auto"/>
        </w:rPr>
        <w:t>By:CypressTree Investment Management Company, Inc., as Portfolio Manager</w:t>
      </w:r>
    </w:p>
    <w:p>
      <w:pPr>
        <w:spacing w:after="0" w:line="200" w:lineRule="exact"/>
        <w:rPr>
          <w:sz w:val="20"/>
          <w:szCs w:val="20"/>
          <w:color w:val="auto"/>
        </w:rPr>
      </w:pPr>
    </w:p>
    <w:p>
      <w:pPr>
        <w:spacing w:after="0" w:line="394"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Jonathan D. Sharkey</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Jonathan D. Sharkey</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Principal</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CYPRESSTREE INVESTMENT MANAGEMENT COMPANY, INC.</w:t>
      </w:r>
    </w:p>
    <w:p>
      <w:pPr>
        <w:spacing w:after="0" w:line="203" w:lineRule="exact"/>
        <w:rPr>
          <w:sz w:val="20"/>
          <w:szCs w:val="20"/>
          <w:color w:val="auto"/>
        </w:rPr>
      </w:pPr>
    </w:p>
    <w:p>
      <w:pPr>
        <w:ind w:left="2300" w:right="2079" w:hanging="308"/>
        <w:spacing w:after="0" w:line="246" w:lineRule="auto"/>
        <w:rPr>
          <w:sz w:val="20"/>
          <w:szCs w:val="20"/>
          <w:color w:val="auto"/>
        </w:rPr>
      </w:pPr>
      <w:r>
        <w:rPr>
          <w:rFonts w:ascii="Courier New" w:cs="Courier New" w:eastAsia="Courier New" w:hAnsi="Courier New"/>
          <w:sz w:val="17"/>
          <w:szCs w:val="17"/>
          <w:color w:val="auto"/>
        </w:rPr>
        <w:t>As: Attorney-in-Fact and on behalf of First Allmerica Financial Life Insurance Company as Portfolio Manager</w:t>
      </w:r>
    </w:p>
    <w:p>
      <w:pPr>
        <w:spacing w:after="0" w:line="200" w:lineRule="exact"/>
        <w:rPr>
          <w:sz w:val="20"/>
          <w:szCs w:val="20"/>
          <w:color w:val="auto"/>
        </w:rPr>
      </w:pPr>
    </w:p>
    <w:p>
      <w:pPr>
        <w:spacing w:after="0" w:line="396"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Jonathan D. Sharkey</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Jonathan D. Sharkey</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Principal</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DELANO COMPANY (ACCT 274)</w:t>
      </w:r>
    </w:p>
    <w:p>
      <w:pPr>
        <w:spacing w:after="0" w:line="200" w:lineRule="exact"/>
        <w:rPr>
          <w:sz w:val="20"/>
          <w:szCs w:val="20"/>
          <w:color w:val="auto"/>
        </w:rPr>
      </w:pPr>
    </w:p>
    <w:p>
      <w:pPr>
        <w:spacing w:after="0" w:line="399" w:lineRule="exact"/>
        <w:rPr>
          <w:sz w:val="20"/>
          <w:szCs w:val="20"/>
          <w:color w:val="auto"/>
        </w:rPr>
      </w:pPr>
    </w:p>
    <w:p>
      <w:pPr>
        <w:ind w:left="2300" w:right="2079" w:hanging="308"/>
        <w:spacing w:after="0" w:line="247" w:lineRule="auto"/>
        <w:rPr>
          <w:sz w:val="20"/>
          <w:szCs w:val="20"/>
          <w:color w:val="auto"/>
        </w:rPr>
      </w:pPr>
      <w:r>
        <w:rPr>
          <w:rFonts w:ascii="Courier New" w:cs="Courier New" w:eastAsia="Courier New" w:hAnsi="Courier New"/>
          <w:sz w:val="17"/>
          <w:szCs w:val="17"/>
          <w:color w:val="auto"/>
        </w:rPr>
        <w:t>By:Pacific Investment Management Company LLC, as its Investment Advisor</w:t>
      </w:r>
    </w:p>
    <w:p>
      <w:pPr>
        <w:spacing w:after="0" w:line="396"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Mohan V. Phansalkar</w:t>
      </w:r>
    </w:p>
    <w:p>
      <w:pPr>
        <w:spacing w:after="0" w:line="5" w:lineRule="exact"/>
        <w:rPr>
          <w:sz w:val="20"/>
          <w:szCs w:val="20"/>
          <w:color w:val="auto"/>
        </w:rPr>
      </w:pPr>
    </w:p>
    <w:p>
      <w:pPr>
        <w:ind w:left="24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Mohan V. Phansalkar</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Executive Vice President</w:t>
      </w:r>
    </w:p>
    <w:p>
      <w:pPr>
        <w:sectPr>
          <w:pgSz w:w="11900" w:h="16838" w:orient="portrait"/>
          <w:cols w:equalWidth="0" w:num="1">
            <w:col w:w="9019"/>
          </w:cols>
          <w:pgMar w:left="1440" w:top="512" w:right="1440" w:bottom="1440" w:gutter="0" w:footer="0" w:header="0"/>
        </w:sectPr>
      </w:pPr>
    </w:p>
    <w:bookmarkStart w:id="232" w:name="page233"/>
    <w:bookmarkEnd w:id="232"/>
    <w:p>
      <w:pPr>
        <w:ind w:left="2000"/>
        <w:spacing w:after="0"/>
        <w:rPr>
          <w:sz w:val="20"/>
          <w:szCs w:val="20"/>
          <w:color w:val="auto"/>
        </w:rPr>
      </w:pPr>
      <w:r>
        <w:rPr>
          <w:rFonts w:ascii="Courier New" w:cs="Courier New" w:eastAsia="Courier New" w:hAnsi="Courier New"/>
          <w:sz w:val="17"/>
          <w:szCs w:val="17"/>
          <w:color w:val="auto"/>
        </w:rPr>
        <w:t>DRESDNER BANK AG</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EATON VANCE CDO II, LTD.</w:t>
      </w:r>
    </w:p>
    <w:p>
      <w:pPr>
        <w:spacing w:after="0" w:line="203"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7"/>
          <w:szCs w:val="17"/>
          <w:color w:val="auto"/>
        </w:rPr>
        <w:t>By: Eaton Vance Management as Investment Advisor</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Scott H. Page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Scott H. Page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Vice President</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EATON VANCE CDO III, LTD.</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Eaton Vance Management as Investment Advisor</w:t>
      </w:r>
    </w:p>
    <w:p>
      <w:pPr>
        <w:spacing w:after="0" w:line="203"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Scott H. Page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Scott H. Page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Vice President</w:t>
      </w:r>
    </w:p>
    <w:p>
      <w:pPr>
        <w:sectPr>
          <w:pgSz w:w="11900" w:h="16838" w:orient="portrait"/>
          <w:cols w:equalWidth="0" w:num="1">
            <w:col w:w="9019"/>
          </w:cols>
          <w:pgMar w:left="1440" w:top="511" w:right="1440" w:bottom="1440" w:gutter="0" w:footer="0" w:header="0"/>
        </w:sectPr>
      </w:pPr>
    </w:p>
    <w:bookmarkStart w:id="233" w:name="page234"/>
    <w:bookmarkEnd w:id="233"/>
    <w:p>
      <w:pPr>
        <w:ind w:left="2000"/>
        <w:spacing w:after="0"/>
        <w:rPr>
          <w:sz w:val="20"/>
          <w:szCs w:val="20"/>
          <w:color w:val="auto"/>
        </w:rPr>
      </w:pPr>
      <w:r>
        <w:rPr>
          <w:rFonts w:ascii="Courier New" w:cs="Courier New" w:eastAsia="Courier New" w:hAnsi="Courier New"/>
          <w:sz w:val="17"/>
          <w:szCs w:val="17"/>
          <w:color w:val="auto"/>
        </w:rPr>
        <w:t>EATON VANCE INSTITUTIONAL SENIOR LOAN FUND</w:t>
      </w:r>
    </w:p>
    <w:p>
      <w:pPr>
        <w:spacing w:after="0" w:line="203"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Eaton Vance Management as Investment</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Advisor</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Scott H. Page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Scott H. Page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Vice President</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EATON VANCE SENIOR INCOME TRUST</w:t>
      </w:r>
    </w:p>
    <w:p>
      <w:pPr>
        <w:spacing w:after="0" w:line="203"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7"/>
          <w:szCs w:val="17"/>
          <w:color w:val="auto"/>
        </w:rPr>
        <w:t>By: Eaton Vance Management as Investment Advisor</w:t>
      </w:r>
    </w:p>
    <w:p>
      <w:pPr>
        <w:spacing w:after="0" w:line="200" w:lineRule="exact"/>
        <w:rPr>
          <w:sz w:val="20"/>
          <w:szCs w:val="20"/>
          <w:color w:val="auto"/>
        </w:rPr>
      </w:pP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Scott H. Page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Scott H. Page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Vice President</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ELC (CAYMAN) LTD. 1999-III</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Roshan White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Roshan White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Vice President</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ELC (CAYMAN) LTD. 2000-I</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Roshan White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Roshan White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Vice President</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ERSTE BANK NEW YORK</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Paul Judicke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Paul Judicke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Vice President</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John Runnion</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John Runnion</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Managing Director</w:t>
      </w:r>
    </w:p>
    <w:p>
      <w:pPr>
        <w:sectPr>
          <w:pgSz w:w="11900" w:h="16838" w:orient="portrait"/>
          <w:cols w:equalWidth="0" w:num="1">
            <w:col w:w="9019"/>
          </w:cols>
          <w:pgMar w:left="1440" w:top="511" w:right="1440" w:bottom="1440" w:gutter="0" w:footer="0" w:header="0"/>
        </w:sectPr>
      </w:pPr>
    </w:p>
    <w:bookmarkStart w:id="234" w:name="page235"/>
    <w:bookmarkEnd w:id="234"/>
    <w:p>
      <w:pPr>
        <w:ind w:left="2000"/>
        <w:spacing w:after="0"/>
        <w:rPr>
          <w:sz w:val="20"/>
          <w:szCs w:val="20"/>
          <w:color w:val="auto"/>
        </w:rPr>
      </w:pPr>
      <w:r>
        <w:rPr>
          <w:rFonts w:ascii="Courier New" w:cs="Courier New" w:eastAsia="Courier New" w:hAnsi="Courier New"/>
          <w:sz w:val="17"/>
          <w:szCs w:val="17"/>
          <w:color w:val="auto"/>
        </w:rPr>
        <w:t>FIDELITY II: ADVANCED FLOATING RATE</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HIGH INCOME FUND</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FIFTH THIRD BANK OF COLUMBUS</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John K. Beanslee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John K. Beanslee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Vice President</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FIRST ALLMERICA FINANCIAL LIFE</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INSURANCE COMPANY</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FIRST UNION NATIONAL BANK</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Roger Pelz</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Roger Pelz</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Senior Vice President</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FIRSTAR BANK, N.A.</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Robert H. Friend</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Robert H. Friend</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Vice President</w:t>
      </w:r>
    </w:p>
    <w:p>
      <w:pPr>
        <w:sectPr>
          <w:pgSz w:w="11900" w:h="16838" w:orient="portrait"/>
          <w:cols w:equalWidth="0" w:num="1">
            <w:col w:w="9019"/>
          </w:cols>
          <w:pgMar w:left="1440" w:top="511" w:right="1440" w:bottom="1440" w:gutter="0" w:footer="0" w:header="0"/>
        </w:sectPr>
      </w:pPr>
    </w:p>
    <w:bookmarkStart w:id="235" w:name="page236"/>
    <w:bookmarkEnd w:id="235"/>
    <w:p>
      <w:pPr>
        <w:ind w:left="2000"/>
        <w:spacing w:after="0"/>
        <w:rPr>
          <w:sz w:val="20"/>
          <w:szCs w:val="20"/>
          <w:color w:val="auto"/>
        </w:rPr>
      </w:pPr>
      <w:r>
        <w:rPr>
          <w:rFonts w:ascii="Courier New" w:cs="Courier New" w:eastAsia="Courier New" w:hAnsi="Courier New"/>
          <w:sz w:val="17"/>
          <w:szCs w:val="17"/>
          <w:color w:val="auto"/>
        </w:rPr>
        <w:t>FLAGSHIP CAPITAL</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FLEET NATIONAL BANK</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Mario F. Teixeira</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Mario F. Teixeira</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Vice President</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FORTIS PROJECT FINANCE LIMITED</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FRANKLIN CLO I, LIMITED</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FRANKLIN FLOATING RATE MASTER SERIES</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w:t>
      </w:r>
    </w:p>
    <w:p>
      <w:pPr>
        <w:sectPr>
          <w:pgSz w:w="11900" w:h="16838" w:orient="portrait"/>
          <w:cols w:equalWidth="0" w:num="1">
            <w:col w:w="9019"/>
          </w:cols>
          <w:pgMar w:left="1440" w:top="511" w:right="1440" w:bottom="1440" w:gutter="0" w:footer="0" w:header="0"/>
        </w:sectPr>
      </w:pPr>
    </w:p>
    <w:bookmarkStart w:id="236" w:name="page237"/>
    <w:bookmarkEnd w:id="236"/>
    <w:p>
      <w:pPr>
        <w:ind w:left="2000"/>
        <w:spacing w:after="0"/>
        <w:rPr>
          <w:sz w:val="20"/>
          <w:szCs w:val="20"/>
          <w:color w:val="auto"/>
        </w:rPr>
      </w:pPr>
      <w:r>
        <w:rPr>
          <w:rFonts w:ascii="Courier New" w:cs="Courier New" w:eastAsia="Courier New" w:hAnsi="Courier New"/>
          <w:sz w:val="17"/>
          <w:szCs w:val="17"/>
          <w:color w:val="auto"/>
        </w:rPr>
        <w:t>FREMONT INVESTMENT &amp; LOAN</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THE FUJI BANK, LIMITED</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GENERAL ELECTRIC CAPITAL</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CORPORATION</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Robert M. Kadlick</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Robert M. Kadlick</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Duly Authorized Signatory</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GRAYSON &amp; CO.</w:t>
      </w:r>
    </w:p>
    <w:p>
      <w:pPr>
        <w:spacing w:after="0" w:line="203"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Boston Management and Research as</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Investment Advisor</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Scott H. Page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Scott H. Page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Vice President</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HARBOUR TOWN FUNDING TRUST</w:t>
      </w:r>
    </w:p>
    <w:p>
      <w:pPr>
        <w:spacing w:after="0" w:line="200" w:lineRule="exact"/>
        <w:rPr>
          <w:sz w:val="20"/>
          <w:szCs w:val="20"/>
          <w:color w:val="auto"/>
        </w:rPr>
      </w:pP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Diana L. Mushill</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Diana L. Mushill</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Authorized Agent</w:t>
      </w:r>
    </w:p>
    <w:p>
      <w:pPr>
        <w:sectPr>
          <w:pgSz w:w="11900" w:h="16838" w:orient="portrait"/>
          <w:cols w:equalWidth="0" w:num="1">
            <w:col w:w="9019"/>
          </w:cols>
          <w:pgMar w:left="1440" w:top="511" w:right="1440" w:bottom="1440" w:gutter="0" w:footer="0" w:header="0"/>
        </w:sectPr>
      </w:pPr>
    </w:p>
    <w:bookmarkStart w:id="237" w:name="page238"/>
    <w:bookmarkEnd w:id="237"/>
    <w:p>
      <w:pPr>
        <w:ind w:left="2000"/>
        <w:spacing w:after="0"/>
        <w:rPr>
          <w:sz w:val="20"/>
          <w:szCs w:val="20"/>
          <w:color w:val="auto"/>
        </w:rPr>
      </w:pPr>
      <w:r>
        <w:rPr>
          <w:rFonts w:ascii="Courier New" w:cs="Courier New" w:eastAsia="Courier New" w:hAnsi="Courier New"/>
          <w:sz w:val="17"/>
          <w:szCs w:val="17"/>
          <w:color w:val="auto"/>
        </w:rPr>
        <w:t>HARRIS TRUST AND SAVINGS BANK</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Christopher Fisher</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Christopher Fisher</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Vice President</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HELLER FINANCIAL INC.</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Donald R. Campbell</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Donald R. Campbell</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Vice President</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THE HUNTINGTON NATIONAL BANK</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IKB DEUTSCHE INDUSTRIEBANK FG</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LUXEMBOURG BRANCH</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/s/Anja Keuchel</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Anja Keuchel</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Manager</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Manfred Ziwey</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Manfred Ziwey</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Director</w:t>
      </w:r>
    </w:p>
    <w:p>
      <w:pPr>
        <w:sectPr>
          <w:pgSz w:w="11900" w:h="16838" w:orient="portrait"/>
          <w:cols w:equalWidth="0" w:num="1">
            <w:col w:w="9019"/>
          </w:cols>
          <w:pgMar w:left="1440" w:top="512" w:right="1440" w:bottom="1440" w:gutter="0" w:footer="0" w:header="0"/>
        </w:sectPr>
      </w:pPr>
    </w:p>
    <w:bookmarkStart w:id="238" w:name="page239"/>
    <w:bookmarkEnd w:id="238"/>
    <w:p>
      <w:pPr>
        <w:ind w:left="2000"/>
        <w:spacing w:after="0"/>
        <w:rPr>
          <w:sz w:val="20"/>
          <w:szCs w:val="20"/>
          <w:color w:val="auto"/>
        </w:rPr>
      </w:pPr>
      <w:r>
        <w:rPr>
          <w:rFonts w:ascii="Courier New" w:cs="Courier New" w:eastAsia="Courier New" w:hAnsi="Courier New"/>
          <w:sz w:val="17"/>
          <w:szCs w:val="17"/>
          <w:color w:val="auto"/>
        </w:rPr>
        <w:t>IKB DEUTSCHE INDUSTRIEBANK AG LONDON BRANCH</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/s/Anja Keuchel</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Anja Keuchel</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Manager</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Manfred Ziwey</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Manfred Ziwey</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Director</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IKB CAPITAL CORPORATION NEW YORK</w:t>
      </w:r>
    </w:p>
    <w:p>
      <w:pPr>
        <w:spacing w:after="0" w:line="200" w:lineRule="exact"/>
        <w:rPr>
          <w:sz w:val="20"/>
          <w:szCs w:val="20"/>
          <w:color w:val="auto"/>
        </w:rPr>
      </w:pP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David Snyder</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Name: David Snyder</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Title: President</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INDOSUEZ CAPITAL FUNDING VI, LTD.</w:t>
      </w:r>
    </w:p>
    <w:p>
      <w:pPr>
        <w:spacing w:after="0" w:line="203" w:lineRule="exact"/>
        <w:rPr>
          <w:sz w:val="20"/>
          <w:szCs w:val="20"/>
          <w:color w:val="auto"/>
        </w:rPr>
      </w:pPr>
    </w:p>
    <w:p>
      <w:pPr>
        <w:ind w:left="2000" w:right="2499"/>
        <w:spacing w:after="0" w:line="247" w:lineRule="auto"/>
        <w:rPr>
          <w:sz w:val="20"/>
          <w:szCs w:val="20"/>
          <w:color w:val="auto"/>
        </w:rPr>
      </w:pPr>
      <w:r>
        <w:rPr>
          <w:rFonts w:ascii="Courier New" w:cs="Courier New" w:eastAsia="Courier New" w:hAnsi="Courier New"/>
          <w:sz w:val="17"/>
          <w:szCs w:val="17"/>
          <w:color w:val="auto"/>
        </w:rPr>
        <w:t>By: Indosuez Capital Luxembourg as Portfolio Advisor</w:t>
      </w:r>
    </w:p>
    <w:p>
      <w:pPr>
        <w:spacing w:after="0" w:line="200" w:lineRule="exact"/>
        <w:rPr>
          <w:sz w:val="20"/>
          <w:szCs w:val="20"/>
          <w:color w:val="auto"/>
        </w:rPr>
      </w:pPr>
    </w:p>
    <w:p>
      <w:pPr>
        <w:spacing w:after="0" w:line="394"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Jack C. Henry</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Jack C. Henry</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Principal</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JISSEKIKUN FUNDING, LTD. (ACCT 1288)</w:t>
      </w:r>
    </w:p>
    <w:p>
      <w:pPr>
        <w:spacing w:after="0" w:line="203" w:lineRule="exact"/>
        <w:rPr>
          <w:sz w:val="20"/>
          <w:szCs w:val="20"/>
          <w:color w:val="auto"/>
        </w:rPr>
      </w:pPr>
    </w:p>
    <w:p>
      <w:pPr>
        <w:ind w:left="2000" w:right="1979"/>
        <w:spacing w:after="0" w:line="247" w:lineRule="auto"/>
        <w:rPr>
          <w:sz w:val="20"/>
          <w:szCs w:val="20"/>
          <w:color w:val="auto"/>
        </w:rPr>
      </w:pPr>
      <w:r>
        <w:rPr>
          <w:rFonts w:ascii="Courier New" w:cs="Courier New" w:eastAsia="Courier New" w:hAnsi="Courier New"/>
          <w:sz w:val="17"/>
          <w:szCs w:val="17"/>
          <w:color w:val="auto"/>
        </w:rPr>
        <w:t>By: Pacific Investment Management Company LLC, as its Investment Advisor</w:t>
      </w:r>
    </w:p>
    <w:p>
      <w:pPr>
        <w:spacing w:after="0" w:line="200" w:lineRule="exact"/>
        <w:rPr>
          <w:sz w:val="20"/>
          <w:szCs w:val="20"/>
          <w:color w:val="auto"/>
        </w:rPr>
      </w:pPr>
    </w:p>
    <w:p>
      <w:pPr>
        <w:spacing w:after="0" w:line="394"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Mohan V. Phansalkar</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Mohan V. Phansalkar</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Executive Vice President</w:t>
      </w:r>
    </w:p>
    <w:p>
      <w:pPr>
        <w:sectPr>
          <w:pgSz w:w="11900" w:h="16838" w:orient="portrait"/>
          <w:cols w:equalWidth="0" w:num="1">
            <w:col w:w="9019"/>
          </w:cols>
          <w:pgMar w:left="1440" w:top="511" w:right="1440" w:bottom="1440" w:gutter="0" w:footer="0" w:header="0"/>
        </w:sectPr>
      </w:pPr>
    </w:p>
    <w:bookmarkStart w:id="239" w:name="page240"/>
    <w:bookmarkEnd w:id="239"/>
    <w:p>
      <w:pPr>
        <w:ind w:left="2000"/>
        <w:spacing w:after="0"/>
        <w:rPr>
          <w:sz w:val="20"/>
          <w:szCs w:val="20"/>
          <w:color w:val="auto"/>
        </w:rPr>
      </w:pPr>
      <w:r>
        <w:rPr>
          <w:rFonts w:ascii="Courier New" w:cs="Courier New" w:eastAsia="Courier New" w:hAnsi="Courier New"/>
          <w:sz w:val="17"/>
          <w:szCs w:val="17"/>
          <w:color w:val="auto"/>
        </w:rPr>
        <w:t>KZH CNC LLC</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Joyce Fraser-Bryant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Joyce Fraser-Bryant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Authorized Agent</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KZH CRESCENT 3 LLC</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KZH CYPRESSTREE-1 LLC</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Joyce Fraser-Bryant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Joyce Fraser-Bryant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Authorized Agent</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KZH HIGHLAND-2 LLC</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KZH LANGDALE LLC</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w:t>
      </w:r>
    </w:p>
    <w:p>
      <w:pPr>
        <w:sectPr>
          <w:pgSz w:w="11900" w:h="16838" w:orient="portrait"/>
          <w:cols w:equalWidth="0" w:num="1">
            <w:col w:w="9019"/>
          </w:cols>
          <w:pgMar w:left="1440" w:top="511" w:right="1440" w:bottom="1440" w:gutter="0" w:footer="0" w:header="0"/>
        </w:sectPr>
      </w:pPr>
    </w:p>
    <w:bookmarkStart w:id="240" w:name="page241"/>
    <w:bookmarkEnd w:id="240"/>
    <w:p>
      <w:pPr>
        <w:ind w:left="2000"/>
        <w:spacing w:after="0"/>
        <w:rPr>
          <w:sz w:val="20"/>
          <w:szCs w:val="20"/>
          <w:color w:val="auto"/>
        </w:rPr>
      </w:pPr>
      <w:r>
        <w:rPr>
          <w:rFonts w:ascii="Courier New" w:cs="Courier New" w:eastAsia="Courier New" w:hAnsi="Courier New"/>
          <w:sz w:val="17"/>
          <w:szCs w:val="17"/>
          <w:color w:val="auto"/>
        </w:rPr>
        <w:t>KZH RIVERSIDE LLC</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Joyce Fraser-Bryant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Joyce Fraser-Bryant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Authorized Agent</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KZH SOLEIL-2 LLC</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KZH STERLING LLC</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Joyce Fraser-Bryant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Joyce Fraser-Bryant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Authorized Agent</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KZH WATERSIDE LLC</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Joyce Fraser-Bryant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Joyce Fraser-Bryant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Authorized Agent</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KEY BANK NATIONAL ASSOCIATION</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w:t>
      </w:r>
    </w:p>
    <w:p>
      <w:pPr>
        <w:sectPr>
          <w:pgSz w:w="11900" w:h="16838" w:orient="portrait"/>
          <w:cols w:equalWidth="0" w:num="1">
            <w:col w:w="9019"/>
          </w:cols>
          <w:pgMar w:left="1440" w:top="511" w:right="1440" w:bottom="1440" w:gutter="0" w:footer="0" w:header="0"/>
        </w:sectPr>
      </w:pPr>
    </w:p>
    <w:bookmarkStart w:id="241" w:name="page242"/>
    <w:bookmarkEnd w:id="241"/>
    <w:p>
      <w:pPr>
        <w:ind w:left="2000"/>
        <w:spacing w:after="0"/>
        <w:rPr>
          <w:sz w:val="20"/>
          <w:szCs w:val="20"/>
          <w:color w:val="auto"/>
        </w:rPr>
      </w:pPr>
      <w:r>
        <w:rPr>
          <w:rFonts w:ascii="Courier New" w:cs="Courier New" w:eastAsia="Courier New" w:hAnsi="Courier New"/>
          <w:sz w:val="17"/>
          <w:szCs w:val="17"/>
          <w:color w:val="auto"/>
        </w:rPr>
        <w:t>LANDESBANK RHEINLAND-PFALTZ</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GIROZENTRALE</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Stefan Gilsdorf</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Stefan Gilsdorf</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SVP</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Anne-Marie Theobald</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Anne-Marie Theobald</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Manager</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LIBERTY-STEIN ROE ADVANCED FLOATING RATE</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ADVANTAGE FUND</w:t>
      </w:r>
    </w:p>
    <w:p>
      <w:pPr>
        <w:spacing w:after="0" w:line="203"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7"/>
          <w:szCs w:val="17"/>
          <w:color w:val="auto"/>
        </w:rPr>
        <w:t>By: Stein Roe &amp; Farnham Incorporated, as Advisor</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James R. Fellows</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James R. Fellows</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Sr. Vice President &amp; Portfolio Manager</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ML CLO XII PILGRIM AMERICA (CAYMAN)</w:t>
      </w:r>
    </w:p>
    <w:p>
      <w:pPr>
        <w:spacing w:after="0" w:line="200" w:lineRule="exact"/>
        <w:rPr>
          <w:sz w:val="20"/>
          <w:szCs w:val="20"/>
          <w:color w:val="auto"/>
        </w:rPr>
      </w:pPr>
    </w:p>
    <w:p>
      <w:pPr>
        <w:spacing w:after="0" w:line="399" w:lineRule="exact"/>
        <w:rPr>
          <w:sz w:val="20"/>
          <w:szCs w:val="20"/>
          <w:color w:val="auto"/>
        </w:rPr>
      </w:pPr>
    </w:p>
    <w:p>
      <w:pPr>
        <w:ind w:left="2300" w:right="2399" w:hanging="308"/>
        <w:spacing w:after="0" w:line="247" w:lineRule="auto"/>
        <w:rPr>
          <w:sz w:val="20"/>
          <w:szCs w:val="20"/>
          <w:color w:val="auto"/>
        </w:rPr>
      </w:pPr>
      <w:r>
        <w:rPr>
          <w:rFonts w:ascii="Courier New" w:cs="Courier New" w:eastAsia="Courier New" w:hAnsi="Courier New"/>
          <w:sz w:val="17"/>
          <w:szCs w:val="17"/>
          <w:color w:val="auto"/>
        </w:rPr>
        <w:t>By:ING Pilgrim Investments, as its Investment Manager</w:t>
      </w:r>
    </w:p>
    <w:p>
      <w:pPr>
        <w:spacing w:after="0" w:line="200" w:lineRule="exact"/>
        <w:rPr>
          <w:sz w:val="20"/>
          <w:szCs w:val="20"/>
          <w:color w:val="auto"/>
        </w:rPr>
      </w:pPr>
    </w:p>
    <w:p>
      <w:pPr>
        <w:spacing w:after="0" w:line="394"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Brian Horton</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Brian Horton</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Vice President</w:t>
      </w:r>
    </w:p>
    <w:p>
      <w:pPr>
        <w:sectPr>
          <w:pgSz w:w="11900" w:h="16838" w:orient="portrait"/>
          <w:cols w:equalWidth="0" w:num="1">
            <w:col w:w="9019"/>
          </w:cols>
          <w:pgMar w:left="1440" w:top="511" w:right="1440" w:bottom="1440" w:gutter="0" w:footer="0" w:header="0"/>
        </w:sectPr>
      </w:pPr>
    </w:p>
    <w:bookmarkStart w:id="242" w:name="page243"/>
    <w:bookmarkEnd w:id="242"/>
    <w:p>
      <w:pPr>
        <w:ind w:left="2000"/>
        <w:spacing w:after="0"/>
        <w:rPr>
          <w:sz w:val="20"/>
          <w:szCs w:val="20"/>
          <w:color w:val="auto"/>
        </w:rPr>
      </w:pPr>
      <w:r>
        <w:rPr>
          <w:rFonts w:ascii="Courier New" w:cs="Courier New" w:eastAsia="Courier New" w:hAnsi="Courier New"/>
          <w:sz w:val="17"/>
          <w:szCs w:val="17"/>
          <w:color w:val="auto"/>
        </w:rPr>
        <w:t>ML CLO XX PILGRIM AMERICA (CAYMAN)</w:t>
      </w:r>
    </w:p>
    <w:p>
      <w:pPr>
        <w:spacing w:after="0" w:line="203" w:lineRule="exact"/>
        <w:rPr>
          <w:sz w:val="20"/>
          <w:szCs w:val="20"/>
          <w:color w:val="auto"/>
        </w:rPr>
      </w:pPr>
    </w:p>
    <w:p>
      <w:pPr>
        <w:ind w:left="2400" w:right="2279" w:hanging="399"/>
        <w:spacing w:after="0" w:line="247" w:lineRule="auto"/>
        <w:tabs>
          <w:tab w:leader="none" w:pos="2380" w:val="left"/>
        </w:tabs>
        <w:rPr>
          <w:sz w:val="20"/>
          <w:szCs w:val="20"/>
          <w:color w:val="auto"/>
        </w:rPr>
      </w:pPr>
      <w:r>
        <w:rPr>
          <w:rFonts w:ascii="Courier New" w:cs="Courier New" w:eastAsia="Courier New" w:hAnsi="Courier New"/>
          <w:sz w:val="17"/>
          <w:szCs w:val="17"/>
          <w:color w:val="auto"/>
        </w:rPr>
        <w:t>By:</w:t>
        <w:tab/>
        <w:t>ING Pilgrim Investments, as its Investment Manager</w:t>
      </w:r>
    </w:p>
    <w:p>
      <w:pPr>
        <w:spacing w:after="0" w:line="200" w:lineRule="exact"/>
        <w:rPr>
          <w:sz w:val="20"/>
          <w:szCs w:val="20"/>
          <w:color w:val="auto"/>
        </w:rPr>
      </w:pPr>
    </w:p>
    <w:p>
      <w:pPr>
        <w:spacing w:after="0" w:line="394"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Brian Horton</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Brian Horton</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Vice President</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MADISON AVENUE CDO I LTD.</w:t>
      </w:r>
    </w:p>
    <w:p>
      <w:pPr>
        <w:spacing w:after="0" w:line="203"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Metropolitan Life Insurance Company as</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Collateral Manager</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MAPLEWOOD (CAYMAN) LIMITED</w:t>
      </w:r>
    </w:p>
    <w:p>
      <w:pPr>
        <w:spacing w:after="0" w:line="203" w:lineRule="exact"/>
        <w:rPr>
          <w:sz w:val="20"/>
          <w:szCs w:val="20"/>
          <w:color w:val="auto"/>
        </w:rPr>
      </w:pPr>
    </w:p>
    <w:p>
      <w:pPr>
        <w:ind w:left="2000" w:right="2399"/>
        <w:spacing w:after="0" w:line="246" w:lineRule="auto"/>
        <w:rPr>
          <w:sz w:val="20"/>
          <w:szCs w:val="20"/>
          <w:color w:val="auto"/>
        </w:rPr>
      </w:pPr>
      <w:r>
        <w:rPr>
          <w:rFonts w:ascii="Courier New" w:cs="Courier New" w:eastAsia="Courier New" w:hAnsi="Courier New"/>
          <w:sz w:val="17"/>
          <w:szCs w:val="17"/>
          <w:color w:val="auto"/>
        </w:rPr>
        <w:t>By: David L. Babson &amp; Company Inc. under delegated authority from Massachusetts Mutual Life Insurance Company as Investment Manager</w:t>
      </w:r>
    </w:p>
    <w:p>
      <w:pPr>
        <w:spacing w:after="0" w:line="200" w:lineRule="exact"/>
        <w:rPr>
          <w:sz w:val="20"/>
          <w:szCs w:val="20"/>
          <w:color w:val="auto"/>
        </w:rPr>
      </w:pPr>
    </w:p>
    <w:p>
      <w:pPr>
        <w:spacing w:after="0" w:line="396"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Mary S. Law</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Mary S. Law</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Managing Director</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MASSACHUSETTS MUTUAL LIFE</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INSURANCE COMPANY</w:t>
      </w:r>
    </w:p>
    <w:p>
      <w:pPr>
        <w:spacing w:after="0" w:line="203"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David L. Babson &amp; Company Inc. as</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Investment Advisor</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Mary S. Law</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Mary S. Law</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Managing Director</w:t>
      </w:r>
    </w:p>
    <w:p>
      <w:pPr>
        <w:sectPr>
          <w:pgSz w:w="11900" w:h="16838" w:orient="portrait"/>
          <w:cols w:equalWidth="0" w:num="1">
            <w:col w:w="9019"/>
          </w:cols>
          <w:pgMar w:left="1440" w:top="511" w:right="1440" w:bottom="1440" w:gutter="0" w:footer="0" w:header="0"/>
        </w:sectPr>
      </w:pPr>
    </w:p>
    <w:bookmarkStart w:id="243" w:name="page244"/>
    <w:bookmarkEnd w:id="243"/>
    <w:p>
      <w:pPr>
        <w:ind w:left="2000"/>
        <w:spacing w:after="0"/>
        <w:rPr>
          <w:sz w:val="20"/>
          <w:szCs w:val="20"/>
          <w:color w:val="auto"/>
        </w:rPr>
      </w:pPr>
      <w:r>
        <w:rPr>
          <w:rFonts w:ascii="Courier New" w:cs="Courier New" w:eastAsia="Courier New" w:hAnsi="Courier New"/>
          <w:sz w:val="17"/>
          <w:szCs w:val="17"/>
          <w:color w:val="auto"/>
        </w:rPr>
        <w:t>METROPOLITAN LIFE INSURANCE COMPANY</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MORGAN STANLEY DEAN WITTER PRIME INCOME TRUST</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MOUNTAIN CAPITAL CLO I, LTD.</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NBD BANK</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w:t>
      </w:r>
    </w:p>
    <w:p>
      <w:pPr>
        <w:sectPr>
          <w:pgSz w:w="11900" w:h="16838" w:orient="portrait"/>
          <w:cols w:equalWidth="0" w:num="1">
            <w:col w:w="9019"/>
          </w:cols>
          <w:pgMar w:left="1440" w:top="907" w:right="1440" w:bottom="1440" w:gutter="0" w:footer="0" w:header="0"/>
        </w:sectPr>
      </w:pPr>
    </w:p>
    <w:bookmarkStart w:id="244" w:name="page245"/>
    <w:bookmarkEnd w:id="244"/>
    <w:p>
      <w:pPr>
        <w:ind w:left="2000"/>
        <w:spacing w:after="0"/>
        <w:rPr>
          <w:sz w:val="20"/>
          <w:szCs w:val="20"/>
          <w:color w:val="auto"/>
        </w:rPr>
      </w:pPr>
      <w:r>
        <w:rPr>
          <w:rFonts w:ascii="Courier New" w:cs="Courier New" w:eastAsia="Courier New" w:hAnsi="Courier New"/>
          <w:sz w:val="17"/>
          <w:szCs w:val="17"/>
          <w:color w:val="auto"/>
        </w:rPr>
        <w:t>NATEXIS BANQUE POPULAIRES</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Frank H. Madden, Jr.</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Frank H. Madden, Jr.</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Vice President &amp; Group Manager</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Christian Giordano</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Christian Giordano</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Vice President</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NATIONAL CITY BANK</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Anthony F. Salvatore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Anthony F. Salvatore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SVP</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NEMEAN CLO, LTD.</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NORTH AMERICAN SENIOR FLOATING RATE</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FUND</w:t>
      </w:r>
    </w:p>
    <w:p>
      <w:pPr>
        <w:spacing w:after="0" w:line="203"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Stanfield Capital Partners LLC as its</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Collateral Manager</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Christopher A. Bondy</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Christopher A. Bondy</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Partner</w:t>
      </w:r>
    </w:p>
    <w:p>
      <w:pPr>
        <w:sectPr>
          <w:pgSz w:w="11900" w:h="16838" w:orient="portrait"/>
          <w:cols w:equalWidth="0" w:num="1">
            <w:col w:w="9019"/>
          </w:cols>
          <w:pgMar w:left="1440" w:top="511" w:right="1440" w:bottom="1440" w:gutter="0" w:footer="0" w:header="0"/>
        </w:sectPr>
      </w:pPr>
    </w:p>
    <w:bookmarkStart w:id="245" w:name="page246"/>
    <w:bookmarkEnd w:id="245"/>
    <w:p>
      <w:pPr>
        <w:ind w:left="2000"/>
        <w:spacing w:after="0"/>
        <w:rPr>
          <w:sz w:val="20"/>
          <w:szCs w:val="20"/>
          <w:color w:val="auto"/>
        </w:rPr>
      </w:pPr>
      <w:r>
        <w:rPr>
          <w:rFonts w:ascii="Courier New" w:cs="Courier New" w:eastAsia="Courier New" w:hAnsi="Courier New"/>
          <w:sz w:val="17"/>
          <w:szCs w:val="17"/>
          <w:color w:val="auto"/>
        </w:rPr>
        <w:t>NUVEEN SENIOR INCOME FUND</w:t>
      </w:r>
    </w:p>
    <w:p>
      <w:pPr>
        <w:spacing w:after="0" w:line="203"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Nuveen Senior Loan Asset Management Inc.</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OASIS COLLATERALIZED HIGH INCOME</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PORTFOLIO-1 LTD.</w:t>
      </w:r>
    </w:p>
    <w:p>
      <w:pPr>
        <w:spacing w:after="0" w:line="203" w:lineRule="exact"/>
        <w:rPr>
          <w:sz w:val="20"/>
          <w:szCs w:val="20"/>
          <w:color w:val="auto"/>
        </w:rPr>
      </w:pPr>
    </w:p>
    <w:p>
      <w:pPr>
        <w:ind w:left="2000" w:right="2279"/>
        <w:spacing w:after="0" w:line="247" w:lineRule="auto"/>
        <w:rPr>
          <w:sz w:val="20"/>
          <w:szCs w:val="20"/>
          <w:color w:val="auto"/>
        </w:rPr>
      </w:pPr>
      <w:r>
        <w:rPr>
          <w:rFonts w:ascii="Courier New" w:cs="Courier New" w:eastAsia="Courier New" w:hAnsi="Courier New"/>
          <w:sz w:val="17"/>
          <w:szCs w:val="17"/>
          <w:color w:val="auto"/>
        </w:rPr>
        <w:t>By: INVESCO Senior Secured Management, Inc. As Subadvisor</w:t>
      </w:r>
    </w:p>
    <w:p>
      <w:pPr>
        <w:spacing w:after="0" w:line="200" w:lineRule="exact"/>
        <w:rPr>
          <w:sz w:val="20"/>
          <w:szCs w:val="20"/>
          <w:color w:val="auto"/>
        </w:rPr>
      </w:pPr>
    </w:p>
    <w:p>
      <w:pPr>
        <w:spacing w:after="0" w:line="394" w:lineRule="exact"/>
        <w:rPr>
          <w:sz w:val="20"/>
          <w:szCs w:val="20"/>
          <w:color w:val="auto"/>
        </w:rPr>
      </w:pPr>
    </w:p>
    <w:p>
      <w:pPr>
        <w:ind w:left="2000"/>
        <w:spacing w:after="0"/>
        <w:tabs>
          <w:tab w:leader="none" w:pos="2500" w:val="left"/>
        </w:tabs>
        <w:rPr>
          <w:sz w:val="20"/>
          <w:szCs w:val="20"/>
          <w:color w:val="auto"/>
        </w:rPr>
      </w:pPr>
      <w:r>
        <w:rPr>
          <w:rFonts w:ascii="Courier New" w:cs="Courier New" w:eastAsia="Courier New" w:hAnsi="Courier New"/>
          <w:sz w:val="17"/>
          <w:szCs w:val="17"/>
          <w:color w:val="auto"/>
        </w:rPr>
        <w:t>By:</w:t>
        <w:tab/>
        <w:t>/s/ Thomas H. B. Ewald</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Thomas H. B. Ewald</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Authorized Signatory</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OCTAGON INVESTMENT PARTNERS III, LTD.</w:t>
      </w:r>
    </w:p>
    <w:p>
      <w:pPr>
        <w:spacing w:after="0" w:line="203" w:lineRule="exact"/>
        <w:rPr>
          <w:sz w:val="20"/>
          <w:szCs w:val="20"/>
          <w:color w:val="auto"/>
        </w:rPr>
      </w:pPr>
    </w:p>
    <w:p>
      <w:pPr>
        <w:ind w:left="2000" w:right="2279"/>
        <w:spacing w:after="0" w:line="247" w:lineRule="auto"/>
        <w:rPr>
          <w:sz w:val="20"/>
          <w:szCs w:val="20"/>
          <w:color w:val="auto"/>
        </w:rPr>
      </w:pPr>
      <w:r>
        <w:rPr>
          <w:rFonts w:ascii="Courier New" w:cs="Courier New" w:eastAsia="Courier New" w:hAnsi="Courier New"/>
          <w:sz w:val="17"/>
          <w:szCs w:val="17"/>
          <w:color w:val="auto"/>
        </w:rPr>
        <w:t>By: Octagon Credit Investors, LLC as Portfolio Manager</w:t>
      </w:r>
    </w:p>
    <w:p>
      <w:pPr>
        <w:spacing w:after="0" w:line="200" w:lineRule="exact"/>
        <w:rPr>
          <w:sz w:val="20"/>
          <w:szCs w:val="20"/>
          <w:color w:val="auto"/>
        </w:rPr>
      </w:pPr>
    </w:p>
    <w:p>
      <w:pPr>
        <w:spacing w:after="0" w:line="394"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Andrew Gordon</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Andrew Gordon</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Portfolio Manager</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OCTAGON INVESTMENT PARTNERS IV, LTD.</w:t>
      </w:r>
    </w:p>
    <w:p>
      <w:pPr>
        <w:spacing w:after="0" w:line="203" w:lineRule="exact"/>
        <w:rPr>
          <w:sz w:val="20"/>
          <w:szCs w:val="20"/>
          <w:color w:val="auto"/>
        </w:rPr>
      </w:pPr>
    </w:p>
    <w:p>
      <w:pPr>
        <w:ind w:left="2000" w:right="2179"/>
        <w:spacing w:after="0" w:line="247" w:lineRule="auto"/>
        <w:rPr>
          <w:sz w:val="20"/>
          <w:szCs w:val="20"/>
          <w:color w:val="auto"/>
        </w:rPr>
      </w:pPr>
      <w:r>
        <w:rPr>
          <w:rFonts w:ascii="Courier New" w:cs="Courier New" w:eastAsia="Courier New" w:hAnsi="Courier New"/>
          <w:sz w:val="17"/>
          <w:szCs w:val="17"/>
          <w:color w:val="auto"/>
        </w:rPr>
        <w:t>By: Octagon Credit Investors, LLC as Collateral Manager</w:t>
      </w:r>
    </w:p>
    <w:p>
      <w:pPr>
        <w:spacing w:after="0" w:line="200" w:lineRule="exact"/>
        <w:rPr>
          <w:sz w:val="20"/>
          <w:szCs w:val="20"/>
          <w:color w:val="auto"/>
        </w:rPr>
      </w:pPr>
    </w:p>
    <w:p>
      <w:pPr>
        <w:spacing w:after="0" w:line="394"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Andrew Gordon</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Andrew Gordon</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Portfolio Manager</w:t>
      </w:r>
    </w:p>
    <w:p>
      <w:pPr>
        <w:sectPr>
          <w:pgSz w:w="11900" w:h="16838" w:orient="portrait"/>
          <w:cols w:equalWidth="0" w:num="1">
            <w:col w:w="9019"/>
          </w:cols>
          <w:pgMar w:left="1440" w:top="511" w:right="1440" w:bottom="1440" w:gutter="0" w:footer="0" w:header="0"/>
        </w:sectPr>
      </w:pPr>
    </w:p>
    <w:bookmarkStart w:id="246" w:name="page247"/>
    <w:bookmarkEnd w:id="246"/>
    <w:p>
      <w:pPr>
        <w:ind w:left="2000"/>
        <w:spacing w:after="0"/>
        <w:rPr>
          <w:sz w:val="20"/>
          <w:szCs w:val="20"/>
          <w:color w:val="auto"/>
        </w:rPr>
      </w:pPr>
      <w:r>
        <w:rPr>
          <w:rFonts w:ascii="Courier New" w:cs="Courier New" w:eastAsia="Courier New" w:hAnsi="Courier New"/>
          <w:sz w:val="17"/>
          <w:szCs w:val="17"/>
          <w:color w:val="auto"/>
        </w:rPr>
        <w:t>OLYMPIC FUNDING TRUST, SERIES 1999-1</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Diana L. Mushill</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Diana L. Mushill</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Authorized Agent</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OSPREY INVESTMENTS PORTFOLIO</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OXFORD STRATEGIC INCOME FUND</w:t>
      </w:r>
    </w:p>
    <w:p>
      <w:pPr>
        <w:spacing w:after="0" w:line="203"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7"/>
          <w:szCs w:val="17"/>
          <w:color w:val="auto"/>
        </w:rPr>
        <w:t>By: Eaton Vance Management as Investment Advisor</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Scott H. Page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Scott H. Page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Vice President</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PILGRIM SENIOR INCOME FUND</w:t>
      </w:r>
    </w:p>
    <w:p>
      <w:pPr>
        <w:spacing w:after="0" w:line="203" w:lineRule="exact"/>
        <w:rPr>
          <w:sz w:val="20"/>
          <w:szCs w:val="20"/>
          <w:color w:val="auto"/>
        </w:rPr>
      </w:pPr>
    </w:p>
    <w:p>
      <w:pPr>
        <w:ind w:left="2000" w:right="2279"/>
        <w:spacing w:after="0" w:line="247" w:lineRule="auto"/>
        <w:rPr>
          <w:sz w:val="20"/>
          <w:szCs w:val="20"/>
          <w:color w:val="auto"/>
        </w:rPr>
      </w:pPr>
      <w:r>
        <w:rPr>
          <w:rFonts w:ascii="Courier New" w:cs="Courier New" w:eastAsia="Courier New" w:hAnsi="Courier New"/>
          <w:sz w:val="17"/>
          <w:szCs w:val="17"/>
          <w:color w:val="auto"/>
        </w:rPr>
        <w:t>By: ING Pilgrim Investments, as its Investment Manager</w:t>
      </w:r>
    </w:p>
    <w:p>
      <w:pPr>
        <w:spacing w:after="0" w:line="200" w:lineRule="exact"/>
        <w:rPr>
          <w:sz w:val="20"/>
          <w:szCs w:val="20"/>
          <w:color w:val="auto"/>
        </w:rPr>
      </w:pPr>
    </w:p>
    <w:p>
      <w:pPr>
        <w:spacing w:after="0" w:line="394"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Brian Horton</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Brian Horton</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Vice President</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PINEHURST TRADING, INC.</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Diana L. Mushill</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Diana L. Mushill</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Assistant Vice President</w:t>
      </w:r>
    </w:p>
    <w:p>
      <w:pPr>
        <w:sectPr>
          <w:pgSz w:w="11900" w:h="16838" w:orient="portrait"/>
          <w:cols w:equalWidth="0" w:num="1">
            <w:col w:w="9019"/>
          </w:cols>
          <w:pgMar w:left="1440" w:top="511" w:right="1440" w:bottom="1440" w:gutter="0" w:footer="0" w:header="0"/>
        </w:sectPr>
      </w:pPr>
    </w:p>
    <w:bookmarkStart w:id="247" w:name="page248"/>
    <w:bookmarkEnd w:id="247"/>
    <w:p>
      <w:pPr>
        <w:ind w:left="2000"/>
        <w:spacing w:after="0"/>
        <w:rPr>
          <w:sz w:val="20"/>
          <w:szCs w:val="20"/>
          <w:color w:val="auto"/>
        </w:rPr>
      </w:pPr>
      <w:r>
        <w:rPr>
          <w:rFonts w:ascii="Courier New" w:cs="Courier New" w:eastAsia="Courier New" w:hAnsi="Courier New"/>
          <w:sz w:val="17"/>
          <w:szCs w:val="17"/>
          <w:color w:val="auto"/>
        </w:rPr>
        <w:t>PPM SPYGLASS FUNDING TRUST</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Diana L. Mushill</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Diana L. Mushill</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Authorized Agent</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THE PRUDENTIAL INSURANCE COMPANY OF AMERICA</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B. Ross Smead</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B. Ross Smead</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Vice President</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RABOBANK INTERNATIONAL, NEW YORK BRANCH</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RIVIERA FUNDING LLC</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Diana L. Mushill</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Diana L. Mushill</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Asst. Vice President</w:t>
      </w:r>
    </w:p>
    <w:p>
      <w:pPr>
        <w:sectPr>
          <w:pgSz w:w="11900" w:h="16838" w:orient="portrait"/>
          <w:cols w:equalWidth="0" w:num="1">
            <w:col w:w="9019"/>
          </w:cols>
          <w:pgMar w:left="1440" w:top="511" w:right="1440" w:bottom="1440" w:gutter="0" w:footer="0" w:header="0"/>
        </w:sectPr>
      </w:pPr>
    </w:p>
    <w:bookmarkStart w:id="248" w:name="page249"/>
    <w:bookmarkEnd w:id="248"/>
    <w:p>
      <w:pPr>
        <w:ind w:left="2000"/>
        <w:spacing w:after="0"/>
        <w:rPr>
          <w:sz w:val="20"/>
          <w:szCs w:val="20"/>
          <w:color w:val="auto"/>
        </w:rPr>
      </w:pPr>
      <w:r>
        <w:rPr>
          <w:rFonts w:ascii="Courier New" w:cs="Courier New" w:eastAsia="Courier New" w:hAnsi="Courier New"/>
          <w:sz w:val="17"/>
          <w:szCs w:val="17"/>
          <w:color w:val="auto"/>
        </w:rPr>
        <w:t>SANKATY HIGH YIELD ASSET PARTNERS, L.P.</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Diane J. Exter</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Diane J. Exter</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Managing Director Portfolio Manager</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SANKATY HIGH YIELD ASSET PARTNERS II,</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L.P.</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Diane J. Exter</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Diane J. Exter</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Managing Director Portfolio Manager</w:t>
      </w:r>
    </w:p>
    <w:p>
      <w:pPr>
        <w:spacing w:after="0" w:line="200" w:lineRule="exact"/>
        <w:rPr>
          <w:sz w:val="20"/>
          <w:szCs w:val="20"/>
          <w:color w:val="auto"/>
        </w:rPr>
      </w:pPr>
    </w:p>
    <w:p>
      <w:pPr>
        <w:spacing w:after="0" w:line="399" w:lineRule="exact"/>
        <w:rPr>
          <w:sz w:val="20"/>
          <w:szCs w:val="20"/>
          <w:color w:val="auto"/>
        </w:rPr>
      </w:pPr>
    </w:p>
    <w:p>
      <w:pPr>
        <w:ind w:left="2000" w:right="2179"/>
        <w:spacing w:after="0" w:line="247" w:lineRule="auto"/>
        <w:rPr>
          <w:sz w:val="20"/>
          <w:szCs w:val="20"/>
          <w:color w:val="auto"/>
        </w:rPr>
      </w:pPr>
      <w:r>
        <w:rPr>
          <w:rFonts w:ascii="Courier New" w:cs="Courier New" w:eastAsia="Courier New" w:hAnsi="Courier New"/>
          <w:sz w:val="17"/>
          <w:szCs w:val="17"/>
          <w:color w:val="auto"/>
        </w:rPr>
        <w:t>SANKATY ADVISORS, LLC as Collateral Manager for Great Point CLO 1999-1 Ltd., as Term Lender</w:t>
      </w:r>
    </w:p>
    <w:p>
      <w:pPr>
        <w:spacing w:after="0" w:line="396"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Diane J. Exter</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Name: Diane J. Exter</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Title: Managing Director Portfolio</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Manager</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SCUDDER FLOATING RATE FUND</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SEABOARD CLO 2000, LTD.</w:t>
      </w:r>
    </w:p>
    <w:p>
      <w:pPr>
        <w:spacing w:after="0" w:line="203"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7"/>
          <w:szCs w:val="17"/>
          <w:color w:val="auto"/>
        </w:rPr>
        <w:t>By: ORIX Capital Markets, LLC Collateral Manager</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Sheppard H. C. Davis, Jr.</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Sheppard H. C. Davis, Jr.</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Managing Director</w:t>
      </w:r>
    </w:p>
    <w:p>
      <w:pPr>
        <w:sectPr>
          <w:pgSz w:w="11900" w:h="16838" w:orient="portrait"/>
          <w:cols w:equalWidth="0" w:num="1">
            <w:col w:w="9019"/>
          </w:cols>
          <w:pgMar w:left="1440" w:top="512" w:right="1440" w:bottom="1440" w:gutter="0" w:footer="0" w:header="0"/>
        </w:sectPr>
      </w:pPr>
    </w:p>
    <w:bookmarkStart w:id="249" w:name="page250"/>
    <w:bookmarkEnd w:id="249"/>
    <w:p>
      <w:pPr>
        <w:ind w:left="2000"/>
        <w:spacing w:after="0"/>
        <w:rPr>
          <w:sz w:val="20"/>
          <w:szCs w:val="20"/>
          <w:color w:val="auto"/>
        </w:rPr>
      </w:pPr>
      <w:r>
        <w:rPr>
          <w:rFonts w:ascii="Courier New" w:cs="Courier New" w:eastAsia="Courier New" w:hAnsi="Courier New"/>
          <w:sz w:val="17"/>
          <w:szCs w:val="17"/>
          <w:color w:val="auto"/>
        </w:rPr>
        <w:t>SENIOR DEBT PORTFOLIO</w:t>
      </w:r>
    </w:p>
    <w:p>
      <w:pPr>
        <w:spacing w:after="0" w:line="203"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Boston Management and Research,</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as Investment Advisor</w:t>
      </w:r>
    </w:p>
    <w:p>
      <w:pPr>
        <w:spacing w:after="0" w:line="200" w:lineRule="exact"/>
        <w:rPr>
          <w:sz w:val="20"/>
          <w:szCs w:val="20"/>
          <w:color w:val="auto"/>
        </w:rPr>
      </w:pP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Scott H. Page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Scott H, Page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Vice President</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SEQUILS IV, LTD.</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SEQUILS-CENTURION V, LTD.</w:t>
      </w:r>
    </w:p>
    <w:p>
      <w:pPr>
        <w:spacing w:after="0" w:line="203"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American Express Asset Management Group Inc.</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as Collateral Manager</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Michael M. Leyland</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Michael M. Leyland</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Managing Director</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SEQUILS-CUMBERLAND I, LTD.</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Dale Burrow</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Dale Burrow</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Senior Vice President</w:t>
      </w:r>
    </w:p>
    <w:p>
      <w:pPr>
        <w:sectPr>
          <w:pgSz w:w="11900" w:h="16838" w:orient="portrait"/>
          <w:cols w:equalWidth="0" w:num="1">
            <w:col w:w="9019"/>
          </w:cols>
          <w:pgMar w:left="1440" w:top="511" w:right="1440" w:bottom="1440" w:gutter="0" w:footer="0" w:header="0"/>
        </w:sectPr>
      </w:pPr>
    </w:p>
    <w:bookmarkStart w:id="250" w:name="page251"/>
    <w:bookmarkEnd w:id="250"/>
    <w:p>
      <w:pPr>
        <w:ind w:left="2000"/>
        <w:spacing w:after="0"/>
        <w:rPr>
          <w:sz w:val="20"/>
          <w:szCs w:val="20"/>
          <w:color w:val="auto"/>
        </w:rPr>
      </w:pPr>
      <w:r>
        <w:rPr>
          <w:rFonts w:ascii="Courier New" w:cs="Courier New" w:eastAsia="Courier New" w:hAnsi="Courier New"/>
          <w:sz w:val="17"/>
          <w:szCs w:val="17"/>
          <w:color w:val="auto"/>
        </w:rPr>
        <w:t>SEQUILS-MAGNUM, LTD. (#1280)</w:t>
      </w:r>
    </w:p>
    <w:p>
      <w:pPr>
        <w:spacing w:after="0" w:line="203" w:lineRule="exact"/>
        <w:rPr>
          <w:sz w:val="20"/>
          <w:szCs w:val="20"/>
          <w:color w:val="auto"/>
        </w:rPr>
      </w:pPr>
    </w:p>
    <w:p>
      <w:pPr>
        <w:ind w:left="2000" w:right="2279"/>
        <w:spacing w:after="0" w:line="247" w:lineRule="auto"/>
        <w:rPr>
          <w:sz w:val="20"/>
          <w:szCs w:val="20"/>
          <w:color w:val="auto"/>
        </w:rPr>
      </w:pPr>
      <w:r>
        <w:rPr>
          <w:rFonts w:ascii="Courier New" w:cs="Courier New" w:eastAsia="Courier New" w:hAnsi="Courier New"/>
          <w:sz w:val="17"/>
          <w:szCs w:val="17"/>
          <w:color w:val="auto"/>
        </w:rPr>
        <w:t>By: Pacific Investment Management Company LLC, as its Investment Advisor</w:t>
      </w:r>
    </w:p>
    <w:p>
      <w:pPr>
        <w:spacing w:after="0" w:line="200" w:lineRule="exact"/>
        <w:rPr>
          <w:sz w:val="20"/>
          <w:szCs w:val="20"/>
          <w:color w:val="auto"/>
        </w:rPr>
      </w:pPr>
    </w:p>
    <w:p>
      <w:pPr>
        <w:spacing w:after="0" w:line="394"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Mohan V. Phansalkar</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Mohan V. Phansalkar</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Executive Vice President</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SIERRA CLO I LTD.</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John M. Casparian</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John M. Casparian</w:t>
      </w:r>
    </w:p>
    <w:p>
      <w:pPr>
        <w:spacing w:after="0" w:line="5" w:lineRule="exact"/>
        <w:rPr>
          <w:sz w:val="20"/>
          <w:szCs w:val="20"/>
          <w:color w:val="auto"/>
        </w:rPr>
      </w:pPr>
    </w:p>
    <w:p>
      <w:pPr>
        <w:ind w:left="2300" w:right="2079"/>
        <w:spacing w:after="0" w:line="247" w:lineRule="auto"/>
        <w:rPr>
          <w:sz w:val="20"/>
          <w:szCs w:val="20"/>
          <w:color w:val="auto"/>
        </w:rPr>
      </w:pPr>
      <w:r>
        <w:rPr>
          <w:rFonts w:ascii="Courier New" w:cs="Courier New" w:eastAsia="Courier New" w:hAnsi="Courier New"/>
          <w:sz w:val="17"/>
          <w:szCs w:val="17"/>
          <w:color w:val="auto"/>
        </w:rPr>
        <w:t>Title: Chief Operating Officer Centre Pacific LLC, Manager</w:t>
      </w:r>
    </w:p>
    <w:p>
      <w:pPr>
        <w:spacing w:after="0" w:line="200" w:lineRule="exact"/>
        <w:rPr>
          <w:sz w:val="20"/>
          <w:szCs w:val="20"/>
          <w:color w:val="auto"/>
        </w:rPr>
      </w:pPr>
    </w:p>
    <w:p>
      <w:pPr>
        <w:spacing w:after="0" w:line="394"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SPS HIGH YIELD LOAN TRADING</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SRF 2000 LLC</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w:t>
      </w:r>
    </w:p>
    <w:p>
      <w:pPr>
        <w:sectPr>
          <w:pgSz w:w="11900" w:h="16838" w:orient="portrait"/>
          <w:cols w:equalWidth="0" w:num="1">
            <w:col w:w="9019"/>
          </w:cols>
          <w:pgMar w:left="1440" w:top="511" w:right="1440" w:bottom="1440" w:gutter="0" w:footer="0" w:header="0"/>
        </w:sectPr>
      </w:pPr>
    </w:p>
    <w:bookmarkStart w:id="251" w:name="page252"/>
    <w:bookmarkEnd w:id="251"/>
    <w:p>
      <w:pPr>
        <w:ind w:left="2000"/>
        <w:spacing w:after="0"/>
        <w:rPr>
          <w:sz w:val="20"/>
          <w:szCs w:val="20"/>
          <w:color w:val="auto"/>
        </w:rPr>
      </w:pPr>
      <w:r>
        <w:rPr>
          <w:rFonts w:ascii="Courier New" w:cs="Courier New" w:eastAsia="Courier New" w:hAnsi="Courier New"/>
          <w:sz w:val="17"/>
          <w:szCs w:val="17"/>
          <w:color w:val="auto"/>
        </w:rPr>
        <w:t>STANFIELD ARBITRAGE CDO, LTD.</w:t>
      </w:r>
    </w:p>
    <w:p>
      <w:pPr>
        <w:spacing w:after="0" w:line="203"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Stanfield Capital Partners LLC as its</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Collateral Manager</w:t>
      </w:r>
    </w:p>
    <w:p>
      <w:pPr>
        <w:spacing w:after="0" w:line="200" w:lineRule="exact"/>
        <w:rPr>
          <w:sz w:val="20"/>
          <w:szCs w:val="20"/>
          <w:color w:val="auto"/>
        </w:rPr>
      </w:pP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Christopher A. Bondy</w:t>
      </w:r>
    </w:p>
    <w:p>
      <w:pPr>
        <w:spacing w:after="0" w:line="5" w:lineRule="exact"/>
        <w:rPr>
          <w:sz w:val="20"/>
          <w:szCs w:val="20"/>
          <w:color w:val="auto"/>
        </w:rPr>
      </w:pPr>
    </w:p>
    <w:p>
      <w:pPr>
        <w:ind w:left="24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Name: Christopher A. Bondy</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Title: Partner</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STEIN ROE FLOATING RATE LLC</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SUFFIELD CLO, LIMITED</w:t>
      </w:r>
    </w:p>
    <w:p>
      <w:pPr>
        <w:spacing w:after="0" w:line="203" w:lineRule="exact"/>
        <w:rPr>
          <w:sz w:val="20"/>
          <w:szCs w:val="20"/>
          <w:color w:val="auto"/>
        </w:rPr>
      </w:pPr>
    </w:p>
    <w:p>
      <w:pPr>
        <w:ind w:left="2000" w:right="2079"/>
        <w:spacing w:after="0" w:line="247" w:lineRule="auto"/>
        <w:rPr>
          <w:sz w:val="20"/>
          <w:szCs w:val="20"/>
          <w:color w:val="auto"/>
        </w:rPr>
      </w:pPr>
      <w:r>
        <w:rPr>
          <w:rFonts w:ascii="Courier New" w:cs="Courier New" w:eastAsia="Courier New" w:hAnsi="Courier New"/>
          <w:sz w:val="17"/>
          <w:szCs w:val="17"/>
          <w:color w:val="auto"/>
        </w:rPr>
        <w:t>By: David L. Babson &amp; Company Inc. as Collateral Manager</w:t>
      </w:r>
    </w:p>
    <w:p>
      <w:pPr>
        <w:spacing w:after="0" w:line="200" w:lineRule="exact"/>
        <w:rPr>
          <w:sz w:val="20"/>
          <w:szCs w:val="20"/>
          <w:color w:val="auto"/>
        </w:rPr>
      </w:pPr>
    </w:p>
    <w:p>
      <w:pPr>
        <w:spacing w:after="0" w:line="394"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Mary S. Law</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Mary S. Law</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Managing Director</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SUNTRUST BANK</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SWAPS CSLT</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w:t>
      </w:r>
    </w:p>
    <w:p>
      <w:pPr>
        <w:sectPr>
          <w:pgSz w:w="11900" w:h="16838" w:orient="portrait"/>
          <w:cols w:equalWidth="0" w:num="1">
            <w:col w:w="9019"/>
          </w:cols>
          <w:pgMar w:left="1440" w:top="511" w:right="1440" w:bottom="1440" w:gutter="0" w:footer="0" w:header="0"/>
        </w:sectPr>
      </w:pPr>
    </w:p>
    <w:bookmarkStart w:id="252" w:name="page253"/>
    <w:bookmarkEnd w:id="252"/>
    <w:p>
      <w:pPr>
        <w:ind w:left="2000"/>
        <w:spacing w:after="0"/>
        <w:rPr>
          <w:sz w:val="20"/>
          <w:szCs w:val="20"/>
          <w:color w:val="auto"/>
        </w:rPr>
      </w:pPr>
      <w:r>
        <w:rPr>
          <w:rFonts w:ascii="Courier New" w:cs="Courier New" w:eastAsia="Courier New" w:hAnsi="Courier New"/>
          <w:sz w:val="17"/>
          <w:szCs w:val="17"/>
          <w:color w:val="auto"/>
        </w:rPr>
        <w:t>THOROUGHBRED LIMITED PARTNERSHIP I</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TORONTO DOMINION (NEW YORK), INC.</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Gwen Zirkle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Gwen Zirkle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Vice President</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THE TRAVELERS INSURANCE COMPANY</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Allen Cantrell</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Allen Cantrell</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Investment Officer</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TRYON CLO LTD. 2000-1</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Roshan White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Roshan White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Vice President</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TYLER TRADING, INC.</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Don C. Day</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Don C. Day</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Vice President</w:t>
      </w:r>
    </w:p>
    <w:p>
      <w:pPr>
        <w:sectPr>
          <w:pgSz w:w="11900" w:h="16838" w:orient="portrait"/>
          <w:cols w:equalWidth="0" w:num="1">
            <w:col w:w="9019"/>
          </w:cols>
          <w:pgMar w:left="1440" w:top="709" w:right="1440" w:bottom="1440" w:gutter="0" w:footer="0" w:header="0"/>
        </w:sectPr>
      </w:pPr>
    </w:p>
    <w:bookmarkStart w:id="253" w:name="page254"/>
    <w:bookmarkEnd w:id="253"/>
    <w:p>
      <w:pPr>
        <w:ind w:left="2000"/>
        <w:spacing w:after="0"/>
        <w:rPr>
          <w:sz w:val="20"/>
          <w:szCs w:val="20"/>
          <w:color w:val="auto"/>
        </w:rPr>
      </w:pPr>
      <w:r>
        <w:rPr>
          <w:rFonts w:ascii="Courier New" w:cs="Courier New" w:eastAsia="Courier New" w:hAnsi="Courier New"/>
          <w:sz w:val="17"/>
          <w:szCs w:val="17"/>
          <w:color w:val="auto"/>
        </w:rPr>
        <w:t>UBS AG</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VAN KAMPEN CLO II, LIMITED</w:t>
      </w:r>
    </w:p>
    <w:p>
      <w:pPr>
        <w:spacing w:after="0" w:line="203"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Van Kampen Investment Advisory Corp, as</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Collateral Manager</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Darvin D. Pierce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Darvin D. Pierce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Executive Director</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VAN KAMPEN PRIME RATE INCOME TRUST</w:t>
      </w:r>
    </w:p>
    <w:p>
      <w:pPr>
        <w:spacing w:after="0" w:line="203"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Van Kampen Investment Advisory Corp</w:t>
      </w:r>
    </w:p>
    <w:p>
      <w:pPr>
        <w:spacing w:after="0" w:line="200" w:lineRule="exact"/>
        <w:rPr>
          <w:sz w:val="20"/>
          <w:szCs w:val="20"/>
          <w:color w:val="auto"/>
        </w:rPr>
      </w:pP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Darvin D. Pierce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Darvin D. Pierce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Executive Director</w:t>
      </w:r>
    </w:p>
    <w:p>
      <w:pPr>
        <w:sectPr>
          <w:pgSz w:w="11900" w:h="16838" w:orient="portrait"/>
          <w:cols w:equalWidth="0" w:num="1">
            <w:col w:w="9019"/>
          </w:cols>
          <w:pgMar w:left="1440" w:top="511" w:right="1440" w:bottom="1440" w:gutter="0" w:footer="0" w:header="0"/>
        </w:sectPr>
      </w:pPr>
    </w:p>
    <w:bookmarkStart w:id="254" w:name="page255"/>
    <w:bookmarkEnd w:id="254"/>
    <w:p>
      <w:pPr>
        <w:ind w:left="2000"/>
        <w:spacing w:after="0"/>
        <w:rPr>
          <w:sz w:val="20"/>
          <w:szCs w:val="20"/>
          <w:color w:val="auto"/>
        </w:rPr>
      </w:pPr>
      <w:r>
        <w:rPr>
          <w:rFonts w:ascii="Courier New" w:cs="Courier New" w:eastAsia="Courier New" w:hAnsi="Courier New"/>
          <w:sz w:val="17"/>
          <w:szCs w:val="17"/>
          <w:color w:val="auto"/>
        </w:rPr>
        <w:t>VAN KAMPEN SENIOR FLOATING RATE FUND</w:t>
      </w:r>
    </w:p>
    <w:p>
      <w:pPr>
        <w:spacing w:after="0" w:line="203"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Van Kampen Investment Advisory Corp</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Darvin D. Pierce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Name: Darvin D. Pierce</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VAN KAMPEN SENIOR INCOME TRUST</w:t>
      </w:r>
    </w:p>
    <w:p>
      <w:pPr>
        <w:spacing w:after="0" w:line="203"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Van Kampen Investment Advisory Corp</w:t>
      </w:r>
    </w:p>
    <w:p>
      <w:pPr>
        <w:spacing w:after="0" w:line="200" w:lineRule="exact"/>
        <w:rPr>
          <w:sz w:val="20"/>
          <w:szCs w:val="20"/>
          <w:color w:val="auto"/>
        </w:rPr>
      </w:pP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Darvin D. Pierce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Name: Darvin D. Pierce</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Title: Executive Director</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VARIABLE INSURANCE PRODUCTS FUND II: ASSET</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MANAGEMENT GROWTH PORTFOLIO</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WINDSOR LOAN FUNDING, LIMITED</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WINGED FOOT FUNDING TRUST</w:t>
      </w: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By: /s/ Diana L. Mushill</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Name: Diana L. Mushill</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Title: Authorized Agent</w:t>
      </w:r>
    </w:p>
    <w:p>
      <w:pPr>
        <w:sectPr>
          <w:pgSz w:w="11900" w:h="16838" w:orient="portrait"/>
          <w:cols w:equalWidth="0" w:num="1">
            <w:col w:w="9019"/>
          </w:cols>
          <w:pgMar w:left="1440" w:top="512" w:right="1440" w:bottom="1440" w:gutter="0" w:footer="0" w:header="0"/>
        </w:sectPr>
      </w:pPr>
    </w:p>
    <w:bookmarkStart w:id="255" w:name="page256"/>
    <w:bookmarkEnd w:id="255"/>
    <w:p>
      <w:pPr>
        <w:jc w:val="center"/>
        <w:ind w:right="1979"/>
        <w:spacing w:after="0"/>
        <w:rPr>
          <w:sz w:val="20"/>
          <w:szCs w:val="20"/>
          <w:color w:val="auto"/>
        </w:rPr>
      </w:pPr>
      <w:r>
        <w:rPr>
          <w:rFonts w:ascii="Courier New" w:cs="Courier New" w:eastAsia="Courier New" w:hAnsi="Courier New"/>
          <w:sz w:val="17"/>
          <w:szCs w:val="17"/>
          <w:color w:val="auto"/>
        </w:rPr>
        <w:t>EXHIBIT 10(a)(2)</w:t>
      </w:r>
    </w:p>
    <w:p>
      <w:pPr>
        <w:spacing w:after="0" w:line="203"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First Amendment to The O.M. Scott &amp; Sons Company Excess Benefit Plan, effective</w:t>
      </w:r>
    </w:p>
    <w:p>
      <w:pPr>
        <w:spacing w:after="0" w:line="5"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as of January 1, 1998</w:t>
      </w:r>
    </w:p>
    <w:p>
      <w:pPr>
        <w:sectPr>
          <w:pgSz w:w="11900" w:h="16838" w:orient="portrait"/>
          <w:cols w:equalWidth="0" w:num="1">
            <w:col w:w="10219"/>
          </w:cols>
          <w:pgMar w:left="240" w:top="1132" w:right="1440" w:bottom="1440" w:gutter="0" w:footer="0" w:header="0"/>
        </w:sectPr>
      </w:pPr>
    </w:p>
    <w:bookmarkStart w:id="256" w:name="page257"/>
    <w:bookmarkEnd w:id="256"/>
    <w:p>
      <w:pPr>
        <w:ind w:left="3200"/>
        <w:spacing w:after="0"/>
        <w:rPr>
          <w:sz w:val="20"/>
          <w:szCs w:val="20"/>
          <w:color w:val="auto"/>
        </w:rPr>
      </w:pPr>
      <w:r>
        <w:rPr>
          <w:rFonts w:ascii="Courier New" w:cs="Courier New" w:eastAsia="Courier New" w:hAnsi="Courier New"/>
          <w:sz w:val="17"/>
          <w:szCs w:val="17"/>
          <w:color w:val="auto"/>
        </w:rPr>
        <w:t>FIRST AMENDMENT TO</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THE O.M. SCOTT &amp; SONS COMPANY</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EXCESS BENEFIT PLAN</w:t>
      </w:r>
    </w:p>
    <w:p>
      <w:pPr>
        <w:spacing w:after="0" w:line="200" w:lineRule="exact"/>
        <w:rPr>
          <w:sz w:val="20"/>
          <w:szCs w:val="20"/>
          <w:color w:val="auto"/>
        </w:rPr>
      </w:pPr>
    </w:p>
    <w:p>
      <w:pPr>
        <w:spacing w:after="0" w:line="201" w:lineRule="exact"/>
        <w:rPr>
          <w:sz w:val="20"/>
          <w:szCs w:val="20"/>
          <w:color w:val="auto"/>
        </w:rPr>
      </w:pPr>
    </w:p>
    <w:p>
      <w:pPr>
        <w:ind w:right="3480" w:firstLine="927"/>
        <w:spacing w:after="0" w:line="247" w:lineRule="auto"/>
        <w:rPr>
          <w:sz w:val="20"/>
          <w:szCs w:val="20"/>
          <w:color w:val="auto"/>
        </w:rPr>
      </w:pPr>
      <w:r>
        <w:rPr>
          <w:rFonts w:ascii="Courier New" w:cs="Courier New" w:eastAsia="Courier New" w:hAnsi="Courier New"/>
          <w:sz w:val="17"/>
          <w:szCs w:val="17"/>
          <w:color w:val="auto"/>
        </w:rPr>
        <w:t>WHEREAS, The Scotts Company (the "Company") sponsors The O.M. Scott &amp; Sons Company Excess Benefit Plan (the "Excess Plan"); and</w:t>
      </w:r>
    </w:p>
    <w:p>
      <w:pPr>
        <w:spacing w:after="0" w:line="198" w:lineRule="exact"/>
        <w:rPr>
          <w:sz w:val="20"/>
          <w:szCs w:val="20"/>
          <w:color w:val="auto"/>
        </w:rPr>
      </w:pPr>
    </w:p>
    <w:p>
      <w:pPr>
        <w:jc w:val="both"/>
        <w:ind w:right="3580" w:firstLine="927"/>
        <w:spacing w:after="0" w:line="246" w:lineRule="auto"/>
        <w:rPr>
          <w:sz w:val="20"/>
          <w:szCs w:val="20"/>
          <w:color w:val="auto"/>
        </w:rPr>
      </w:pPr>
      <w:r>
        <w:rPr>
          <w:rFonts w:ascii="Courier New" w:cs="Courier New" w:eastAsia="Courier New" w:hAnsi="Courier New"/>
          <w:sz w:val="17"/>
          <w:szCs w:val="17"/>
          <w:color w:val="auto"/>
        </w:rPr>
        <w:t>WHEREAS, the Excess Plan provides benefits which cannot be provided under The Scotts Company Associates' Pension Plan (the "Pension Plan") due to the limits in Code Section 415 and Section 417(a)(17); and</w:t>
      </w:r>
    </w:p>
    <w:p>
      <w:pPr>
        <w:spacing w:after="0" w:line="200"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WHEREAS, the Pension Plan was frozen effective as of December 31, 1997;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w:t>
      </w:r>
    </w:p>
    <w:p>
      <w:pPr>
        <w:spacing w:after="0" w:line="203" w:lineRule="exact"/>
        <w:rPr>
          <w:sz w:val="20"/>
          <w:szCs w:val="20"/>
          <w:color w:val="auto"/>
        </w:rPr>
      </w:pPr>
    </w:p>
    <w:p>
      <w:pPr>
        <w:ind w:right="3800" w:firstLine="927"/>
        <w:spacing w:after="0" w:line="247" w:lineRule="auto"/>
        <w:rPr>
          <w:sz w:val="20"/>
          <w:szCs w:val="20"/>
          <w:color w:val="auto"/>
        </w:rPr>
      </w:pPr>
      <w:r>
        <w:rPr>
          <w:rFonts w:ascii="Courier New" w:cs="Courier New" w:eastAsia="Courier New" w:hAnsi="Courier New"/>
          <w:sz w:val="17"/>
          <w:szCs w:val="17"/>
          <w:color w:val="auto"/>
        </w:rPr>
        <w:t>WHEREAS, no additional benefits have accrued under the Excess Plan after December 31, 1997, due to the freeze of the Pension Plan; and</w:t>
      </w:r>
    </w:p>
    <w:p>
      <w:pPr>
        <w:spacing w:after="0" w:line="198" w:lineRule="exact"/>
        <w:rPr>
          <w:sz w:val="20"/>
          <w:szCs w:val="20"/>
          <w:color w:val="auto"/>
        </w:rPr>
      </w:pPr>
    </w:p>
    <w:p>
      <w:pPr>
        <w:ind w:right="4200" w:firstLine="927"/>
        <w:spacing w:after="0" w:line="247" w:lineRule="auto"/>
        <w:rPr>
          <w:sz w:val="20"/>
          <w:szCs w:val="20"/>
          <w:color w:val="auto"/>
        </w:rPr>
      </w:pPr>
      <w:r>
        <w:rPr>
          <w:rFonts w:ascii="Courier New" w:cs="Courier New" w:eastAsia="Courier New" w:hAnsi="Courier New"/>
          <w:sz w:val="17"/>
          <w:szCs w:val="17"/>
          <w:color w:val="auto"/>
        </w:rPr>
        <w:t>WHEREAS, the Company wants to amend the Excess Plan to provide additional benefits to certain individuals; and</w:t>
      </w:r>
    </w:p>
    <w:p>
      <w:pPr>
        <w:spacing w:after="0" w:line="198" w:lineRule="exact"/>
        <w:rPr>
          <w:sz w:val="20"/>
          <w:szCs w:val="20"/>
          <w:color w:val="auto"/>
        </w:rPr>
      </w:pPr>
    </w:p>
    <w:p>
      <w:pPr>
        <w:ind w:right="3800" w:firstLine="927"/>
        <w:spacing w:after="0" w:line="247" w:lineRule="auto"/>
        <w:rPr>
          <w:sz w:val="20"/>
          <w:szCs w:val="20"/>
          <w:color w:val="auto"/>
        </w:rPr>
      </w:pPr>
      <w:r>
        <w:rPr>
          <w:rFonts w:ascii="Courier New" w:cs="Courier New" w:eastAsia="Courier New" w:hAnsi="Courier New"/>
          <w:sz w:val="17"/>
          <w:szCs w:val="17"/>
          <w:color w:val="auto"/>
        </w:rPr>
        <w:t>NOW THEREFORE, effective as of January 1, 1998, the Excess Plan is amended as follows:</w:t>
      </w:r>
    </w:p>
    <w:p>
      <w:pPr>
        <w:spacing w:after="0" w:line="198" w:lineRule="exact"/>
        <w:rPr>
          <w:sz w:val="20"/>
          <w:szCs w:val="20"/>
          <w:color w:val="auto"/>
        </w:rPr>
      </w:pPr>
    </w:p>
    <w:p>
      <w:pPr>
        <w:ind w:right="3800" w:firstLine="6"/>
        <w:spacing w:after="0" w:line="247" w:lineRule="auto"/>
        <w:tabs>
          <w:tab w:leader="none" w:pos="927" w:val="left"/>
        </w:tabs>
        <w:numPr>
          <w:ilvl w:val="0"/>
          <w:numId w:val="2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definition of "Participant" in Section 1 of the Excess Plan is amended to provide:</w:t>
      </w:r>
    </w:p>
    <w:p>
      <w:pPr>
        <w:spacing w:after="0" w:line="198" w:lineRule="exact"/>
        <w:rPr>
          <w:sz w:val="20"/>
          <w:szCs w:val="20"/>
          <w:color w:val="auto"/>
        </w:rPr>
      </w:pPr>
    </w:p>
    <w:p>
      <w:pPr>
        <w:ind w:right="3480" w:firstLine="927"/>
        <w:spacing w:after="0" w:line="246" w:lineRule="auto"/>
        <w:rPr>
          <w:sz w:val="20"/>
          <w:szCs w:val="20"/>
          <w:color w:val="auto"/>
        </w:rPr>
      </w:pPr>
      <w:r>
        <w:rPr>
          <w:rFonts w:ascii="Courier New" w:cs="Courier New" w:eastAsia="Courier New" w:hAnsi="Courier New"/>
          <w:sz w:val="17"/>
          <w:szCs w:val="17"/>
          <w:color w:val="auto"/>
        </w:rPr>
        <w:t>"PARTICIPANT" means an individual named in Section 3.1 or a corporate officer and/or member of the executive team of an Employer who begins participation in the Plan under Section 2.</w:t>
      </w:r>
    </w:p>
    <w:p>
      <w:pPr>
        <w:spacing w:after="0" w:line="200" w:lineRule="exact"/>
        <w:rPr>
          <w:sz w:val="20"/>
          <w:szCs w:val="20"/>
          <w:color w:val="auto"/>
        </w:rPr>
      </w:pPr>
    </w:p>
    <w:p>
      <w:pPr>
        <w:ind w:right="4000" w:firstLine="6"/>
        <w:spacing w:after="0" w:line="247" w:lineRule="auto"/>
        <w:tabs>
          <w:tab w:leader="none" w:pos="927" w:val="left"/>
        </w:tabs>
        <w:numPr>
          <w:ilvl w:val="0"/>
          <w:numId w:val="2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3.1 of the Excess Plan is amended by the addition of the following paragraphs (a) and (b):</w:t>
      </w:r>
    </w:p>
    <w:p>
      <w:pPr>
        <w:spacing w:after="0" w:line="197" w:lineRule="exact"/>
        <w:rPr>
          <w:rFonts w:ascii="Courier New" w:cs="Courier New" w:eastAsia="Courier New" w:hAnsi="Courier New"/>
          <w:sz w:val="17"/>
          <w:szCs w:val="17"/>
          <w:color w:val="auto"/>
        </w:rPr>
      </w:pPr>
    </w:p>
    <w:p>
      <w:pPr>
        <w:ind w:right="3480" w:firstLine="932"/>
        <w:spacing w:after="0" w:line="246" w:lineRule="auto"/>
        <w:tabs>
          <w:tab w:leader="none" w:pos="1853" w:val="left"/>
        </w:tabs>
        <w:numPr>
          <w:ilvl w:val="1"/>
          <w:numId w:val="2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greater than the benefit provided under the preceding paragraph, Craig D. Walley and Paul E. Yeager (or their Beneficiaries) shall each receive, in lieu of the benefit provided under the preceding paragraph, a benefit equal to:</w:t>
      </w:r>
    </w:p>
    <w:p>
      <w:pPr>
        <w:spacing w:after="0" w:line="200" w:lineRule="exact"/>
        <w:rPr>
          <w:rFonts w:ascii="Courier New" w:cs="Courier New" w:eastAsia="Courier New" w:hAnsi="Courier New"/>
          <w:sz w:val="17"/>
          <w:szCs w:val="17"/>
          <w:color w:val="auto"/>
        </w:rPr>
      </w:pPr>
    </w:p>
    <w:p>
      <w:pPr>
        <w:ind w:left="2780" w:right="3480" w:hanging="921"/>
        <w:spacing w:after="0" w:line="246" w:lineRule="auto"/>
        <w:tabs>
          <w:tab w:leader="none" w:pos="2780" w:val="left"/>
        </w:tabs>
        <w:numPr>
          <w:ilvl w:val="2"/>
          <w:numId w:val="2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amount that would have been payable to the individual (or his Beneficiary) under the Base Plan assuming the individual is credited with service to the date listed and without regard to:</w:t>
      </w:r>
    </w:p>
    <w:p>
      <w:pPr>
        <w:spacing w:after="0" w:line="200" w:lineRule="exact"/>
        <w:rPr>
          <w:rFonts w:ascii="Courier New" w:cs="Courier New" w:eastAsia="Courier New" w:hAnsi="Courier New"/>
          <w:sz w:val="17"/>
          <w:szCs w:val="17"/>
          <w:color w:val="auto"/>
        </w:rPr>
      </w:pPr>
    </w:p>
    <w:p>
      <w:pPr>
        <w:ind w:left="3720" w:hanging="935"/>
        <w:spacing w:after="0"/>
        <w:tabs>
          <w:tab w:leader="none" w:pos="3720" w:val="left"/>
        </w:tabs>
        <w:numPr>
          <w:ilvl w:val="3"/>
          <w:numId w:val="2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Base Plan Limit; and</w:t>
      </w:r>
    </w:p>
    <w:p>
      <w:pPr>
        <w:spacing w:after="0" w:line="5" w:lineRule="exact"/>
        <w:rPr>
          <w:rFonts w:ascii="Courier New" w:cs="Courier New" w:eastAsia="Courier New" w:hAnsi="Courier New"/>
          <w:sz w:val="17"/>
          <w:szCs w:val="17"/>
          <w:color w:val="auto"/>
        </w:rPr>
      </w:pPr>
    </w:p>
    <w:p>
      <w:pPr>
        <w:ind w:left="3720" w:right="4420" w:hanging="935"/>
        <w:spacing w:after="0" w:line="247" w:lineRule="auto"/>
        <w:tabs>
          <w:tab w:leader="none" w:pos="3720" w:val="left"/>
        </w:tabs>
        <w:numPr>
          <w:ilvl w:val="3"/>
          <w:numId w:val="2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freeze of the Base Plan as of December 31, 1997; less</w:t>
      </w:r>
    </w:p>
    <w:p>
      <w:pPr>
        <w:spacing w:after="0" w:line="197" w:lineRule="exact"/>
        <w:rPr>
          <w:rFonts w:ascii="Courier New" w:cs="Courier New" w:eastAsia="Courier New" w:hAnsi="Courier New"/>
          <w:sz w:val="17"/>
          <w:szCs w:val="17"/>
          <w:color w:val="auto"/>
        </w:rPr>
      </w:pPr>
    </w:p>
    <w:p>
      <w:pPr>
        <w:ind w:left="2780" w:hanging="921"/>
        <w:spacing w:after="0"/>
        <w:tabs>
          <w:tab w:leader="none" w:pos="2780" w:val="left"/>
        </w:tabs>
        <w:numPr>
          <w:ilvl w:val="2"/>
          <w:numId w:val="2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amount paid under the Base Plan.</w:t>
      </w:r>
    </w:p>
    <w:p>
      <w:pPr>
        <w:sectPr>
          <w:pgSz w:w="11900" w:h="16838" w:orient="portrait"/>
          <w:cols w:equalWidth="0" w:num="1">
            <w:col w:w="11520"/>
          </w:cols>
          <w:pgMar w:left="240" w:top="1303" w:right="13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ind w:left="206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ASSOCIATE 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jc w:val="both"/>
        <w:spacing w:after="0" w:line="277" w:lineRule="auto"/>
        <w:rPr>
          <w:sz w:val="20"/>
          <w:szCs w:val="20"/>
          <w:color w:val="auto"/>
        </w:rPr>
      </w:pPr>
      <w:r>
        <w:rPr>
          <w:rFonts w:ascii="Courier New" w:cs="Courier New" w:eastAsia="Courier New" w:hAnsi="Courier New"/>
          <w:sz w:val="16"/>
          <w:szCs w:val="16"/>
          <w:color w:val="auto"/>
        </w:rPr>
        <w:t>SOCIAL SECURITY NUMBER ----------------------</w:t>
      </w:r>
    </w:p>
    <w:p>
      <w:pPr>
        <w:spacing w:after="0" w:line="200" w:lineRule="exact"/>
        <w:rPr>
          <w:sz w:val="20"/>
          <w:szCs w:val="20"/>
          <w:color w:val="auto"/>
        </w:rPr>
      </w:pPr>
    </w:p>
    <w:p>
      <w:pPr>
        <w:sectPr>
          <w:pgSz w:w="11900" w:h="16838" w:orient="portrait"/>
          <w:cols w:equalWidth="0" w:num="4">
            <w:col w:w="4020" w:space="720"/>
            <w:col w:w="1140" w:space="720"/>
            <w:col w:w="1960" w:space="720"/>
            <w:col w:w="2240"/>
          </w:cols>
          <w:pgMar w:left="240" w:top="1303" w:right="139" w:bottom="144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jc w:val="right"/>
        <w:ind w:right="1840"/>
        <w:spacing w:after="0"/>
        <w:tabs>
          <w:tab w:leader="none" w:pos="4920" w:val="left"/>
          <w:tab w:leader="none" w:pos="3060" w:val="left"/>
          <w:tab w:leader="none" w:pos="380" w:val="left"/>
        </w:tabs>
        <w:rPr>
          <w:sz w:val="20"/>
          <w:szCs w:val="20"/>
          <w:color w:val="auto"/>
        </w:rPr>
      </w:pPr>
      <w:r>
        <w:rPr>
          <w:rFonts w:ascii="Courier New" w:cs="Courier New" w:eastAsia="Courier New" w:hAnsi="Courier New"/>
          <w:sz w:val="17"/>
          <w:szCs w:val="17"/>
          <w:color w:val="auto"/>
        </w:rPr>
        <w:t>Craig D. Walley</w:t>
      </w:r>
      <w:r>
        <w:rPr>
          <w:sz w:val="20"/>
          <w:szCs w:val="20"/>
          <w:color w:val="auto"/>
        </w:rPr>
        <w:tab/>
      </w:r>
      <w:r>
        <w:rPr>
          <w:rFonts w:ascii="Courier New" w:cs="Courier New" w:eastAsia="Courier New" w:hAnsi="Courier New"/>
          <w:sz w:val="17"/>
          <w:szCs w:val="17"/>
          <w:color w:val="auto"/>
        </w:rPr>
        <w:t>5/31/98</w:t>
      </w:r>
      <w:r>
        <w:rPr>
          <w:sz w:val="20"/>
          <w:szCs w:val="20"/>
          <w:color w:val="auto"/>
        </w:rPr>
        <w:tab/>
      </w:r>
      <w:r>
        <w:rPr>
          <w:rFonts w:ascii="Courier New" w:cs="Courier New" w:eastAsia="Courier New" w:hAnsi="Courier New"/>
          <w:sz w:val="17"/>
          <w:szCs w:val="17"/>
          <w:color w:val="auto"/>
        </w:rPr>
        <w:t>Assoc. #</w:t>
      </w:r>
      <w:r>
        <w:rPr>
          <w:sz w:val="20"/>
          <w:szCs w:val="20"/>
          <w:color w:val="auto"/>
        </w:rPr>
        <w:tab/>
      </w:r>
      <w:r>
        <w:rPr>
          <w:rFonts w:ascii="Courier New" w:cs="Courier New" w:eastAsia="Courier New" w:hAnsi="Courier New"/>
          <w:sz w:val="16"/>
          <w:szCs w:val="16"/>
          <w:color w:val="auto"/>
        </w:rPr>
        <w:t>SS #</w:t>
      </w:r>
    </w:p>
    <w:p>
      <w:pPr>
        <w:sectPr>
          <w:pgSz w:w="11900" w:h="16838" w:orient="portrait"/>
          <w:cols w:equalWidth="0" w:num="1">
            <w:col w:w="11520"/>
          </w:cols>
          <w:pgMar w:left="240" w:top="1303" w:right="139" w:bottom="1440" w:gutter="0" w:footer="0" w:header="0"/>
          <w:type w:val="continuous"/>
        </w:sectPr>
      </w:pPr>
    </w:p>
    <w:bookmarkStart w:id="257" w:name="page258"/>
    <w:bookmarkEnd w:id="257"/>
    <w:p>
      <w:pPr>
        <w:jc w:val="right"/>
        <w:ind w:right="539"/>
        <w:spacing w:after="0"/>
        <w:tabs>
          <w:tab w:leader="none" w:pos="4920" w:val="left"/>
          <w:tab w:leader="none" w:pos="3060" w:val="left"/>
          <w:tab w:leader="none" w:pos="380" w:val="left"/>
        </w:tabs>
        <w:rPr>
          <w:sz w:val="20"/>
          <w:szCs w:val="20"/>
          <w:color w:val="auto"/>
        </w:rPr>
      </w:pPr>
      <w:r>
        <w:rPr>
          <w:rFonts w:ascii="Courier New" w:cs="Courier New" w:eastAsia="Courier New" w:hAnsi="Courier New"/>
          <w:sz w:val="17"/>
          <w:szCs w:val="17"/>
          <w:color w:val="auto"/>
        </w:rPr>
        <w:t>Paul E. Yeager</w:t>
      </w:r>
      <w:r>
        <w:rPr>
          <w:sz w:val="20"/>
          <w:szCs w:val="20"/>
          <w:color w:val="auto"/>
        </w:rPr>
        <w:tab/>
      </w:r>
      <w:r>
        <w:rPr>
          <w:rFonts w:ascii="Courier New" w:cs="Courier New" w:eastAsia="Courier New" w:hAnsi="Courier New"/>
          <w:sz w:val="17"/>
          <w:szCs w:val="17"/>
          <w:color w:val="auto"/>
        </w:rPr>
        <w:t>5/31/98</w:t>
      </w:r>
      <w:r>
        <w:rPr>
          <w:sz w:val="20"/>
          <w:szCs w:val="20"/>
          <w:color w:val="auto"/>
        </w:rPr>
        <w:tab/>
      </w:r>
      <w:r>
        <w:rPr>
          <w:rFonts w:ascii="Courier New" w:cs="Courier New" w:eastAsia="Courier New" w:hAnsi="Courier New"/>
          <w:sz w:val="17"/>
          <w:szCs w:val="17"/>
          <w:color w:val="auto"/>
        </w:rPr>
        <w:t>Assoc. #</w:t>
      </w:r>
      <w:r>
        <w:rPr>
          <w:sz w:val="20"/>
          <w:szCs w:val="20"/>
          <w:color w:val="auto"/>
        </w:rPr>
        <w:tab/>
      </w:r>
      <w:r>
        <w:rPr>
          <w:rFonts w:ascii="Courier New" w:cs="Courier New" w:eastAsia="Courier New" w:hAnsi="Courier New"/>
          <w:sz w:val="16"/>
          <w:szCs w:val="16"/>
          <w:color w:val="auto"/>
        </w:rPr>
        <w:t>SS #</w:t>
      </w:r>
    </w:p>
    <w:p>
      <w:pPr>
        <w:spacing w:after="0" w:line="200" w:lineRule="exact"/>
        <w:rPr>
          <w:sz w:val="20"/>
          <w:szCs w:val="20"/>
          <w:color w:val="auto"/>
        </w:rPr>
      </w:pPr>
    </w:p>
    <w:p>
      <w:pPr>
        <w:spacing w:after="0" w:line="201" w:lineRule="exact"/>
        <w:rPr>
          <w:sz w:val="20"/>
          <w:szCs w:val="20"/>
          <w:color w:val="auto"/>
        </w:rPr>
      </w:pPr>
    </w:p>
    <w:p>
      <w:pPr>
        <w:ind w:left="940"/>
        <w:spacing w:after="0"/>
        <w:tabs>
          <w:tab w:leader="none" w:pos="1840" w:val="left"/>
        </w:tabs>
        <w:rPr>
          <w:sz w:val="20"/>
          <w:szCs w:val="20"/>
          <w:color w:val="auto"/>
        </w:rPr>
      </w:pPr>
      <w:r>
        <w:rPr>
          <w:rFonts w:ascii="Courier New" w:cs="Courier New" w:eastAsia="Courier New" w:hAnsi="Courier New"/>
          <w:sz w:val="17"/>
          <w:szCs w:val="17"/>
          <w:color w:val="auto"/>
        </w:rPr>
        <w:t>(b)</w:t>
      </w:r>
      <w:r>
        <w:rPr>
          <w:sz w:val="20"/>
          <w:szCs w:val="20"/>
          <w:color w:val="auto"/>
        </w:rPr>
        <w:tab/>
      </w:r>
      <w:r>
        <w:rPr>
          <w:rFonts w:ascii="Courier New" w:cs="Courier New" w:eastAsia="Courier New" w:hAnsi="Courier New"/>
          <w:sz w:val="17"/>
          <w:szCs w:val="17"/>
          <w:color w:val="auto"/>
        </w:rPr>
        <w:t>William F. O'Neil (or his Beneficiary) shall receive a benefit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equal to:</w:t>
      </w:r>
    </w:p>
    <w:p>
      <w:pPr>
        <w:spacing w:after="0" w:line="203" w:lineRule="exact"/>
        <w:rPr>
          <w:sz w:val="20"/>
          <w:szCs w:val="20"/>
          <w:color w:val="auto"/>
        </w:rPr>
      </w:pPr>
    </w:p>
    <w:p>
      <w:pPr>
        <w:ind w:left="2780" w:right="1979" w:hanging="921"/>
        <w:spacing w:after="0" w:line="246" w:lineRule="auto"/>
        <w:tabs>
          <w:tab w:leader="none" w:pos="2780" w:val="left"/>
        </w:tabs>
        <w:numPr>
          <w:ilvl w:val="0"/>
          <w:numId w:val="2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amount that would have been payable to Mr. O'Neil (or his Beneficiary) under the Base Plan assuming he is credited with service to 3/31/98 and without regard to the freeze of the Base Plan as of December 31, 1997; less</w:t>
      </w:r>
    </w:p>
    <w:p>
      <w:pPr>
        <w:spacing w:after="0" w:line="200" w:lineRule="exact"/>
        <w:rPr>
          <w:rFonts w:ascii="Courier New" w:cs="Courier New" w:eastAsia="Courier New" w:hAnsi="Courier New"/>
          <w:sz w:val="17"/>
          <w:szCs w:val="17"/>
          <w:color w:val="auto"/>
        </w:rPr>
      </w:pPr>
    </w:p>
    <w:p>
      <w:pPr>
        <w:ind w:left="2780" w:hanging="921"/>
        <w:spacing w:after="0"/>
        <w:tabs>
          <w:tab w:leader="none" w:pos="2780" w:val="left"/>
        </w:tabs>
        <w:numPr>
          <w:ilvl w:val="0"/>
          <w:numId w:val="2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amount paid under the Base Plan.</w:t>
      </w:r>
    </w:p>
    <w:p>
      <w:pPr>
        <w:spacing w:after="0" w:line="203" w:lineRule="exact"/>
        <w:rPr>
          <w:sz w:val="20"/>
          <w:szCs w:val="20"/>
          <w:color w:val="auto"/>
        </w:rPr>
      </w:pPr>
    </w:p>
    <w:p>
      <w:pPr>
        <w:ind w:right="2799" w:firstLine="927"/>
        <w:spacing w:after="0" w:line="247" w:lineRule="auto"/>
        <w:rPr>
          <w:sz w:val="20"/>
          <w:szCs w:val="20"/>
          <w:color w:val="auto"/>
        </w:rPr>
      </w:pPr>
      <w:r>
        <w:rPr>
          <w:rFonts w:ascii="Courier New" w:cs="Courier New" w:eastAsia="Courier New" w:hAnsi="Courier New"/>
          <w:sz w:val="17"/>
          <w:szCs w:val="17"/>
          <w:color w:val="auto"/>
        </w:rPr>
        <w:t>IN WITNESS WHEREOF, the Company has caused this Amendment to be executed as of the 1 day of AUGUST, 1998.</w:t>
      </w:r>
    </w:p>
    <w:p>
      <w:pPr>
        <w:spacing w:after="0" w:line="396"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THE SCOTTS COMPANY</w:t>
      </w:r>
    </w:p>
    <w:p>
      <w:pPr>
        <w:spacing w:after="0" w:line="200" w:lineRule="exact"/>
        <w:rPr>
          <w:sz w:val="20"/>
          <w:szCs w:val="20"/>
          <w:color w:val="auto"/>
        </w:rPr>
      </w:pPr>
    </w:p>
    <w:p>
      <w:pPr>
        <w:spacing w:after="0" w:line="399" w:lineRule="exact"/>
        <w:rPr>
          <w:sz w:val="20"/>
          <w:szCs w:val="20"/>
          <w:color w:val="auto"/>
        </w:rPr>
      </w:pPr>
    </w:p>
    <w:p>
      <w:pPr>
        <w:jc w:val="center"/>
        <w:ind w:left="1980"/>
        <w:spacing w:after="0"/>
        <w:tabs>
          <w:tab w:leader="none" w:pos="180" w:val="left"/>
        </w:tabs>
        <w:rPr>
          <w:sz w:val="20"/>
          <w:szCs w:val="20"/>
          <w:color w:val="auto"/>
        </w:rPr>
      </w:pPr>
      <w:r>
        <w:rPr>
          <w:rFonts w:ascii="Courier New" w:cs="Courier New" w:eastAsia="Courier New" w:hAnsi="Courier New"/>
          <w:sz w:val="17"/>
          <w:szCs w:val="17"/>
          <w:color w:val="auto"/>
        </w:rPr>
        <w:t>By:</w:t>
        <w:tab/>
        <w:t>/s/ Rosemary L. Smith</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Rosemary L. Smith,</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Vice President - Human Resources and</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Member of the Administrative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1303" w:right="1440" w:bottom="1440" w:gutter="0" w:footer="0" w:header="0"/>
        </w:sectPr>
      </w:pPr>
    </w:p>
    <w:bookmarkStart w:id="258" w:name="page259"/>
    <w:bookmarkEnd w:id="258"/>
    <w:p>
      <w:pPr>
        <w:jc w:val="center"/>
        <w:ind w:right="1979"/>
        <w:spacing w:after="0"/>
        <w:rPr>
          <w:sz w:val="20"/>
          <w:szCs w:val="20"/>
          <w:color w:val="auto"/>
        </w:rPr>
      </w:pPr>
      <w:r>
        <w:rPr>
          <w:rFonts w:ascii="Courier New" w:cs="Courier New" w:eastAsia="Courier New" w:hAnsi="Courier New"/>
          <w:sz w:val="17"/>
          <w:szCs w:val="17"/>
          <w:color w:val="auto"/>
        </w:rPr>
        <w:t>EXHIBIT 10(a)(3)</w:t>
      </w:r>
    </w:p>
    <w:p>
      <w:pPr>
        <w:spacing w:after="0" w:line="203" w:lineRule="exact"/>
        <w:rPr>
          <w:sz w:val="20"/>
          <w:szCs w:val="20"/>
          <w:color w:val="auto"/>
        </w:rPr>
      </w:pPr>
    </w:p>
    <w:p>
      <w:pPr>
        <w:jc w:val="center"/>
        <w:ind w:right="1979"/>
        <w:spacing w:after="0" w:line="247" w:lineRule="auto"/>
        <w:rPr>
          <w:sz w:val="20"/>
          <w:szCs w:val="20"/>
          <w:color w:val="auto"/>
        </w:rPr>
      </w:pPr>
      <w:r>
        <w:rPr>
          <w:rFonts w:ascii="Courier New" w:cs="Courier New" w:eastAsia="Courier New" w:hAnsi="Courier New"/>
          <w:sz w:val="17"/>
          <w:szCs w:val="17"/>
          <w:color w:val="auto"/>
        </w:rPr>
        <w:t>Second Amendment to The O.M. Scott &amp; Sons Company Excess Benefit Plan, effective as of January 1, 1999</w:t>
      </w:r>
    </w:p>
    <w:p>
      <w:pPr>
        <w:sectPr>
          <w:pgSz w:w="11900" w:h="16838" w:orient="portrait"/>
          <w:cols w:equalWidth="0" w:num="1">
            <w:col w:w="10219"/>
          </w:cols>
          <w:pgMar w:left="240" w:top="340" w:right="1440" w:bottom="1440" w:gutter="0" w:footer="0" w:header="0"/>
        </w:sectPr>
      </w:pPr>
    </w:p>
    <w:bookmarkStart w:id="259" w:name="page260"/>
    <w:bookmarkEnd w:id="259"/>
    <w:p>
      <w:pPr>
        <w:jc w:val="center"/>
        <w:ind w:right="3180"/>
        <w:spacing w:after="0"/>
        <w:rPr>
          <w:sz w:val="20"/>
          <w:szCs w:val="20"/>
          <w:color w:val="auto"/>
        </w:rPr>
      </w:pPr>
      <w:r>
        <w:rPr>
          <w:rFonts w:ascii="Courier New" w:cs="Courier New" w:eastAsia="Courier New" w:hAnsi="Courier New"/>
          <w:sz w:val="17"/>
          <w:szCs w:val="17"/>
          <w:color w:val="auto"/>
        </w:rPr>
        <w:t>SECOND AMENDMENT TO</w:t>
      </w:r>
    </w:p>
    <w:p>
      <w:pPr>
        <w:spacing w:after="0" w:line="5" w:lineRule="exact"/>
        <w:rPr>
          <w:sz w:val="20"/>
          <w:szCs w:val="20"/>
          <w:color w:val="auto"/>
        </w:rPr>
      </w:pPr>
    </w:p>
    <w:p>
      <w:pPr>
        <w:jc w:val="center"/>
        <w:ind w:right="3180"/>
        <w:spacing w:after="0"/>
        <w:rPr>
          <w:sz w:val="20"/>
          <w:szCs w:val="20"/>
          <w:color w:val="auto"/>
        </w:rPr>
      </w:pPr>
      <w:r>
        <w:rPr>
          <w:rFonts w:ascii="Courier New" w:cs="Courier New" w:eastAsia="Courier New" w:hAnsi="Courier New"/>
          <w:sz w:val="17"/>
          <w:szCs w:val="17"/>
          <w:color w:val="auto"/>
        </w:rPr>
        <w:t>THE O.M. SCOTT &amp; SONS COMPANY</w:t>
      </w:r>
    </w:p>
    <w:p>
      <w:pPr>
        <w:spacing w:after="0" w:line="5" w:lineRule="exact"/>
        <w:rPr>
          <w:sz w:val="20"/>
          <w:szCs w:val="20"/>
          <w:color w:val="auto"/>
        </w:rPr>
      </w:pPr>
    </w:p>
    <w:p>
      <w:pPr>
        <w:jc w:val="center"/>
        <w:ind w:right="3180"/>
        <w:spacing w:after="0"/>
        <w:rPr>
          <w:sz w:val="20"/>
          <w:szCs w:val="20"/>
          <w:color w:val="auto"/>
        </w:rPr>
      </w:pPr>
      <w:r>
        <w:rPr>
          <w:rFonts w:ascii="Courier New" w:cs="Courier New" w:eastAsia="Courier New" w:hAnsi="Courier New"/>
          <w:sz w:val="17"/>
          <w:szCs w:val="17"/>
          <w:color w:val="auto"/>
        </w:rPr>
        <w:t>EXCESS BENEFIT PLAN</w:t>
      </w:r>
    </w:p>
    <w:p>
      <w:pPr>
        <w:spacing w:after="0" w:line="200" w:lineRule="exact"/>
        <w:rPr>
          <w:sz w:val="20"/>
          <w:szCs w:val="20"/>
          <w:color w:val="auto"/>
        </w:rPr>
      </w:pPr>
    </w:p>
    <w:p>
      <w:pPr>
        <w:spacing w:after="0" w:line="201" w:lineRule="exact"/>
        <w:rPr>
          <w:sz w:val="20"/>
          <w:szCs w:val="20"/>
          <w:color w:val="auto"/>
        </w:rPr>
      </w:pPr>
    </w:p>
    <w:p>
      <w:pPr>
        <w:ind w:right="3480" w:firstLine="927"/>
        <w:spacing w:after="0" w:line="247" w:lineRule="auto"/>
        <w:rPr>
          <w:sz w:val="20"/>
          <w:szCs w:val="20"/>
          <w:color w:val="auto"/>
        </w:rPr>
      </w:pPr>
      <w:r>
        <w:rPr>
          <w:rFonts w:ascii="Courier New" w:cs="Courier New" w:eastAsia="Courier New" w:hAnsi="Courier New"/>
          <w:sz w:val="17"/>
          <w:szCs w:val="17"/>
          <w:color w:val="auto"/>
        </w:rPr>
        <w:t>WHEREAS, The Scotts Company (the "Company") sponsors The O.M. Scott &amp; Sons Company Excess Benefit Plan (the "Excess Plan"); and</w:t>
      </w:r>
    </w:p>
    <w:p>
      <w:pPr>
        <w:spacing w:after="0" w:line="198" w:lineRule="exact"/>
        <w:rPr>
          <w:sz w:val="20"/>
          <w:szCs w:val="20"/>
          <w:color w:val="auto"/>
        </w:rPr>
      </w:pPr>
    </w:p>
    <w:p>
      <w:pPr>
        <w:jc w:val="both"/>
        <w:ind w:right="3580" w:firstLine="927"/>
        <w:spacing w:after="0" w:line="246" w:lineRule="auto"/>
        <w:rPr>
          <w:sz w:val="20"/>
          <w:szCs w:val="20"/>
          <w:color w:val="auto"/>
        </w:rPr>
      </w:pPr>
      <w:r>
        <w:rPr>
          <w:rFonts w:ascii="Courier New" w:cs="Courier New" w:eastAsia="Courier New" w:hAnsi="Courier New"/>
          <w:sz w:val="17"/>
          <w:szCs w:val="17"/>
          <w:color w:val="auto"/>
        </w:rPr>
        <w:t>WHEREAS, the Excess Plan provides benefits which cannot be provided under The Scotts Company Associates' Pension Plan (the "Pension Plan") due to the limits in Code Sections 415 and 417(a)(17); and</w:t>
      </w:r>
    </w:p>
    <w:p>
      <w:pPr>
        <w:spacing w:after="0" w:line="200" w:lineRule="exact"/>
        <w:rPr>
          <w:sz w:val="20"/>
          <w:szCs w:val="20"/>
          <w:color w:val="auto"/>
        </w:rPr>
      </w:pPr>
    </w:p>
    <w:p>
      <w:pPr>
        <w:jc w:val="right"/>
        <w:ind w:right="3280"/>
        <w:spacing w:after="0"/>
        <w:rPr>
          <w:sz w:val="20"/>
          <w:szCs w:val="20"/>
          <w:color w:val="auto"/>
        </w:rPr>
      </w:pPr>
      <w:r>
        <w:rPr>
          <w:rFonts w:ascii="Courier New" w:cs="Courier New" w:eastAsia="Courier New" w:hAnsi="Courier New"/>
          <w:sz w:val="17"/>
          <w:szCs w:val="17"/>
          <w:color w:val="auto"/>
        </w:rPr>
        <w:t>WHEREAS, the Pension Plan was frozen effective as of December 31, 1997;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w:t>
      </w:r>
    </w:p>
    <w:p>
      <w:pPr>
        <w:spacing w:after="0" w:line="203" w:lineRule="exact"/>
        <w:rPr>
          <w:sz w:val="20"/>
          <w:szCs w:val="20"/>
          <w:color w:val="auto"/>
        </w:rPr>
      </w:pPr>
    </w:p>
    <w:p>
      <w:pPr>
        <w:ind w:right="3480" w:firstLine="927"/>
        <w:spacing w:after="0" w:line="246" w:lineRule="auto"/>
        <w:rPr>
          <w:sz w:val="20"/>
          <w:szCs w:val="20"/>
          <w:color w:val="auto"/>
        </w:rPr>
      </w:pPr>
      <w:r>
        <w:rPr>
          <w:rFonts w:ascii="Courier New" w:cs="Courier New" w:eastAsia="Courier New" w:hAnsi="Courier New"/>
          <w:sz w:val="17"/>
          <w:szCs w:val="17"/>
          <w:color w:val="auto"/>
        </w:rPr>
        <w:t>WHEREAS, the Company wants to amend the Excess Plan to clarify the effect of the repeal of Code Section 415(e) and to provide additional benefits to certain individuals; and</w:t>
      </w:r>
    </w:p>
    <w:p>
      <w:pPr>
        <w:spacing w:after="0" w:line="200" w:lineRule="exact"/>
        <w:rPr>
          <w:sz w:val="20"/>
          <w:szCs w:val="20"/>
          <w:color w:val="auto"/>
        </w:rPr>
      </w:pPr>
    </w:p>
    <w:p>
      <w:pPr>
        <w:ind w:right="3800" w:firstLine="927"/>
        <w:spacing w:after="0" w:line="247" w:lineRule="auto"/>
        <w:rPr>
          <w:sz w:val="20"/>
          <w:szCs w:val="20"/>
          <w:color w:val="auto"/>
        </w:rPr>
      </w:pPr>
      <w:r>
        <w:rPr>
          <w:rFonts w:ascii="Courier New" w:cs="Courier New" w:eastAsia="Courier New" w:hAnsi="Courier New"/>
          <w:sz w:val="17"/>
          <w:szCs w:val="17"/>
          <w:color w:val="auto"/>
        </w:rPr>
        <w:t>NOW THEREFORE, effective as of January 1, 1999, the Excess Plan is amended as follows:</w:t>
      </w:r>
    </w:p>
    <w:p>
      <w:pPr>
        <w:spacing w:after="0" w:line="198" w:lineRule="exact"/>
        <w:rPr>
          <w:sz w:val="20"/>
          <w:szCs w:val="20"/>
          <w:color w:val="auto"/>
        </w:rPr>
      </w:pPr>
    </w:p>
    <w:p>
      <w:pPr>
        <w:ind w:right="3800" w:firstLine="6"/>
        <w:spacing w:after="0" w:line="247" w:lineRule="auto"/>
        <w:tabs>
          <w:tab w:leader="none" w:pos="927" w:val="left"/>
        </w:tabs>
        <w:numPr>
          <w:ilvl w:val="0"/>
          <w:numId w:val="2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definition of "Base Plan Limit" in Section 1 is amended by the addition of the following sentence:</w:t>
      </w:r>
    </w:p>
    <w:p>
      <w:pPr>
        <w:spacing w:after="0" w:line="198" w:lineRule="exact"/>
        <w:rPr>
          <w:sz w:val="20"/>
          <w:szCs w:val="20"/>
          <w:color w:val="auto"/>
        </w:rPr>
      </w:pPr>
    </w:p>
    <w:p>
      <w:pPr>
        <w:ind w:left="940" w:right="3280"/>
        <w:spacing w:after="0" w:line="247" w:lineRule="auto"/>
        <w:rPr>
          <w:sz w:val="20"/>
          <w:szCs w:val="20"/>
          <w:color w:val="auto"/>
        </w:rPr>
      </w:pPr>
      <w:r>
        <w:rPr>
          <w:rFonts w:ascii="Courier New" w:cs="Courier New" w:eastAsia="Courier New" w:hAnsi="Courier New"/>
          <w:sz w:val="17"/>
          <w:szCs w:val="17"/>
          <w:color w:val="auto"/>
        </w:rPr>
        <w:t>Code Section 415 shall be applied as if the limitations of Code Section 415(e), as in effect on December 31, 1999, continued to apply.</w:t>
      </w:r>
    </w:p>
    <w:p>
      <w:pPr>
        <w:spacing w:after="0" w:line="198" w:lineRule="exact"/>
        <w:rPr>
          <w:sz w:val="20"/>
          <w:szCs w:val="20"/>
          <w:color w:val="auto"/>
        </w:rPr>
      </w:pPr>
    </w:p>
    <w:p>
      <w:pPr>
        <w:ind w:left="940" w:hanging="934"/>
        <w:spacing w:after="0"/>
        <w:tabs>
          <w:tab w:leader="none" w:pos="940" w:val="left"/>
        </w:tabs>
        <w:numPr>
          <w:ilvl w:val="0"/>
          <w:numId w:val="2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Paragraph (b) of Section 3.1 is amended to provide:</w:t>
      </w:r>
    </w:p>
    <w:p>
      <w:pPr>
        <w:spacing w:after="0" w:line="203" w:lineRule="exact"/>
        <w:rPr>
          <w:rFonts w:ascii="Courier New" w:cs="Courier New" w:eastAsia="Courier New" w:hAnsi="Courier New"/>
          <w:sz w:val="17"/>
          <w:szCs w:val="17"/>
          <w:color w:val="auto"/>
        </w:rPr>
      </w:pPr>
    </w:p>
    <w:p>
      <w:pPr>
        <w:ind w:left="1860" w:right="3280" w:hanging="928"/>
        <w:spacing w:after="0" w:line="247" w:lineRule="auto"/>
        <w:tabs>
          <w:tab w:leader="none" w:pos="1860" w:val="left"/>
        </w:tabs>
        <w:numPr>
          <w:ilvl w:val="1"/>
          <w:numId w:val="2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Richard D. Bergum, Robert L. Hughes, and William F. O'Neil (or their Beneficiaries) shall each receive a benefit equal to:</w:t>
      </w:r>
    </w:p>
    <w:p>
      <w:pPr>
        <w:spacing w:after="0" w:line="197" w:lineRule="exact"/>
        <w:rPr>
          <w:rFonts w:ascii="Courier New" w:cs="Courier New" w:eastAsia="Courier New" w:hAnsi="Courier New"/>
          <w:sz w:val="17"/>
          <w:szCs w:val="17"/>
          <w:color w:val="auto"/>
        </w:rPr>
      </w:pPr>
    </w:p>
    <w:p>
      <w:pPr>
        <w:ind w:left="2780" w:right="3480" w:hanging="921"/>
        <w:spacing w:after="0" w:line="246" w:lineRule="auto"/>
        <w:tabs>
          <w:tab w:leader="none" w:pos="2780" w:val="left"/>
        </w:tabs>
        <w:numPr>
          <w:ilvl w:val="2"/>
          <w:numId w:val="2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amount that would have been payable to the individual (or his Beneficiary) under the Base Plan assuming the individual is credited with service to the date listed and without regard to the freeze of the Base Plan as of December 31, 1997; less</w:t>
      </w:r>
    </w:p>
    <w:p>
      <w:pPr>
        <w:spacing w:after="0" w:line="200" w:lineRule="exact"/>
        <w:rPr>
          <w:rFonts w:ascii="Courier New" w:cs="Courier New" w:eastAsia="Courier New" w:hAnsi="Courier New"/>
          <w:sz w:val="17"/>
          <w:szCs w:val="17"/>
          <w:color w:val="auto"/>
        </w:rPr>
      </w:pPr>
    </w:p>
    <w:p>
      <w:pPr>
        <w:ind w:left="2780" w:hanging="921"/>
        <w:spacing w:after="0"/>
        <w:tabs>
          <w:tab w:leader="none" w:pos="2780" w:val="left"/>
        </w:tabs>
        <w:numPr>
          <w:ilvl w:val="2"/>
          <w:numId w:val="2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amount paid under the Base Plan.</w:t>
      </w:r>
    </w:p>
    <w:p>
      <w:pPr>
        <w:spacing w:after="0" w:line="200" w:lineRule="exact"/>
        <w:rPr>
          <w:sz w:val="20"/>
          <w:szCs w:val="20"/>
          <w:color w:val="auto"/>
        </w:rPr>
      </w:pPr>
    </w:p>
    <w:p>
      <w:pPr>
        <w:spacing w:after="0" w:line="399" w:lineRule="exact"/>
        <w:rPr>
          <w:sz w:val="20"/>
          <w:szCs w:val="20"/>
          <w:color w:val="auto"/>
        </w:rPr>
      </w:pPr>
    </w:p>
    <w:tbl>
      <w:tblPr>
        <w:tblLayout w:type="fixed"/>
        <w:tblInd w:w="2060" w:type="dxa"/>
        <w:tblCellMar>
          <w:top w:w="0" w:type="dxa"/>
          <w:left w:w="0" w:type="dxa"/>
          <w:bottom w:w="0" w:type="dxa"/>
          <w:right w:w="0" w:type="dxa"/>
        </w:tblCellMar>
      </w:tblPr>
      <w:tr>
        <w:trPr>
          <w:trHeight w:val="193"/>
        </w:trPr>
        <w:tc>
          <w:tcPr>
            <w:tcW w:w="2220" w:type="dxa"/>
            <w:vAlign w:val="bottom"/>
          </w:tcPr>
          <w:p>
            <w:pPr>
              <w:spacing w:after="0"/>
              <w:rPr>
                <w:sz w:val="20"/>
                <w:szCs w:val="20"/>
                <w:color w:val="auto"/>
              </w:rPr>
            </w:pPr>
            <w:r>
              <w:rPr>
                <w:rFonts w:ascii="Courier New" w:cs="Courier New" w:eastAsia="Courier New" w:hAnsi="Courier New"/>
                <w:sz w:val="17"/>
                <w:szCs w:val="17"/>
                <w:color w:val="auto"/>
              </w:rPr>
              <w:t>NAME</w:t>
            </w:r>
          </w:p>
        </w:tc>
        <w:tc>
          <w:tcPr>
            <w:tcW w:w="1800" w:type="dxa"/>
            <w:vAlign w:val="bottom"/>
          </w:tcPr>
          <w:p>
            <w:pPr>
              <w:ind w:left="460"/>
              <w:spacing w:after="0"/>
              <w:rPr>
                <w:sz w:val="20"/>
                <w:szCs w:val="20"/>
                <w:color w:val="auto"/>
              </w:rPr>
            </w:pPr>
            <w:r>
              <w:rPr>
                <w:rFonts w:ascii="Courier New" w:cs="Courier New" w:eastAsia="Courier New" w:hAnsi="Courier New"/>
                <w:sz w:val="17"/>
                <w:szCs w:val="17"/>
                <w:color w:val="auto"/>
              </w:rPr>
              <w:t>DATE</w:t>
            </w:r>
          </w:p>
        </w:tc>
        <w:tc>
          <w:tcPr>
            <w:tcW w:w="2680" w:type="dxa"/>
            <w:vAlign w:val="bottom"/>
          </w:tcPr>
          <w:p>
            <w:pPr>
              <w:ind w:left="520"/>
              <w:spacing w:after="0"/>
              <w:rPr>
                <w:sz w:val="20"/>
                <w:szCs w:val="20"/>
                <w:color w:val="auto"/>
              </w:rPr>
            </w:pPr>
            <w:r>
              <w:rPr>
                <w:rFonts w:ascii="Courier New" w:cs="Courier New" w:eastAsia="Courier New" w:hAnsi="Courier New"/>
                <w:sz w:val="17"/>
                <w:szCs w:val="17"/>
                <w:color w:val="auto"/>
              </w:rPr>
              <w:t>ASSOCIATE NUMBER</w:t>
            </w:r>
          </w:p>
        </w:tc>
        <w:tc>
          <w:tcPr>
            <w:tcW w:w="2760" w:type="dxa"/>
            <w:vAlign w:val="bottom"/>
          </w:tcPr>
          <w:p>
            <w:pPr>
              <w:ind w:left="520"/>
              <w:spacing w:after="0"/>
              <w:rPr>
                <w:sz w:val="20"/>
                <w:szCs w:val="20"/>
                <w:color w:val="auto"/>
              </w:rPr>
            </w:pPr>
            <w:r>
              <w:rPr>
                <w:rFonts w:ascii="Courier New" w:cs="Courier New" w:eastAsia="Courier New" w:hAnsi="Courier New"/>
                <w:sz w:val="17"/>
                <w:szCs w:val="17"/>
                <w:color w:val="auto"/>
                <w:w w:val="98"/>
              </w:rPr>
              <w:t>SOCIAL SECURITY NUMBER</w:t>
            </w:r>
          </w:p>
        </w:tc>
      </w:tr>
      <w:tr>
        <w:trPr>
          <w:trHeight w:val="198"/>
        </w:trPr>
        <w:tc>
          <w:tcPr>
            <w:tcW w:w="222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800" w:type="dxa"/>
            <w:vAlign w:val="bottom"/>
          </w:tcPr>
          <w:p>
            <w:pPr>
              <w:ind w:left="460"/>
              <w:spacing w:after="0"/>
              <w:rPr>
                <w:sz w:val="20"/>
                <w:szCs w:val="20"/>
                <w:color w:val="auto"/>
              </w:rPr>
            </w:pPr>
            <w:r>
              <w:rPr>
                <w:rFonts w:ascii="Courier New" w:cs="Courier New" w:eastAsia="Courier New" w:hAnsi="Courier New"/>
                <w:sz w:val="17"/>
                <w:szCs w:val="17"/>
                <w:color w:val="auto"/>
              </w:rPr>
              <w:t>----</w:t>
            </w:r>
          </w:p>
        </w:tc>
        <w:tc>
          <w:tcPr>
            <w:tcW w:w="2680" w:type="dxa"/>
            <w:vAlign w:val="bottom"/>
          </w:tcPr>
          <w:p>
            <w:pPr>
              <w:ind w:left="520"/>
              <w:spacing w:after="0"/>
              <w:rPr>
                <w:sz w:val="20"/>
                <w:szCs w:val="20"/>
                <w:color w:val="auto"/>
              </w:rPr>
            </w:pPr>
            <w:r>
              <w:rPr>
                <w:rFonts w:ascii="Courier New" w:cs="Courier New" w:eastAsia="Courier New" w:hAnsi="Courier New"/>
                <w:sz w:val="17"/>
                <w:szCs w:val="17"/>
                <w:color w:val="auto"/>
              </w:rPr>
              <w:t>----------------</w:t>
            </w:r>
          </w:p>
        </w:tc>
        <w:tc>
          <w:tcPr>
            <w:tcW w:w="2760" w:type="dxa"/>
            <w:vAlign w:val="bottom"/>
          </w:tcPr>
          <w:p>
            <w:pPr>
              <w:ind w:left="520"/>
              <w:spacing w:after="0"/>
              <w:rPr>
                <w:sz w:val="20"/>
                <w:szCs w:val="20"/>
                <w:color w:val="auto"/>
              </w:rPr>
            </w:pPr>
            <w:r>
              <w:rPr>
                <w:rFonts w:ascii="Courier New" w:cs="Courier New" w:eastAsia="Courier New" w:hAnsi="Courier New"/>
                <w:sz w:val="17"/>
                <w:szCs w:val="17"/>
                <w:color w:val="auto"/>
                <w:w w:val="98"/>
              </w:rPr>
              <w:t>----------------------</w:t>
            </w:r>
          </w:p>
        </w:tc>
      </w:tr>
      <w:tr>
        <w:trPr>
          <w:trHeight w:val="396"/>
        </w:trPr>
        <w:tc>
          <w:tcPr>
            <w:tcW w:w="2220" w:type="dxa"/>
            <w:vAlign w:val="bottom"/>
          </w:tcPr>
          <w:p>
            <w:pPr>
              <w:spacing w:after="0"/>
              <w:rPr>
                <w:sz w:val="20"/>
                <w:szCs w:val="20"/>
                <w:color w:val="auto"/>
              </w:rPr>
            </w:pPr>
            <w:r>
              <w:rPr>
                <w:rFonts w:ascii="Courier New" w:cs="Courier New" w:eastAsia="Courier New" w:hAnsi="Courier New"/>
                <w:sz w:val="17"/>
                <w:szCs w:val="17"/>
                <w:color w:val="auto"/>
              </w:rPr>
              <w:t>Richard D. Bergum</w:t>
            </w:r>
          </w:p>
        </w:tc>
        <w:tc>
          <w:tcPr>
            <w:tcW w:w="1800" w:type="dxa"/>
            <w:vAlign w:val="bottom"/>
          </w:tcPr>
          <w:p>
            <w:pPr>
              <w:ind w:left="460"/>
              <w:spacing w:after="0"/>
              <w:rPr>
                <w:sz w:val="20"/>
                <w:szCs w:val="20"/>
                <w:color w:val="auto"/>
              </w:rPr>
            </w:pPr>
            <w:r>
              <w:rPr>
                <w:rFonts w:ascii="Courier New" w:cs="Courier New" w:eastAsia="Courier New" w:hAnsi="Courier New"/>
                <w:sz w:val="17"/>
                <w:szCs w:val="17"/>
                <w:color w:val="auto"/>
              </w:rPr>
              <w:t>12/31/98</w:t>
            </w:r>
          </w:p>
        </w:tc>
        <w:tc>
          <w:tcPr>
            <w:tcW w:w="2680" w:type="dxa"/>
            <w:vAlign w:val="bottom"/>
          </w:tcPr>
          <w:p>
            <w:pPr>
              <w:ind w:left="520"/>
              <w:spacing w:after="0"/>
              <w:rPr>
                <w:sz w:val="20"/>
                <w:szCs w:val="20"/>
                <w:color w:val="auto"/>
              </w:rPr>
            </w:pPr>
            <w:r>
              <w:rPr>
                <w:rFonts w:ascii="Courier New" w:cs="Courier New" w:eastAsia="Courier New" w:hAnsi="Courier New"/>
                <w:sz w:val="17"/>
                <w:szCs w:val="17"/>
                <w:color w:val="auto"/>
              </w:rPr>
              <w:t>Assoc. #</w:t>
            </w:r>
          </w:p>
        </w:tc>
        <w:tc>
          <w:tcPr>
            <w:tcW w:w="2760" w:type="dxa"/>
            <w:vAlign w:val="bottom"/>
          </w:tcPr>
          <w:p>
            <w:pPr>
              <w:ind w:left="520"/>
              <w:spacing w:after="0"/>
              <w:rPr>
                <w:sz w:val="20"/>
                <w:szCs w:val="20"/>
                <w:color w:val="auto"/>
              </w:rPr>
            </w:pPr>
            <w:r>
              <w:rPr>
                <w:rFonts w:ascii="Courier New" w:cs="Courier New" w:eastAsia="Courier New" w:hAnsi="Courier New"/>
                <w:sz w:val="17"/>
                <w:szCs w:val="17"/>
                <w:color w:val="auto"/>
              </w:rPr>
              <w:t>SS #</w:t>
            </w:r>
          </w:p>
        </w:tc>
      </w:tr>
      <w:tr>
        <w:trPr>
          <w:trHeight w:val="198"/>
        </w:trPr>
        <w:tc>
          <w:tcPr>
            <w:tcW w:w="2220" w:type="dxa"/>
            <w:vAlign w:val="bottom"/>
          </w:tcPr>
          <w:p>
            <w:pPr>
              <w:spacing w:after="0"/>
              <w:rPr>
                <w:sz w:val="20"/>
                <w:szCs w:val="20"/>
                <w:color w:val="auto"/>
              </w:rPr>
            </w:pPr>
            <w:r>
              <w:rPr>
                <w:rFonts w:ascii="Courier New" w:cs="Courier New" w:eastAsia="Courier New" w:hAnsi="Courier New"/>
                <w:sz w:val="17"/>
                <w:szCs w:val="17"/>
                <w:color w:val="auto"/>
              </w:rPr>
              <w:t>Robert L. Hughes</w:t>
            </w:r>
          </w:p>
        </w:tc>
        <w:tc>
          <w:tcPr>
            <w:tcW w:w="1800" w:type="dxa"/>
            <w:vAlign w:val="bottom"/>
          </w:tcPr>
          <w:p>
            <w:pPr>
              <w:ind w:left="460"/>
              <w:spacing w:after="0"/>
              <w:rPr>
                <w:sz w:val="20"/>
                <w:szCs w:val="20"/>
                <w:color w:val="auto"/>
              </w:rPr>
            </w:pPr>
            <w:r>
              <w:rPr>
                <w:rFonts w:ascii="Courier New" w:cs="Courier New" w:eastAsia="Courier New" w:hAnsi="Courier New"/>
                <w:sz w:val="17"/>
                <w:szCs w:val="17"/>
                <w:color w:val="auto"/>
              </w:rPr>
              <w:t>11/30/99</w:t>
            </w:r>
          </w:p>
        </w:tc>
        <w:tc>
          <w:tcPr>
            <w:tcW w:w="2680" w:type="dxa"/>
            <w:vAlign w:val="bottom"/>
          </w:tcPr>
          <w:p>
            <w:pPr>
              <w:ind w:left="520"/>
              <w:spacing w:after="0"/>
              <w:rPr>
                <w:sz w:val="20"/>
                <w:szCs w:val="20"/>
                <w:color w:val="auto"/>
              </w:rPr>
            </w:pPr>
            <w:r>
              <w:rPr>
                <w:rFonts w:ascii="Courier New" w:cs="Courier New" w:eastAsia="Courier New" w:hAnsi="Courier New"/>
                <w:sz w:val="17"/>
                <w:szCs w:val="17"/>
                <w:color w:val="auto"/>
              </w:rPr>
              <w:t>Assoc. #</w:t>
            </w:r>
          </w:p>
        </w:tc>
        <w:tc>
          <w:tcPr>
            <w:tcW w:w="2760" w:type="dxa"/>
            <w:vAlign w:val="bottom"/>
          </w:tcPr>
          <w:p>
            <w:pPr>
              <w:ind w:left="520"/>
              <w:spacing w:after="0"/>
              <w:rPr>
                <w:sz w:val="20"/>
                <w:szCs w:val="20"/>
                <w:color w:val="auto"/>
              </w:rPr>
            </w:pPr>
            <w:r>
              <w:rPr>
                <w:rFonts w:ascii="Courier New" w:cs="Courier New" w:eastAsia="Courier New" w:hAnsi="Courier New"/>
                <w:sz w:val="17"/>
                <w:szCs w:val="17"/>
                <w:color w:val="auto"/>
              </w:rPr>
              <w:t>SS #</w:t>
            </w:r>
          </w:p>
        </w:tc>
      </w:tr>
      <w:tr>
        <w:trPr>
          <w:trHeight w:val="198"/>
        </w:trPr>
        <w:tc>
          <w:tcPr>
            <w:tcW w:w="2220" w:type="dxa"/>
            <w:vAlign w:val="bottom"/>
          </w:tcPr>
          <w:p>
            <w:pPr>
              <w:spacing w:after="0"/>
              <w:rPr>
                <w:sz w:val="20"/>
                <w:szCs w:val="20"/>
                <w:color w:val="auto"/>
              </w:rPr>
            </w:pPr>
            <w:r>
              <w:rPr>
                <w:rFonts w:ascii="Courier New" w:cs="Courier New" w:eastAsia="Courier New" w:hAnsi="Courier New"/>
                <w:sz w:val="17"/>
                <w:szCs w:val="17"/>
                <w:color w:val="auto"/>
              </w:rPr>
              <w:t>William F. O'Neil</w:t>
            </w:r>
          </w:p>
        </w:tc>
        <w:tc>
          <w:tcPr>
            <w:tcW w:w="1800" w:type="dxa"/>
            <w:vAlign w:val="bottom"/>
          </w:tcPr>
          <w:p>
            <w:pPr>
              <w:ind w:left="460"/>
              <w:spacing w:after="0"/>
              <w:rPr>
                <w:sz w:val="20"/>
                <w:szCs w:val="20"/>
                <w:color w:val="auto"/>
              </w:rPr>
            </w:pPr>
            <w:r>
              <w:rPr>
                <w:rFonts w:ascii="Courier New" w:cs="Courier New" w:eastAsia="Courier New" w:hAnsi="Courier New"/>
                <w:sz w:val="17"/>
                <w:szCs w:val="17"/>
                <w:color w:val="auto"/>
              </w:rPr>
              <w:t>3/31/98</w:t>
            </w:r>
          </w:p>
        </w:tc>
        <w:tc>
          <w:tcPr>
            <w:tcW w:w="2680" w:type="dxa"/>
            <w:vAlign w:val="bottom"/>
          </w:tcPr>
          <w:p>
            <w:pPr>
              <w:ind w:left="520"/>
              <w:spacing w:after="0"/>
              <w:rPr>
                <w:sz w:val="20"/>
                <w:szCs w:val="20"/>
                <w:color w:val="auto"/>
              </w:rPr>
            </w:pPr>
            <w:r>
              <w:rPr>
                <w:rFonts w:ascii="Courier New" w:cs="Courier New" w:eastAsia="Courier New" w:hAnsi="Courier New"/>
                <w:sz w:val="17"/>
                <w:szCs w:val="17"/>
                <w:color w:val="auto"/>
              </w:rPr>
              <w:t>Assoc. #</w:t>
            </w:r>
          </w:p>
        </w:tc>
        <w:tc>
          <w:tcPr>
            <w:tcW w:w="2760" w:type="dxa"/>
            <w:vAlign w:val="bottom"/>
          </w:tcPr>
          <w:p>
            <w:pPr>
              <w:ind w:left="520"/>
              <w:spacing w:after="0"/>
              <w:rPr>
                <w:sz w:val="20"/>
                <w:szCs w:val="20"/>
                <w:color w:val="auto"/>
              </w:rPr>
            </w:pPr>
            <w:r>
              <w:rPr>
                <w:rFonts w:ascii="Courier New" w:cs="Courier New" w:eastAsia="Courier New" w:hAnsi="Courier New"/>
                <w:sz w:val="17"/>
                <w:szCs w:val="17"/>
                <w:color w:val="auto"/>
              </w:rPr>
              <w:t>SS #</w:t>
            </w:r>
          </w:p>
        </w:tc>
      </w:tr>
    </w:tbl>
    <w:p>
      <w:pPr>
        <w:sectPr>
          <w:pgSz w:w="11900" w:h="16838" w:orient="portrait"/>
          <w:cols w:equalWidth="0" w:num="1">
            <w:col w:w="11520"/>
          </w:cols>
          <w:pgMar w:left="240" w:top="907" w:right="139" w:bottom="1440" w:gutter="0" w:footer="0" w:header="0"/>
        </w:sectPr>
      </w:pPr>
    </w:p>
    <w:bookmarkStart w:id="260" w:name="page261"/>
    <w:bookmarkEnd w:id="260"/>
    <w:p>
      <w:pPr>
        <w:ind w:right="2799" w:firstLine="927"/>
        <w:spacing w:after="0" w:line="247" w:lineRule="auto"/>
        <w:rPr>
          <w:sz w:val="20"/>
          <w:szCs w:val="20"/>
          <w:color w:val="auto"/>
        </w:rPr>
      </w:pPr>
      <w:r>
        <w:rPr>
          <w:rFonts w:ascii="Courier New" w:cs="Courier New" w:eastAsia="Courier New" w:hAnsi="Courier New"/>
          <w:sz w:val="17"/>
          <w:szCs w:val="17"/>
          <w:color w:val="auto"/>
        </w:rPr>
        <w:t>IN WITNESS WHEREOF, the Company has caused this Amendment to be executed as of the 20 day of DECEMBER, 1999.</w:t>
      </w:r>
    </w:p>
    <w:p>
      <w:pPr>
        <w:spacing w:after="0" w:line="396"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THE SCOTTS COMPANY</w:t>
      </w:r>
    </w:p>
    <w:p>
      <w:pPr>
        <w:spacing w:after="0" w:line="200" w:lineRule="exact"/>
        <w:rPr>
          <w:sz w:val="20"/>
          <w:szCs w:val="20"/>
          <w:color w:val="auto"/>
        </w:rPr>
      </w:pPr>
    </w:p>
    <w:p>
      <w:pPr>
        <w:spacing w:after="0" w:line="399" w:lineRule="exact"/>
        <w:rPr>
          <w:sz w:val="20"/>
          <w:szCs w:val="20"/>
          <w:color w:val="auto"/>
        </w:rPr>
      </w:pPr>
    </w:p>
    <w:p>
      <w:pPr>
        <w:ind w:left="2780"/>
        <w:spacing w:after="0"/>
        <w:tabs>
          <w:tab w:leader="none" w:pos="3280" w:val="left"/>
        </w:tabs>
        <w:rPr>
          <w:sz w:val="20"/>
          <w:szCs w:val="20"/>
          <w:color w:val="auto"/>
        </w:rPr>
      </w:pPr>
      <w:r>
        <w:rPr>
          <w:rFonts w:ascii="Courier New" w:cs="Courier New" w:eastAsia="Courier New" w:hAnsi="Courier New"/>
          <w:sz w:val="17"/>
          <w:szCs w:val="17"/>
          <w:color w:val="auto"/>
        </w:rPr>
        <w:t>By:</w:t>
        <w:tab/>
        <w:t>/s/ Hadia Lefavre</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Hadia Lefavre, Senior Vice President --</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Global Human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1105" w:right="1440" w:bottom="1440" w:gutter="0" w:footer="0" w:header="0"/>
        </w:sectPr>
      </w:pPr>
    </w:p>
    <w:bookmarkStart w:id="261" w:name="page262"/>
    <w:bookmarkEnd w:id="261"/>
    <w:p>
      <w:pPr>
        <w:jc w:val="center"/>
        <w:ind w:right="3059"/>
        <w:spacing w:after="0"/>
        <w:rPr>
          <w:sz w:val="20"/>
          <w:szCs w:val="20"/>
          <w:color w:val="auto"/>
        </w:rPr>
      </w:pPr>
      <w:r>
        <w:rPr>
          <w:rFonts w:ascii="Courier New" w:cs="Courier New" w:eastAsia="Courier New" w:hAnsi="Courier New"/>
          <w:sz w:val="17"/>
          <w:szCs w:val="17"/>
          <w:color w:val="auto"/>
        </w:rPr>
        <w:t>EXHIBIT 10(c)</w:t>
      </w:r>
    </w:p>
    <w:p>
      <w:pPr>
        <w:spacing w:after="0" w:line="203" w:lineRule="exact"/>
        <w:rPr>
          <w:sz w:val="20"/>
          <w:szCs w:val="20"/>
          <w:color w:val="auto"/>
        </w:rPr>
      </w:pPr>
    </w:p>
    <w:p>
      <w:pPr>
        <w:ind w:left="340"/>
        <w:spacing w:after="0"/>
        <w:rPr>
          <w:sz w:val="20"/>
          <w:szCs w:val="20"/>
          <w:color w:val="auto"/>
        </w:rPr>
      </w:pPr>
      <w:r>
        <w:rPr>
          <w:rFonts w:ascii="Courier New" w:cs="Courier New" w:eastAsia="Courier New" w:hAnsi="Courier New"/>
          <w:sz w:val="17"/>
          <w:szCs w:val="17"/>
          <w:color w:val="auto"/>
        </w:rPr>
        <w:t>The Scotts Company Executive Annual Incentive Plan</w:t>
      </w:r>
    </w:p>
    <w:p>
      <w:pPr>
        <w:sectPr>
          <w:pgSz w:w="11900" w:h="16838" w:orient="portrait"/>
          <w:cols w:equalWidth="0" w:num="1">
            <w:col w:w="9019"/>
          </w:cols>
          <w:pgMar w:left="1440" w:top="538" w:right="1440" w:bottom="1440" w:gutter="0" w:footer="0" w:header="0"/>
        </w:sectPr>
      </w:pPr>
    </w:p>
    <w:bookmarkStart w:id="262" w:name="page263"/>
    <w:bookmarkEnd w:id="262"/>
    <w:p>
      <w:pPr>
        <w:spacing w:after="0" w:line="200" w:lineRule="exact"/>
        <w:rPr>
          <w:sz w:val="20"/>
          <w:szCs w:val="20"/>
          <w:color w:val="auto"/>
        </w:rPr>
      </w:pPr>
    </w:p>
    <w:p>
      <w:pPr>
        <w:spacing w:after="0" w:line="258" w:lineRule="exact"/>
        <w:rPr>
          <w:sz w:val="20"/>
          <w:szCs w:val="20"/>
          <w:color w:val="auto"/>
        </w:rPr>
      </w:pPr>
    </w:p>
    <w:p>
      <w:pPr>
        <w:jc w:val="center"/>
        <w:ind w:right="1985"/>
        <w:spacing w:after="0"/>
        <w:rPr>
          <w:sz w:val="20"/>
          <w:szCs w:val="20"/>
          <w:color w:val="auto"/>
        </w:rPr>
      </w:pPr>
      <w:r>
        <w:rPr>
          <w:rFonts w:ascii="Courier New" w:cs="Courier New" w:eastAsia="Courier New" w:hAnsi="Courier New"/>
          <w:sz w:val="17"/>
          <w:szCs w:val="17"/>
          <w:color w:val="auto"/>
        </w:rPr>
        <w:t>THE SCOTTS COMPANY</w:t>
      </w:r>
    </w:p>
    <w:p>
      <w:pPr>
        <w:spacing w:after="0" w:line="5" w:lineRule="exact"/>
        <w:rPr>
          <w:sz w:val="20"/>
          <w:szCs w:val="20"/>
          <w:color w:val="auto"/>
        </w:rPr>
      </w:pPr>
    </w:p>
    <w:p>
      <w:pPr>
        <w:jc w:val="center"/>
        <w:ind w:right="1985"/>
        <w:spacing w:after="0"/>
        <w:rPr>
          <w:sz w:val="20"/>
          <w:szCs w:val="20"/>
          <w:color w:val="auto"/>
        </w:rPr>
      </w:pPr>
      <w:r>
        <w:rPr>
          <w:rFonts w:ascii="Courier New" w:cs="Courier New" w:eastAsia="Courier New" w:hAnsi="Courier New"/>
          <w:sz w:val="17"/>
          <w:szCs w:val="17"/>
          <w:color w:val="auto"/>
        </w:rPr>
        <w:t>EXECUTIVE ANNUAL INCENTIVE PLAN (THE "PLAN")</w:t>
      </w:r>
    </w:p>
    <w:p>
      <w:pPr>
        <w:spacing w:after="0" w:line="203" w:lineRule="exact"/>
        <w:rPr>
          <w:sz w:val="20"/>
          <w:szCs w:val="20"/>
          <w:color w:val="auto"/>
        </w:rPr>
      </w:pPr>
    </w:p>
    <w:p>
      <w:pPr>
        <w:ind w:left="934" w:hanging="934"/>
        <w:spacing w:after="0"/>
        <w:tabs>
          <w:tab w:leader="none" w:pos="934" w:val="left"/>
        </w:tabs>
        <w:numPr>
          <w:ilvl w:val="0"/>
          <w:numId w:val="2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OBJECTIVES</w:t>
      </w:r>
    </w:p>
    <w:p>
      <w:pPr>
        <w:spacing w:after="0" w:line="203" w:lineRule="exact"/>
        <w:rPr>
          <w:rFonts w:ascii="Courier New" w:cs="Courier New" w:eastAsia="Courier New" w:hAnsi="Courier New"/>
          <w:sz w:val="17"/>
          <w:szCs w:val="17"/>
          <w:color w:val="auto"/>
        </w:rPr>
      </w:pPr>
    </w:p>
    <w:p>
      <w:pPr>
        <w:ind w:left="934" w:right="217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Provide strong financial incentives consistent with and supportive of corporate strategies and objectives.</w:t>
      </w:r>
    </w:p>
    <w:p>
      <w:pPr>
        <w:spacing w:after="0" w:line="197" w:lineRule="exact"/>
        <w:rPr>
          <w:rFonts w:ascii="Courier New" w:cs="Courier New" w:eastAsia="Courier New" w:hAnsi="Courier New"/>
          <w:sz w:val="17"/>
          <w:szCs w:val="17"/>
          <w:color w:val="auto"/>
        </w:rPr>
      </w:pPr>
    </w:p>
    <w:p>
      <w:pPr>
        <w:ind w:left="934" w:right="217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Contribute toward a competitively attractive compensation program for all associates participating in the Plan ("Participants").</w:t>
      </w:r>
    </w:p>
    <w:p>
      <w:pPr>
        <w:spacing w:after="0" w:line="197" w:lineRule="exact"/>
        <w:rPr>
          <w:rFonts w:ascii="Courier New" w:cs="Courier New" w:eastAsia="Courier New" w:hAnsi="Courier New"/>
          <w:sz w:val="17"/>
          <w:szCs w:val="17"/>
          <w:color w:val="auto"/>
        </w:rPr>
      </w:pPr>
    </w:p>
    <w:p>
      <w:pPr>
        <w:ind w:left="934" w:right="23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Encourage team effort toward achievement of corporate financial and strategic goals.</w:t>
      </w:r>
    </w:p>
    <w:p>
      <w:pPr>
        <w:spacing w:after="0" w:line="197" w:lineRule="exact"/>
        <w:rPr>
          <w:rFonts w:ascii="Courier New" w:cs="Courier New" w:eastAsia="Courier New" w:hAnsi="Courier New"/>
          <w:sz w:val="17"/>
          <w:szCs w:val="17"/>
          <w:color w:val="auto"/>
        </w:rPr>
      </w:pPr>
    </w:p>
    <w:p>
      <w:pPr>
        <w:ind w:left="934" w:hanging="934"/>
        <w:spacing w:after="0"/>
        <w:tabs>
          <w:tab w:leader="none" w:pos="934" w:val="left"/>
        </w:tabs>
        <w:numPr>
          <w:ilvl w:val="0"/>
          <w:numId w:val="2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PARTICIPATION</w:t>
      </w:r>
    </w:p>
    <w:p>
      <w:pPr>
        <w:spacing w:after="0" w:line="203" w:lineRule="exact"/>
        <w:rPr>
          <w:rFonts w:ascii="Courier New" w:cs="Courier New" w:eastAsia="Courier New" w:hAnsi="Courier New"/>
          <w:sz w:val="17"/>
          <w:szCs w:val="17"/>
          <w:color w:val="auto"/>
        </w:rPr>
      </w:pPr>
    </w:p>
    <w:p>
      <w:pPr>
        <w:ind w:left="934" w:right="217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Eligibility and level of participation is primarily based on band and job measurements.</w:t>
      </w:r>
    </w:p>
    <w:p>
      <w:pPr>
        <w:spacing w:after="0" w:line="197" w:lineRule="exact"/>
        <w:rPr>
          <w:rFonts w:ascii="Courier New" w:cs="Courier New" w:eastAsia="Courier New" w:hAnsi="Courier New"/>
          <w:sz w:val="17"/>
          <w:szCs w:val="17"/>
          <w:color w:val="auto"/>
        </w:rPr>
      </w:pPr>
    </w:p>
    <w:p>
      <w:pPr>
        <w:ind w:left="934" w:right="21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Participants must be actively employed in an eligible position for at least 13 consecutive weeks during the Plan Year. Participants must be employed on the last day of the fiscal year to be eligible for a payment. Participants who terminate their employment during the Plan Year, except in cases of retirement, will not be eligible for an incentive payment, prorated or otherwise. The Participants covered by the Plan will not be eligible for any other cash incentives of the Company (exception: the Director Long Term Incentive Plan).</w:t>
      </w:r>
    </w:p>
    <w:p>
      <w:pPr>
        <w:spacing w:after="0" w:line="202" w:lineRule="exact"/>
        <w:rPr>
          <w:rFonts w:ascii="Courier New" w:cs="Courier New" w:eastAsia="Courier New" w:hAnsi="Courier New"/>
          <w:sz w:val="17"/>
          <w:szCs w:val="17"/>
          <w:color w:val="auto"/>
        </w:rPr>
      </w:pPr>
    </w:p>
    <w:p>
      <w:pPr>
        <w:ind w:left="934" w:right="217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Participants shall not have any right with respect to any award until an award shall, in fact, be paid to them.</w:t>
      </w:r>
    </w:p>
    <w:p>
      <w:pPr>
        <w:spacing w:after="0" w:line="197" w:lineRule="exact"/>
        <w:rPr>
          <w:rFonts w:ascii="Courier New" w:cs="Courier New" w:eastAsia="Courier New" w:hAnsi="Courier New"/>
          <w:sz w:val="17"/>
          <w:szCs w:val="17"/>
          <w:color w:val="auto"/>
        </w:rPr>
      </w:pPr>
    </w:p>
    <w:p>
      <w:pPr>
        <w:ind w:left="934" w:right="22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Plan confers no rights upon any associate to participate in the Plan or remain in the employ of the Company. Neither the adoption of the Plan nor its operation shall in any way affect the right of the associate or the Company to terminate the employment relationship at any time.</w:t>
      </w:r>
    </w:p>
    <w:p>
      <w:pPr>
        <w:spacing w:after="0" w:line="200" w:lineRule="exact"/>
        <w:rPr>
          <w:rFonts w:ascii="Courier New" w:cs="Courier New" w:eastAsia="Courier New" w:hAnsi="Courier New"/>
          <w:sz w:val="17"/>
          <w:szCs w:val="17"/>
          <w:color w:val="auto"/>
        </w:rPr>
      </w:pPr>
    </w:p>
    <w:p>
      <w:pPr>
        <w:ind w:left="934" w:hanging="934"/>
        <w:spacing w:after="0"/>
        <w:tabs>
          <w:tab w:leader="none" w:pos="934" w:val="left"/>
        </w:tabs>
        <w:numPr>
          <w:ilvl w:val="0"/>
          <w:numId w:val="2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PAYOUTS</w:t>
      </w:r>
    </w:p>
    <w:p>
      <w:pPr>
        <w:spacing w:after="0" w:line="203" w:lineRule="exact"/>
        <w:rPr>
          <w:rFonts w:ascii="Courier New" w:cs="Courier New" w:eastAsia="Courier New" w:hAnsi="Courier New"/>
          <w:sz w:val="17"/>
          <w:szCs w:val="17"/>
          <w:color w:val="auto"/>
        </w:rPr>
      </w:pPr>
    </w:p>
    <w:p>
      <w:pPr>
        <w:ind w:left="934" w:right="20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Plan is designed to recognize and reward performance against established financial targets and personal goals. Payouts for each Participant in the Plan will be calculated pursuant to the Plan in the following manner:</w:t>
      </w:r>
    </w:p>
    <w:p>
      <w:pPr>
        <w:sectPr>
          <w:pgSz w:w="11900" w:h="16838" w:orient="portrait"/>
          <w:cols w:equalWidth="0" w:num="1">
            <w:col w:w="10214"/>
          </w:cols>
          <w:pgMar w:left="246" w:top="1440" w:right="1440" w:bottom="1440" w:gutter="0" w:footer="0" w:header="0"/>
        </w:sectPr>
      </w:pPr>
    </w:p>
    <w:bookmarkStart w:id="263" w:name="page264"/>
    <w:bookmarkEnd w:id="263"/>
    <w:p>
      <w:pPr>
        <w:spacing w:after="0"/>
        <w:rPr>
          <w:sz w:val="20"/>
          <w:szCs w:val="20"/>
          <w:color w:val="auto"/>
        </w:rPr>
      </w:pPr>
      <w:r>
        <w:rPr>
          <w:rFonts w:ascii="Courier New" w:cs="Courier New" w:eastAsia="Courier New" w:hAnsi="Courier New"/>
          <w:sz w:val="17"/>
          <w:szCs w:val="17"/>
          <w:color w:val="auto"/>
        </w:rPr>
        <w:t>THE SCOTTS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EXECUTIVE ANNUAL INCENTIVE PLAN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Page 2</w:t>
      </w:r>
    </w:p>
    <w:p>
      <w:pPr>
        <w:spacing w:after="0" w:line="203" w:lineRule="exact"/>
        <w:rPr>
          <w:sz w:val="20"/>
          <w:szCs w:val="20"/>
          <w:color w:val="auto"/>
        </w:rPr>
      </w:pPr>
    </w:p>
    <w:p>
      <w:pPr>
        <w:ind w:left="1860" w:right="2499" w:hanging="928"/>
        <w:spacing w:after="0" w:line="246" w:lineRule="auto"/>
        <w:tabs>
          <w:tab w:leader="none" w:pos="1860" w:val="left"/>
        </w:tabs>
        <w:numPr>
          <w:ilvl w:val="1"/>
          <w:numId w:val="2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Target Payout Percentage shall be established for each Participant. Payouts will be based on that applicable percentage of each Participant's average fiscal year base salary.</w:t>
      </w:r>
    </w:p>
    <w:p>
      <w:pPr>
        <w:spacing w:after="0" w:line="200" w:lineRule="exact"/>
        <w:rPr>
          <w:rFonts w:ascii="Courier New" w:cs="Courier New" w:eastAsia="Courier New" w:hAnsi="Courier New"/>
          <w:sz w:val="17"/>
          <w:szCs w:val="17"/>
          <w:color w:val="auto"/>
        </w:rPr>
      </w:pPr>
    </w:p>
    <w:p>
      <w:pPr>
        <w:ind w:left="1860" w:right="19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Actual Payout Percentage shall be determined by multiplying the Target Payout Percentage by a Weighting Factor determined by each Participant's Performance Measurements. Once obtained, the Actual Payout Percentage shall be multiplied by an award percentage based on the actual results attained for each Performance Measurement as compared to the targeted performance for each Performance Measurement (i.e., 100% at target). The process shall be completed by adding the resulting percentages obtained for each of the Performance Measurements to determine each Participant's incentive payment. Schedule A attached hereto provides examples of how the plan is administered.</w:t>
      </w:r>
    </w:p>
    <w:p>
      <w:pPr>
        <w:spacing w:after="0" w:line="205" w:lineRule="exact"/>
        <w:rPr>
          <w:rFonts w:ascii="Courier New" w:cs="Courier New" w:eastAsia="Courier New" w:hAnsi="Courier New"/>
          <w:sz w:val="17"/>
          <w:szCs w:val="17"/>
          <w:color w:val="auto"/>
        </w:rPr>
      </w:pPr>
    </w:p>
    <w:p>
      <w:pPr>
        <w:ind w:left="1860" w:right="1979" w:hanging="928"/>
        <w:spacing w:after="0" w:line="246" w:lineRule="auto"/>
        <w:tabs>
          <w:tab w:leader="none" w:pos="1860" w:val="left"/>
        </w:tabs>
        <w:numPr>
          <w:ilvl w:val="1"/>
          <w:numId w:val="2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Schedule B attached hereto lists all Performance Measurements for each fiscal year and sets forth the minimum target and maximum performance parameters for each Performance Measurement. Performance above and below target performance goals will be incrementally calculated so Participants will receive a prorated payout calculated on a straight-line basis.</w:t>
      </w:r>
    </w:p>
    <w:p>
      <w:pPr>
        <w:spacing w:after="0" w:line="201" w:lineRule="exact"/>
        <w:rPr>
          <w:rFonts w:ascii="Courier New" w:cs="Courier New" w:eastAsia="Courier New" w:hAnsi="Courier New"/>
          <w:sz w:val="17"/>
          <w:szCs w:val="17"/>
          <w:color w:val="auto"/>
        </w:rPr>
      </w:pPr>
    </w:p>
    <w:p>
      <w:pPr>
        <w:ind w:left="1860" w:right="1979" w:hanging="928"/>
        <w:spacing w:after="0" w:line="246" w:lineRule="auto"/>
        <w:tabs>
          <w:tab w:leader="none" w:pos="1860" w:val="left"/>
        </w:tabs>
        <w:numPr>
          <w:ilvl w:val="1"/>
          <w:numId w:val="2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target Personal Goal bonus percentage shall be paid if all personal goals are achieved on average. Performance between levels shall be rewarded according to a payout percentage assigned by the CEO, President, CFO and/or the Participant's manager.</w:t>
      </w:r>
    </w:p>
    <w:p>
      <w:pPr>
        <w:spacing w:after="0" w:line="200" w:lineRule="exact"/>
        <w:rPr>
          <w:rFonts w:ascii="Courier New" w:cs="Courier New" w:eastAsia="Courier New" w:hAnsi="Courier New"/>
          <w:sz w:val="17"/>
          <w:szCs w:val="17"/>
          <w:color w:val="auto"/>
        </w:rPr>
      </w:pPr>
    </w:p>
    <w:p>
      <w:pPr>
        <w:ind w:left="940" w:hanging="934"/>
        <w:spacing w:after="0"/>
        <w:tabs>
          <w:tab w:leader="none" w:pos="940" w:val="left"/>
        </w:tabs>
        <w:numPr>
          <w:ilvl w:val="0"/>
          <w:numId w:val="2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SUPPLEMENTAL AWARDS</w:t>
      </w:r>
    </w:p>
    <w:p>
      <w:pPr>
        <w:spacing w:after="0" w:line="203" w:lineRule="exact"/>
        <w:rPr>
          <w:rFonts w:ascii="Courier New" w:cs="Courier New" w:eastAsia="Courier New" w:hAnsi="Courier New"/>
          <w:sz w:val="17"/>
          <w:szCs w:val="17"/>
          <w:color w:val="auto"/>
        </w:rPr>
      </w:pPr>
    </w:p>
    <w:p>
      <w:pPr>
        <w:ind w:left="940" w:right="19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 pool for supplemental awards (the "Supplemental Pool") will be generated to provide recognition to associates who are not eligible for participation in the Plan and whose individual performance is exceptional. Recipients must be employed on the last day of the fiscal year to be eligible for consideration of an award. The total Supplemental Pool will not exceed 1% of compensation for each business unit or corporate function with awards generally ranging from $500 to $2,000.</w:t>
      </w:r>
    </w:p>
    <w:p>
      <w:pPr>
        <w:spacing w:after="0" w:line="202" w:lineRule="exact"/>
        <w:rPr>
          <w:rFonts w:ascii="Courier New" w:cs="Courier New" w:eastAsia="Courier New" w:hAnsi="Courier New"/>
          <w:sz w:val="17"/>
          <w:szCs w:val="17"/>
          <w:color w:val="auto"/>
        </w:rPr>
      </w:pPr>
    </w:p>
    <w:p>
      <w:pPr>
        <w:ind w:left="940" w:hanging="934"/>
        <w:spacing w:after="0"/>
        <w:tabs>
          <w:tab w:leader="none" w:pos="940" w:val="left"/>
        </w:tabs>
        <w:numPr>
          <w:ilvl w:val="0"/>
          <w:numId w:val="2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ADMINISTRATION</w:t>
      </w:r>
    </w:p>
    <w:p>
      <w:pPr>
        <w:spacing w:after="0" w:line="203" w:lineRule="exact"/>
        <w:rPr>
          <w:rFonts w:ascii="Courier New" w:cs="Courier New" w:eastAsia="Courier New" w:hAnsi="Courier New"/>
          <w:sz w:val="17"/>
          <w:szCs w:val="17"/>
          <w:color w:val="auto"/>
        </w:rPr>
      </w:pPr>
    </w:p>
    <w:p>
      <w:pPr>
        <w:ind w:left="1860" w:right="2899" w:hanging="928"/>
        <w:spacing w:after="0" w:line="247" w:lineRule="auto"/>
        <w:tabs>
          <w:tab w:leader="none" w:pos="1860" w:val="left"/>
        </w:tabs>
        <w:numPr>
          <w:ilvl w:val="1"/>
          <w:numId w:val="2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Plan is to be administered by the Head of Global Compensation &amp; Benefits, who will be responsible for:</w:t>
      </w:r>
    </w:p>
    <w:p>
      <w:pPr>
        <w:spacing w:after="0" w:line="197" w:lineRule="exact"/>
        <w:rPr>
          <w:rFonts w:ascii="Courier New" w:cs="Courier New" w:eastAsia="Courier New" w:hAnsi="Courier New"/>
          <w:sz w:val="17"/>
          <w:szCs w:val="17"/>
          <w:color w:val="auto"/>
        </w:rPr>
      </w:pPr>
    </w:p>
    <w:p>
      <w:pPr>
        <w:ind w:left="2780" w:hanging="921"/>
        <w:spacing w:after="0"/>
        <w:tabs>
          <w:tab w:leader="none" w:pos="2780" w:val="left"/>
        </w:tabs>
        <w:numPr>
          <w:ilvl w:val="2"/>
          <w:numId w:val="2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Recommending changes in the Plan as appropriate;</w:t>
      </w:r>
    </w:p>
    <w:p>
      <w:pPr>
        <w:spacing w:after="0" w:line="203" w:lineRule="exact"/>
        <w:rPr>
          <w:rFonts w:ascii="Courier New" w:cs="Courier New" w:eastAsia="Courier New" w:hAnsi="Courier New"/>
          <w:sz w:val="17"/>
          <w:szCs w:val="17"/>
          <w:color w:val="auto"/>
        </w:rPr>
      </w:pPr>
    </w:p>
    <w:p>
      <w:pPr>
        <w:ind w:left="2780" w:hanging="921"/>
        <w:spacing w:after="0"/>
        <w:tabs>
          <w:tab w:leader="none" w:pos="2780" w:val="left"/>
        </w:tabs>
        <w:numPr>
          <w:ilvl w:val="2"/>
          <w:numId w:val="2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Recommending changes in the payout targets;</w:t>
      </w:r>
    </w:p>
    <w:p>
      <w:pPr>
        <w:sectPr>
          <w:pgSz w:w="11900" w:h="16838" w:orient="portrait"/>
          <w:cols w:equalWidth="0" w:num="1">
            <w:col w:w="10219"/>
          </w:cols>
          <w:pgMar w:left="240" w:top="907" w:right="1440" w:bottom="1440" w:gutter="0" w:footer="0" w:header="0"/>
        </w:sectPr>
      </w:pPr>
    </w:p>
    <w:bookmarkStart w:id="264" w:name="page265"/>
    <w:bookmarkEnd w:id="264"/>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SCOTTS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EXECUTIVE ANNUAL INCENTIVE PLAN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Page 3</w:t>
      </w:r>
    </w:p>
    <w:p>
      <w:pPr>
        <w:spacing w:after="0" w:line="203" w:lineRule="exact"/>
        <w:rPr>
          <w:sz w:val="20"/>
          <w:szCs w:val="20"/>
          <w:color w:val="auto"/>
        </w:rPr>
      </w:pPr>
    </w:p>
    <w:p>
      <w:pPr>
        <w:ind w:left="2780" w:right="2279" w:hanging="921"/>
        <w:spacing w:after="0" w:line="247" w:lineRule="auto"/>
        <w:tabs>
          <w:tab w:leader="none" w:pos="2780" w:val="left"/>
        </w:tabs>
        <w:numPr>
          <w:ilvl w:val="1"/>
          <w:numId w:val="2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Recommending additions or deletions to the list of eligible associates; and</w:t>
      </w:r>
    </w:p>
    <w:p>
      <w:pPr>
        <w:spacing w:after="0" w:line="197" w:lineRule="exact"/>
        <w:rPr>
          <w:rFonts w:ascii="Courier New" w:cs="Courier New" w:eastAsia="Courier New" w:hAnsi="Courier New"/>
          <w:sz w:val="17"/>
          <w:szCs w:val="17"/>
          <w:color w:val="auto"/>
        </w:rPr>
      </w:pPr>
    </w:p>
    <w:p>
      <w:pPr>
        <w:ind w:left="2780" w:right="1979" w:hanging="921"/>
        <w:spacing w:after="0" w:line="247" w:lineRule="auto"/>
        <w:tabs>
          <w:tab w:leader="none" w:pos="2780" w:val="left"/>
        </w:tabs>
        <w:numPr>
          <w:ilvl w:val="1"/>
          <w:numId w:val="2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Soliciting recommendations and coordinating payout of the Supplemental Pool.</w:t>
      </w:r>
    </w:p>
    <w:p>
      <w:pPr>
        <w:spacing w:after="0" w:line="197" w:lineRule="exact"/>
        <w:rPr>
          <w:rFonts w:ascii="Courier New" w:cs="Courier New" w:eastAsia="Courier New" w:hAnsi="Courier New"/>
          <w:sz w:val="17"/>
          <w:szCs w:val="17"/>
          <w:color w:val="auto"/>
        </w:rPr>
      </w:pPr>
    </w:p>
    <w:p>
      <w:pPr>
        <w:ind w:left="1860" w:right="2179" w:hanging="928"/>
        <w:spacing w:after="0" w:line="246" w:lineRule="auto"/>
        <w:tabs>
          <w:tab w:leader="none" w:pos="1860" w:val="left"/>
        </w:tabs>
        <w:numPr>
          <w:ilvl w:val="0"/>
          <w:numId w:val="2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Incentive Review Committee, comprised of the Chief Executive Officer, the Head of Human Resources and the Chief Financial Officer are responsible for:</w:t>
      </w:r>
    </w:p>
    <w:p>
      <w:pPr>
        <w:spacing w:after="0" w:line="199" w:lineRule="exact"/>
        <w:rPr>
          <w:rFonts w:ascii="Courier New" w:cs="Courier New" w:eastAsia="Courier New" w:hAnsi="Courier New"/>
          <w:sz w:val="17"/>
          <w:szCs w:val="17"/>
          <w:color w:val="auto"/>
        </w:rPr>
      </w:pPr>
    </w:p>
    <w:p>
      <w:pPr>
        <w:ind w:left="2780" w:right="2079" w:hanging="921"/>
        <w:spacing w:after="0" w:line="246" w:lineRule="auto"/>
        <w:tabs>
          <w:tab w:leader="none" w:pos="2780" w:val="left"/>
        </w:tabs>
        <w:numPr>
          <w:ilvl w:val="1"/>
          <w:numId w:val="2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Approving the percentages by which financial measurements vary from approved budgets and business unit financial performance results;</w:t>
      </w:r>
    </w:p>
    <w:p>
      <w:pPr>
        <w:spacing w:after="0" w:line="199" w:lineRule="exact"/>
        <w:rPr>
          <w:rFonts w:ascii="Courier New" w:cs="Courier New" w:eastAsia="Courier New" w:hAnsi="Courier New"/>
          <w:sz w:val="17"/>
          <w:szCs w:val="17"/>
          <w:color w:val="auto"/>
        </w:rPr>
      </w:pPr>
    </w:p>
    <w:p>
      <w:pPr>
        <w:ind w:left="2780" w:hanging="921"/>
        <w:spacing w:after="0"/>
        <w:tabs>
          <w:tab w:leader="none" w:pos="2780" w:val="left"/>
        </w:tabs>
        <w:numPr>
          <w:ilvl w:val="1"/>
          <w:numId w:val="2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Adjudicating changes and adjustments; and</w:t>
      </w:r>
    </w:p>
    <w:p>
      <w:pPr>
        <w:spacing w:after="0" w:line="203" w:lineRule="exact"/>
        <w:rPr>
          <w:rFonts w:ascii="Courier New" w:cs="Courier New" w:eastAsia="Courier New" w:hAnsi="Courier New"/>
          <w:sz w:val="17"/>
          <w:szCs w:val="17"/>
          <w:color w:val="auto"/>
        </w:rPr>
      </w:pPr>
    </w:p>
    <w:p>
      <w:pPr>
        <w:ind w:left="2780" w:hanging="921"/>
        <w:spacing w:after="0"/>
        <w:tabs>
          <w:tab w:leader="none" w:pos="2780" w:val="left"/>
        </w:tabs>
        <w:numPr>
          <w:ilvl w:val="1"/>
          <w:numId w:val="2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Recommending Plan payouts.</w:t>
      </w:r>
    </w:p>
    <w:p>
      <w:pPr>
        <w:spacing w:after="0" w:line="203" w:lineRule="exact"/>
        <w:rPr>
          <w:rFonts w:ascii="Courier New" w:cs="Courier New" w:eastAsia="Courier New" w:hAnsi="Courier New"/>
          <w:sz w:val="17"/>
          <w:szCs w:val="17"/>
          <w:color w:val="auto"/>
        </w:rPr>
      </w:pPr>
    </w:p>
    <w:p>
      <w:pPr>
        <w:ind w:left="1860" w:right="2279" w:hanging="928"/>
        <w:spacing w:after="0" w:line="247" w:lineRule="auto"/>
        <w:tabs>
          <w:tab w:leader="none" w:pos="1860" w:val="left"/>
        </w:tabs>
        <w:numPr>
          <w:ilvl w:val="0"/>
          <w:numId w:val="2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Compensation and Organization Committee of the Board is responsible for approving changes in the Plan, to include:</w:t>
      </w:r>
    </w:p>
    <w:p>
      <w:pPr>
        <w:spacing w:after="0" w:line="197" w:lineRule="exact"/>
        <w:rPr>
          <w:rFonts w:ascii="Courier New" w:cs="Courier New" w:eastAsia="Courier New" w:hAnsi="Courier New"/>
          <w:sz w:val="17"/>
          <w:szCs w:val="17"/>
          <w:color w:val="auto"/>
        </w:rPr>
      </w:pPr>
    </w:p>
    <w:p>
      <w:pPr>
        <w:ind w:left="2780" w:hanging="921"/>
        <w:spacing w:after="0"/>
        <w:tabs>
          <w:tab w:leader="none" w:pos="2780" w:val="left"/>
        </w:tabs>
        <w:numPr>
          <w:ilvl w:val="1"/>
          <w:numId w:val="2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Changes in the Plan design;</w:t>
      </w:r>
    </w:p>
    <w:p>
      <w:pPr>
        <w:spacing w:after="0" w:line="203" w:lineRule="exact"/>
        <w:rPr>
          <w:rFonts w:ascii="Courier New" w:cs="Courier New" w:eastAsia="Courier New" w:hAnsi="Courier New"/>
          <w:sz w:val="17"/>
          <w:szCs w:val="17"/>
          <w:color w:val="auto"/>
        </w:rPr>
      </w:pPr>
    </w:p>
    <w:p>
      <w:pPr>
        <w:ind w:left="2780" w:hanging="921"/>
        <w:spacing w:after="0"/>
        <w:tabs>
          <w:tab w:leader="none" w:pos="2780" w:val="left"/>
        </w:tabs>
        <w:numPr>
          <w:ilvl w:val="1"/>
          <w:numId w:val="2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Changes in the payout percentage;</w:t>
      </w:r>
    </w:p>
    <w:p>
      <w:pPr>
        <w:spacing w:after="0" w:line="203" w:lineRule="exact"/>
        <w:rPr>
          <w:rFonts w:ascii="Courier New" w:cs="Courier New" w:eastAsia="Courier New" w:hAnsi="Courier New"/>
          <w:sz w:val="17"/>
          <w:szCs w:val="17"/>
          <w:color w:val="auto"/>
        </w:rPr>
      </w:pPr>
    </w:p>
    <w:p>
      <w:pPr>
        <w:ind w:left="2780" w:hanging="921"/>
        <w:spacing w:after="0"/>
        <w:tabs>
          <w:tab w:leader="none" w:pos="2780" w:val="left"/>
        </w:tabs>
        <w:numPr>
          <w:ilvl w:val="1"/>
          <w:numId w:val="2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Additions or deletions of eligible associates;</w:t>
      </w:r>
    </w:p>
    <w:p>
      <w:pPr>
        <w:spacing w:after="0" w:line="203" w:lineRule="exact"/>
        <w:rPr>
          <w:rFonts w:ascii="Courier New" w:cs="Courier New" w:eastAsia="Courier New" w:hAnsi="Courier New"/>
          <w:sz w:val="17"/>
          <w:szCs w:val="17"/>
          <w:color w:val="auto"/>
        </w:rPr>
      </w:pPr>
    </w:p>
    <w:p>
      <w:pPr>
        <w:ind w:left="2780" w:right="1979" w:hanging="921"/>
        <w:spacing w:after="0" w:line="246" w:lineRule="auto"/>
        <w:tabs>
          <w:tab w:leader="none" w:pos="2780" w:val="left"/>
        </w:tabs>
        <w:numPr>
          <w:ilvl w:val="1"/>
          <w:numId w:val="2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Adjustments, if any, reflecting individual performance of the Chief Executive Officer, Executive Vice Presidents and Senior Vice Presidents; and</w:t>
      </w:r>
    </w:p>
    <w:p>
      <w:pPr>
        <w:spacing w:after="0" w:line="199" w:lineRule="exact"/>
        <w:rPr>
          <w:rFonts w:ascii="Courier New" w:cs="Courier New" w:eastAsia="Courier New" w:hAnsi="Courier New"/>
          <w:sz w:val="17"/>
          <w:szCs w:val="17"/>
          <w:color w:val="auto"/>
        </w:rPr>
      </w:pPr>
    </w:p>
    <w:p>
      <w:pPr>
        <w:ind w:left="2780" w:hanging="921"/>
        <w:spacing w:after="0"/>
        <w:tabs>
          <w:tab w:leader="none" w:pos="2780" w:val="left"/>
        </w:tabs>
        <w:numPr>
          <w:ilvl w:val="1"/>
          <w:numId w:val="2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Payouts to all Participants.</w:t>
      </w:r>
    </w:p>
    <w:p>
      <w:pPr>
        <w:spacing w:after="0" w:line="203" w:lineRule="exact"/>
        <w:rPr>
          <w:sz w:val="20"/>
          <w:szCs w:val="20"/>
          <w:color w:val="auto"/>
        </w:rPr>
      </w:pPr>
    </w:p>
    <w:p>
      <w:pPr>
        <w:ind w:left="940" w:right="2079"/>
        <w:spacing w:after="0" w:line="246" w:lineRule="auto"/>
        <w:rPr>
          <w:sz w:val="20"/>
          <w:szCs w:val="20"/>
          <w:color w:val="auto"/>
        </w:rPr>
      </w:pPr>
      <w:r>
        <w:rPr>
          <w:rFonts w:ascii="Courier New" w:cs="Courier New" w:eastAsia="Courier New" w:hAnsi="Courier New"/>
          <w:sz w:val="17"/>
          <w:szCs w:val="17"/>
          <w:color w:val="auto"/>
        </w:rPr>
        <w:t>The Compensation and Organization Committee shall review the operation of the Plan and, if at any time the continuation of the Plan or any of its provisions becomes inappropriate or inadvisable, the Compensation and Organization Committee shall revise or modify Plan provisions or recommend to the Board that the Plan be suspended or withdrawn. In addition, the Compensation and Organization Committee reserves the right to modify incentive formulas to reflect unusual circumstances.</w:t>
      </w:r>
    </w:p>
    <w:p>
      <w:pPr>
        <w:spacing w:after="0" w:line="202" w:lineRule="exact"/>
        <w:rPr>
          <w:sz w:val="20"/>
          <w:szCs w:val="20"/>
          <w:color w:val="auto"/>
        </w:rPr>
      </w:pPr>
    </w:p>
    <w:p>
      <w:pPr>
        <w:ind w:left="940" w:right="1979"/>
        <w:spacing w:after="0" w:line="246" w:lineRule="auto"/>
        <w:rPr>
          <w:sz w:val="20"/>
          <w:szCs w:val="20"/>
          <w:color w:val="auto"/>
        </w:rPr>
      </w:pPr>
      <w:r>
        <w:rPr>
          <w:rFonts w:ascii="Courier New" w:cs="Courier New" w:eastAsia="Courier New" w:hAnsi="Courier New"/>
          <w:sz w:val="17"/>
          <w:szCs w:val="17"/>
          <w:color w:val="auto"/>
        </w:rPr>
        <w:t>The Board of Directors reserves to itself the right to suspend the Plan, to withdraw the Plan, and to make substantial alterations in Plan concept.</w:t>
      </w:r>
    </w:p>
    <w:p>
      <w:pPr>
        <w:sectPr>
          <w:pgSz w:w="11900" w:h="16838" w:orient="portrait"/>
          <w:cols w:equalWidth="0" w:num="1">
            <w:col w:w="10219"/>
          </w:cols>
          <w:pgMar w:left="240" w:top="1440" w:right="1440" w:bottom="1440" w:gutter="0" w:footer="0" w:header="0"/>
        </w:sectPr>
      </w:pPr>
    </w:p>
    <w:bookmarkStart w:id="265" w:name="page266"/>
    <w:bookmarkEnd w:id="265"/>
    <w:p>
      <w:pPr>
        <w:spacing w:after="0"/>
        <w:rPr>
          <w:sz w:val="20"/>
          <w:szCs w:val="20"/>
          <w:color w:val="auto"/>
        </w:rPr>
      </w:pPr>
      <w:r>
        <w:rPr>
          <w:rFonts w:ascii="Courier New" w:cs="Courier New" w:eastAsia="Courier New" w:hAnsi="Courier New"/>
          <w:sz w:val="17"/>
          <w:szCs w:val="17"/>
          <w:color w:val="auto"/>
        </w:rPr>
        <w:t>THE SCOTTS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EXECUTIVE ANNUAL INCENTIVE PLAN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PAGE 4</w:t>
      </w:r>
    </w:p>
    <w:p>
      <w:pPr>
        <w:spacing w:after="0" w:line="200" w:lineRule="exact"/>
        <w:rPr>
          <w:sz w:val="20"/>
          <w:szCs w:val="20"/>
          <w:color w:val="auto"/>
        </w:rPr>
      </w:pPr>
    </w:p>
    <w:p>
      <w:pPr>
        <w:spacing w:after="0" w:line="201" w:lineRule="exact"/>
        <w:rPr>
          <w:sz w:val="20"/>
          <w:szCs w:val="20"/>
          <w:color w:val="auto"/>
        </w:rPr>
      </w:pPr>
    </w:p>
    <w:p>
      <w:pPr>
        <w:ind w:left="2160"/>
        <w:spacing w:after="0"/>
        <w:rPr>
          <w:sz w:val="20"/>
          <w:szCs w:val="20"/>
          <w:color w:val="auto"/>
        </w:rPr>
      </w:pPr>
      <w:r>
        <w:rPr>
          <w:rFonts w:ascii="Courier New" w:cs="Courier New" w:eastAsia="Courier New" w:hAnsi="Courier New"/>
          <w:sz w:val="17"/>
          <w:szCs w:val="17"/>
          <w:color w:val="auto"/>
        </w:rPr>
        <w:t>ADDENDUM FOR FISCAL YEAR 2001 PLAN ONLY</w:t>
      </w:r>
    </w:p>
    <w:p>
      <w:pPr>
        <w:spacing w:after="0" w:line="200" w:lineRule="exact"/>
        <w:rPr>
          <w:sz w:val="20"/>
          <w:szCs w:val="20"/>
          <w:color w:val="auto"/>
        </w:rPr>
      </w:pPr>
    </w:p>
    <w:p>
      <w:pPr>
        <w:spacing w:after="0" w:line="201" w:lineRule="exact"/>
        <w:rPr>
          <w:sz w:val="20"/>
          <w:szCs w:val="20"/>
          <w:color w:val="auto"/>
        </w:rPr>
      </w:pPr>
    </w:p>
    <w:p>
      <w:pPr>
        <w:ind w:left="940" w:right="1979"/>
        <w:spacing w:after="0" w:line="246" w:lineRule="auto"/>
        <w:rPr>
          <w:sz w:val="20"/>
          <w:szCs w:val="20"/>
          <w:color w:val="auto"/>
        </w:rPr>
      </w:pPr>
      <w:r>
        <w:rPr>
          <w:rFonts w:ascii="Courier New" w:cs="Courier New" w:eastAsia="Courier New" w:hAnsi="Courier New"/>
          <w:sz w:val="17"/>
          <w:szCs w:val="17"/>
          <w:color w:val="auto"/>
        </w:rPr>
        <w:t>For a performance result of 100% of target performance the percentage payout will equal 130% of Target Payout Percentage. A performance result of 99.99% of target will continue to result in a payout of 100% of Target Payout Percentage. This shall apply to each performance measurement at each weighting factor. The minimum performance of 80% of target will continue to result in a 25% payout and the maximum of 125% of target will continue to result in a payout of 250% of Target Payout Percentage.</w:t>
      </w:r>
    </w:p>
    <w:p>
      <w:pPr>
        <w:sectPr>
          <w:pgSz w:w="11900" w:h="16838" w:orient="portrait"/>
          <w:cols w:equalWidth="0" w:num="1">
            <w:col w:w="10219"/>
          </w:cols>
          <w:pgMar w:left="240" w:top="511" w:right="1440" w:bottom="1440" w:gutter="0" w:footer="0" w:header="0"/>
        </w:sectPr>
      </w:pPr>
    </w:p>
    <w:bookmarkStart w:id="266" w:name="page267"/>
    <w:bookmarkEnd w:id="266"/>
    <w:p>
      <w:pPr>
        <w:spacing w:after="0" w:line="88"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7"/>
          <w:szCs w:val="17"/>
          <w:color w:val="auto"/>
        </w:rPr>
        <w:t>EXHIBIT 10(e)</w:t>
      </w:r>
    </w:p>
    <w:p>
      <w:pPr>
        <w:spacing w:after="0" w:line="203"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7"/>
          <w:szCs w:val="17"/>
          <w:color w:val="auto"/>
        </w:rPr>
        <w:t>Specimen form of Stock Option Agreement</w:t>
      </w:r>
    </w:p>
    <w:p>
      <w:pPr>
        <w:spacing w:after="0" w:line="5"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7"/>
          <w:szCs w:val="17"/>
          <w:color w:val="auto"/>
        </w:rPr>
        <w:t>(as amended through October 23, 2001) for</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7"/>
          <w:szCs w:val="17"/>
          <w:color w:val="auto"/>
        </w:rPr>
        <w:t>Non-Qualified Stock Options, U.S. Specimen</w:t>
      </w:r>
    </w:p>
    <w:p>
      <w:pPr>
        <w:sectPr>
          <w:pgSz w:w="11900" w:h="16838" w:orient="portrait"/>
          <w:cols w:equalWidth="0" w:num="1">
            <w:col w:w="9019"/>
          </w:cols>
          <w:pgMar w:left="1440" w:top="1440" w:right="1440" w:bottom="1440" w:gutter="0" w:footer="0" w:header="0"/>
        </w:sectPr>
      </w:pPr>
    </w:p>
    <w:bookmarkStart w:id="267" w:name="page268"/>
    <w:bookmarkEnd w:id="267"/>
    <w:p>
      <w:pPr>
        <w:jc w:val="center"/>
        <w:ind w:right="1979"/>
        <w:spacing w:after="0"/>
        <w:rPr>
          <w:sz w:val="20"/>
          <w:szCs w:val="20"/>
          <w:color w:val="auto"/>
        </w:rPr>
      </w:pPr>
      <w:r>
        <w:rPr>
          <w:rFonts w:ascii="Courier New" w:cs="Courier New" w:eastAsia="Courier New" w:hAnsi="Courier New"/>
          <w:sz w:val="17"/>
          <w:szCs w:val="17"/>
          <w:color w:val="auto"/>
        </w:rPr>
        <w:t>STOCK OPTION AGREEMENT</w:t>
      </w:r>
    </w:p>
    <w:p>
      <w:pPr>
        <w:spacing w:after="0" w:line="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(NON-QUALIFIED STOCK OPTION)</w:t>
      </w:r>
    </w:p>
    <w:p>
      <w:pPr>
        <w:spacing w:after="0" w:line="200" w:lineRule="exact"/>
        <w:rPr>
          <w:sz w:val="20"/>
          <w:szCs w:val="20"/>
          <w:color w:val="auto"/>
        </w:rPr>
      </w:pPr>
    </w:p>
    <w:p>
      <w:pPr>
        <w:spacing w:after="0" w:line="201"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THIS STOCK OPTION AGREEMENT is entered into as of OCTOBER 23, 2001 (the "Grant Date") by and between The Scotts Company ("Scotts" or "we") and SAMPLE PARTICIPANT ("Optionee" or "you").</w:t>
      </w:r>
    </w:p>
    <w:p>
      <w:pPr>
        <w:spacing w:after="0" w:line="200" w:lineRule="exact"/>
        <w:rPr>
          <w:sz w:val="20"/>
          <w:szCs w:val="20"/>
          <w:color w:val="auto"/>
        </w:rPr>
      </w:pPr>
    </w:p>
    <w:p>
      <w:pPr>
        <w:ind w:right="2179" w:firstLine="932"/>
        <w:spacing w:after="0" w:line="246" w:lineRule="auto"/>
        <w:tabs>
          <w:tab w:leader="none" w:pos="1235" w:val="left"/>
        </w:tabs>
        <w:numPr>
          <w:ilvl w:val="0"/>
          <w:numId w:val="2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GRANT OF OPTION. You are hereby granted an option (the "Option") under Scotts' 1996 Stock Option Plan (the "Plan") to purchase ______ common shares of Scotts. This Option is not intended to qualify as an incentive stock option under Section 422 of the Internal Revenue Code of 1986.</w:t>
      </w:r>
    </w:p>
    <w:p>
      <w:pPr>
        <w:spacing w:after="0" w:line="200" w:lineRule="exact"/>
        <w:rPr>
          <w:rFonts w:ascii="Courier New" w:cs="Courier New" w:eastAsia="Courier New" w:hAnsi="Courier New"/>
          <w:sz w:val="17"/>
          <w:szCs w:val="17"/>
          <w:color w:val="auto"/>
        </w:rPr>
      </w:pPr>
    </w:p>
    <w:p>
      <w:pPr>
        <w:ind w:right="1979" w:firstLine="932"/>
        <w:spacing w:after="0" w:line="246" w:lineRule="auto"/>
        <w:tabs>
          <w:tab w:leader="none" w:pos="1235" w:val="left"/>
        </w:tabs>
        <w:numPr>
          <w:ilvl w:val="0"/>
          <w:numId w:val="2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TERMS AND CONDITIONS OF YOUR OPTION. The purchase price (the "Option Price") to be paid by you upon the exercise of your Option is $39.950 per share. Subject to the terms and conditions of the Plan: a) you may exercise your Option beginning on the third anniversary of the Grant Date; and b) your Option terminates and ceases to be exercisable on the tenth anniversary of the Grant Date.</w:t>
      </w:r>
    </w:p>
    <w:p>
      <w:pPr>
        <w:spacing w:after="0" w:line="201" w:lineRule="exact"/>
        <w:rPr>
          <w:rFonts w:ascii="Courier New" w:cs="Courier New" w:eastAsia="Courier New" w:hAnsi="Courier New"/>
          <w:sz w:val="17"/>
          <w:szCs w:val="17"/>
          <w:color w:val="auto"/>
        </w:rPr>
      </w:pPr>
    </w:p>
    <w:p>
      <w:pPr>
        <w:ind w:right="1979" w:firstLine="932"/>
        <w:spacing w:after="0" w:line="246" w:lineRule="auto"/>
        <w:tabs>
          <w:tab w:leader="none" w:pos="1235" w:val="left"/>
        </w:tabs>
        <w:numPr>
          <w:ilvl w:val="0"/>
          <w:numId w:val="2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EXERCISE. Once vested, you may exercise your Option, in whole or in part, by delivering to Merrill Lynch a signed notice of exercise. If you die or transfer your Option as permitted under the Plan, the person entitled to exercise the Option must deliver the signed notice of exercise. The notice of exercise must state the number of whole common shares being purchased. You may pay the Option Price in any manner permitted by Section 6.4 of the Plan. You (or if you die, your estate) will be responsible for paying to Scotts the amount of any taxes we are required by law to withhold in connection with the exercise of the Option. You may satisfy these tax withholding requirements in any manner permitted under Section 10.4 of the Plan. No proceeds from the exercise of your Option will be paid to you until all tax withholding requirements have been satisfied.</w:t>
      </w:r>
    </w:p>
    <w:p>
      <w:pPr>
        <w:spacing w:after="0" w:line="205" w:lineRule="exact"/>
        <w:rPr>
          <w:rFonts w:ascii="Courier New" w:cs="Courier New" w:eastAsia="Courier New" w:hAnsi="Courier New"/>
          <w:sz w:val="17"/>
          <w:szCs w:val="17"/>
          <w:color w:val="auto"/>
        </w:rPr>
      </w:pPr>
    </w:p>
    <w:p>
      <w:pPr>
        <w:ind w:right="1979" w:firstLine="932"/>
        <w:spacing w:after="0" w:line="246" w:lineRule="auto"/>
        <w:tabs>
          <w:tab w:leader="none" w:pos="1235" w:val="left"/>
        </w:tabs>
        <w:numPr>
          <w:ilvl w:val="0"/>
          <w:numId w:val="2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YOUR RIGHTS AS A SHAREHOLDER. You have no rights or privileges as a shareholder of Scotts as to any of the common shares covered by the Option until you are issued a share certificate.</w:t>
      </w:r>
    </w:p>
    <w:p>
      <w:pPr>
        <w:spacing w:after="0" w:line="199" w:lineRule="exact"/>
        <w:rPr>
          <w:rFonts w:ascii="Courier New" w:cs="Courier New" w:eastAsia="Courier New" w:hAnsi="Courier New"/>
          <w:sz w:val="17"/>
          <w:szCs w:val="17"/>
          <w:color w:val="auto"/>
        </w:rPr>
      </w:pPr>
    </w:p>
    <w:p>
      <w:pPr>
        <w:ind w:right="1979" w:firstLine="932"/>
        <w:spacing w:after="0" w:line="246" w:lineRule="auto"/>
        <w:tabs>
          <w:tab w:leader="none" w:pos="1235" w:val="left"/>
        </w:tabs>
        <w:numPr>
          <w:ilvl w:val="0"/>
          <w:numId w:val="2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GENERAL. This Agreement incorporates and your Option is subject to all of the provisions of the Plan which are not specifically described in this Agreement. If there is any inconsistency between the provisions of this Agreement and those of the Plan, the provisions of the Plan control. This Agreement is governed by Ohio law. This Agreement represents the entire and exclusive agreement between you and Scotts concerning your Option grant. Any change, termination or attempted waiver of the provisions of this Agreement must be made in a writing signed by you and Scotts. The rights and obligations of Scotts under this Agreement will also extend to our successors and assigns.</w:t>
      </w:r>
    </w:p>
    <w:p>
      <w:pPr>
        <w:sectPr>
          <w:pgSz w:w="11900" w:h="16838" w:orient="portrait"/>
          <w:cols w:equalWidth="0" w:num="1">
            <w:col w:w="10219"/>
          </w:cols>
          <w:pgMar w:left="240" w:top="907" w:right="1440" w:bottom="1440" w:gutter="0" w:footer="0" w:header="0"/>
        </w:sectPr>
      </w:pPr>
    </w:p>
    <w:bookmarkStart w:id="268" w:name="page269"/>
    <w:bookmarkEnd w:id="268"/>
    <w:p>
      <w:pPr>
        <w:ind w:right="2399" w:firstLine="1853"/>
        <w:spacing w:after="0" w:line="246" w:lineRule="auto"/>
        <w:rPr>
          <w:sz w:val="20"/>
          <w:szCs w:val="20"/>
          <w:color w:val="auto"/>
        </w:rPr>
      </w:pPr>
      <w:r>
        <w:rPr>
          <w:rFonts w:ascii="Courier New" w:cs="Courier New" w:eastAsia="Courier New" w:hAnsi="Courier New"/>
          <w:sz w:val="17"/>
          <w:szCs w:val="17"/>
          <w:color w:val="auto"/>
        </w:rPr>
        <w:t>IN WITNESS WHEREOF, Scotts has caused this Agreement to be executed by its duly authorized officer, and Optionee has executed this Agreement, in each case, effective as of the Grant Date.</w:t>
      </w:r>
    </w:p>
    <w:p>
      <w:pPr>
        <w:spacing w:after="0" w:line="200"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THE SCOTTS COMPANY</w:t>
      </w:r>
    </w:p>
    <w:p>
      <w:pPr>
        <w:spacing w:after="0" w:line="200" w:lineRule="exact"/>
        <w:rPr>
          <w:sz w:val="20"/>
          <w:szCs w:val="20"/>
          <w:color w:val="auto"/>
        </w:rPr>
      </w:pPr>
    </w:p>
    <w:p>
      <w:pPr>
        <w:spacing w:after="0" w:line="201"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David M. Aronowitz</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Executive Vice President, General Counsel</w:t>
      </w:r>
    </w:p>
    <w:p>
      <w:pPr>
        <w:spacing w:after="0" w:line="200" w:lineRule="exact"/>
        <w:rPr>
          <w:sz w:val="20"/>
          <w:szCs w:val="20"/>
          <w:color w:val="auto"/>
        </w:rPr>
      </w:pPr>
    </w:p>
    <w:p>
      <w:pPr>
        <w:spacing w:after="0" w:line="201"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Optionee acknowledges receipt of a copy of the Plan and the Prospectus dated NOVEMBER 1, 2001, and all supplements thereto, related to the Plan. Optionee represents that Optionee is familiar with the terms and conditions of the Plan. By signing below, Optionee accepts the Option subject to all terms and conditions of this Agreement and the Plan. Optionee agrees to accept as binding, conclusive and final all decisions or interpretations of the committee administering the Plan should any questions arise under the Plan or this Agreement.</w:t>
      </w:r>
    </w:p>
    <w:p>
      <w:pPr>
        <w:spacing w:after="0" w:line="203" w:lineRule="exact"/>
        <w:rPr>
          <w:sz w:val="20"/>
          <w:szCs w:val="20"/>
          <w:color w:val="auto"/>
        </w:rPr>
      </w:pPr>
    </w:p>
    <w:p>
      <w:pPr>
        <w:ind w:left="3400"/>
        <w:spacing w:after="0"/>
        <w:tabs>
          <w:tab w:leader="none" w:pos="4520" w:val="left"/>
        </w:tabs>
        <w:rPr>
          <w:sz w:val="20"/>
          <w:szCs w:val="20"/>
          <w:color w:val="auto"/>
        </w:rPr>
      </w:pPr>
      <w:r>
        <w:rPr>
          <w:rFonts w:ascii="Courier New" w:cs="Courier New" w:eastAsia="Courier New" w:hAnsi="Courier New"/>
          <w:sz w:val="17"/>
          <w:szCs w:val="17"/>
          <w:color w:val="auto"/>
        </w:rPr>
        <w:t>OPTIONEE:</w:t>
        <w:tab/>
        <w:t>Sample Participant</w:t>
      </w:r>
    </w:p>
    <w:p>
      <w:pPr>
        <w:spacing w:after="0" w:line="200" w:lineRule="exact"/>
        <w:rPr>
          <w:sz w:val="20"/>
          <w:szCs w:val="20"/>
          <w:color w:val="auto"/>
        </w:rPr>
      </w:pPr>
    </w:p>
    <w:p>
      <w:pPr>
        <w:spacing w:after="0" w:line="399"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Signature of Optionee</w:t>
      </w:r>
    </w:p>
    <w:p>
      <w:pPr>
        <w:spacing w:after="0" w:line="203" w:lineRule="exact"/>
        <w:rPr>
          <w:sz w:val="20"/>
          <w:szCs w:val="20"/>
          <w:color w:val="auto"/>
        </w:rPr>
      </w:pPr>
    </w:p>
    <w:p>
      <w:pPr>
        <w:ind w:left="3400"/>
        <w:spacing w:after="0"/>
        <w:tabs>
          <w:tab w:leader="none" w:pos="4300" w:val="left"/>
        </w:tabs>
        <w:rPr>
          <w:sz w:val="20"/>
          <w:szCs w:val="20"/>
          <w:color w:val="auto"/>
        </w:rPr>
      </w:pPr>
      <w:r>
        <w:rPr>
          <w:rFonts w:ascii="Courier New" w:cs="Courier New" w:eastAsia="Courier New" w:hAnsi="Courier New"/>
          <w:sz w:val="17"/>
          <w:szCs w:val="17"/>
          <w:color w:val="auto"/>
        </w:rPr>
        <w:t>SSN:</w:t>
      </w:r>
      <w:r>
        <w:rPr>
          <w:sz w:val="20"/>
          <w:szCs w:val="20"/>
          <w:color w:val="auto"/>
        </w:rPr>
        <w:tab/>
      </w:r>
      <w:r>
        <w:rPr>
          <w:rFonts w:ascii="Courier New" w:cs="Courier New" w:eastAsia="Courier New" w:hAnsi="Courier New"/>
          <w:sz w:val="17"/>
          <w:szCs w:val="17"/>
          <w:color w:val="auto"/>
        </w:rPr>
        <w:t>000-00-0000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1105" w:right="1440" w:bottom="1440" w:gutter="0" w:footer="0" w:header="0"/>
        </w:sectPr>
      </w:pPr>
    </w:p>
    <w:bookmarkStart w:id="269" w:name="page270"/>
    <w:bookmarkEnd w:id="26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7"/>
          <w:szCs w:val="17"/>
          <w:color w:val="auto"/>
        </w:rPr>
        <w:t>EXHIBIT 10(f)</w:t>
      </w:r>
    </w:p>
    <w:p>
      <w:pPr>
        <w:spacing w:after="0" w:line="203"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7"/>
          <w:szCs w:val="17"/>
          <w:color w:val="auto"/>
        </w:rPr>
        <w:t>Specimen form of Stock Option Agreement</w:t>
      </w:r>
    </w:p>
    <w:p>
      <w:pPr>
        <w:spacing w:after="0" w:line="5"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7"/>
          <w:szCs w:val="17"/>
          <w:color w:val="auto"/>
        </w:rPr>
        <w:t>(as amended through October 23, 2001) for</w:t>
      </w:r>
    </w:p>
    <w:p>
      <w:pPr>
        <w:spacing w:after="0" w:line="5"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7"/>
          <w:szCs w:val="17"/>
          <w:color w:val="auto"/>
        </w:rPr>
        <w:t>Non-Qualified Stock Options</w:t>
      </w:r>
    </w:p>
    <w:p>
      <w:pPr>
        <w:spacing w:after="0" w:line="5"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French Specimen</w:t>
      </w:r>
    </w:p>
    <w:p>
      <w:pPr>
        <w:sectPr>
          <w:pgSz w:w="11900" w:h="16838" w:orient="portrait"/>
          <w:cols w:equalWidth="0" w:num="1">
            <w:col w:w="9019"/>
          </w:cols>
          <w:pgMar w:left="1440" w:top="1440" w:right="1440" w:bottom="1440" w:gutter="0" w:footer="0" w:header="0"/>
        </w:sectPr>
      </w:pPr>
    </w:p>
    <w:bookmarkStart w:id="270" w:name="page271"/>
    <w:bookmarkEnd w:id="270"/>
    <w:p>
      <w:pPr>
        <w:spacing w:after="0" w:line="62"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STOCK OPTION AGREEMENT</w:t>
      </w:r>
    </w:p>
    <w:p>
      <w:pPr>
        <w:spacing w:after="0" w:line="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(NON-QUALIFIED STOCK OPTION)</w:t>
      </w:r>
    </w:p>
    <w:p>
      <w:pPr>
        <w:spacing w:after="0" w:line="200" w:lineRule="exact"/>
        <w:rPr>
          <w:sz w:val="20"/>
          <w:szCs w:val="20"/>
          <w:color w:val="auto"/>
        </w:rPr>
      </w:pPr>
    </w:p>
    <w:p>
      <w:pPr>
        <w:spacing w:after="0" w:line="201"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THIS STOCK OPTION AGREEMENT is entered into as of OCTOBER 23, 2001 (the "Grant Date") by and between The Scotts Company ("Scotts" or "we") and FRENCH SAMPLE ("Optionee" or "you").</w:t>
      </w:r>
    </w:p>
    <w:p>
      <w:pPr>
        <w:spacing w:after="0" w:line="200" w:lineRule="exact"/>
        <w:rPr>
          <w:sz w:val="20"/>
          <w:szCs w:val="20"/>
          <w:color w:val="auto"/>
        </w:rPr>
      </w:pPr>
    </w:p>
    <w:p>
      <w:pPr>
        <w:ind w:right="2179" w:firstLine="6"/>
        <w:spacing w:after="0" w:line="246" w:lineRule="auto"/>
        <w:tabs>
          <w:tab w:leader="none" w:pos="927" w:val="left"/>
        </w:tabs>
        <w:numPr>
          <w:ilvl w:val="0"/>
          <w:numId w:val="2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GRANT OF OPTION. You are hereby granted an option (the "Option") under Scotts' 1996 Stock Option Plan (the "Plan") to purchase ______ common shares of Scotts. This Option is not intended to qualify as an incentive stock option under Section 422 of the Internal Revenue Code of 1986.</w:t>
      </w:r>
    </w:p>
    <w:p>
      <w:pPr>
        <w:spacing w:after="0" w:line="200" w:lineRule="exact"/>
        <w:rPr>
          <w:rFonts w:ascii="Courier New" w:cs="Courier New" w:eastAsia="Courier New" w:hAnsi="Courier New"/>
          <w:sz w:val="17"/>
          <w:szCs w:val="17"/>
          <w:color w:val="auto"/>
        </w:rPr>
      </w:pPr>
    </w:p>
    <w:p>
      <w:pPr>
        <w:ind w:right="1979" w:firstLine="6"/>
        <w:spacing w:after="0" w:line="246" w:lineRule="auto"/>
        <w:tabs>
          <w:tab w:leader="none" w:pos="927" w:val="left"/>
        </w:tabs>
        <w:numPr>
          <w:ilvl w:val="0"/>
          <w:numId w:val="2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TERMS AND CONDITIONS OF YOUR OPTION. The purchase price (the "Option Price") to be paid by you upon the exercise of your Option is $39.950 per share. Subject to the terms and conditions of the Plan: a) the Option will vest on the third anniversary of the Grant Date; b) you may only exercise your Option beginning on the fifth anniversary of the Grant Date(1); and c) your Option terminates and ceases to be exercisable on the tenth anniversary of the Grant Date.</w:t>
      </w:r>
    </w:p>
    <w:p>
      <w:pPr>
        <w:spacing w:after="0" w:line="202" w:lineRule="exact"/>
        <w:rPr>
          <w:rFonts w:ascii="Courier New" w:cs="Courier New" w:eastAsia="Courier New" w:hAnsi="Courier New"/>
          <w:sz w:val="17"/>
          <w:szCs w:val="17"/>
          <w:color w:val="auto"/>
        </w:rPr>
      </w:pPr>
    </w:p>
    <w:p>
      <w:pPr>
        <w:ind w:right="1979" w:firstLine="6"/>
        <w:spacing w:after="0" w:line="246" w:lineRule="auto"/>
        <w:tabs>
          <w:tab w:leader="none" w:pos="927" w:val="left"/>
        </w:tabs>
        <w:numPr>
          <w:ilvl w:val="0"/>
          <w:numId w:val="2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EXERCISE. Once vested, you may exercise your Option, in whole or in part, by delivering to Merrill Lynch a signed notice of exercise. If you die or transfer your Option as permitted under the Plan, the person entitled to exercise the Option must deliver the signed notice of exercise. The notice of exercise must state the number of whole common shares being purchased. You may pay the Option Price in any manner permitted by Section 6.4 of the Plan. You (or if you die, your estate) will be responsible for paying to Scotts the amount of any taxes we are required by law to withhold in connection with the exercise of the Option. You may satisfy these tax withholding requirements in any manner permitted under Section 10.4 of the Plan. No proceeds from the exercise of your Option will be paid to you until all tax withholding requirements have been satisfied.</w:t>
      </w:r>
    </w:p>
    <w:p>
      <w:pPr>
        <w:spacing w:after="0" w:line="205" w:lineRule="exact"/>
        <w:rPr>
          <w:rFonts w:ascii="Courier New" w:cs="Courier New" w:eastAsia="Courier New" w:hAnsi="Courier New"/>
          <w:sz w:val="17"/>
          <w:szCs w:val="17"/>
          <w:color w:val="auto"/>
        </w:rPr>
      </w:pPr>
    </w:p>
    <w:p>
      <w:pPr>
        <w:ind w:right="1979" w:firstLine="6"/>
        <w:spacing w:after="0" w:line="246" w:lineRule="auto"/>
        <w:tabs>
          <w:tab w:leader="none" w:pos="927" w:val="left"/>
        </w:tabs>
        <w:numPr>
          <w:ilvl w:val="0"/>
          <w:numId w:val="2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YOUR RIGHTS AS A SHAREHOLDER. You have no rights or privileges as a shareholder of Scotts as to any of the common shares covered by the Option until you are issued a share certificate.</w:t>
      </w:r>
    </w:p>
    <w:p>
      <w:pPr>
        <w:spacing w:after="0" w:line="199" w:lineRule="exact"/>
        <w:rPr>
          <w:rFonts w:ascii="Courier New" w:cs="Courier New" w:eastAsia="Courier New" w:hAnsi="Courier New"/>
          <w:sz w:val="17"/>
          <w:szCs w:val="17"/>
          <w:color w:val="auto"/>
        </w:rPr>
      </w:pPr>
    </w:p>
    <w:p>
      <w:pPr>
        <w:ind w:right="2079" w:firstLine="6"/>
        <w:spacing w:after="0" w:line="246" w:lineRule="auto"/>
        <w:tabs>
          <w:tab w:leader="none" w:pos="927" w:val="left"/>
        </w:tabs>
        <w:numPr>
          <w:ilvl w:val="0"/>
          <w:numId w:val="2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GENERAL. This Agreement incorporates and your Option is subject to all of the provisions of the Plan which are not specifically described in this Agreement. If there is any inconsistency between the provisions of this Agreement and those of the Plan, the provisions of the Plan control. This Agreement is governed by Ohio law. This Agreement represents the entire and exclusive agreement between you and Scotts concerning your Option grant. Any change, termination or attempted waiver of the provisions of this</w:t>
      </w: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right="1979" w:firstLine="6"/>
        <w:spacing w:after="0" w:line="246" w:lineRule="auto"/>
        <w:tabs>
          <w:tab w:leader="none" w:pos="412" w:val="left"/>
        </w:tabs>
        <w:numPr>
          <w:ilvl w:val="0"/>
          <w:numId w:val="2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you terminate or if the Company terminates your employment without cause after the Option has vested but before it becomes exercisable, your Option shall be exercisable only during the 90-day period following the fifth anniversary of the Grant Date. The rights granted in the preceding sentence constitute an exception to the provisions of Section 7.4 of the Plan.</w:t>
      </w:r>
    </w:p>
    <w:p>
      <w:pPr>
        <w:sectPr>
          <w:pgSz w:w="11900" w:h="16838" w:orient="portrait"/>
          <w:cols w:equalWidth="0" w:num="1">
            <w:col w:w="10219"/>
          </w:cols>
          <w:pgMar w:left="240" w:top="1440" w:right="1440" w:bottom="1440" w:gutter="0" w:footer="0" w:header="0"/>
        </w:sectPr>
      </w:pPr>
    </w:p>
    <w:bookmarkStart w:id="271" w:name="page272"/>
    <w:bookmarkEnd w:id="271"/>
    <w:p>
      <w:pPr>
        <w:jc w:val="both"/>
        <w:ind w:right="2279"/>
        <w:spacing w:after="0" w:line="246" w:lineRule="auto"/>
        <w:rPr>
          <w:sz w:val="20"/>
          <w:szCs w:val="20"/>
          <w:color w:val="auto"/>
        </w:rPr>
      </w:pPr>
      <w:r>
        <w:rPr>
          <w:rFonts w:ascii="Courier New" w:cs="Courier New" w:eastAsia="Courier New" w:hAnsi="Courier New"/>
          <w:sz w:val="17"/>
          <w:szCs w:val="17"/>
          <w:color w:val="auto"/>
        </w:rPr>
        <w:t>Agreement must be made in a writing signed by you and Scotts. The rights and obligations of Scotts under this Agreement will also extend to our successors and assigns.</w:t>
      </w:r>
    </w:p>
    <w:p>
      <w:pPr>
        <w:spacing w:after="0" w:line="200" w:lineRule="exact"/>
        <w:rPr>
          <w:sz w:val="20"/>
          <w:szCs w:val="20"/>
          <w:color w:val="auto"/>
        </w:rPr>
      </w:pPr>
    </w:p>
    <w:p>
      <w:pPr>
        <w:ind w:right="2399" w:firstLine="1853"/>
        <w:spacing w:after="0" w:line="246" w:lineRule="auto"/>
        <w:rPr>
          <w:sz w:val="20"/>
          <w:szCs w:val="20"/>
          <w:color w:val="auto"/>
        </w:rPr>
      </w:pPr>
      <w:r>
        <w:rPr>
          <w:rFonts w:ascii="Courier New" w:cs="Courier New" w:eastAsia="Courier New" w:hAnsi="Courier New"/>
          <w:sz w:val="17"/>
          <w:szCs w:val="17"/>
          <w:color w:val="auto"/>
        </w:rPr>
        <w:t>IN WITNESS WHEREOF, Scotts has caused this Agreement to be executed by its duly authorized officer, and Optionee has executed this Agreement, in each case, effective as of the Grant Date.</w:t>
      </w:r>
    </w:p>
    <w:p>
      <w:pPr>
        <w:spacing w:after="0" w:line="200"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THE SCOTTS COMPANY</w:t>
      </w:r>
    </w:p>
    <w:p>
      <w:pPr>
        <w:spacing w:after="0" w:line="200" w:lineRule="exact"/>
        <w:rPr>
          <w:sz w:val="20"/>
          <w:szCs w:val="20"/>
          <w:color w:val="auto"/>
        </w:rPr>
      </w:pPr>
    </w:p>
    <w:p>
      <w:pPr>
        <w:spacing w:after="0" w:line="201"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David M. Aronowitz</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Executive Vice President, General Counsel</w:t>
      </w:r>
    </w:p>
    <w:p>
      <w:pPr>
        <w:spacing w:after="0" w:line="200" w:lineRule="exact"/>
        <w:rPr>
          <w:sz w:val="20"/>
          <w:szCs w:val="20"/>
          <w:color w:val="auto"/>
        </w:rPr>
      </w:pPr>
    </w:p>
    <w:p>
      <w:pPr>
        <w:spacing w:after="0" w:line="201" w:lineRule="exact"/>
        <w:rPr>
          <w:sz w:val="20"/>
          <w:szCs w:val="20"/>
          <w:color w:val="auto"/>
        </w:rPr>
      </w:pPr>
    </w:p>
    <w:p>
      <w:pPr>
        <w:ind w:left="520" w:right="1979" w:firstLine="1338"/>
        <w:spacing w:after="0" w:line="246" w:lineRule="auto"/>
        <w:rPr>
          <w:sz w:val="20"/>
          <w:szCs w:val="20"/>
          <w:color w:val="auto"/>
        </w:rPr>
      </w:pPr>
      <w:r>
        <w:rPr>
          <w:rFonts w:ascii="Courier New" w:cs="Courier New" w:eastAsia="Courier New" w:hAnsi="Courier New"/>
          <w:sz w:val="17"/>
          <w:szCs w:val="17"/>
          <w:color w:val="auto"/>
        </w:rPr>
        <w:t>Optionee acknowledges receipt of a copy of the Plan and the Prospectus dated NOVEMBER 1, 2001, and all supplements thereto, related to the Plan. Optionee represents that Optionee is familiar with the terms and conditions of the Plan. By signing below, Optionee accepts the Option subject to all terms and conditions of this Agreement and the Plan. Optionee agrees to accept as binding, conclusive and final all decisions or interpretations of the committee administering the Plan should any questions arise under the Plan or this Agreement.</w:t>
      </w:r>
    </w:p>
    <w:p>
      <w:pPr>
        <w:spacing w:after="0" w:line="200" w:lineRule="exact"/>
        <w:rPr>
          <w:sz w:val="20"/>
          <w:szCs w:val="20"/>
          <w:color w:val="auto"/>
        </w:rPr>
      </w:pPr>
    </w:p>
    <w:p>
      <w:pPr>
        <w:spacing w:after="0" w:line="201" w:lineRule="exact"/>
        <w:rPr>
          <w:sz w:val="20"/>
          <w:szCs w:val="20"/>
          <w:color w:val="auto"/>
        </w:rPr>
      </w:pPr>
    </w:p>
    <w:p>
      <w:pPr>
        <w:ind w:left="2880"/>
        <w:spacing w:after="0"/>
        <w:tabs>
          <w:tab w:leader="none" w:pos="4000" w:val="left"/>
        </w:tabs>
        <w:rPr>
          <w:sz w:val="20"/>
          <w:szCs w:val="20"/>
          <w:color w:val="auto"/>
        </w:rPr>
      </w:pPr>
      <w:r>
        <w:rPr>
          <w:rFonts w:ascii="Courier New" w:cs="Courier New" w:eastAsia="Courier New" w:hAnsi="Courier New"/>
          <w:sz w:val="17"/>
          <w:szCs w:val="17"/>
          <w:color w:val="auto"/>
        </w:rPr>
        <w:t>OPTIONEE:</w:t>
        <w:tab/>
        <w:t>French Sample</w:t>
      </w:r>
    </w:p>
    <w:p>
      <w:pPr>
        <w:spacing w:after="0" w:line="200" w:lineRule="exact"/>
        <w:rPr>
          <w:sz w:val="20"/>
          <w:szCs w:val="20"/>
          <w:color w:val="auto"/>
        </w:rPr>
      </w:pPr>
    </w:p>
    <w:p>
      <w:pPr>
        <w:spacing w:after="0" w:line="399"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Signature of Optionee</w:t>
      </w:r>
    </w:p>
    <w:p>
      <w:pPr>
        <w:spacing w:after="0" w:line="203" w:lineRule="exact"/>
        <w:rPr>
          <w:sz w:val="20"/>
          <w:szCs w:val="20"/>
          <w:color w:val="auto"/>
        </w:rPr>
      </w:pPr>
    </w:p>
    <w:p>
      <w:pPr>
        <w:ind w:left="2880"/>
        <w:spacing w:after="0"/>
        <w:tabs>
          <w:tab w:leader="none" w:pos="3800" w:val="left"/>
        </w:tabs>
        <w:rPr>
          <w:sz w:val="20"/>
          <w:szCs w:val="20"/>
          <w:color w:val="auto"/>
        </w:rPr>
      </w:pPr>
      <w:r>
        <w:rPr>
          <w:rFonts w:ascii="Courier New" w:cs="Courier New" w:eastAsia="Courier New" w:hAnsi="Courier New"/>
          <w:sz w:val="17"/>
          <w:szCs w:val="17"/>
          <w:color w:val="auto"/>
        </w:rPr>
        <w:t>SSN:</w:t>
      </w:r>
      <w:r>
        <w:rPr>
          <w:sz w:val="20"/>
          <w:szCs w:val="20"/>
          <w:color w:val="auto"/>
        </w:rPr>
        <w:tab/>
      </w:r>
      <w:r>
        <w:rPr>
          <w:rFonts w:ascii="Courier New" w:cs="Courier New" w:eastAsia="Courier New" w:hAnsi="Courier New"/>
          <w:sz w:val="17"/>
          <w:szCs w:val="17"/>
          <w:color w:val="auto"/>
        </w:rPr>
        <w:t>INTERNATIONAL</w:t>
      </w:r>
    </w:p>
    <w:p>
      <w:pPr>
        <w:spacing w:after="0" w:line="200" w:lineRule="exact"/>
        <w:rPr>
          <w:sz w:val="20"/>
          <w:szCs w:val="20"/>
          <w:color w:val="auto"/>
        </w:rPr>
      </w:pPr>
    </w:p>
    <w:p>
      <w:pPr>
        <w:spacing w:after="0" w:line="399"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907" w:right="1440" w:bottom="1440" w:gutter="0" w:footer="0" w:header="0"/>
        </w:sectPr>
      </w:pPr>
    </w:p>
    <w:bookmarkStart w:id="272" w:name="page273"/>
    <w:bookmarkEnd w:id="272"/>
    <w:p>
      <w:pPr>
        <w:jc w:val="center"/>
        <w:ind w:right="1979"/>
        <w:spacing w:after="0"/>
        <w:rPr>
          <w:sz w:val="20"/>
          <w:szCs w:val="20"/>
          <w:color w:val="auto"/>
        </w:rPr>
      </w:pPr>
      <w:r>
        <w:rPr>
          <w:rFonts w:ascii="Courier New" w:cs="Courier New" w:eastAsia="Courier New" w:hAnsi="Courier New"/>
          <w:sz w:val="17"/>
          <w:szCs w:val="17"/>
          <w:color w:val="auto"/>
        </w:rPr>
        <w:t>EXHIBIT 10(g)(2)</w:t>
      </w:r>
    </w:p>
    <w:p>
      <w:pPr>
        <w:spacing w:after="0" w:line="203" w:lineRule="exact"/>
        <w:rPr>
          <w:sz w:val="20"/>
          <w:szCs w:val="20"/>
          <w:color w:val="auto"/>
        </w:rPr>
      </w:pPr>
    </w:p>
    <w:p>
      <w:pPr>
        <w:jc w:val="center"/>
        <w:ind w:right="1979"/>
        <w:spacing w:after="0" w:line="247" w:lineRule="auto"/>
        <w:rPr>
          <w:sz w:val="20"/>
          <w:szCs w:val="20"/>
          <w:color w:val="auto"/>
        </w:rPr>
      </w:pPr>
      <w:r>
        <w:rPr>
          <w:rFonts w:ascii="Courier New" w:cs="Courier New" w:eastAsia="Courier New" w:hAnsi="Courier New"/>
          <w:sz w:val="17"/>
          <w:szCs w:val="17"/>
          <w:color w:val="auto"/>
        </w:rPr>
        <w:t>First Amendment to The Scotts Company Executive Retirement Plan, effective as of January 1, 1999</w:t>
      </w:r>
    </w:p>
    <w:p>
      <w:pPr>
        <w:sectPr>
          <w:pgSz w:w="11900" w:h="16838" w:orient="portrait"/>
          <w:cols w:equalWidth="0" w:num="1">
            <w:col w:w="10219"/>
          </w:cols>
          <w:pgMar w:left="240" w:top="340" w:right="1440" w:bottom="1440" w:gutter="0" w:footer="0" w:header="0"/>
        </w:sectPr>
      </w:pPr>
    </w:p>
    <w:bookmarkStart w:id="273" w:name="page274"/>
    <w:bookmarkEnd w:id="273"/>
    <w:p>
      <w:pPr>
        <w:spacing w:after="0" w:line="62"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FIRST AMENDMENT</w:t>
      </w:r>
    </w:p>
    <w:p>
      <w:pPr>
        <w:spacing w:after="0" w:line="203"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TO</w:t>
      </w:r>
    </w:p>
    <w:p>
      <w:pPr>
        <w:spacing w:after="0" w:line="203"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THE SCOTTS COMPANY</w:t>
      </w:r>
    </w:p>
    <w:p>
      <w:pPr>
        <w:spacing w:after="0" w:line="203"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EXECUTIVE RETIREMENT PLAN</w:t>
      </w:r>
    </w:p>
    <w:p>
      <w:pPr>
        <w:spacing w:after="0" w:line="200" w:lineRule="exact"/>
        <w:rPr>
          <w:sz w:val="20"/>
          <w:szCs w:val="20"/>
          <w:color w:val="auto"/>
        </w:rPr>
      </w:pPr>
    </w:p>
    <w:p>
      <w:pPr>
        <w:spacing w:after="0" w:line="201" w:lineRule="exact"/>
        <w:rPr>
          <w:sz w:val="20"/>
          <w:szCs w:val="20"/>
          <w:color w:val="auto"/>
        </w:rPr>
      </w:pPr>
    </w:p>
    <w:p>
      <w:pPr>
        <w:ind w:right="1979" w:firstLine="927"/>
        <w:spacing w:after="0" w:line="247" w:lineRule="auto"/>
        <w:rPr>
          <w:sz w:val="20"/>
          <w:szCs w:val="20"/>
          <w:color w:val="auto"/>
        </w:rPr>
      </w:pPr>
      <w:r>
        <w:rPr>
          <w:rFonts w:ascii="Courier New" w:cs="Courier New" w:eastAsia="Courier New" w:hAnsi="Courier New"/>
          <w:sz w:val="17"/>
          <w:szCs w:val="17"/>
          <w:color w:val="auto"/>
        </w:rPr>
        <w:t>WHEREAS, The Scotts Company (the "Company") sponsors The Scotts Company Executive Retirement Plan (the "Plan"); and</w:t>
      </w:r>
    </w:p>
    <w:p>
      <w:pPr>
        <w:spacing w:after="0" w:line="198" w:lineRule="exact"/>
        <w:rPr>
          <w:sz w:val="20"/>
          <w:szCs w:val="20"/>
          <w:color w:val="auto"/>
        </w:rPr>
      </w:pPr>
    </w:p>
    <w:p>
      <w:pPr>
        <w:ind w:right="2179" w:firstLine="927"/>
        <w:spacing w:after="0" w:line="247" w:lineRule="auto"/>
        <w:rPr>
          <w:sz w:val="20"/>
          <w:szCs w:val="20"/>
          <w:color w:val="auto"/>
        </w:rPr>
      </w:pPr>
      <w:r>
        <w:rPr>
          <w:rFonts w:ascii="Courier New" w:cs="Courier New" w:eastAsia="Courier New" w:hAnsi="Courier New"/>
          <w:sz w:val="17"/>
          <w:szCs w:val="17"/>
          <w:color w:val="auto"/>
        </w:rPr>
        <w:t>WHEREAS, the Plan provides that executives in Band G and above, other than Joseph D. Dioguardi, are eligible to participate in the Plan; and</w:t>
      </w:r>
    </w:p>
    <w:p>
      <w:pPr>
        <w:spacing w:after="0" w:line="198" w:lineRule="exact"/>
        <w:rPr>
          <w:sz w:val="20"/>
          <w:szCs w:val="20"/>
          <w:color w:val="auto"/>
        </w:rPr>
      </w:pPr>
    </w:p>
    <w:p>
      <w:pPr>
        <w:ind w:right="2179" w:firstLine="927"/>
        <w:spacing w:after="0" w:line="247" w:lineRule="auto"/>
        <w:rPr>
          <w:sz w:val="20"/>
          <w:szCs w:val="20"/>
          <w:color w:val="auto"/>
        </w:rPr>
      </w:pPr>
      <w:r>
        <w:rPr>
          <w:rFonts w:ascii="Courier New" w:cs="Courier New" w:eastAsia="Courier New" w:hAnsi="Courier New"/>
          <w:sz w:val="17"/>
          <w:szCs w:val="17"/>
          <w:color w:val="auto"/>
        </w:rPr>
        <w:t>WHEREAS, the Company wants to permit Mr. Dioguardi to defer incentive pay and compensation under the Plan;</w:t>
      </w:r>
    </w:p>
    <w:p>
      <w:pPr>
        <w:spacing w:after="0" w:line="198"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NOW, THEREFORE, effective as of January 1, 1999:</w:t>
      </w:r>
    </w:p>
    <w:p>
      <w:pPr>
        <w:spacing w:after="0" w:line="203" w:lineRule="exact"/>
        <w:rPr>
          <w:sz w:val="20"/>
          <w:szCs w:val="20"/>
          <w:color w:val="auto"/>
        </w:rPr>
      </w:pPr>
    </w:p>
    <w:p>
      <w:pPr>
        <w:ind w:right="2179" w:firstLine="6"/>
        <w:spacing w:after="0" w:line="247" w:lineRule="auto"/>
        <w:tabs>
          <w:tab w:leader="none" w:pos="927" w:val="left"/>
        </w:tabs>
        <w:numPr>
          <w:ilvl w:val="0"/>
          <w:numId w:val="2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definition of "Executive Incentive Pay" in Section II of the Plan shall be revised to provide:</w:t>
      </w:r>
    </w:p>
    <w:p>
      <w:pPr>
        <w:spacing w:after="0" w:line="198" w:lineRule="exact"/>
        <w:rPr>
          <w:sz w:val="20"/>
          <w:szCs w:val="20"/>
          <w:color w:val="auto"/>
        </w:rPr>
      </w:pPr>
    </w:p>
    <w:p>
      <w:pPr>
        <w:ind w:left="940" w:right="1979" w:firstLine="926"/>
        <w:spacing w:after="0" w:line="246" w:lineRule="auto"/>
        <w:rPr>
          <w:sz w:val="20"/>
          <w:szCs w:val="20"/>
          <w:color w:val="auto"/>
        </w:rPr>
      </w:pPr>
      <w:r>
        <w:rPr>
          <w:rFonts w:ascii="Courier New" w:cs="Courier New" w:eastAsia="Courier New" w:hAnsi="Courier New"/>
          <w:sz w:val="17"/>
          <w:szCs w:val="17"/>
          <w:color w:val="auto"/>
        </w:rPr>
        <w:t>"Executive Incentive Pay" means, with respect to each Participant, any bonus under the Executive Annual Incentive Plan or any incentive pay pursuant to an employment agreement.</w:t>
      </w:r>
    </w:p>
    <w:p>
      <w:pPr>
        <w:spacing w:after="0" w:line="200" w:lineRule="exact"/>
        <w:rPr>
          <w:sz w:val="20"/>
          <w:szCs w:val="20"/>
          <w:color w:val="auto"/>
        </w:rPr>
      </w:pPr>
    </w:p>
    <w:p>
      <w:pPr>
        <w:ind w:left="940" w:hanging="934"/>
        <w:spacing w:after="0"/>
        <w:tabs>
          <w:tab w:leader="none" w:pos="940" w:val="left"/>
        </w:tabs>
        <w:numPr>
          <w:ilvl w:val="0"/>
          <w:numId w:val="2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last sentence of Section III of the Plan shall be deleted.</w:t>
      </w:r>
    </w:p>
    <w:p>
      <w:pPr>
        <w:spacing w:after="0" w:line="203" w:lineRule="exact"/>
        <w:rPr>
          <w:rFonts w:ascii="Courier New" w:cs="Courier New" w:eastAsia="Courier New" w:hAnsi="Courier New"/>
          <w:sz w:val="17"/>
          <w:szCs w:val="17"/>
          <w:color w:val="auto"/>
        </w:rPr>
      </w:pPr>
    </w:p>
    <w:p>
      <w:pPr>
        <w:ind w:left="940" w:hanging="934"/>
        <w:spacing w:after="0"/>
        <w:tabs>
          <w:tab w:leader="none" w:pos="940" w:val="left"/>
        </w:tabs>
        <w:numPr>
          <w:ilvl w:val="0"/>
          <w:numId w:val="2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Paragraph (1) of Section IV.B. shall be revised to provide:</w:t>
      </w:r>
    </w:p>
    <w:p>
      <w:pPr>
        <w:spacing w:after="0" w:line="203" w:lineRule="exact"/>
        <w:rPr>
          <w:rFonts w:ascii="Courier New" w:cs="Courier New" w:eastAsia="Courier New" w:hAnsi="Courier New"/>
          <w:sz w:val="17"/>
          <w:szCs w:val="17"/>
          <w:color w:val="auto"/>
        </w:rPr>
      </w:pPr>
    </w:p>
    <w:p>
      <w:pPr>
        <w:ind w:left="940" w:right="1979" w:firstLine="1845"/>
        <w:spacing w:after="0" w:line="246" w:lineRule="auto"/>
        <w:tabs>
          <w:tab w:leader="none" w:pos="3205" w:val="left"/>
        </w:tabs>
        <w:numPr>
          <w:ilvl w:val="1"/>
          <w:numId w:val="2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 respect to each Plan Year, an Eligible Employee may elect to have a percentage or a flat dollar amount of his Executive Incentive Pay which is to be awarded to him by the Employer for the Plan Year in question allocated to his Deferred Executive Incentive Pay Account and paid on a deferred basis pursuant to the terms of the Plan. To exercise such an election for any Plan Year, within thirty (30) days after the Executive Annual Incentive Plan is finalized for the Plan Year (or, in the case of Executive Incentive Pay under an employment agreement, within thirty (30) days prior to the beginning of the Plan Year), the Eligible Employee must advise the Employer of his election, in writing, on an Executive Incentive Pay Deferral Election. Such Executive Incentive Pay Deferral Election shall apply only to Executive Incentive Pay payable to the Participant after the date on which the Executive Incentive Pay Deferral Election is received by the Administrative Committee. If an Eligible Employee terminates</w:t>
      </w:r>
    </w:p>
    <w:p>
      <w:pPr>
        <w:sectPr>
          <w:pgSz w:w="11900" w:h="16838" w:orient="portrait"/>
          <w:cols w:equalWidth="0" w:num="1">
            <w:col w:w="10219"/>
          </w:cols>
          <w:pgMar w:left="240" w:top="1440" w:right="1440" w:bottom="1440" w:gutter="0" w:footer="0" w:header="0"/>
        </w:sectPr>
      </w:pPr>
    </w:p>
    <w:bookmarkStart w:id="274" w:name="page275"/>
    <w:bookmarkEnd w:id="274"/>
    <w:p>
      <w:pPr>
        <w:ind w:left="940" w:right="1979"/>
        <w:spacing w:after="0" w:line="246" w:lineRule="auto"/>
        <w:rPr>
          <w:sz w:val="20"/>
          <w:szCs w:val="20"/>
          <w:color w:val="auto"/>
        </w:rPr>
      </w:pPr>
      <w:r>
        <w:rPr>
          <w:rFonts w:ascii="Courier New" w:cs="Courier New" w:eastAsia="Courier New" w:hAnsi="Courier New"/>
          <w:sz w:val="17"/>
          <w:szCs w:val="17"/>
          <w:color w:val="auto"/>
        </w:rPr>
        <w:t>employment or changes to an employment status other than an Eligible Employee, his election to defer Executive Incentive Pay shall terminate and no additional amounts shall be deferred.</w:t>
      </w:r>
    </w:p>
    <w:p>
      <w:pPr>
        <w:spacing w:after="0" w:line="200" w:lineRule="exact"/>
        <w:rPr>
          <w:sz w:val="20"/>
          <w:szCs w:val="20"/>
          <w:color w:val="auto"/>
        </w:rPr>
      </w:pPr>
    </w:p>
    <w:p>
      <w:pPr>
        <w:ind w:left="940" w:hanging="934"/>
        <w:spacing w:after="0"/>
        <w:tabs>
          <w:tab w:leader="none" w:pos="940" w:val="left"/>
        </w:tabs>
        <w:numPr>
          <w:ilvl w:val="0"/>
          <w:numId w:val="2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new paragraph (5) shall be added to Section IV.D. of the Plan to</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provide:</w:t>
      </w:r>
    </w:p>
    <w:p>
      <w:pPr>
        <w:spacing w:after="0" w:line="203" w:lineRule="exact"/>
        <w:rPr>
          <w:rFonts w:ascii="Courier New" w:cs="Courier New" w:eastAsia="Courier New" w:hAnsi="Courier New"/>
          <w:sz w:val="17"/>
          <w:szCs w:val="17"/>
          <w:color w:val="auto"/>
        </w:rPr>
      </w:pPr>
    </w:p>
    <w:p>
      <w:pPr>
        <w:ind w:left="940" w:right="2279" w:firstLine="919"/>
        <w:spacing w:after="0" w:line="246" w:lineRule="auto"/>
        <w:tabs>
          <w:tab w:leader="none" w:pos="2793" w:val="left"/>
        </w:tabs>
        <w:numPr>
          <w:ilvl w:val="1"/>
          <w:numId w:val="2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INELIGIBILITY FOR EMPLOYER CONTRIBUTIONS. Notwithstanding the foregoing, no contributions shall be made for or allocated to Joseph D. Dioguardi under this Section IV.D.</w:t>
      </w:r>
    </w:p>
    <w:p>
      <w:pPr>
        <w:spacing w:after="0" w:line="200" w:lineRule="exact"/>
        <w:rPr>
          <w:sz w:val="20"/>
          <w:szCs w:val="20"/>
          <w:color w:val="auto"/>
        </w:rPr>
      </w:pPr>
    </w:p>
    <w:p>
      <w:pPr>
        <w:ind w:right="2799" w:firstLine="927"/>
        <w:spacing w:after="0" w:line="247" w:lineRule="auto"/>
        <w:rPr>
          <w:sz w:val="20"/>
          <w:szCs w:val="20"/>
          <w:color w:val="auto"/>
        </w:rPr>
      </w:pPr>
      <w:r>
        <w:rPr>
          <w:rFonts w:ascii="Courier New" w:cs="Courier New" w:eastAsia="Courier New" w:hAnsi="Courier New"/>
          <w:sz w:val="17"/>
          <w:szCs w:val="17"/>
          <w:color w:val="auto"/>
        </w:rPr>
        <w:t>IN WITNESS WHEREOF, the Company has caused this Amendment to be executed as of the 23 day of DECEMBER, 1998.</w:t>
      </w:r>
    </w:p>
    <w:p>
      <w:pPr>
        <w:spacing w:after="0" w:line="396"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THE SCOTTS COMPANY</w:t>
      </w:r>
    </w:p>
    <w:p>
      <w:pPr>
        <w:spacing w:after="0" w:line="200" w:lineRule="exact"/>
        <w:rPr>
          <w:sz w:val="20"/>
          <w:szCs w:val="20"/>
          <w:color w:val="auto"/>
        </w:rPr>
      </w:pPr>
    </w:p>
    <w:p>
      <w:pPr>
        <w:spacing w:after="0" w:line="399"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By: /s/ Rosemary L. Smith</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Rosemary L. Smith,</w:t>
      </w:r>
    </w:p>
    <w:p>
      <w:pPr>
        <w:spacing w:after="0" w:line="5" w:lineRule="exact"/>
        <w:rPr>
          <w:sz w:val="20"/>
          <w:szCs w:val="20"/>
          <w:color w:val="auto"/>
        </w:rPr>
      </w:pPr>
    </w:p>
    <w:p>
      <w:pPr>
        <w:ind w:left="4020"/>
        <w:spacing w:after="0"/>
        <w:tabs>
          <w:tab w:leader="none" w:pos="4620" w:val="left"/>
          <w:tab w:leader="none" w:pos="6580" w:val="left"/>
        </w:tabs>
        <w:rPr>
          <w:sz w:val="20"/>
          <w:szCs w:val="20"/>
          <w:color w:val="auto"/>
        </w:rPr>
      </w:pPr>
      <w:r>
        <w:rPr>
          <w:rFonts w:ascii="Courier New" w:cs="Courier New" w:eastAsia="Courier New" w:hAnsi="Courier New"/>
          <w:sz w:val="17"/>
          <w:szCs w:val="17"/>
          <w:color w:val="auto"/>
        </w:rPr>
        <w:t>Vice</w:t>
        <w:tab/>
        <w:t>President - Human</w:t>
        <w:tab/>
        <w:t>Resources and</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Member of the Administrative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907" w:right="1440" w:bottom="1440" w:gutter="0" w:footer="0" w:header="0"/>
        </w:sectPr>
      </w:pPr>
    </w:p>
    <w:bookmarkStart w:id="275" w:name="page276"/>
    <w:bookmarkEnd w:id="275"/>
    <w:p>
      <w:pPr>
        <w:jc w:val="center"/>
        <w:ind w:right="2799"/>
        <w:spacing w:after="0"/>
        <w:rPr>
          <w:sz w:val="20"/>
          <w:szCs w:val="20"/>
          <w:color w:val="auto"/>
        </w:rPr>
      </w:pPr>
      <w:r>
        <w:rPr>
          <w:rFonts w:ascii="Courier New" w:cs="Courier New" w:eastAsia="Courier New" w:hAnsi="Courier New"/>
          <w:sz w:val="17"/>
          <w:szCs w:val="17"/>
          <w:color w:val="auto"/>
        </w:rPr>
        <w:t>EXHIBIT 10(g)(3)</w:t>
      </w:r>
    </w:p>
    <w:p>
      <w:pPr>
        <w:spacing w:after="0" w:line="203"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7"/>
          <w:szCs w:val="17"/>
          <w:color w:val="auto"/>
        </w:rPr>
        <w:t>Second Amendment to The Scotts Company Executive Retirement Plan,</w:t>
      </w:r>
    </w:p>
    <w:p>
      <w:pPr>
        <w:spacing w:after="0" w:line="5"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7"/>
          <w:szCs w:val="17"/>
          <w:color w:val="auto"/>
        </w:rPr>
        <w:t>effective as of January 1, 2000</w:t>
      </w:r>
    </w:p>
    <w:p>
      <w:pPr>
        <w:sectPr>
          <w:pgSz w:w="11900" w:h="16838" w:orient="portrait"/>
          <w:cols w:equalWidth="0" w:num="1">
            <w:col w:w="9399"/>
          </w:cols>
          <w:pgMar w:left="1060" w:top="340" w:right="1440" w:bottom="1440" w:gutter="0" w:footer="0" w:header="0"/>
        </w:sectPr>
      </w:pPr>
    </w:p>
    <w:bookmarkStart w:id="276" w:name="page277"/>
    <w:bookmarkEnd w:id="276"/>
    <w:p>
      <w:pPr>
        <w:jc w:val="center"/>
        <w:ind w:right="1979"/>
        <w:spacing w:after="0"/>
        <w:rPr>
          <w:sz w:val="20"/>
          <w:szCs w:val="20"/>
          <w:color w:val="auto"/>
        </w:rPr>
      </w:pPr>
      <w:r>
        <w:rPr>
          <w:rFonts w:ascii="Courier New" w:cs="Courier New" w:eastAsia="Courier New" w:hAnsi="Courier New"/>
          <w:sz w:val="17"/>
          <w:szCs w:val="17"/>
          <w:color w:val="auto"/>
        </w:rPr>
        <w:t>SECOND AMENDMENT</w:t>
      </w:r>
    </w:p>
    <w:p>
      <w:pPr>
        <w:spacing w:after="0" w:line="203"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TO</w:t>
      </w:r>
    </w:p>
    <w:p>
      <w:pPr>
        <w:spacing w:after="0" w:line="203"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THE SCOTTS COMPANY</w:t>
      </w:r>
    </w:p>
    <w:p>
      <w:pPr>
        <w:spacing w:after="0" w:line="203"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EXECUTIVE RETIREMENT PLAN</w:t>
      </w:r>
    </w:p>
    <w:p>
      <w:pPr>
        <w:spacing w:after="0" w:line="200" w:lineRule="exact"/>
        <w:rPr>
          <w:sz w:val="20"/>
          <w:szCs w:val="20"/>
          <w:color w:val="auto"/>
        </w:rPr>
      </w:pPr>
    </w:p>
    <w:p>
      <w:pPr>
        <w:spacing w:after="0" w:line="201" w:lineRule="exact"/>
        <w:rPr>
          <w:sz w:val="20"/>
          <w:szCs w:val="20"/>
          <w:color w:val="auto"/>
        </w:rPr>
      </w:pPr>
    </w:p>
    <w:p>
      <w:pPr>
        <w:ind w:right="1979" w:firstLine="927"/>
        <w:spacing w:after="0" w:line="247" w:lineRule="auto"/>
        <w:rPr>
          <w:sz w:val="20"/>
          <w:szCs w:val="20"/>
          <w:color w:val="auto"/>
        </w:rPr>
      </w:pPr>
      <w:r>
        <w:rPr>
          <w:rFonts w:ascii="Courier New" w:cs="Courier New" w:eastAsia="Courier New" w:hAnsi="Courier New"/>
          <w:sz w:val="17"/>
          <w:szCs w:val="17"/>
          <w:color w:val="auto"/>
        </w:rPr>
        <w:t>WHEREAS, The Scotts Company (the "Company") sponsors The Scotts Company Executive Retirement Plan (the "Plan"); and</w:t>
      </w:r>
    </w:p>
    <w:p>
      <w:pPr>
        <w:spacing w:after="0" w:line="198" w:lineRule="exact"/>
        <w:rPr>
          <w:sz w:val="20"/>
          <w:szCs w:val="20"/>
          <w:color w:val="auto"/>
        </w:rPr>
      </w:pPr>
    </w:p>
    <w:p>
      <w:pPr>
        <w:ind w:right="2079" w:firstLine="927"/>
        <w:spacing w:after="0" w:line="247" w:lineRule="auto"/>
        <w:rPr>
          <w:sz w:val="20"/>
          <w:szCs w:val="20"/>
          <w:color w:val="auto"/>
        </w:rPr>
      </w:pPr>
      <w:r>
        <w:rPr>
          <w:rFonts w:ascii="Courier New" w:cs="Courier New" w:eastAsia="Courier New" w:hAnsi="Courier New"/>
          <w:sz w:val="17"/>
          <w:szCs w:val="17"/>
          <w:color w:val="auto"/>
        </w:rPr>
        <w:t>WHEREAS, the Company wants to the statement of the purpose of the Plan to reflect the current function of the Plan;</w:t>
      </w:r>
    </w:p>
    <w:p>
      <w:pPr>
        <w:spacing w:after="0" w:line="198" w:lineRule="exact"/>
        <w:rPr>
          <w:sz w:val="20"/>
          <w:szCs w:val="20"/>
          <w:color w:val="auto"/>
        </w:rPr>
      </w:pPr>
    </w:p>
    <w:p>
      <w:pPr>
        <w:ind w:right="2079" w:firstLine="927"/>
        <w:spacing w:after="0" w:line="247" w:lineRule="auto"/>
        <w:rPr>
          <w:sz w:val="20"/>
          <w:szCs w:val="20"/>
          <w:color w:val="auto"/>
        </w:rPr>
      </w:pPr>
      <w:r>
        <w:rPr>
          <w:rFonts w:ascii="Courier New" w:cs="Courier New" w:eastAsia="Courier New" w:hAnsi="Courier New"/>
          <w:sz w:val="17"/>
          <w:szCs w:val="17"/>
          <w:color w:val="auto"/>
        </w:rPr>
        <w:t>NOW, THEREFORE, effective as of January 1, 2000, Section I of the Plan is amended to provide:</w:t>
      </w:r>
    </w:p>
    <w:p>
      <w:pPr>
        <w:spacing w:after="0" w:line="198" w:lineRule="exact"/>
        <w:rPr>
          <w:sz w:val="20"/>
          <w:szCs w:val="20"/>
          <w:color w:val="auto"/>
        </w:rPr>
      </w:pPr>
    </w:p>
    <w:p>
      <w:pPr>
        <w:ind w:left="1860" w:hanging="928"/>
        <w:spacing w:after="0"/>
        <w:tabs>
          <w:tab w:leader="none" w:pos="1860" w:val="left"/>
        </w:tabs>
        <w:numPr>
          <w:ilvl w:val="0"/>
          <w:numId w:val="2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 AND PURPOSE</w:t>
      </w:r>
    </w:p>
    <w:p>
      <w:pPr>
        <w:spacing w:after="0" w:line="203" w:lineRule="exact"/>
        <w:rPr>
          <w:sz w:val="20"/>
          <w:szCs w:val="20"/>
          <w:color w:val="auto"/>
        </w:rPr>
      </w:pPr>
    </w:p>
    <w:p>
      <w:pPr>
        <w:ind w:left="940" w:right="1979" w:firstLine="926"/>
        <w:spacing w:after="0" w:line="246" w:lineRule="auto"/>
        <w:rPr>
          <w:sz w:val="20"/>
          <w:szCs w:val="20"/>
          <w:color w:val="auto"/>
        </w:rPr>
      </w:pPr>
      <w:r>
        <w:rPr>
          <w:rFonts w:ascii="Courier New" w:cs="Courier New" w:eastAsia="Courier New" w:hAnsi="Courier New"/>
          <w:sz w:val="17"/>
          <w:szCs w:val="17"/>
          <w:color w:val="auto"/>
        </w:rPr>
        <w:t>The Scotts Company Executive Retirement Plan provides Eligible Employees with the opportunity to defer bonuses (under the Executive Annual Incentive Plan) and compensation, and supplements the benefits of Eligible Employees under The Scotts Company Retirement Savings Plan. The benefits under the Plan are to be provided from the Plan on an unfunded basis. It is intended that the Plan be exempt from the funding, participation, vesting and fiduciary provisions of Title I of ERISA.</w:t>
      </w:r>
    </w:p>
    <w:p>
      <w:pPr>
        <w:spacing w:after="0" w:line="203" w:lineRule="exact"/>
        <w:rPr>
          <w:sz w:val="20"/>
          <w:szCs w:val="20"/>
          <w:color w:val="auto"/>
        </w:rPr>
      </w:pPr>
    </w:p>
    <w:p>
      <w:pPr>
        <w:ind w:right="2799" w:firstLine="927"/>
        <w:spacing w:after="0" w:line="247" w:lineRule="auto"/>
        <w:rPr>
          <w:sz w:val="20"/>
          <w:szCs w:val="20"/>
          <w:color w:val="auto"/>
        </w:rPr>
      </w:pPr>
      <w:r>
        <w:rPr>
          <w:rFonts w:ascii="Courier New" w:cs="Courier New" w:eastAsia="Courier New" w:hAnsi="Courier New"/>
          <w:sz w:val="17"/>
          <w:szCs w:val="17"/>
          <w:color w:val="auto"/>
        </w:rPr>
        <w:t>IN WITNESS WHEREOF, the Company has caused this Amendment to be executed as of the 14 day of JANUARY, 2000.</w:t>
      </w:r>
    </w:p>
    <w:p>
      <w:pPr>
        <w:spacing w:after="0" w:line="396"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THE SCOTTS COMPANY</w:t>
      </w:r>
    </w:p>
    <w:p>
      <w:pPr>
        <w:spacing w:after="0" w:line="200" w:lineRule="exact"/>
        <w:rPr>
          <w:sz w:val="20"/>
          <w:szCs w:val="20"/>
          <w:color w:val="auto"/>
        </w:rPr>
      </w:pPr>
    </w:p>
    <w:p>
      <w:pPr>
        <w:spacing w:after="0" w:line="399" w:lineRule="exact"/>
        <w:rPr>
          <w:sz w:val="20"/>
          <w:szCs w:val="20"/>
          <w:color w:val="auto"/>
        </w:rPr>
      </w:pPr>
    </w:p>
    <w:p>
      <w:pPr>
        <w:ind w:left="2580"/>
        <w:spacing w:after="0"/>
        <w:tabs>
          <w:tab w:leader="none" w:pos="3080" w:val="left"/>
        </w:tabs>
        <w:rPr>
          <w:sz w:val="20"/>
          <w:szCs w:val="20"/>
          <w:color w:val="auto"/>
        </w:rPr>
      </w:pPr>
      <w:r>
        <w:rPr>
          <w:rFonts w:ascii="Courier New" w:cs="Courier New" w:eastAsia="Courier New" w:hAnsi="Courier New"/>
          <w:sz w:val="17"/>
          <w:szCs w:val="17"/>
          <w:color w:val="auto"/>
        </w:rPr>
        <w:t>By:</w:t>
        <w:tab/>
        <w:t>/s/ Hadia Lefavre</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Hadia Lefavre, Senior Vice President</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Human Resources Worldwide</w:t>
      </w:r>
    </w:p>
    <w:p>
      <w:pPr>
        <w:sectPr>
          <w:pgSz w:w="11900" w:h="16838" w:orient="portrait"/>
          <w:cols w:equalWidth="0" w:num="1">
            <w:col w:w="10219"/>
          </w:cols>
          <w:pgMar w:left="240" w:top="907" w:right="1440" w:bottom="1440" w:gutter="0" w:footer="0" w:header="0"/>
        </w:sectPr>
      </w:pPr>
    </w:p>
    <w:bookmarkStart w:id="277" w:name="page278"/>
    <w:bookmarkEnd w:id="277"/>
    <w:p>
      <w:pPr>
        <w:jc w:val="center"/>
        <w:ind w:right="2279"/>
        <w:spacing w:after="0"/>
        <w:rPr>
          <w:sz w:val="20"/>
          <w:szCs w:val="20"/>
          <w:color w:val="auto"/>
        </w:rPr>
      </w:pPr>
      <w:r>
        <w:rPr>
          <w:rFonts w:ascii="Courier New" w:cs="Courier New" w:eastAsia="Courier New" w:hAnsi="Courier New"/>
          <w:sz w:val="17"/>
          <w:szCs w:val="17"/>
          <w:color w:val="auto"/>
        </w:rPr>
        <w:t>EXHIBIT 10(k)</w:t>
      </w:r>
    </w:p>
    <w:p>
      <w:pPr>
        <w:spacing w:after="0" w:line="203" w:lineRule="exact"/>
        <w:rPr>
          <w:sz w:val="20"/>
          <w:szCs w:val="20"/>
          <w:color w:val="auto"/>
        </w:rPr>
      </w:pPr>
    </w:p>
    <w:p>
      <w:pPr>
        <w:jc w:val="center"/>
        <w:ind w:right="2279"/>
        <w:spacing w:after="0" w:line="246" w:lineRule="auto"/>
        <w:rPr>
          <w:sz w:val="20"/>
          <w:szCs w:val="20"/>
          <w:color w:val="auto"/>
        </w:rPr>
      </w:pPr>
      <w:r>
        <w:rPr>
          <w:rFonts w:ascii="Courier New" w:cs="Courier New" w:eastAsia="Courier New" w:hAnsi="Courier New"/>
          <w:sz w:val="17"/>
          <w:szCs w:val="17"/>
          <w:color w:val="auto"/>
        </w:rPr>
        <w:t>Letter agreement, dated September 25, 2001, replacing and superceding the letter agreement, dated March 21, 2001, pertaining to amendment of Employment Agreement, dated as of August 7, 1998, between the Registrant and Charles M. Berger</w:t>
      </w:r>
    </w:p>
    <w:p>
      <w:pPr>
        <w:sectPr>
          <w:pgSz w:w="11900" w:h="16838" w:orient="portrait"/>
          <w:cols w:equalWidth="0" w:num="1">
            <w:col w:w="9799"/>
          </w:cols>
          <w:pgMar w:left="660" w:top="736" w:right="1440" w:bottom="1440" w:gutter="0" w:footer="0" w:header="0"/>
        </w:sectPr>
      </w:pPr>
    </w:p>
    <w:bookmarkStart w:id="278" w:name="page279"/>
    <w:bookmarkEnd w:id="278"/>
    <w:p>
      <w:pPr>
        <w:jc w:val="center"/>
        <w:ind w:right="1979"/>
        <w:spacing w:after="0"/>
        <w:rPr>
          <w:sz w:val="20"/>
          <w:szCs w:val="20"/>
          <w:color w:val="auto"/>
        </w:rPr>
      </w:pPr>
      <w:r>
        <w:rPr>
          <w:rFonts w:ascii="Courier New" w:cs="Courier New" w:eastAsia="Courier New" w:hAnsi="Courier New"/>
          <w:sz w:val="17"/>
          <w:szCs w:val="17"/>
          <w:color w:val="auto"/>
        </w:rPr>
        <w:t>JOSEPH P. FLANNERY</w:t>
      </w:r>
    </w:p>
    <w:p>
      <w:pPr>
        <w:spacing w:after="0" w:line="5"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[Address]</w:t>
      </w:r>
    </w:p>
    <w:p>
      <w:pPr>
        <w:spacing w:after="0" w:line="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[Telephone Number]</w:t>
      </w:r>
    </w:p>
    <w:p>
      <w:pPr>
        <w:spacing w:after="0" w:line="200" w:lineRule="exact"/>
        <w:rPr>
          <w:sz w:val="20"/>
          <w:szCs w:val="20"/>
          <w:color w:val="auto"/>
        </w:rPr>
      </w:pP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7"/>
          <w:szCs w:val="17"/>
          <w:color w:val="auto"/>
        </w:rPr>
        <w:t>September 25, 2001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Mr. Charles M. Berger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Chairman of the Board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Scotts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41 S. High Street, Suite 3500</w:t>
      </w:r>
    </w:p>
    <w:p>
      <w:pPr>
        <w:spacing w:after="0" w:line="5"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7"/>
          <w:szCs w:val="17"/>
          <w:color w:val="auto"/>
        </w:rPr>
        <w:t>Columbus, OH</w:t>
        <w:tab/>
        <w:t>43215</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Dear Chuck:</w:t>
      </w:r>
    </w:p>
    <w:p>
      <w:pPr>
        <w:spacing w:after="0" w:line="203"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The purpose of this letter is to memorialize and clarify the understandings we have reached regarding your employment by and your affiliation with The Scotts Company ("Scotts" or the "Company"). This letter replaces and supercedes my letter to you dated March 21, 2001.</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FROM AUGUST 21, 2001 THROUGH SEPTEMBER 30, 2001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3" w:lineRule="exact"/>
        <w:rPr>
          <w:sz w:val="20"/>
          <w:szCs w:val="20"/>
          <w:color w:val="auto"/>
        </w:rPr>
      </w:pPr>
    </w:p>
    <w:p>
      <w:pPr>
        <w:ind w:right="2179" w:firstLine="927"/>
        <w:spacing w:after="0" w:line="246" w:lineRule="auto"/>
        <w:rPr>
          <w:sz w:val="20"/>
          <w:szCs w:val="20"/>
          <w:color w:val="auto"/>
        </w:rPr>
      </w:pPr>
      <w:r>
        <w:rPr>
          <w:rFonts w:ascii="Courier New" w:cs="Courier New" w:eastAsia="Courier New" w:hAnsi="Courier New"/>
          <w:sz w:val="17"/>
          <w:szCs w:val="17"/>
          <w:color w:val="auto"/>
        </w:rPr>
        <w:t>Your employment at Scotts is currently subject to an Employment Agreement entered into between you and Scotts dated August 7, 1998 (the "1998 Employment Agreement"). You agree that the 1998 Employment Agreement is hereby amended as follows:</w:t>
      </w:r>
    </w:p>
    <w:p>
      <w:pPr>
        <w:spacing w:after="0" w:line="200" w:lineRule="exact"/>
        <w:rPr>
          <w:sz w:val="20"/>
          <w:szCs w:val="20"/>
          <w:color w:val="auto"/>
        </w:rPr>
      </w:pPr>
    </w:p>
    <w:p>
      <w:pPr>
        <w:ind w:left="1860" w:right="1979"/>
        <w:spacing w:after="0" w:line="246" w:lineRule="auto"/>
        <w:rPr>
          <w:sz w:val="20"/>
          <w:szCs w:val="20"/>
          <w:color w:val="auto"/>
        </w:rPr>
      </w:pPr>
      <w:r>
        <w:rPr>
          <w:rFonts w:ascii="Courier New" w:cs="Courier New" w:eastAsia="Courier New" w:hAnsi="Courier New"/>
          <w:sz w:val="17"/>
          <w:szCs w:val="17"/>
          <w:color w:val="auto"/>
        </w:rPr>
        <w:t>The term of the 1998 Employment Agreement has been extended until September 30, 2001. Through September 30, 2001, you shall continue to be employed as a full-time Scotts' associate and you will continue to serve as an executive officer of Scotts with the title of Chairman of the Board. Your base salary, incentive compensation, expense reimbursement and benefits shall be paid as provided in the 1998 Employment Agreement through September 30, 2001.</w:t>
      </w:r>
    </w:p>
    <w:p>
      <w:pPr>
        <w:spacing w:after="0" w:line="203" w:lineRule="exact"/>
        <w:rPr>
          <w:sz w:val="20"/>
          <w:szCs w:val="20"/>
          <w:color w:val="auto"/>
        </w:rPr>
      </w:pPr>
    </w:p>
    <w:p>
      <w:pPr>
        <w:ind w:right="2499" w:firstLine="927"/>
        <w:spacing w:after="0" w:line="247" w:lineRule="auto"/>
        <w:rPr>
          <w:sz w:val="20"/>
          <w:szCs w:val="20"/>
          <w:color w:val="auto"/>
        </w:rPr>
      </w:pPr>
      <w:r>
        <w:rPr>
          <w:rFonts w:ascii="Courier New" w:cs="Courier New" w:eastAsia="Courier New" w:hAnsi="Courier New"/>
          <w:sz w:val="17"/>
          <w:szCs w:val="17"/>
          <w:color w:val="auto"/>
        </w:rPr>
        <w:t>Except as modified by the preceding paragraph, the 1998 Employment Agreement shall remain in full force and effect.</w:t>
      </w:r>
    </w:p>
    <w:p>
      <w:pPr>
        <w:sectPr>
          <w:pgSz w:w="11900" w:h="16838" w:orient="portrait"/>
          <w:cols w:equalWidth="0" w:num="1">
            <w:col w:w="10219"/>
          </w:cols>
          <w:pgMar w:left="240" w:top="1303" w:right="1440" w:bottom="1440" w:gutter="0" w:footer="0" w:header="0"/>
        </w:sectPr>
      </w:pPr>
    </w:p>
    <w:bookmarkStart w:id="279" w:name="page280"/>
    <w:bookmarkEnd w:id="279"/>
    <w:p>
      <w:pPr>
        <w:spacing w:after="0"/>
        <w:rPr>
          <w:sz w:val="20"/>
          <w:szCs w:val="20"/>
          <w:color w:val="auto"/>
        </w:rPr>
      </w:pPr>
      <w:r>
        <w:rPr>
          <w:rFonts w:ascii="Courier New" w:cs="Courier New" w:eastAsia="Courier New" w:hAnsi="Courier New"/>
          <w:sz w:val="17"/>
          <w:szCs w:val="17"/>
          <w:color w:val="auto"/>
        </w:rPr>
        <w:t>Charles M. Berger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September 25, 2001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Page 2</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FROM OCTOBER 1, 2001 THROUGH THE COMPANY'S 2003 ANNUAL MEETING OF SHAREHOLDERS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3"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From October 1, 2001 through the Company's 2003 Annual Meeting of Shareholders (presently scheduled to be held January 16, 2003), you shall continue as a Scotts' associate and executive officer (maintaining the title of Chairman of the Board) at an annual salary of $120,000. You shall be entitled to receive all benefits available to an executive officer of Scotts, but shall not be entitled to any incentive compensation or to a stock option grant. You shall be entitled to the use of the Company airplane for business purposes, to an annual physical at the Company's expense and to participate in the Ayco program so long as you remain Chairman of the Board.</w:t>
      </w:r>
    </w:p>
    <w:p>
      <w:pPr>
        <w:spacing w:after="0" w:line="203" w:lineRule="exact"/>
        <w:rPr>
          <w:sz w:val="20"/>
          <w:szCs w:val="20"/>
          <w:color w:val="auto"/>
        </w:rPr>
      </w:pPr>
    </w:p>
    <w:p>
      <w:pPr>
        <w:ind w:right="2179" w:firstLine="927"/>
        <w:spacing w:after="0" w:line="246" w:lineRule="auto"/>
        <w:rPr>
          <w:sz w:val="20"/>
          <w:szCs w:val="20"/>
          <w:color w:val="auto"/>
        </w:rPr>
      </w:pPr>
      <w:r>
        <w:rPr>
          <w:rFonts w:ascii="Courier New" w:cs="Courier New" w:eastAsia="Courier New" w:hAnsi="Courier New"/>
          <w:sz w:val="17"/>
          <w:szCs w:val="17"/>
          <w:color w:val="auto"/>
        </w:rPr>
        <w:t>You shall be entitled to a guest office and administrative assistance at Scotts' World Headquarters through the Company's 2003 Annual Meeting of Shareholders, but your principal office after October 1, 2001 shall be at your home in Naples, Florida. Scotts agrees to reimburse you for the commission you pay in connection with the sale of your home in Columbus, Ohio and for the expense of moving your personal effects to Naples, Florida, up to a maximum reimbursement of $150,000.</w:t>
      </w:r>
    </w:p>
    <w:p>
      <w:pPr>
        <w:spacing w:after="0" w:line="202"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It is presently the Committee's intention to have you stand for re-election as a Director of the Company when your current term expires at the Company's Annual Meeting of Shareholders in 2002. At the Company's 2003 Annual Meeting of Shareholders, it is expected that you will resign your position as Chairman of the Board and that you will retire as a full-time Scotts' associate. Upon your retirement as a full-time Scotts' associate, you shall be entitled to such benefits as are then available to a retiree at your then age and with your then years of service, and all other benefits that you were entitled to receive as Chairman of the Board shall cease.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FROM THE DATE OF THE COMPANY'S 2003 ANNUAL MEETING OF SHAREHOLDERS THROUGH MAY</w:t>
      </w:r>
    </w:p>
    <w:p>
      <w:pPr>
        <w:spacing w:after="0" w:line="5" w:lineRule="exact"/>
        <w:rPr>
          <w:sz w:val="20"/>
          <w:szCs w:val="20"/>
          <w:color w:val="auto"/>
        </w:rPr>
      </w:pPr>
    </w:p>
    <w:p>
      <w:pPr>
        <w:ind w:left="220" w:hanging="214"/>
        <w:spacing w:after="0"/>
        <w:tabs>
          <w:tab w:leader="none" w:pos="220" w:val="left"/>
        </w:tabs>
        <w:numPr>
          <w:ilvl w:val="0"/>
          <w:numId w:val="2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9, 2003</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2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ind w:right="2079" w:firstLine="927"/>
        <w:spacing w:after="0" w:line="246" w:lineRule="auto"/>
        <w:rPr>
          <w:sz w:val="20"/>
          <w:szCs w:val="20"/>
          <w:color w:val="auto"/>
        </w:rPr>
      </w:pPr>
      <w:r>
        <w:rPr>
          <w:rFonts w:ascii="Courier New" w:cs="Courier New" w:eastAsia="Courier New" w:hAnsi="Courier New"/>
          <w:sz w:val="17"/>
          <w:szCs w:val="17"/>
          <w:color w:val="auto"/>
        </w:rPr>
        <w:t>After your retirement from Scotts at the Company's 2003 Annual Meeting of Shareholders, you will continue to be paid monthly at the rate of $120,000 per year through May 9, 2003, but you will not be entitled to receive any benefits in addition to these payments.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AWARD FOR PRIOR SERVICES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3"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As an award for prior service, you shall be entitled to receive the sum of $611,036.63. This award shall be paid in monthly installments of $31,666.67 beginning in October, 2001 and payable each month thereafter through and including April, 2003, together with a final payment of $9,369.90 to be made in the month of May, 2003.</w:t>
      </w:r>
    </w:p>
    <w:p>
      <w:pPr>
        <w:sectPr>
          <w:pgSz w:w="11900" w:h="16838" w:orient="portrait"/>
          <w:cols w:equalWidth="0" w:num="1">
            <w:col w:w="10219"/>
          </w:cols>
          <w:pgMar w:left="240" w:top="511" w:right="1440" w:bottom="1440" w:gutter="0" w:footer="0" w:header="0"/>
        </w:sectPr>
      </w:pPr>
    </w:p>
    <w:bookmarkStart w:id="280" w:name="page281"/>
    <w:bookmarkEnd w:id="280"/>
    <w:p>
      <w:pPr>
        <w:spacing w:after="0"/>
        <w:rPr>
          <w:sz w:val="20"/>
          <w:szCs w:val="20"/>
          <w:color w:val="auto"/>
        </w:rPr>
      </w:pPr>
      <w:r>
        <w:rPr>
          <w:rFonts w:ascii="Courier New" w:cs="Courier New" w:eastAsia="Courier New" w:hAnsi="Courier New"/>
          <w:sz w:val="17"/>
          <w:szCs w:val="17"/>
          <w:color w:val="auto"/>
        </w:rPr>
        <w:t>Charles M. Berger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September 25, 2001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Page 3</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DEATH, DISABILITY OR CHANGE IN CONTROL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3"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Should you die or become totally disabled or should Scotts undergo a Change in Control (as defined in the 1998 Employment Agreement) prior to May 9, 2003, your beneficiaries or your estate shall be entitled to receive the balance of any payments due you through May 9, 2003. Any such payments due you shall be paid in a lump sum within 90 days of the effective date of the Change in Control or your death or total disability. Any options to purchase Scotts' common shares owned by you at your death shall be dealt with as provided in the Scotts' stock option plan pursuant to which they were granted.</w:t>
      </w:r>
    </w:p>
    <w:p>
      <w:pPr>
        <w:spacing w:after="0" w:line="203"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7"/>
          <w:szCs w:val="17"/>
          <w:color w:val="auto"/>
        </w:rPr>
        <w:t>Very truly yours,</w:t>
      </w:r>
    </w:p>
    <w:p>
      <w:pPr>
        <w:spacing w:after="0" w:line="200" w:lineRule="exact"/>
        <w:rPr>
          <w:sz w:val="20"/>
          <w:szCs w:val="20"/>
          <w:color w:val="auto"/>
        </w:rPr>
      </w:pP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/s/ Joseph P. Flannery</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Joseph P. Flannery, Chairman</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Compensation and Organization</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Committee of the Board of Directors</w:t>
      </w:r>
    </w:p>
    <w:p>
      <w:pPr>
        <w:sectPr>
          <w:pgSz w:w="11900" w:h="16838" w:orient="portrait"/>
          <w:cols w:equalWidth="0" w:num="1">
            <w:col w:w="10219"/>
          </w:cols>
          <w:pgMar w:left="240" w:top="511" w:right="1440" w:bottom="1440" w:gutter="0" w:footer="0" w:header="0"/>
        </w:sectPr>
      </w:pPr>
    </w:p>
    <w:bookmarkStart w:id="281" w:name="page282"/>
    <w:bookmarkEnd w:id="281"/>
    <w:p>
      <w:pPr>
        <w:jc w:val="center"/>
        <w:ind w:right="3079"/>
        <w:spacing w:after="0"/>
        <w:rPr>
          <w:sz w:val="20"/>
          <w:szCs w:val="20"/>
          <w:color w:val="auto"/>
        </w:rPr>
      </w:pPr>
      <w:r>
        <w:rPr>
          <w:rFonts w:ascii="Courier New" w:cs="Courier New" w:eastAsia="Courier New" w:hAnsi="Courier New"/>
          <w:sz w:val="17"/>
          <w:szCs w:val="17"/>
          <w:color w:val="auto"/>
        </w:rPr>
        <w:t>EXHIBIT 10(p)</w:t>
      </w:r>
    </w:p>
    <w:p>
      <w:pPr>
        <w:spacing w:after="0" w:line="203"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7"/>
          <w:szCs w:val="17"/>
          <w:color w:val="auto"/>
        </w:rPr>
        <w:t>Letter Agreement, dated October 14, 2001, between the</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7"/>
          <w:szCs w:val="17"/>
          <w:color w:val="auto"/>
        </w:rPr>
        <w:t>Registrant and Hadia Lefavre</w:t>
      </w:r>
    </w:p>
    <w:p>
      <w:pPr>
        <w:sectPr>
          <w:pgSz w:w="11900" w:h="16838" w:orient="portrait"/>
          <w:cols w:equalWidth="0" w:num="1">
            <w:col w:w="9019"/>
          </w:cols>
          <w:pgMar w:left="1440" w:top="538" w:right="1440" w:bottom="1440" w:gutter="0" w:footer="0" w:header="0"/>
        </w:sectPr>
      </w:pPr>
    </w:p>
    <w:bookmarkStart w:id="282" w:name="page283"/>
    <w:bookmarkEnd w:id="282"/>
    <w:p>
      <w:pPr>
        <w:spacing w:after="0" w:line="62" w:lineRule="exact"/>
        <w:rPr>
          <w:sz w:val="20"/>
          <w:szCs w:val="20"/>
          <w:color w:val="auto"/>
        </w:rPr>
      </w:pPr>
    </w:p>
    <w:p>
      <w:pPr>
        <w:ind w:left="6380"/>
        <w:spacing w:after="0"/>
        <w:rPr>
          <w:sz w:val="20"/>
          <w:szCs w:val="20"/>
          <w:color w:val="auto"/>
        </w:rPr>
      </w:pPr>
      <w:r>
        <w:rPr>
          <w:rFonts w:ascii="Courier New" w:cs="Courier New" w:eastAsia="Courier New" w:hAnsi="Courier New"/>
          <w:sz w:val="17"/>
          <w:szCs w:val="17"/>
          <w:color w:val="auto"/>
        </w:rPr>
        <w:t>October 14, 2001</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Ms. Hadia Lefavre</w:t>
      </w:r>
    </w:p>
    <w:p>
      <w:pPr>
        <w:spacing w:after="0" w:line="5" w:lineRule="exact"/>
        <w:rPr>
          <w:sz w:val="20"/>
          <w:szCs w:val="20"/>
          <w:color w:val="auto"/>
        </w:rPr>
      </w:pPr>
    </w:p>
    <w:p>
      <w:pPr>
        <w:ind w:right="8159" w:firstLine="6"/>
        <w:spacing w:after="0" w:line="247" w:lineRule="auto"/>
        <w:tabs>
          <w:tab w:leader="none" w:pos="412" w:val="left"/>
        </w:tabs>
        <w:numPr>
          <w:ilvl w:val="0"/>
          <w:numId w:val="2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Reinhard Columbus, Ohio 43206</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Dear Hadia:</w:t>
      </w:r>
    </w:p>
    <w:p>
      <w:pPr>
        <w:spacing w:after="0" w:line="203" w:lineRule="exact"/>
        <w:rPr>
          <w:sz w:val="20"/>
          <w:szCs w:val="20"/>
          <w:color w:val="auto"/>
        </w:rPr>
      </w:pPr>
    </w:p>
    <w:p>
      <w:pPr>
        <w:ind w:right="2079" w:firstLine="927"/>
        <w:spacing w:after="0" w:line="246" w:lineRule="auto"/>
        <w:rPr>
          <w:sz w:val="20"/>
          <w:szCs w:val="20"/>
          <w:color w:val="auto"/>
        </w:rPr>
      </w:pPr>
      <w:r>
        <w:rPr>
          <w:rFonts w:ascii="Courier New" w:cs="Courier New" w:eastAsia="Courier New" w:hAnsi="Courier New"/>
          <w:sz w:val="17"/>
          <w:szCs w:val="17"/>
          <w:color w:val="auto"/>
        </w:rPr>
        <w:t>This letter is intended to memorialize the agreement we have reached regarding your continued employment with The Scotts Company (the "Company"). We have agreed as follows:</w:t>
      </w:r>
    </w:p>
    <w:p>
      <w:pPr>
        <w:spacing w:after="0" w:line="200" w:lineRule="exact"/>
        <w:rPr>
          <w:sz w:val="20"/>
          <w:szCs w:val="20"/>
          <w:color w:val="auto"/>
        </w:rPr>
      </w:pPr>
    </w:p>
    <w:p>
      <w:pPr>
        <w:ind w:left="1340" w:right="2279" w:hanging="408"/>
        <w:spacing w:after="0" w:line="247" w:lineRule="auto"/>
        <w:tabs>
          <w:tab w:leader="none" w:pos="1340" w:val="left"/>
        </w:tabs>
        <w:numPr>
          <w:ilvl w:val="0"/>
          <w:numId w:val="2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You agree to continue in your present position as Executive Vice President - Human Resources until the earlier of:</w:t>
      </w:r>
    </w:p>
    <w:p>
      <w:pPr>
        <w:spacing w:after="0" w:line="197" w:lineRule="exact"/>
        <w:rPr>
          <w:rFonts w:ascii="Courier New" w:cs="Courier New" w:eastAsia="Courier New" w:hAnsi="Courier New"/>
          <w:sz w:val="17"/>
          <w:szCs w:val="17"/>
          <w:color w:val="auto"/>
        </w:rPr>
      </w:pPr>
    </w:p>
    <w:p>
      <w:pPr>
        <w:ind w:left="1760" w:hanging="416"/>
        <w:spacing w:after="0"/>
        <w:tabs>
          <w:tab w:leader="none" w:pos="1760" w:val="left"/>
        </w:tabs>
        <w:numPr>
          <w:ilvl w:val="1"/>
          <w:numId w:val="2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September 30, 2002;</w:t>
      </w:r>
    </w:p>
    <w:p>
      <w:pPr>
        <w:spacing w:after="0" w:line="203" w:lineRule="exact"/>
        <w:rPr>
          <w:rFonts w:ascii="Courier New" w:cs="Courier New" w:eastAsia="Courier New" w:hAnsi="Courier New"/>
          <w:sz w:val="17"/>
          <w:szCs w:val="17"/>
          <w:color w:val="auto"/>
        </w:rPr>
      </w:pPr>
    </w:p>
    <w:p>
      <w:pPr>
        <w:ind w:left="1760" w:right="2179" w:hanging="416"/>
        <w:spacing w:after="0" w:line="246" w:lineRule="auto"/>
        <w:tabs>
          <w:tab w:leader="none" w:pos="1760" w:val="left"/>
        </w:tabs>
        <w:numPr>
          <w:ilvl w:val="1"/>
          <w:numId w:val="2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date the Company terminates your employment without Cause (as that term is defined in the Company's 1996 Stock Option Plan);</w:t>
      </w:r>
    </w:p>
    <w:p>
      <w:pPr>
        <w:spacing w:after="0" w:line="199" w:lineRule="exact"/>
        <w:rPr>
          <w:rFonts w:ascii="Courier New" w:cs="Courier New" w:eastAsia="Courier New" w:hAnsi="Courier New"/>
          <w:sz w:val="17"/>
          <w:szCs w:val="17"/>
          <w:color w:val="auto"/>
        </w:rPr>
      </w:pPr>
    </w:p>
    <w:p>
      <w:pPr>
        <w:ind w:left="1760" w:hanging="416"/>
        <w:spacing w:after="0"/>
        <w:tabs>
          <w:tab w:leader="none" w:pos="1760" w:val="left"/>
        </w:tabs>
        <w:numPr>
          <w:ilvl w:val="1"/>
          <w:numId w:val="2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date of your death or total disability; or</w:t>
      </w:r>
    </w:p>
    <w:p>
      <w:pPr>
        <w:spacing w:after="0" w:line="203" w:lineRule="exact"/>
        <w:rPr>
          <w:rFonts w:ascii="Courier New" w:cs="Courier New" w:eastAsia="Courier New" w:hAnsi="Courier New"/>
          <w:sz w:val="17"/>
          <w:szCs w:val="17"/>
          <w:color w:val="auto"/>
        </w:rPr>
      </w:pPr>
    </w:p>
    <w:p>
      <w:pPr>
        <w:ind w:left="1760" w:right="2499" w:hanging="416"/>
        <w:spacing w:after="0" w:line="247" w:lineRule="auto"/>
        <w:tabs>
          <w:tab w:leader="none" w:pos="1760" w:val="left"/>
        </w:tabs>
        <w:numPr>
          <w:ilvl w:val="1"/>
          <w:numId w:val="2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effective date of a Change of Control (as that term is defined in the Company's 1996 Stock Option Plan).</w:t>
      </w:r>
    </w:p>
    <w:p>
      <w:pPr>
        <w:spacing w:after="0" w:line="198" w:lineRule="exact"/>
        <w:rPr>
          <w:sz w:val="20"/>
          <w:szCs w:val="20"/>
          <w:color w:val="auto"/>
        </w:rPr>
      </w:pPr>
    </w:p>
    <w:p>
      <w:pPr>
        <w:ind w:left="1340" w:right="2399"/>
        <w:spacing w:after="0" w:line="247" w:lineRule="auto"/>
        <w:rPr>
          <w:sz w:val="20"/>
          <w:szCs w:val="20"/>
          <w:color w:val="auto"/>
        </w:rPr>
      </w:pPr>
      <w:r>
        <w:rPr>
          <w:rFonts w:ascii="Courier New" w:cs="Courier New" w:eastAsia="Courier New" w:hAnsi="Courier New"/>
          <w:sz w:val="17"/>
          <w:szCs w:val="17"/>
          <w:color w:val="auto"/>
        </w:rPr>
        <w:t>Each of the dates set forth above is hereinafter referred to as the "Termination Date."</w:t>
      </w:r>
    </w:p>
    <w:p>
      <w:pPr>
        <w:spacing w:after="0" w:line="198" w:lineRule="exact"/>
        <w:rPr>
          <w:sz w:val="20"/>
          <w:szCs w:val="20"/>
          <w:color w:val="auto"/>
        </w:rPr>
      </w:pPr>
    </w:p>
    <w:p>
      <w:pPr>
        <w:ind w:left="1340" w:right="1979" w:hanging="408"/>
        <w:spacing w:after="0" w:line="246" w:lineRule="auto"/>
        <w:tabs>
          <w:tab w:leader="none" w:pos="1340" w:val="left"/>
        </w:tabs>
        <w:numPr>
          <w:ilvl w:val="0"/>
          <w:numId w:val="2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You presently have 60,000 options to purchase common shares of the Company that have vested and 40,000 options that have not vested. On the Termination Date, you shall be granted retirement status from the Company and the 100,000 options referenced above shall all vest according to the terms of the Company's 1996 Stock Option Plan.</w:t>
      </w:r>
    </w:p>
    <w:p>
      <w:pPr>
        <w:spacing w:after="0" w:line="201" w:lineRule="exact"/>
        <w:rPr>
          <w:rFonts w:ascii="Courier New" w:cs="Courier New" w:eastAsia="Courier New" w:hAnsi="Courier New"/>
          <w:sz w:val="17"/>
          <w:szCs w:val="17"/>
          <w:color w:val="auto"/>
        </w:rPr>
      </w:pPr>
    </w:p>
    <w:p>
      <w:pPr>
        <w:ind w:left="1340" w:right="2399" w:hanging="408"/>
        <w:spacing w:after="0" w:line="246" w:lineRule="auto"/>
        <w:tabs>
          <w:tab w:leader="none" w:pos="1340" w:val="left"/>
        </w:tabs>
        <w:numPr>
          <w:ilvl w:val="0"/>
          <w:numId w:val="2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addition to the options referenced in paragraph 2 above, it is expected that you will be granted an additional 17,000 options in October or November of this year. On the Termination Date, you may choose either:</w:t>
      </w:r>
    </w:p>
    <w:p>
      <w:pPr>
        <w:spacing w:after="0" w:line="200" w:lineRule="exact"/>
        <w:rPr>
          <w:rFonts w:ascii="Courier New" w:cs="Courier New" w:eastAsia="Courier New" w:hAnsi="Courier New"/>
          <w:sz w:val="17"/>
          <w:szCs w:val="17"/>
          <w:color w:val="auto"/>
        </w:rPr>
      </w:pPr>
    </w:p>
    <w:p>
      <w:pPr>
        <w:ind w:left="1760" w:right="1979" w:hanging="416"/>
        <w:spacing w:after="0" w:line="247" w:lineRule="auto"/>
        <w:tabs>
          <w:tab w:leader="none" w:pos="1760" w:val="left"/>
        </w:tabs>
        <w:numPr>
          <w:ilvl w:val="1"/>
          <w:numId w:val="2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keep these options and have them vest according to the terms of the Company's 1996 Stock Option Plan; or</w:t>
      </w:r>
    </w:p>
    <w:p>
      <w:pPr>
        <w:spacing w:after="0" w:line="197" w:lineRule="exact"/>
        <w:rPr>
          <w:rFonts w:ascii="Courier New" w:cs="Courier New" w:eastAsia="Courier New" w:hAnsi="Courier New"/>
          <w:sz w:val="17"/>
          <w:szCs w:val="17"/>
          <w:color w:val="auto"/>
        </w:rPr>
      </w:pPr>
    </w:p>
    <w:p>
      <w:pPr>
        <w:ind w:left="1760" w:right="2079" w:hanging="416"/>
        <w:spacing w:after="0" w:line="246" w:lineRule="auto"/>
        <w:tabs>
          <w:tab w:leader="none" w:pos="1760" w:val="left"/>
        </w:tabs>
        <w:numPr>
          <w:ilvl w:val="1"/>
          <w:numId w:val="2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require the Company to redeem these options and to pay you the Black-Scholes value of these options (calculated as of the date of the grant) in cash within 30 days of the Termination Date.</w:t>
      </w:r>
    </w:p>
    <w:p>
      <w:pPr>
        <w:sectPr>
          <w:pgSz w:w="11900" w:h="16838" w:orient="portrait"/>
          <w:cols w:equalWidth="0" w:num="1">
            <w:col w:w="10219"/>
          </w:cols>
          <w:pgMar w:left="240" w:top="1440" w:right="1440" w:bottom="1440" w:gutter="0" w:footer="0" w:header="0"/>
        </w:sectPr>
      </w:pPr>
    </w:p>
    <w:bookmarkStart w:id="283" w:name="page284"/>
    <w:bookmarkEnd w:id="283"/>
    <w:p>
      <w:pPr>
        <w:jc w:val="both"/>
        <w:ind w:left="1340" w:right="1979" w:hanging="408"/>
        <w:spacing w:after="0" w:line="246" w:lineRule="auto"/>
        <w:tabs>
          <w:tab w:leader="none" w:pos="1340" w:val="left"/>
        </w:tabs>
        <w:numPr>
          <w:ilvl w:val="0"/>
          <w:numId w:val="2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the Termination Date, you shall be entitled to receive a payment (in 12 equal monthly installments, beginning in the month following the Termination Date) equal to your current annual salary plus your target bonus in effect at the Termination Date.</w:t>
      </w:r>
    </w:p>
    <w:p>
      <w:pPr>
        <w:spacing w:after="0" w:line="200" w:lineRule="exact"/>
        <w:rPr>
          <w:rFonts w:ascii="Courier New" w:cs="Courier New" w:eastAsia="Courier New" w:hAnsi="Courier New"/>
          <w:sz w:val="17"/>
          <w:szCs w:val="17"/>
          <w:color w:val="auto"/>
        </w:rPr>
      </w:pPr>
    </w:p>
    <w:p>
      <w:pPr>
        <w:ind w:left="1340" w:right="2399" w:hanging="408"/>
        <w:spacing w:after="0" w:line="246" w:lineRule="auto"/>
        <w:tabs>
          <w:tab w:leader="none" w:pos="1340" w:val="left"/>
        </w:tabs>
        <w:numPr>
          <w:ilvl w:val="0"/>
          <w:numId w:val="2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Following the Termination Date, you shall be reimbursed up to $50,000 for the commission paid on the sale of your house in Columbus, Ohio and your actual moving expenses from Columbus to Philadelphia. Reimbursement shall be made against paid receipts submitted to the Company.</w:t>
      </w:r>
    </w:p>
    <w:p>
      <w:pPr>
        <w:spacing w:after="0" w:line="201"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The terms of this letter supercede the provisions of the paragraph entitled "Separation Agreement" in the letter agreement between you and the Company dated March 16, 1999. In addition, I am certain you understand that the agreements set forth in this letter do not apply should you voluntarily terminate your employment with the Company prior to September 30, 2002 or should the Company terminate your employment for Cause.</w:t>
      </w:r>
    </w:p>
    <w:p>
      <w:pPr>
        <w:spacing w:after="0" w:line="202" w:lineRule="exact"/>
        <w:rPr>
          <w:sz w:val="20"/>
          <w:szCs w:val="20"/>
          <w:color w:val="auto"/>
        </w:rPr>
      </w:pPr>
    </w:p>
    <w:p>
      <w:pPr>
        <w:ind w:right="2079" w:firstLine="927"/>
        <w:spacing w:after="0" w:line="246" w:lineRule="auto"/>
        <w:rPr>
          <w:sz w:val="20"/>
          <w:szCs w:val="20"/>
          <w:color w:val="auto"/>
        </w:rPr>
      </w:pPr>
      <w:r>
        <w:rPr>
          <w:rFonts w:ascii="Courier New" w:cs="Courier New" w:eastAsia="Courier New" w:hAnsi="Courier New"/>
          <w:sz w:val="17"/>
          <w:szCs w:val="17"/>
          <w:color w:val="auto"/>
        </w:rPr>
        <w:t>Two copies of this letter are enclosed. Finally, this agreement is subject to final approval by the Board of Directors. In the event that such approval is not obtained, the original "separation agreement" referenced in the preceding paragraph shall remain in effect.</w:t>
      </w:r>
    </w:p>
    <w:p>
      <w:pPr>
        <w:spacing w:after="0" w:line="200"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Please indicate your agreement with the terms set forth herein by executing one copy of this letter and returning it to me. The second copy is for your records.</w:t>
      </w:r>
    </w:p>
    <w:p>
      <w:pPr>
        <w:spacing w:after="0" w:line="200" w:lineRule="exact"/>
        <w:rPr>
          <w:sz w:val="20"/>
          <w:szCs w:val="20"/>
          <w:color w:val="auto"/>
        </w:rPr>
      </w:pPr>
    </w:p>
    <w:p>
      <w:pPr>
        <w:ind w:right="2279" w:firstLine="927"/>
        <w:spacing w:after="0" w:line="246" w:lineRule="auto"/>
        <w:rPr>
          <w:sz w:val="20"/>
          <w:szCs w:val="20"/>
          <w:color w:val="auto"/>
        </w:rPr>
      </w:pPr>
      <w:r>
        <w:rPr>
          <w:rFonts w:ascii="Courier New" w:cs="Courier New" w:eastAsia="Courier New" w:hAnsi="Courier New"/>
          <w:sz w:val="17"/>
          <w:szCs w:val="17"/>
          <w:color w:val="auto"/>
        </w:rPr>
        <w:t>Hadia, I am pleased that we could reach agreement on the matters set forth above and I look forward to working with you for the balance of this fiscal year.</w:t>
      </w:r>
    </w:p>
    <w:p>
      <w:pPr>
        <w:spacing w:after="0" w:line="200"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Very truly yours,</w:t>
      </w:r>
    </w:p>
    <w:p>
      <w:pPr>
        <w:spacing w:after="0" w:line="203"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/s/ James Hagedorn</w:t>
      </w:r>
    </w:p>
    <w:p>
      <w:pPr>
        <w:spacing w:after="0" w:line="203"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James Hagedorn</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President and Chief Executive Officer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Dear Jim:</w:t>
      </w:r>
    </w:p>
    <w:p>
      <w:pPr>
        <w:spacing w:after="0" w:line="203" w:lineRule="exact"/>
        <w:rPr>
          <w:sz w:val="20"/>
          <w:szCs w:val="20"/>
          <w:color w:val="auto"/>
        </w:rPr>
      </w:pPr>
    </w:p>
    <w:p>
      <w:pPr>
        <w:ind w:right="2279" w:firstLine="927"/>
        <w:spacing w:after="0" w:line="246" w:lineRule="auto"/>
        <w:rPr>
          <w:sz w:val="20"/>
          <w:szCs w:val="20"/>
          <w:color w:val="auto"/>
        </w:rPr>
      </w:pPr>
      <w:r>
        <w:rPr>
          <w:rFonts w:ascii="Courier New" w:cs="Courier New" w:eastAsia="Courier New" w:hAnsi="Courier New"/>
          <w:sz w:val="17"/>
          <w:szCs w:val="17"/>
          <w:color w:val="auto"/>
        </w:rPr>
        <w:t>I agree that this letter sets forth the agreements you and I have reached regarding my continued employment with the Company. I understand this agreement was approved by the Compensation Committee of October 23, 2001.</w:t>
      </w:r>
    </w:p>
    <w:p>
      <w:pPr>
        <w:spacing w:after="0" w:line="200"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/s/ Hadia Lefavre</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Hadia Lefavre</w:t>
      </w:r>
    </w:p>
    <w:p>
      <w:pPr>
        <w:sectPr>
          <w:pgSz w:w="11900" w:h="16838" w:orient="portrait"/>
          <w:cols w:equalWidth="0" w:num="1">
            <w:col w:w="10219"/>
          </w:cols>
          <w:pgMar w:left="240" w:top="709" w:right="1440" w:bottom="1440" w:gutter="0" w:footer="0" w:header="0"/>
        </w:sectPr>
      </w:pPr>
    </w:p>
    <w:bookmarkStart w:id="284" w:name="page285"/>
    <w:bookmarkEnd w:id="284"/>
    <w:p>
      <w:pPr>
        <w:jc w:val="center"/>
        <w:ind w:right="3019"/>
        <w:spacing w:after="0"/>
        <w:rPr>
          <w:sz w:val="20"/>
          <w:szCs w:val="20"/>
          <w:color w:val="auto"/>
        </w:rPr>
      </w:pPr>
      <w:r>
        <w:rPr>
          <w:rFonts w:ascii="Courier New" w:cs="Courier New" w:eastAsia="Courier New" w:hAnsi="Courier New"/>
          <w:sz w:val="17"/>
          <w:szCs w:val="17"/>
          <w:color w:val="auto"/>
        </w:rPr>
        <w:t>EXHIBIT 10(s)</w:t>
      </w:r>
    </w:p>
    <w:p>
      <w:pPr>
        <w:spacing w:after="0" w:line="203"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7"/>
          <w:szCs w:val="17"/>
          <w:color w:val="auto"/>
        </w:rPr>
        <w:t>Settlement Agreement, dated November 27, 2001, between the</w:t>
      </w:r>
    </w:p>
    <w:p>
      <w:pPr>
        <w:spacing w:after="0" w:line="5"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7"/>
          <w:szCs w:val="17"/>
          <w:color w:val="auto"/>
        </w:rPr>
        <w:t>Registrant and Laurens J.M. de Kort</w:t>
      </w:r>
    </w:p>
    <w:p>
      <w:pPr>
        <w:sectPr>
          <w:pgSz w:w="11900" w:h="16838" w:orient="portrait"/>
          <w:cols w:equalWidth="0" w:num="1">
            <w:col w:w="9079"/>
          </w:cols>
          <w:pgMar w:left="1380" w:top="340" w:right="1440" w:bottom="1440" w:gutter="0" w:footer="0" w:header="0"/>
        </w:sectPr>
      </w:pPr>
    </w:p>
    <w:bookmarkStart w:id="285" w:name="page286"/>
    <w:bookmarkEnd w:id="285"/>
    <w:p>
      <w:pPr>
        <w:jc w:val="center"/>
        <w:ind w:right="1979"/>
        <w:spacing w:after="0"/>
        <w:rPr>
          <w:sz w:val="20"/>
          <w:szCs w:val="20"/>
          <w:color w:val="auto"/>
        </w:rPr>
      </w:pPr>
      <w:r>
        <w:rPr>
          <w:rFonts w:ascii="Courier New" w:cs="Courier New" w:eastAsia="Courier New" w:hAnsi="Courier New"/>
          <w:sz w:val="17"/>
          <w:szCs w:val="17"/>
          <w:color w:val="auto"/>
        </w:rPr>
        <w:t>SETTLEMENT AGREEMENT</w:t>
      </w:r>
    </w:p>
    <w:p>
      <w:pPr>
        <w:spacing w:after="0" w:line="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(IN ACCORDANCE WITH CLAUSE 7:900 OF THE DUTCH CIVIL CODE)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BETWEEN:</w:t>
      </w:r>
    </w:p>
    <w:p>
      <w:pPr>
        <w:spacing w:after="0" w:line="203" w:lineRule="exact"/>
        <w:rPr>
          <w:sz w:val="20"/>
          <w:szCs w:val="20"/>
          <w:color w:val="auto"/>
        </w:rPr>
      </w:pPr>
    </w:p>
    <w:p>
      <w:pPr>
        <w:ind w:left="520" w:hanging="514"/>
        <w:spacing w:after="0"/>
        <w:tabs>
          <w:tab w:leader="none" w:pos="520" w:val="left"/>
        </w:tabs>
        <w:numPr>
          <w:ilvl w:val="0"/>
          <w:numId w:val="2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L.J.M. DE KORT, an individual residing in [ADDRESS</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 (hereinafter referred to as "DE KORT");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w:t>
      </w:r>
    </w:p>
    <w:p>
      <w:pPr>
        <w:spacing w:after="0" w:line="203" w:lineRule="exact"/>
        <w:rPr>
          <w:sz w:val="20"/>
          <w:szCs w:val="20"/>
          <w:color w:val="auto"/>
        </w:rPr>
      </w:pPr>
    </w:p>
    <w:p>
      <w:pPr>
        <w:ind w:left="520" w:right="1979" w:hanging="514"/>
        <w:spacing w:after="0" w:line="246" w:lineRule="auto"/>
        <w:tabs>
          <w:tab w:leader="none" w:pos="520" w:val="left"/>
        </w:tabs>
        <w:numPr>
          <w:ilvl w:val="0"/>
          <w:numId w:val="2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SCOTTS INTERNATIONAL B.V., a private company with limited liability (besloten vennootschap met beperkte aansprakelijkheid), incorporated under the laws of The Netherlands, having its registered office at Heerlen, The Netherlands and its principal place of business at Koeweitstraat 2, 4181 CD Waardenburg, The Netherlands (hereinafter referred to as "SCOTTS");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 Kort and Scotts hereinafter jointly referred to as the "PARTIES".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WHEREAS:</w:t>
      </w:r>
    </w:p>
    <w:p>
      <w:pPr>
        <w:spacing w:after="0" w:line="203" w:lineRule="exact"/>
        <w:rPr>
          <w:sz w:val="20"/>
          <w:szCs w:val="20"/>
          <w:color w:val="auto"/>
        </w:rPr>
      </w:pPr>
    </w:p>
    <w:p>
      <w:pPr>
        <w:ind w:left="520" w:hanging="514"/>
        <w:spacing w:after="0"/>
        <w:tabs>
          <w:tab w:leader="none" w:pos="520" w:val="left"/>
        </w:tabs>
        <w:numPr>
          <w:ilvl w:val="0"/>
          <w:numId w:val="2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 Kort has been employed by Scotts from 7 September 1982;</w:t>
      </w:r>
    </w:p>
    <w:p>
      <w:pPr>
        <w:spacing w:after="0" w:line="203" w:lineRule="exact"/>
        <w:rPr>
          <w:rFonts w:ascii="Courier New" w:cs="Courier New" w:eastAsia="Courier New" w:hAnsi="Courier New"/>
          <w:sz w:val="17"/>
          <w:szCs w:val="17"/>
          <w:color w:val="auto"/>
        </w:rPr>
      </w:pPr>
    </w:p>
    <w:p>
      <w:pPr>
        <w:ind w:left="520" w:right="2499" w:hanging="514"/>
        <w:spacing w:after="0" w:line="247" w:lineRule="auto"/>
        <w:tabs>
          <w:tab w:leader="none" w:pos="520" w:val="left"/>
        </w:tabs>
        <w:numPr>
          <w:ilvl w:val="0"/>
          <w:numId w:val="2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17 August 1995 Parties have entered into a new employment agreement (hereinafter referred to as the "EMPLOYMENT AGREEMENT");</w:t>
      </w:r>
    </w:p>
    <w:p>
      <w:pPr>
        <w:spacing w:after="0" w:line="197" w:lineRule="exact"/>
        <w:rPr>
          <w:rFonts w:ascii="Courier New" w:cs="Courier New" w:eastAsia="Courier New" w:hAnsi="Courier New"/>
          <w:sz w:val="17"/>
          <w:szCs w:val="17"/>
          <w:color w:val="auto"/>
        </w:rPr>
      </w:pPr>
    </w:p>
    <w:p>
      <w:pPr>
        <w:ind w:left="520" w:right="1979" w:hanging="514"/>
        <w:spacing w:after="0" w:line="246" w:lineRule="auto"/>
        <w:tabs>
          <w:tab w:leader="none" w:pos="520" w:val="left"/>
        </w:tabs>
        <w:numPr>
          <w:ilvl w:val="0"/>
          <w:numId w:val="2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 Kort has been appointed as Managing Director (statutair directeur) of Scotts as of 11 November 1995. Furthermore, has a number of other positions within affiliated companies of Scotts;</w:t>
      </w:r>
    </w:p>
    <w:p>
      <w:pPr>
        <w:spacing w:after="0" w:line="199" w:lineRule="exact"/>
        <w:rPr>
          <w:rFonts w:ascii="Courier New" w:cs="Courier New" w:eastAsia="Courier New" w:hAnsi="Courier New"/>
          <w:sz w:val="17"/>
          <w:szCs w:val="17"/>
          <w:color w:val="auto"/>
        </w:rPr>
      </w:pPr>
    </w:p>
    <w:p>
      <w:pPr>
        <w:ind w:left="520" w:right="2079" w:hanging="514"/>
        <w:spacing w:after="0" w:line="246" w:lineRule="auto"/>
        <w:tabs>
          <w:tab w:leader="none" w:pos="520" w:val="left"/>
        </w:tabs>
        <w:numPr>
          <w:ilvl w:val="0"/>
          <w:numId w:val="2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dispute has arisen as regards the position of De Kort as a result of which the Parties have agreed on a termination of De Kort's employment and positions within Scotts and any affiliated companies of Scotts (the "ASSOCIATED COMPANIES") under the terms and conditions set forth hereinafter;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HEREBY IT IS AGREED AS FOLLOWS</w:t>
      </w:r>
    </w:p>
    <w:p>
      <w:pPr>
        <w:spacing w:after="0" w:line="203" w:lineRule="exact"/>
        <w:rPr>
          <w:sz w:val="20"/>
          <w:szCs w:val="20"/>
          <w:color w:val="auto"/>
        </w:rPr>
      </w:pPr>
    </w:p>
    <w:p>
      <w:pPr>
        <w:ind w:left="520" w:hanging="514"/>
        <w:spacing w:after="0"/>
        <w:tabs>
          <w:tab w:leader="none" w:pos="520" w:val="left"/>
        </w:tabs>
        <w:numPr>
          <w:ilvl w:val="0"/>
          <w:numId w:val="2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OF EMPLOYMENT</w:t>
      </w:r>
    </w:p>
    <w:p>
      <w:pPr>
        <w:spacing w:after="0" w:line="203" w:lineRule="exact"/>
        <w:rPr>
          <w:sz w:val="20"/>
          <w:szCs w:val="20"/>
          <w:color w:val="auto"/>
        </w:rPr>
      </w:pPr>
    </w:p>
    <w:p>
      <w:pPr>
        <w:ind w:left="520" w:right="2179" w:hanging="514"/>
        <w:spacing w:after="0" w:line="246" w:lineRule="auto"/>
        <w:tabs>
          <w:tab w:leader="none" w:pos="500" w:val="left"/>
        </w:tabs>
        <w:rPr>
          <w:sz w:val="20"/>
          <w:szCs w:val="20"/>
          <w:color w:val="auto"/>
        </w:rPr>
      </w:pPr>
      <w:r>
        <w:rPr>
          <w:rFonts w:ascii="Courier New" w:cs="Courier New" w:eastAsia="Courier New" w:hAnsi="Courier New"/>
          <w:sz w:val="17"/>
          <w:szCs w:val="17"/>
          <w:color w:val="auto"/>
        </w:rPr>
        <w:t>1.1</w:t>
        <w:tab/>
        <w:t>The Parties will request the District Court to terminate the Employment Agreement between De Kort and Scotts through formal court proceedings as per 31 October 2001 (the "TERMINATION DATE"). Scotts will file a petition with the District Court asking for the termination of the Employment Agreement as per 31 October 2001 on neutral grounds. De Kort will defend himself against this petition only on so-called "formal grounds" by submitting a short statement of defence with the District Court. The Parties will agree on the contents of those</w:t>
      </w:r>
    </w:p>
    <w:p>
      <w:pPr>
        <w:sectPr>
          <w:pgSz w:w="11900" w:h="16838" w:orient="portrait"/>
          <w:cols w:equalWidth="0" w:num="1">
            <w:col w:w="10219"/>
          </w:cols>
          <w:pgMar w:left="240" w:top="1303" w:right="1440" w:bottom="1440" w:gutter="0" w:footer="0" w:header="0"/>
        </w:sectPr>
      </w:pPr>
    </w:p>
    <w:bookmarkStart w:id="286" w:name="page287"/>
    <w:bookmarkEnd w:id="286"/>
    <w:p>
      <w:pPr>
        <w:ind w:left="520" w:right="2499"/>
        <w:spacing w:after="0" w:line="247" w:lineRule="auto"/>
        <w:rPr>
          <w:sz w:val="20"/>
          <w:szCs w:val="20"/>
          <w:color w:val="auto"/>
        </w:rPr>
      </w:pPr>
      <w:r>
        <w:rPr>
          <w:rFonts w:ascii="Courier New" w:cs="Courier New" w:eastAsia="Courier New" w:hAnsi="Courier New"/>
          <w:sz w:val="17"/>
          <w:szCs w:val="17"/>
          <w:color w:val="auto"/>
        </w:rPr>
        <w:t>documents beforehand. The Parties will waive their respective right to an oral hearing.</w:t>
      </w:r>
    </w:p>
    <w:p>
      <w:pPr>
        <w:spacing w:after="0" w:line="198" w:lineRule="exact"/>
        <w:rPr>
          <w:sz w:val="20"/>
          <w:szCs w:val="20"/>
          <w:color w:val="auto"/>
        </w:rPr>
      </w:pPr>
    </w:p>
    <w:p>
      <w:pPr>
        <w:ind w:left="520" w:hanging="514"/>
        <w:spacing w:after="0"/>
        <w:tabs>
          <w:tab w:leader="none" w:pos="520" w:val="left"/>
        </w:tabs>
        <w:numPr>
          <w:ilvl w:val="0"/>
          <w:numId w:val="2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RELEASE OF DUTIES</w:t>
      </w:r>
    </w:p>
    <w:p>
      <w:pPr>
        <w:spacing w:after="0" w:line="203" w:lineRule="exact"/>
        <w:rPr>
          <w:sz w:val="20"/>
          <w:szCs w:val="20"/>
          <w:color w:val="auto"/>
        </w:rPr>
      </w:pPr>
    </w:p>
    <w:p>
      <w:pPr>
        <w:ind w:left="520" w:right="1979" w:hanging="514"/>
        <w:spacing w:after="0" w:line="246" w:lineRule="auto"/>
        <w:tabs>
          <w:tab w:leader="none" w:pos="500" w:val="left"/>
        </w:tabs>
        <w:rPr>
          <w:sz w:val="20"/>
          <w:szCs w:val="20"/>
          <w:color w:val="auto"/>
        </w:rPr>
      </w:pPr>
      <w:r>
        <w:rPr>
          <w:rFonts w:ascii="Courier New" w:cs="Courier New" w:eastAsia="Courier New" w:hAnsi="Courier New"/>
          <w:sz w:val="17"/>
          <w:szCs w:val="17"/>
          <w:color w:val="auto"/>
        </w:rPr>
        <w:t>2.1</w:t>
        <w:tab/>
        <w:t>Until the Termination Date, De Kort will not perform any duties under the Employment Agreement. During this period, De Kort furthermore shall not perform or exercise any function or activities as employee or director of Scotts or of the Associated Companies, including the exercise of any authorities granted to him under (supervisory) board resolutions, powers of attorney, mandates or any other similar instruments, unless specifically and occasionally requested by Scotts, which De Kort hereby accepts.</w:t>
      </w:r>
    </w:p>
    <w:p>
      <w:pPr>
        <w:spacing w:after="0" w:line="202" w:lineRule="exact"/>
        <w:rPr>
          <w:sz w:val="20"/>
          <w:szCs w:val="20"/>
          <w:color w:val="auto"/>
        </w:rPr>
      </w:pPr>
    </w:p>
    <w:p>
      <w:pPr>
        <w:ind w:left="520" w:hanging="514"/>
        <w:spacing w:after="0"/>
        <w:tabs>
          <w:tab w:leader="none" w:pos="520" w:val="left"/>
        </w:tabs>
        <w:numPr>
          <w:ilvl w:val="0"/>
          <w:numId w:val="2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CONTINUATION OF SALARY AND OTHER BENEFITS</w:t>
      </w:r>
    </w:p>
    <w:p>
      <w:pPr>
        <w:spacing w:after="0" w:line="203" w:lineRule="exact"/>
        <w:rPr>
          <w:sz w:val="20"/>
          <w:szCs w:val="20"/>
          <w:color w:val="auto"/>
        </w:rPr>
      </w:pPr>
    </w:p>
    <w:p>
      <w:pPr>
        <w:ind w:left="520" w:right="2179" w:hanging="514"/>
        <w:spacing w:after="0" w:line="246" w:lineRule="auto"/>
        <w:tabs>
          <w:tab w:leader="none" w:pos="500" w:val="left"/>
        </w:tabs>
        <w:rPr>
          <w:sz w:val="20"/>
          <w:szCs w:val="20"/>
          <w:color w:val="auto"/>
        </w:rPr>
      </w:pPr>
      <w:r>
        <w:rPr>
          <w:rFonts w:ascii="Courier New" w:cs="Courier New" w:eastAsia="Courier New" w:hAnsi="Courier New"/>
          <w:sz w:val="17"/>
          <w:szCs w:val="17"/>
          <w:color w:val="auto"/>
        </w:rPr>
        <w:t>3.1</w:t>
        <w:tab/>
        <w:t>Scotts shall continue to pay De Kort his current regular salary and other customary benefits pursuant to the Employment Agreement until the Termination Date. De Kort will submit the final cost expenses accompanied by invoices for settlement before the Termination Date.</w:t>
      </w:r>
    </w:p>
    <w:p>
      <w:pPr>
        <w:spacing w:after="0" w:line="200" w:lineRule="exact"/>
        <w:rPr>
          <w:sz w:val="20"/>
          <w:szCs w:val="20"/>
          <w:color w:val="auto"/>
        </w:rPr>
      </w:pPr>
    </w:p>
    <w:p>
      <w:pPr>
        <w:ind w:left="520" w:right="2079" w:hanging="514"/>
        <w:spacing w:after="0" w:line="246" w:lineRule="auto"/>
        <w:tabs>
          <w:tab w:leader="none" w:pos="500" w:val="left"/>
        </w:tabs>
        <w:rPr>
          <w:sz w:val="20"/>
          <w:szCs w:val="20"/>
          <w:color w:val="auto"/>
        </w:rPr>
      </w:pPr>
      <w:r>
        <w:rPr>
          <w:rFonts w:ascii="Courier New" w:cs="Courier New" w:eastAsia="Courier New" w:hAnsi="Courier New"/>
          <w:sz w:val="17"/>
          <w:szCs w:val="17"/>
          <w:color w:val="auto"/>
        </w:rPr>
        <w:t>3.2</w:t>
        <w:tab/>
        <w:t>The bonus for fiscal year 2001 will be established and subsequent payment will be made in accordance with the bonus incentive arrangement applicable within Scotts. De Kort is not entitled to any other bonus payments.</w:t>
      </w:r>
    </w:p>
    <w:p>
      <w:pPr>
        <w:spacing w:after="0" w:line="200" w:lineRule="exact"/>
        <w:rPr>
          <w:sz w:val="20"/>
          <w:szCs w:val="20"/>
          <w:color w:val="auto"/>
        </w:rPr>
      </w:pPr>
    </w:p>
    <w:p>
      <w:pPr>
        <w:ind w:left="520" w:hanging="514"/>
        <w:spacing w:after="0"/>
        <w:tabs>
          <w:tab w:leader="none" w:pos="520" w:val="left"/>
        </w:tabs>
        <w:numPr>
          <w:ilvl w:val="0"/>
          <w:numId w:val="2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SEVERANCE PAYMENT</w:t>
      </w:r>
    </w:p>
    <w:p>
      <w:pPr>
        <w:spacing w:after="0" w:line="203" w:lineRule="exact"/>
        <w:rPr>
          <w:sz w:val="20"/>
          <w:szCs w:val="20"/>
          <w:color w:val="auto"/>
        </w:rPr>
      </w:pPr>
    </w:p>
    <w:p>
      <w:pPr>
        <w:ind w:left="520" w:right="1979" w:hanging="514"/>
        <w:spacing w:after="0" w:line="246" w:lineRule="auto"/>
        <w:tabs>
          <w:tab w:leader="none" w:pos="500" w:val="left"/>
        </w:tabs>
        <w:rPr>
          <w:sz w:val="20"/>
          <w:szCs w:val="20"/>
          <w:color w:val="auto"/>
        </w:rPr>
      </w:pPr>
      <w:r>
        <w:rPr>
          <w:rFonts w:ascii="Courier New" w:cs="Courier New" w:eastAsia="Courier New" w:hAnsi="Courier New"/>
          <w:sz w:val="17"/>
          <w:szCs w:val="17"/>
          <w:color w:val="auto"/>
        </w:rPr>
        <w:t>4.1</w:t>
        <w:tab/>
        <w:t>Scotts shall pay to De Kort an amount of NLG 2,550,000.- gross as a compensation for the termination of his employment and the loss of income as a result thereof (the "COMPENSATION SUM"). If De Kort desires, Scotts is prepared to pay some or all of the Compensation Sum into a Dutch limited liability company incorporated by De Kort (THE "STAMRECHT B.V."), provided that the compensation will be used for the purchase of rights that qualify under the stamrecht exemption in Article 11 paragraph 1 sub g of the Wages and Salaries Tax Act 1964 (Wet op de Loonbelasting 1964).</w:t>
      </w:r>
    </w:p>
    <w:p>
      <w:pPr>
        <w:spacing w:after="0" w:line="203" w:lineRule="exact"/>
        <w:rPr>
          <w:sz w:val="20"/>
          <w:szCs w:val="20"/>
          <w:color w:val="auto"/>
        </w:rPr>
      </w:pPr>
    </w:p>
    <w:p>
      <w:pPr>
        <w:jc w:val="center"/>
        <w:ind w:right="1979"/>
        <w:spacing w:after="0"/>
        <w:tabs>
          <w:tab w:leader="none" w:pos="180" w:val="left"/>
        </w:tabs>
        <w:rPr>
          <w:sz w:val="20"/>
          <w:szCs w:val="20"/>
          <w:color w:val="auto"/>
        </w:rPr>
      </w:pPr>
      <w:r>
        <w:rPr>
          <w:rFonts w:ascii="Courier New" w:cs="Courier New" w:eastAsia="Courier New" w:hAnsi="Courier New"/>
          <w:sz w:val="17"/>
          <w:szCs w:val="17"/>
          <w:color w:val="auto"/>
        </w:rPr>
        <w:t>4.2</w:t>
        <w:tab/>
        <w:t>Scotts will pay the Compensation Sum at the Termination Date. De Kort shall</w:t>
      </w:r>
    </w:p>
    <w:p>
      <w:pPr>
        <w:spacing w:after="0" w:line="5" w:lineRule="exact"/>
        <w:rPr>
          <w:sz w:val="20"/>
          <w:szCs w:val="20"/>
          <w:color w:val="auto"/>
        </w:rPr>
      </w:pPr>
    </w:p>
    <w:p>
      <w:pPr>
        <w:ind w:left="520" w:right="2499"/>
        <w:spacing w:after="0" w:line="247" w:lineRule="auto"/>
        <w:rPr>
          <w:sz w:val="20"/>
          <w:szCs w:val="20"/>
          <w:color w:val="auto"/>
        </w:rPr>
      </w:pPr>
      <w:r>
        <w:rPr>
          <w:rFonts w:ascii="Courier New" w:cs="Courier New" w:eastAsia="Courier New" w:hAnsi="Courier New"/>
          <w:sz w:val="17"/>
          <w:szCs w:val="17"/>
          <w:color w:val="auto"/>
        </w:rPr>
        <w:t>inform Scotts of how payment should be made as soon as possible but no later than one week before payment should be made.</w:t>
      </w:r>
    </w:p>
    <w:p>
      <w:pPr>
        <w:spacing w:after="0" w:line="198" w:lineRule="exact"/>
        <w:rPr>
          <w:sz w:val="20"/>
          <w:szCs w:val="20"/>
          <w:color w:val="auto"/>
        </w:rPr>
      </w:pPr>
    </w:p>
    <w:p>
      <w:pPr>
        <w:ind w:left="520" w:right="1979" w:hanging="514"/>
        <w:spacing w:after="0" w:line="246" w:lineRule="auto"/>
        <w:tabs>
          <w:tab w:leader="none" w:pos="500" w:val="left"/>
        </w:tabs>
        <w:rPr>
          <w:sz w:val="20"/>
          <w:szCs w:val="20"/>
          <w:color w:val="auto"/>
        </w:rPr>
      </w:pPr>
      <w:r>
        <w:rPr>
          <w:rFonts w:ascii="Courier New" w:cs="Courier New" w:eastAsia="Courier New" w:hAnsi="Courier New"/>
          <w:sz w:val="17"/>
          <w:szCs w:val="17"/>
          <w:color w:val="auto"/>
        </w:rPr>
        <w:t>4.3</w:t>
        <w:tab/>
        <w:t>If the District Court will grant a higher or lower or other form of compensation amount than the Compensation Sum, De Kort will not be entitled to any payment in excess or below the Compensation Sum.</w:t>
      </w:r>
    </w:p>
    <w:p>
      <w:pPr>
        <w:spacing w:after="0" w:line="398"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710" w:right="1440" w:bottom="1440" w:gutter="0" w:footer="0" w:header="0"/>
        </w:sectPr>
      </w:pPr>
    </w:p>
    <w:bookmarkStart w:id="287" w:name="page288"/>
    <w:bookmarkEnd w:id="287"/>
    <w:p>
      <w:pPr>
        <w:ind w:left="514" w:hanging="514"/>
        <w:spacing w:after="0"/>
        <w:tabs>
          <w:tab w:leader="none" w:pos="514" w:val="left"/>
        </w:tabs>
        <w:numPr>
          <w:ilvl w:val="0"/>
          <w:numId w:val="2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HOLIDAYS</w:t>
      </w:r>
    </w:p>
    <w:p>
      <w:pPr>
        <w:spacing w:after="0" w:line="200" w:lineRule="exact"/>
        <w:rPr>
          <w:rFonts w:ascii="Courier New" w:cs="Courier New" w:eastAsia="Courier New" w:hAnsi="Courier New"/>
          <w:sz w:val="17"/>
          <w:szCs w:val="17"/>
          <w:color w:val="auto"/>
        </w:rPr>
      </w:pPr>
    </w:p>
    <w:p>
      <w:pPr>
        <w:spacing w:after="0" w:line="201" w:lineRule="exact"/>
        <w:rPr>
          <w:rFonts w:ascii="Courier New" w:cs="Courier New" w:eastAsia="Courier New" w:hAnsi="Courier New"/>
          <w:sz w:val="17"/>
          <w:szCs w:val="17"/>
          <w:color w:val="auto"/>
        </w:rPr>
      </w:pPr>
    </w:p>
    <w:p>
      <w:pPr>
        <w:ind w:left="514" w:right="29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Within one month after the Termination Date, Scotts shall pay all accrued but untaken holidays.</w:t>
      </w:r>
    </w:p>
    <w:p>
      <w:pPr>
        <w:spacing w:after="0" w:line="197" w:lineRule="exact"/>
        <w:rPr>
          <w:rFonts w:ascii="Courier New" w:cs="Courier New" w:eastAsia="Courier New" w:hAnsi="Courier New"/>
          <w:sz w:val="17"/>
          <w:szCs w:val="17"/>
          <w:color w:val="auto"/>
        </w:rPr>
      </w:pPr>
    </w:p>
    <w:p>
      <w:pPr>
        <w:ind w:left="514" w:hanging="514"/>
        <w:spacing w:after="0"/>
        <w:tabs>
          <w:tab w:leader="none" w:pos="514" w:val="left"/>
        </w:tabs>
        <w:numPr>
          <w:ilvl w:val="0"/>
          <w:numId w:val="2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 OPTIONS</w:t>
      </w:r>
    </w:p>
    <w:p>
      <w:pPr>
        <w:spacing w:after="0" w:line="203" w:lineRule="exact"/>
        <w:rPr>
          <w:rFonts w:ascii="Courier New" w:cs="Courier New" w:eastAsia="Courier New" w:hAnsi="Courier New"/>
          <w:sz w:val="17"/>
          <w:szCs w:val="17"/>
          <w:color w:val="auto"/>
        </w:rPr>
      </w:pPr>
    </w:p>
    <w:p>
      <w:pPr>
        <w:ind w:left="51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With regard to stock options, the Parties agree as follows.</w:t>
      </w:r>
    </w:p>
    <w:p>
      <w:pPr>
        <w:spacing w:after="0" w:line="203" w:lineRule="exact"/>
        <w:rPr>
          <w:rFonts w:ascii="Courier New" w:cs="Courier New" w:eastAsia="Courier New" w:hAnsi="Courier New"/>
          <w:sz w:val="17"/>
          <w:szCs w:val="17"/>
          <w:color w:val="auto"/>
        </w:rPr>
      </w:pPr>
    </w:p>
    <w:p>
      <w:pPr>
        <w:ind w:left="1034" w:right="2079" w:hanging="520"/>
        <w:spacing w:after="0" w:line="246" w:lineRule="auto"/>
        <w:tabs>
          <w:tab w:leader="none" w:pos="1034" w:val="left"/>
        </w:tabs>
        <w:numPr>
          <w:ilvl w:val="1"/>
          <w:numId w:val="2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Scotts waives all the rights on clause 7.4 of the 1996 Stock Option Plan (reflecting the amendments through April 1, 1999) (THE "STOCK OPTION PLAN") regarding forced exercise of options within 90 days after termination date, thus De Kort will be entitled to exercise the options at any later date until the end of the final exercise period.</w:t>
      </w:r>
    </w:p>
    <w:p>
      <w:pPr>
        <w:spacing w:after="0" w:line="200" w:lineRule="exact"/>
        <w:rPr>
          <w:rFonts w:ascii="Courier New" w:cs="Courier New" w:eastAsia="Courier New" w:hAnsi="Courier New"/>
          <w:sz w:val="17"/>
          <w:szCs w:val="17"/>
          <w:color w:val="auto"/>
        </w:rPr>
      </w:pPr>
    </w:p>
    <w:p>
      <w:pPr>
        <w:ind w:left="1034" w:right="1979" w:hanging="520"/>
        <w:spacing w:after="0" w:line="246" w:lineRule="auto"/>
        <w:tabs>
          <w:tab w:leader="none" w:pos="1034" w:val="left"/>
        </w:tabs>
        <w:numPr>
          <w:ilvl w:val="1"/>
          <w:numId w:val="2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Scotts waives the rights with regard to the non-compete provisions set forth in clause 7.5 (a) in the Stock Option Plan, however with the strict exception of the following:</w:t>
      </w:r>
    </w:p>
    <w:p>
      <w:pPr>
        <w:spacing w:after="0" w:line="397" w:lineRule="exact"/>
        <w:rPr>
          <w:rFonts w:ascii="Courier New" w:cs="Courier New" w:eastAsia="Courier New" w:hAnsi="Courier New"/>
          <w:sz w:val="17"/>
          <w:szCs w:val="17"/>
          <w:color w:val="auto"/>
        </w:rPr>
      </w:pPr>
    </w:p>
    <w:p>
      <w:pPr>
        <w:ind w:left="1034" w:right="21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De Kort shall be prohibited to directly or indirectly work for HAIFA Chemicals in the field of multicoat or Shiso-Assai in the field of nutricoat or either of these companies in the field of horticulture turf amenity.</w:t>
      </w:r>
    </w:p>
    <w:p>
      <w:pPr>
        <w:spacing w:after="0" w:line="200" w:lineRule="exact"/>
        <w:rPr>
          <w:rFonts w:ascii="Courier New" w:cs="Courier New" w:eastAsia="Courier New" w:hAnsi="Courier New"/>
          <w:sz w:val="17"/>
          <w:szCs w:val="17"/>
          <w:color w:val="auto"/>
        </w:rPr>
      </w:pPr>
    </w:p>
    <w:p>
      <w:pPr>
        <w:ind w:left="514" w:hanging="514"/>
        <w:spacing w:after="0"/>
        <w:tabs>
          <w:tab w:leader="none" w:pos="514" w:val="left"/>
        </w:tabs>
        <w:numPr>
          <w:ilvl w:val="0"/>
          <w:numId w:val="2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PENSION</w:t>
      </w:r>
    </w:p>
    <w:p>
      <w:pPr>
        <w:spacing w:after="0" w:line="203" w:lineRule="exact"/>
        <w:rPr>
          <w:sz w:val="20"/>
          <w:szCs w:val="20"/>
          <w:color w:val="auto"/>
        </w:rPr>
      </w:pPr>
    </w:p>
    <w:p>
      <w:pPr>
        <w:ind w:left="514" w:right="1979" w:hanging="514"/>
        <w:spacing w:after="0" w:line="246" w:lineRule="auto"/>
        <w:tabs>
          <w:tab w:leader="none" w:pos="494" w:val="left"/>
        </w:tabs>
        <w:rPr>
          <w:sz w:val="20"/>
          <w:szCs w:val="20"/>
          <w:color w:val="auto"/>
        </w:rPr>
      </w:pPr>
      <w:r>
        <w:rPr>
          <w:rFonts w:ascii="Courier New" w:cs="Courier New" w:eastAsia="Courier New" w:hAnsi="Courier New"/>
          <w:sz w:val="17"/>
          <w:szCs w:val="17"/>
          <w:color w:val="auto"/>
        </w:rPr>
        <w:t>7.1</w:t>
        <w:tab/>
        <w:t>As of the Termination Date, De Kort will no longer be entitled to any payments into the collective pension scheme of Scotts. De Kort will receive a premium free pension entitlement as per 31 October 2001 in accordance with the Dutch Pensions and Savings Act (Pensioen en Spaarfondsenwet).</w:t>
      </w:r>
    </w:p>
    <w:p>
      <w:pPr>
        <w:spacing w:after="0" w:line="200" w:lineRule="exact"/>
        <w:rPr>
          <w:sz w:val="20"/>
          <w:szCs w:val="20"/>
          <w:color w:val="auto"/>
        </w:rPr>
      </w:pPr>
    </w:p>
    <w:p>
      <w:pPr>
        <w:ind w:left="514" w:hanging="514"/>
        <w:spacing w:after="0"/>
        <w:tabs>
          <w:tab w:leader="none" w:pos="514" w:val="left"/>
        </w:tabs>
        <w:numPr>
          <w:ilvl w:val="0"/>
          <w:numId w:val="2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LEGAL FEES</w:t>
      </w:r>
    </w:p>
    <w:p>
      <w:pPr>
        <w:spacing w:after="0" w:line="203" w:lineRule="exact"/>
        <w:rPr>
          <w:rFonts w:ascii="Courier New" w:cs="Courier New" w:eastAsia="Courier New" w:hAnsi="Courier New"/>
          <w:sz w:val="17"/>
          <w:szCs w:val="17"/>
          <w:color w:val="auto"/>
        </w:rPr>
      </w:pPr>
    </w:p>
    <w:p>
      <w:pPr>
        <w:ind w:left="514" w:right="22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Scotts is prepared to contribute to the legal costs incurred by De Kort up to a maximum amount of NLG 15,000 excluding VAT provided that De Kort's legal advisor will submit an invoice in the name of Scotts to the attention of Ms Hadia Lefavre.</w:t>
      </w:r>
    </w:p>
    <w:p>
      <w:pPr>
        <w:spacing w:after="0" w:line="200" w:lineRule="exact"/>
        <w:rPr>
          <w:rFonts w:ascii="Courier New" w:cs="Courier New" w:eastAsia="Courier New" w:hAnsi="Courier New"/>
          <w:sz w:val="17"/>
          <w:szCs w:val="17"/>
          <w:color w:val="auto"/>
        </w:rPr>
      </w:pPr>
    </w:p>
    <w:p>
      <w:pPr>
        <w:ind w:left="514" w:hanging="514"/>
        <w:spacing w:after="0"/>
        <w:tabs>
          <w:tab w:leader="none" w:pos="514" w:val="left"/>
        </w:tabs>
        <w:numPr>
          <w:ilvl w:val="0"/>
          <w:numId w:val="2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RESIGNATION FROM OFFICERSHIPS AND DIRECTORSHIPS</w:t>
      </w:r>
    </w:p>
    <w:p>
      <w:pPr>
        <w:spacing w:after="0" w:line="203" w:lineRule="exact"/>
        <w:rPr>
          <w:rFonts w:ascii="Courier New" w:cs="Courier New" w:eastAsia="Courier New" w:hAnsi="Courier New"/>
          <w:sz w:val="17"/>
          <w:szCs w:val="17"/>
          <w:color w:val="auto"/>
        </w:rPr>
      </w:pPr>
    </w:p>
    <w:p>
      <w:pPr>
        <w:ind w:left="514" w:right="19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Effective as per 31 October 2001 De Kort shall voluntarily resign from his positions as managing director, as well as any other position within Scotts and the Associated Companies, in which he has served prior to the Termination Date and undertakes to take such action and sign such documentation as may be required to</w:t>
      </w:r>
    </w:p>
    <w:p>
      <w:pPr>
        <w:spacing w:after="0" w:line="201" w:lineRule="exact"/>
        <w:rPr>
          <w:sz w:val="20"/>
          <w:szCs w:val="20"/>
          <w:color w:val="auto"/>
        </w:rPr>
      </w:pPr>
    </w:p>
    <w:p>
      <w:pPr>
        <w:ind w:left="4014"/>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4"/>
          </w:cols>
          <w:pgMar w:left="246" w:top="1303" w:right="1440" w:bottom="1440" w:gutter="0" w:footer="0" w:header="0"/>
        </w:sectPr>
      </w:pPr>
    </w:p>
    <w:bookmarkStart w:id="288" w:name="page289"/>
    <w:bookmarkEnd w:id="288"/>
    <w:p>
      <w:pPr>
        <w:ind w:left="520" w:right="1979"/>
        <w:spacing w:after="0" w:line="247" w:lineRule="auto"/>
        <w:rPr>
          <w:sz w:val="20"/>
          <w:szCs w:val="20"/>
          <w:color w:val="auto"/>
        </w:rPr>
      </w:pPr>
      <w:r>
        <w:rPr>
          <w:rFonts w:ascii="Courier New" w:cs="Courier New" w:eastAsia="Courier New" w:hAnsi="Courier New"/>
          <w:sz w:val="17"/>
          <w:szCs w:val="17"/>
          <w:color w:val="auto"/>
        </w:rPr>
        <w:t>give effect to such resignations. Scotts and the Associated Companies shall procure proper, timely registration of such resignations.</w:t>
      </w:r>
    </w:p>
    <w:p>
      <w:pPr>
        <w:spacing w:after="0" w:line="198" w:lineRule="exact"/>
        <w:rPr>
          <w:sz w:val="20"/>
          <w:szCs w:val="20"/>
          <w:color w:val="auto"/>
        </w:rPr>
      </w:pPr>
    </w:p>
    <w:p>
      <w:pPr>
        <w:ind w:left="520" w:right="2279" w:hanging="514"/>
        <w:spacing w:after="0" w:line="247" w:lineRule="auto"/>
        <w:tabs>
          <w:tab w:leader="none" w:pos="500" w:val="left"/>
        </w:tabs>
        <w:rPr>
          <w:sz w:val="20"/>
          <w:szCs w:val="20"/>
          <w:color w:val="auto"/>
        </w:rPr>
      </w:pPr>
      <w:r>
        <w:rPr>
          <w:rFonts w:ascii="Courier New" w:cs="Courier New" w:eastAsia="Courier New" w:hAnsi="Courier New"/>
          <w:sz w:val="17"/>
          <w:szCs w:val="17"/>
          <w:color w:val="auto"/>
        </w:rPr>
        <w:t>9.1</w:t>
        <w:tab/>
        <w:t>De Kort will cooperate to transfer all written Powers of Attorney to all persons appointed by Scotts.</w:t>
      </w:r>
    </w:p>
    <w:p>
      <w:pPr>
        <w:spacing w:after="0" w:line="198" w:lineRule="exact"/>
        <w:rPr>
          <w:sz w:val="20"/>
          <w:szCs w:val="20"/>
          <w:color w:val="auto"/>
        </w:rPr>
      </w:pPr>
    </w:p>
    <w:p>
      <w:pPr>
        <w:ind w:left="520" w:hanging="514"/>
        <w:spacing w:after="0"/>
        <w:tabs>
          <w:tab w:leader="none" w:pos="520" w:val="left"/>
        </w:tabs>
        <w:numPr>
          <w:ilvl w:val="0"/>
          <w:numId w:val="2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RETURN OF PROPERTY</w:t>
      </w:r>
    </w:p>
    <w:p>
      <w:pPr>
        <w:spacing w:after="0" w:line="203" w:lineRule="exact"/>
        <w:rPr>
          <w:sz w:val="20"/>
          <w:szCs w:val="20"/>
          <w:color w:val="auto"/>
        </w:rPr>
      </w:pPr>
    </w:p>
    <w:p>
      <w:pPr>
        <w:ind w:left="520" w:right="1979" w:hanging="514"/>
        <w:spacing w:after="0" w:line="246" w:lineRule="auto"/>
        <w:rPr>
          <w:sz w:val="20"/>
          <w:szCs w:val="20"/>
          <w:color w:val="auto"/>
        </w:rPr>
      </w:pPr>
      <w:r>
        <w:rPr>
          <w:rFonts w:ascii="Courier New" w:cs="Courier New" w:eastAsia="Courier New" w:hAnsi="Courier New"/>
          <w:sz w:val="17"/>
          <w:szCs w:val="17"/>
          <w:color w:val="auto"/>
        </w:rPr>
        <w:t>10.1 De Kort expressly agrees that on or before 31 October 2001 he shall return to Scotts or an appointed third party in good state all property of Scotts and/or the Associated Companies including, but not limited to: his company credit card, mobile phone, access port, laptop, printer, fax, any and all computer equipment, software and diskettes, documents, papers, records, accords, notes, agenda, memoranda, plans, calendars and other books and records of any kind and nature whatsoever containing information concerning Scotts and/or the Associated Companies or their customers or operations. De Kort confirms that he will not retain copies of any such property or other materials.</w:t>
      </w:r>
    </w:p>
    <w:p>
      <w:pPr>
        <w:spacing w:after="0" w:line="204" w:lineRule="exact"/>
        <w:rPr>
          <w:sz w:val="20"/>
          <w:szCs w:val="20"/>
          <w:color w:val="auto"/>
        </w:rPr>
      </w:pPr>
    </w:p>
    <w:p>
      <w:pPr>
        <w:ind w:left="520" w:right="1979" w:hanging="514"/>
        <w:spacing w:after="0" w:line="247" w:lineRule="auto"/>
        <w:rPr>
          <w:sz w:val="20"/>
          <w:szCs w:val="20"/>
          <w:color w:val="auto"/>
        </w:rPr>
      </w:pPr>
      <w:r>
        <w:rPr>
          <w:rFonts w:ascii="Courier New" w:cs="Courier New" w:eastAsia="Courier New" w:hAnsi="Courier New"/>
          <w:sz w:val="17"/>
          <w:szCs w:val="17"/>
          <w:color w:val="auto"/>
        </w:rPr>
        <w:t>10.2 Belongings of De Kort in the offices and/or in the Dublin apartment will be sent to De Kort's home address.</w:t>
      </w:r>
    </w:p>
    <w:p>
      <w:pPr>
        <w:spacing w:after="0" w:line="198" w:lineRule="exact"/>
        <w:rPr>
          <w:sz w:val="20"/>
          <w:szCs w:val="20"/>
          <w:color w:val="auto"/>
        </w:rPr>
      </w:pPr>
    </w:p>
    <w:p>
      <w:pPr>
        <w:ind w:left="520" w:right="2079" w:hanging="514"/>
        <w:spacing w:after="0" w:line="246" w:lineRule="auto"/>
        <w:rPr>
          <w:sz w:val="20"/>
          <w:szCs w:val="20"/>
          <w:color w:val="auto"/>
        </w:rPr>
      </w:pPr>
      <w:r>
        <w:rPr>
          <w:rFonts w:ascii="Courier New" w:cs="Courier New" w:eastAsia="Courier New" w:hAnsi="Courier New"/>
          <w:sz w:val="17"/>
          <w:szCs w:val="17"/>
          <w:color w:val="auto"/>
        </w:rPr>
        <w:t>10.3 De Kort may continue the use of the lease car until the end of the lease contract (30 January 2002) at the expenses of Scotts, with continuation of the lease conditions applicable within Scotts, without prejudice to the right of De Kort to buy the lease car for rest value from the lease company. The tax liability with respect to the use of the lease car is for the account of De Kort.</w:t>
      </w:r>
    </w:p>
    <w:p>
      <w:pPr>
        <w:spacing w:after="0" w:line="202" w:lineRule="exact"/>
        <w:rPr>
          <w:sz w:val="20"/>
          <w:szCs w:val="20"/>
          <w:color w:val="auto"/>
        </w:rPr>
      </w:pPr>
    </w:p>
    <w:p>
      <w:pPr>
        <w:ind w:left="520" w:hanging="514"/>
        <w:spacing w:after="0"/>
        <w:tabs>
          <w:tab w:leader="none" w:pos="520" w:val="left"/>
        </w:tabs>
        <w:numPr>
          <w:ilvl w:val="0"/>
          <w:numId w:val="2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COMMUNICATION AND RECEPTION</w:t>
      </w:r>
    </w:p>
    <w:p>
      <w:pPr>
        <w:spacing w:after="0" w:line="203" w:lineRule="exact"/>
        <w:rPr>
          <w:sz w:val="20"/>
          <w:szCs w:val="20"/>
          <w:color w:val="auto"/>
        </w:rPr>
      </w:pPr>
    </w:p>
    <w:p>
      <w:pPr>
        <w:ind w:left="520" w:right="2179" w:hanging="514"/>
        <w:spacing w:after="0" w:line="246" w:lineRule="auto"/>
        <w:rPr>
          <w:sz w:val="20"/>
          <w:szCs w:val="20"/>
          <w:color w:val="auto"/>
        </w:rPr>
      </w:pPr>
      <w:r>
        <w:rPr>
          <w:rFonts w:ascii="Courier New" w:cs="Courier New" w:eastAsia="Courier New" w:hAnsi="Courier New"/>
          <w:sz w:val="17"/>
          <w:szCs w:val="17"/>
          <w:color w:val="auto"/>
        </w:rPr>
        <w:t>11.1 A communication of a positive nature regarding the departure De Kort will be made to the personnel of Scotts. The Parties will agree prior to 28 September 2001 on the content hereof.</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11.2 Scotts will arrange a goodbye-reception/dinner for De Kort.</w:t>
      </w:r>
    </w:p>
    <w:p>
      <w:pPr>
        <w:spacing w:after="0" w:line="203" w:lineRule="exact"/>
        <w:rPr>
          <w:sz w:val="20"/>
          <w:szCs w:val="20"/>
          <w:color w:val="auto"/>
        </w:rPr>
      </w:pPr>
    </w:p>
    <w:p>
      <w:pPr>
        <w:ind w:left="520" w:hanging="514"/>
        <w:spacing w:after="0"/>
        <w:tabs>
          <w:tab w:leader="none" w:pos="520" w:val="left"/>
        </w:tabs>
        <w:numPr>
          <w:ilvl w:val="0"/>
          <w:numId w:val="2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TAX ISSUE</w:t>
      </w:r>
    </w:p>
    <w:p>
      <w:pPr>
        <w:spacing w:after="0" w:line="203" w:lineRule="exact"/>
        <w:rPr>
          <w:rFonts w:ascii="Courier New" w:cs="Courier New" w:eastAsia="Courier New" w:hAnsi="Courier New"/>
          <w:sz w:val="17"/>
          <w:szCs w:val="17"/>
          <w:color w:val="auto"/>
        </w:rPr>
      </w:pPr>
    </w:p>
    <w:p>
      <w:pPr>
        <w:ind w:left="520" w:right="19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Parties acknowledge that they are in disagreement on potential Dutch tax liabilities with regard to the split salary arrangement, as well as potential Dutch tax liabilities with regard to the complete pension arrangements, as well as to the question which of the parties should in the end bear the costs of such liability. De Kort hereby declares that he has always filed his personal Dutch income tax statements clearly stating the salary split in all the relevant foreign countries. The parties shall fully cooperate in the coming period to supply the necessary documentation and/or information to the tax advisor of Scotts currently dealing with the issue. De Kort</w:t>
      </w:r>
    </w:p>
    <w:p>
      <w:pPr>
        <w:spacing w:after="0" w:line="200" w:lineRule="exact"/>
        <w:rPr>
          <w:sz w:val="20"/>
          <w:szCs w:val="20"/>
          <w:color w:val="auto"/>
        </w:rPr>
      </w:pPr>
    </w:p>
    <w:p>
      <w:pPr>
        <w:spacing w:after="0" w:line="400"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512" w:right="1440" w:bottom="1440" w:gutter="0" w:footer="0" w:header="0"/>
        </w:sectPr>
      </w:pPr>
    </w:p>
    <w:bookmarkStart w:id="289" w:name="page290"/>
    <w:bookmarkEnd w:id="289"/>
    <w:p>
      <w:pPr>
        <w:ind w:left="520" w:right="2179"/>
        <w:spacing w:after="0" w:line="247" w:lineRule="auto"/>
        <w:rPr>
          <w:sz w:val="20"/>
          <w:szCs w:val="20"/>
          <w:color w:val="auto"/>
        </w:rPr>
      </w:pPr>
      <w:r>
        <w:rPr>
          <w:rFonts w:ascii="Courier New" w:cs="Courier New" w:eastAsia="Courier New" w:hAnsi="Courier New"/>
          <w:sz w:val="17"/>
          <w:szCs w:val="17"/>
          <w:color w:val="auto"/>
        </w:rPr>
        <w:t>accepts PWC as the tax advisor dealing with this matter, provided De Kort is adequately informed of all relevant developments.</w:t>
      </w:r>
    </w:p>
    <w:p>
      <w:pPr>
        <w:spacing w:after="0" w:line="198" w:lineRule="exact"/>
        <w:rPr>
          <w:sz w:val="20"/>
          <w:szCs w:val="20"/>
          <w:color w:val="auto"/>
        </w:rPr>
      </w:pPr>
    </w:p>
    <w:p>
      <w:pPr>
        <w:ind w:left="520" w:hanging="514"/>
        <w:spacing w:after="0"/>
        <w:tabs>
          <w:tab w:leader="none" w:pos="520" w:val="left"/>
        </w:tabs>
        <w:numPr>
          <w:ilvl w:val="0"/>
          <w:numId w:val="2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CONFIDENTIALITY</w:t>
      </w:r>
    </w:p>
    <w:p>
      <w:pPr>
        <w:spacing w:after="0" w:line="203" w:lineRule="exact"/>
        <w:rPr>
          <w:rFonts w:ascii="Courier New" w:cs="Courier New" w:eastAsia="Courier New" w:hAnsi="Courier New"/>
          <w:sz w:val="17"/>
          <w:szCs w:val="17"/>
          <w:color w:val="auto"/>
        </w:rPr>
      </w:pPr>
    </w:p>
    <w:p>
      <w:pPr>
        <w:ind w:left="520" w:right="19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De Kort shall keep strictly secret and confidential the terms and conditions of this agreement. De Kort agrees to keep strictly confidential and not use in any way any other non-public information such as trade secrets and proprietary and/or confidential information of Scotts and the Associated Companies, of which he became aware during his employment by Scotts. In addition, the Parties will not disclose, divulge, or communicate to any third party any negative or damaging information about the other party concerned nor communicate to any third party and any details or information regarding the contents of this agreement unless required by law and except with regard to the tax advisors of parties; provided however that the foregoing shall not apply to litigation documents filed in connection with either parties efforts to enforce this agreement or otherwise.</w:t>
      </w:r>
    </w:p>
    <w:p>
      <w:pPr>
        <w:spacing w:after="0" w:line="205" w:lineRule="exact"/>
        <w:rPr>
          <w:rFonts w:ascii="Courier New" w:cs="Courier New" w:eastAsia="Courier New" w:hAnsi="Courier New"/>
          <w:sz w:val="17"/>
          <w:szCs w:val="17"/>
          <w:color w:val="auto"/>
        </w:rPr>
      </w:pPr>
    </w:p>
    <w:p>
      <w:pPr>
        <w:ind w:left="520" w:hanging="514"/>
        <w:spacing w:after="0"/>
        <w:tabs>
          <w:tab w:leader="none" w:pos="520" w:val="left"/>
        </w:tabs>
        <w:numPr>
          <w:ilvl w:val="0"/>
          <w:numId w:val="2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RELEASE</w:t>
      </w:r>
    </w:p>
    <w:p>
      <w:pPr>
        <w:spacing w:after="0" w:line="203" w:lineRule="exact"/>
        <w:rPr>
          <w:rFonts w:ascii="Courier New" w:cs="Courier New" w:eastAsia="Courier New" w:hAnsi="Courier New"/>
          <w:sz w:val="17"/>
          <w:szCs w:val="17"/>
          <w:color w:val="auto"/>
        </w:rPr>
      </w:pPr>
    </w:p>
    <w:p>
      <w:pPr>
        <w:ind w:left="520" w:right="19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No other issues between parties are open. Except for the fulfilment of the above mentioned rights and obligations as well as the options, parties will be fully discharged towards each other. More specifically, De Kort waives any claim that he may have agains any company within the Scotts Group of companies.</w:t>
      </w:r>
    </w:p>
    <w:p>
      <w:pPr>
        <w:spacing w:after="0" w:line="200" w:lineRule="exact"/>
        <w:rPr>
          <w:rFonts w:ascii="Courier New" w:cs="Courier New" w:eastAsia="Courier New" w:hAnsi="Courier New"/>
          <w:sz w:val="17"/>
          <w:szCs w:val="17"/>
          <w:color w:val="auto"/>
        </w:rPr>
      </w:pPr>
    </w:p>
    <w:p>
      <w:pPr>
        <w:ind w:left="520" w:hanging="514"/>
        <w:spacing w:after="0"/>
        <w:tabs>
          <w:tab w:leader="none" w:pos="520" w:val="left"/>
        </w:tabs>
        <w:numPr>
          <w:ilvl w:val="0"/>
          <w:numId w:val="2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GOVERNING LAW</w:t>
      </w:r>
    </w:p>
    <w:p>
      <w:pPr>
        <w:spacing w:after="0" w:line="203" w:lineRule="exact"/>
        <w:rPr>
          <w:rFonts w:ascii="Courier New" w:cs="Courier New" w:eastAsia="Courier New" w:hAnsi="Courier New"/>
          <w:sz w:val="17"/>
          <w:szCs w:val="17"/>
          <w:color w:val="auto"/>
        </w:rPr>
      </w:pPr>
    </w:p>
    <w:p>
      <w:pPr>
        <w:ind w:left="520" w:right="227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Agreement shall be construed in accordance with and governed by the laws of The Netherlands.</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witness whereof Scotts and De Kort have signed this Agreement in twofold.</w:t>
      </w:r>
    </w:p>
    <w:p>
      <w:pPr>
        <w:sectPr>
          <w:pgSz w:w="11900" w:h="16838" w:orient="portrait"/>
          <w:cols w:equalWidth="0" w:num="1">
            <w:col w:w="10219"/>
          </w:cols>
          <w:pgMar w:left="240" w:top="710"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James Hagedorn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SCOTTS INTERNATIONAL B.V.</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Title:</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L.J.M. DE KORT</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L.J.M. DE KORT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27-11-01</w:t>
      </w:r>
    </w:p>
    <w:p>
      <w:pPr>
        <w:spacing w:after="0" w:line="595" w:lineRule="exact"/>
        <w:rPr>
          <w:sz w:val="20"/>
          <w:szCs w:val="20"/>
          <w:color w:val="auto"/>
        </w:rPr>
      </w:pPr>
    </w:p>
    <w:p>
      <w:pPr>
        <w:sectPr>
          <w:pgSz w:w="11900" w:h="16838" w:orient="portrait"/>
          <w:cols w:equalWidth="0" w:num="2">
            <w:col w:w="3720" w:space="720"/>
            <w:col w:w="5779"/>
          </w:cols>
          <w:pgMar w:left="240" w:top="710" w:right="1440" w:bottom="1440" w:gutter="0" w:footer="0" w:header="0"/>
          <w:type w:val="continuous"/>
        </w:sectPr>
      </w:pPr>
    </w:p>
    <w:p>
      <w:pPr>
        <w:spacing w:after="0" w:line="399"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710" w:right="1440" w:bottom="1440" w:gutter="0" w:footer="0" w:header="0"/>
          <w:type w:val="continuous"/>
        </w:sectPr>
      </w:pPr>
    </w:p>
    <w:bookmarkStart w:id="290" w:name="page291"/>
    <w:bookmarkEnd w:id="290"/>
    <w:p>
      <w:pPr>
        <w:jc w:val="center"/>
        <w:ind w:right="2399"/>
        <w:spacing w:after="0"/>
        <w:rPr>
          <w:sz w:val="20"/>
          <w:szCs w:val="20"/>
          <w:color w:val="auto"/>
        </w:rPr>
      </w:pPr>
      <w:r>
        <w:rPr>
          <w:rFonts w:ascii="Courier New" w:cs="Courier New" w:eastAsia="Courier New" w:hAnsi="Courier New"/>
          <w:sz w:val="17"/>
          <w:szCs w:val="17"/>
          <w:color w:val="auto"/>
        </w:rPr>
        <w:t>EXHIBIT 10(u)</w:t>
      </w:r>
    </w:p>
    <w:p>
      <w:pPr>
        <w:spacing w:after="0" w:line="203"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7"/>
          <w:szCs w:val="17"/>
          <w:color w:val="auto"/>
        </w:rPr>
        <w:t>Written description of employment agreement between the Registrant and</w:t>
      </w:r>
    </w:p>
    <w:p>
      <w:pPr>
        <w:spacing w:after="0" w:line="5"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7"/>
          <w:szCs w:val="17"/>
          <w:color w:val="auto"/>
        </w:rPr>
        <w:t>Michael P. Kelty, Ph.D.</w:t>
      </w:r>
    </w:p>
    <w:p>
      <w:pPr>
        <w:sectPr>
          <w:pgSz w:w="11900" w:h="16838" w:orient="portrait"/>
          <w:cols w:equalWidth="0" w:num="1">
            <w:col w:w="9699"/>
          </w:cols>
          <w:pgMar w:left="760" w:top="339" w:right="1440" w:bottom="1440" w:gutter="0" w:footer="0" w:header="0"/>
        </w:sectPr>
      </w:pPr>
    </w:p>
    <w:bookmarkStart w:id="291" w:name="page292"/>
    <w:bookmarkEnd w:id="291"/>
    <w:p>
      <w:pPr>
        <w:ind w:right="1979"/>
        <w:spacing w:after="0" w:line="246" w:lineRule="auto"/>
        <w:rPr>
          <w:sz w:val="20"/>
          <w:szCs w:val="20"/>
          <w:color w:val="auto"/>
        </w:rPr>
      </w:pPr>
      <w:r>
        <w:rPr>
          <w:rFonts w:ascii="Courier New" w:cs="Courier New" w:eastAsia="Courier New" w:hAnsi="Courier New"/>
          <w:sz w:val="17"/>
          <w:szCs w:val="17"/>
          <w:color w:val="auto"/>
        </w:rPr>
        <w:t>At its meeting in September 2001, the Compensation and Organization Committee of the Board of Directors of the Company agreed to certain employment, severance and change in control agreements relating to Michael P. Kelty, Ph.D., Vice Chairman and Executive Vice President of the Company. Dr. Kelty's annual salary was increased to $350,000 effective October 1, 2001; his target bonus remained at 50%. It was also agreed that he continue to be entitled to participate in the various benefit programs available to senior executive officers of the Company. If Dr. Kelty's employment is terminated within 18 months following a change in control of the Company (as defined in the Company's 1996 Stock Option Plan), Dr. Kelty will be entitled to receive a lump sum payment equal to two times his base salary plus two times his target incentive. If Dr. Kelty's employment is terminated other than as a result of a change in control and other than for cause, he will be entitled to receive two times his base salary in effect at the date of termination in a lump sum within 90 days after termination. As of December 14, 2001, these agreements had not been reduced to writing.</w:t>
      </w:r>
    </w:p>
    <w:p>
      <w:pPr>
        <w:sectPr>
          <w:pgSz w:w="11900" w:h="16838" w:orient="portrait"/>
          <w:cols w:equalWidth="0" w:num="1">
            <w:col w:w="10219"/>
          </w:cols>
          <w:pgMar w:left="240" w:top="709" w:right="1440" w:bottom="1440" w:gutter="0" w:footer="0" w:header="0"/>
        </w:sectPr>
      </w:pPr>
    </w:p>
    <w:bookmarkStart w:id="292" w:name="page293"/>
    <w:bookmarkEnd w:id="292"/>
    <w:p>
      <w:pPr>
        <w:jc w:val="center"/>
        <w:ind w:right="3179"/>
        <w:spacing w:after="0"/>
        <w:rPr>
          <w:sz w:val="20"/>
          <w:szCs w:val="20"/>
          <w:color w:val="auto"/>
        </w:rPr>
      </w:pPr>
      <w:r>
        <w:rPr>
          <w:rFonts w:ascii="Courier New" w:cs="Courier New" w:eastAsia="Courier New" w:hAnsi="Courier New"/>
          <w:sz w:val="17"/>
          <w:szCs w:val="17"/>
          <w:color w:val="auto"/>
        </w:rPr>
        <w:t>EXHIBIT 21</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7"/>
          <w:szCs w:val="17"/>
          <w:color w:val="auto"/>
        </w:rPr>
        <w:t>Subsidiaries of the Registrant</w:t>
      </w:r>
    </w:p>
    <w:p>
      <w:pPr>
        <w:sectPr>
          <w:pgSz w:w="11900" w:h="16838" w:orient="portrait"/>
          <w:cols w:equalWidth="0" w:num="1">
            <w:col w:w="9019"/>
          </w:cols>
          <w:pgMar w:left="1440" w:top="736" w:right="1440" w:bottom="1440" w:gutter="0" w:footer="0" w:header="0"/>
        </w:sectPr>
      </w:pPr>
    </w:p>
    <w:bookmarkStart w:id="293" w:name="page294"/>
    <w:bookmarkEnd w:id="293"/>
    <w:p>
      <w:pPr>
        <w:ind w:left="2380"/>
        <w:spacing w:after="0"/>
        <w:rPr>
          <w:sz w:val="20"/>
          <w:szCs w:val="20"/>
          <w:color w:val="auto"/>
        </w:rPr>
      </w:pPr>
      <w:r>
        <w:rPr>
          <w:rFonts w:ascii="Courier New" w:cs="Courier New" w:eastAsia="Courier New" w:hAnsi="Courier New"/>
          <w:sz w:val="17"/>
          <w:szCs w:val="17"/>
          <w:color w:val="auto"/>
        </w:rPr>
        <w:t>SUBSIDIARIES OF THE SCOTTS COMPANY</w:t>
      </w:r>
    </w:p>
    <w:p>
      <w:pPr>
        <w:spacing w:after="0" w:line="200" w:lineRule="exact"/>
        <w:rPr>
          <w:sz w:val="20"/>
          <w:szCs w:val="20"/>
          <w:color w:val="auto"/>
        </w:rPr>
      </w:pPr>
    </w:p>
    <w:p>
      <w:pPr>
        <w:spacing w:after="0" w:line="399" w:lineRule="exact"/>
        <w:rPr>
          <w:sz w:val="20"/>
          <w:szCs w:val="20"/>
          <w:color w:val="auto"/>
        </w:rPr>
      </w:pPr>
    </w:p>
    <w:p>
      <w:pPr>
        <w:ind w:right="3500"/>
        <w:spacing w:after="0" w:line="246" w:lineRule="auto"/>
        <w:rPr>
          <w:sz w:val="20"/>
          <w:szCs w:val="20"/>
          <w:color w:val="auto"/>
        </w:rPr>
      </w:pPr>
      <w:r>
        <w:rPr>
          <w:rFonts w:ascii="Courier New" w:cs="Courier New" w:eastAsia="Courier New" w:hAnsi="Courier New"/>
          <w:sz w:val="17"/>
          <w:szCs w:val="17"/>
          <w:color w:val="auto"/>
        </w:rPr>
        <w:t>*EG Systems, Inc., dba Scotts Lawn Service, an Indiana corporation Hyponex Corporation, a Delaware corporation</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EarthGro, Inc., a Connecticut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OMS Investments, Inc., a Delaware corporation</w:t>
      </w:r>
    </w:p>
    <w:p>
      <w:pPr>
        <w:spacing w:after="0" w:line="5" w:lineRule="exact"/>
        <w:rPr>
          <w:sz w:val="20"/>
          <w:szCs w:val="20"/>
          <w:color w:val="auto"/>
        </w:rPr>
      </w:pPr>
    </w:p>
    <w:p>
      <w:pPr>
        <w:ind w:right="3700" w:firstLine="927"/>
        <w:spacing w:after="0" w:line="246" w:lineRule="auto"/>
        <w:rPr>
          <w:sz w:val="20"/>
          <w:szCs w:val="20"/>
          <w:color w:val="auto"/>
        </w:rPr>
      </w:pPr>
      <w:r>
        <w:rPr>
          <w:rFonts w:ascii="Courier New" w:cs="Courier New" w:eastAsia="Courier New" w:hAnsi="Courier New"/>
          <w:sz w:val="17"/>
          <w:szCs w:val="17"/>
          <w:color w:val="auto"/>
        </w:rPr>
        <w:t>Scotts Temecula Operations, LLC, a Delaware corporation *Sanford Scientific, Inc., a New York corporation</w:t>
      </w:r>
    </w:p>
    <w:p>
      <w:pPr>
        <w:spacing w:after="0" w:line="1" w:lineRule="exact"/>
        <w:rPr>
          <w:sz w:val="20"/>
          <w:szCs w:val="20"/>
          <w:color w:val="auto"/>
        </w:rPr>
      </w:pPr>
    </w:p>
    <w:p>
      <w:pPr>
        <w:ind w:left="940" w:right="3700" w:hanging="926"/>
        <w:spacing w:after="0" w:line="246" w:lineRule="auto"/>
        <w:rPr>
          <w:sz w:val="20"/>
          <w:szCs w:val="20"/>
          <w:color w:val="auto"/>
        </w:rPr>
      </w:pPr>
      <w:r>
        <w:rPr>
          <w:rFonts w:ascii="Courier New" w:cs="Courier New" w:eastAsia="Courier New" w:hAnsi="Courier New"/>
          <w:sz w:val="17"/>
          <w:szCs w:val="17"/>
          <w:color w:val="auto"/>
        </w:rPr>
        <w:t>Scotts Manufacturing Company, a Delaware corporation Miracle-Gro Lawn Products, Inc., a New York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Scotts Products Company, an Ohio corporation</w:t>
      </w:r>
    </w:p>
    <w:p>
      <w:pPr>
        <w:spacing w:after="0" w:line="5" w:lineRule="exact"/>
        <w:rPr>
          <w:sz w:val="20"/>
          <w:szCs w:val="20"/>
          <w:color w:val="auto"/>
        </w:rPr>
      </w:pPr>
    </w:p>
    <w:p>
      <w:pPr>
        <w:ind w:right="3080"/>
        <w:spacing w:after="0" w:line="246" w:lineRule="auto"/>
        <w:rPr>
          <w:sz w:val="20"/>
          <w:szCs w:val="20"/>
          <w:color w:val="auto"/>
        </w:rPr>
      </w:pPr>
      <w:r>
        <w:rPr>
          <w:rFonts w:ascii="Courier New" w:cs="Courier New" w:eastAsia="Courier New" w:hAnsi="Courier New"/>
          <w:sz w:val="17"/>
          <w:szCs w:val="17"/>
          <w:color w:val="auto"/>
        </w:rPr>
        <w:t>Scotts Professional Products Co., an Ohio corporation Scotts-Sierra Horticultural Products Company, a California corporation</w:t>
      </w:r>
    </w:p>
    <w:p>
      <w:pPr>
        <w:spacing w:after="0" w:line="1" w:lineRule="exact"/>
        <w:rPr>
          <w:sz w:val="20"/>
          <w:szCs w:val="20"/>
          <w:color w:val="auto"/>
        </w:rPr>
      </w:pPr>
    </w:p>
    <w:p>
      <w:pPr>
        <w:ind w:left="940" w:right="2880"/>
        <w:spacing w:after="0" w:line="246" w:lineRule="auto"/>
        <w:rPr>
          <w:sz w:val="20"/>
          <w:szCs w:val="20"/>
          <w:color w:val="auto"/>
        </w:rPr>
      </w:pPr>
      <w:r>
        <w:rPr>
          <w:rFonts w:ascii="Courier New" w:cs="Courier New" w:eastAsia="Courier New" w:hAnsi="Courier New"/>
          <w:sz w:val="17"/>
          <w:szCs w:val="17"/>
          <w:color w:val="auto"/>
        </w:rPr>
        <w:t>Scotts-Sierra Crop Protection Company, a California corporation Scotts-Sierra Investments, Inc., a Delaware corporation</w:t>
      </w:r>
    </w:p>
    <w:p>
      <w:pPr>
        <w:spacing w:after="0" w:line="1"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ASEF BV (Netherlands)</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Scotts Australia Pty Ltd. (Australia)</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Scotts Belgium BVBA (Belgium)</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Scotts Canada Ltd. (Canada)</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Scotts Czech s.r.o.(Czech Republic)</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Scotts de Mexico SA de CV (Mexico)</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The Scotts Company (Nordic) ApS (Denmark)</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Scotts Finland Oy (Finland)</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Scotts France Holdings SARL (France)</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Scotts France SARL (France)</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**Scotts France SAS (France)</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Scotts Holding GmbH (Germany)</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Scotts Celaflor GmbH &amp; Co. KG (Germany)</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Scotts Celaflor HGmbH (Austria)</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Scotts Holdings Limited (United Kingdom)</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Levington Group Ltd. (United Kingdom)</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Levington Trustees Ltd. (United Kingdom)</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Murphy Home and Garden Ltd. (United Kingdom)</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The Scotts Company (UK) Ltd. (United Kingdom)</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The Scotts Company (Manufacturing) Ltd. (United Kingdom)</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O M Scott International Investments Ltd. (United Kingdom)</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Levington Horticulture Ltd. (United Kingdom)</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Miracle Holdings Ltd. (United Kingdom)</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Miracle Garden Care Limited (United Kingdom)</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O. M. Scott &amp; Sons Ltd. (United Kingdom)</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Corwen Home and Garden Limited (United Kingdom)</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Scotts International B.V. (Netherlands)</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Scotts Deutschland GmbH (Germany)</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Scotts OM Espana S.A. (Spain)</w:t>
      </w:r>
    </w:p>
    <w:p>
      <w:pPr>
        <w:sectPr>
          <w:pgSz w:w="11900" w:h="16838" w:orient="portrait"/>
          <w:cols w:equalWidth="0" w:num="1">
            <w:col w:w="10300"/>
          </w:cols>
          <w:pgMar w:left="240" w:top="907" w:right="1359" w:bottom="1440" w:gutter="0" w:footer="0" w:header="0"/>
        </w:sectPr>
      </w:pPr>
    </w:p>
    <w:bookmarkStart w:id="294" w:name="page295"/>
    <w:bookmarkEnd w:id="294"/>
    <w:p>
      <w:pPr>
        <w:ind w:left="4540"/>
        <w:spacing w:after="0"/>
        <w:rPr>
          <w:sz w:val="20"/>
          <w:szCs w:val="20"/>
          <w:color w:val="auto"/>
        </w:rPr>
      </w:pPr>
      <w:r>
        <w:rPr>
          <w:rFonts w:ascii="Courier New" w:cs="Courier New" w:eastAsia="Courier New" w:hAnsi="Courier New"/>
          <w:sz w:val="17"/>
          <w:szCs w:val="17"/>
          <w:color w:val="auto"/>
        </w:rPr>
        <w:t>Scotts Profi HGmbH (Austria)</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Scotts Italia S.r.l. (Italy)</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Scotts Horticulture Ltd. (Ireland)</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Scotts Hungary KFT (Hungary)</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The Scotts Company Italia S.r.l. (Italy)</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*Scotts Japan, Ltd. (Japan)</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The Scotts Company Kenya Ltd. (Kenya)</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Scotts PBG Malaysia Sdn. Bhd. (Malaysia)</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Scotts Norway AS (Norway)</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Scotts Poland Sp.z.o.o. (Poland)</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Scotts Sweden AB (Sweden)</w:t>
      </w:r>
    </w:p>
    <w:p>
      <w:pPr>
        <w:spacing w:after="0" w:line="5" w:lineRule="exact"/>
        <w:rPr>
          <w:sz w:val="20"/>
          <w:szCs w:val="20"/>
          <w:color w:val="auto"/>
        </w:rPr>
      </w:pPr>
    </w:p>
    <w:p>
      <w:pPr>
        <w:ind w:left="1860"/>
        <w:spacing w:after="0"/>
        <w:tabs>
          <w:tab w:leader="none" w:pos="4420" w:val="left"/>
        </w:tabs>
        <w:rPr>
          <w:sz w:val="20"/>
          <w:szCs w:val="20"/>
          <w:color w:val="auto"/>
        </w:rPr>
      </w:pPr>
      <w:r>
        <w:rPr>
          <w:rFonts w:ascii="Courier New" w:cs="Courier New" w:eastAsia="Courier New" w:hAnsi="Courier New"/>
          <w:sz w:val="17"/>
          <w:szCs w:val="17"/>
          <w:color w:val="auto"/>
        </w:rPr>
        <w:t>Scotts Switzerland SARL</w:t>
        <w:tab/>
        <w:t>(Switzerland)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Swiss Farms Products, Inc., a Delaware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*Not wholly-owned</w:t>
      </w:r>
    </w:p>
    <w:p>
      <w:pPr>
        <w:spacing w:after="0" w:line="5"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**Scotts France SARL owns remaining .1% of Scotts France SAS</w:t>
      </w:r>
    </w:p>
    <w:p>
      <w:pPr>
        <w:sectPr>
          <w:pgSz w:w="11900" w:h="16838" w:orient="portrait"/>
          <w:cols w:equalWidth="0" w:num="1">
            <w:col w:w="10219"/>
          </w:cols>
          <w:pgMar w:left="240" w:top="709" w:right="1440" w:bottom="1440" w:gutter="0" w:footer="0" w:header="0"/>
        </w:sectPr>
      </w:pPr>
    </w:p>
    <w:bookmarkStart w:id="295" w:name="page296"/>
    <w:bookmarkEnd w:id="295"/>
    <w:p>
      <w:pPr>
        <w:jc w:val="right"/>
        <w:ind w:right="1979"/>
        <w:spacing w:after="0"/>
        <w:rPr>
          <w:sz w:val="20"/>
          <w:szCs w:val="20"/>
          <w:color w:val="auto"/>
        </w:rPr>
      </w:pPr>
      <w:r>
        <w:rPr>
          <w:rFonts w:ascii="Courier New" w:cs="Courier New" w:eastAsia="Courier New" w:hAnsi="Courier New"/>
          <w:sz w:val="17"/>
          <w:szCs w:val="17"/>
          <w:color w:val="auto"/>
        </w:rPr>
        <w:t>Exhibit 23</w:t>
      </w:r>
    </w:p>
    <w:p>
      <w:pPr>
        <w:spacing w:after="0" w:line="200" w:lineRule="exact"/>
        <w:rPr>
          <w:sz w:val="20"/>
          <w:szCs w:val="20"/>
          <w:color w:val="auto"/>
        </w:rPr>
      </w:pPr>
    </w:p>
    <w:p>
      <w:pPr>
        <w:spacing w:after="0" w:line="201"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Consent of Independent Accountants</w:t>
      </w:r>
    </w:p>
    <w:p>
      <w:pPr>
        <w:spacing w:after="0" w:line="200" w:lineRule="exact"/>
        <w:rPr>
          <w:sz w:val="20"/>
          <w:szCs w:val="20"/>
          <w:color w:val="auto"/>
        </w:rPr>
      </w:pPr>
    </w:p>
    <w:p>
      <w:pPr>
        <w:spacing w:after="0" w:line="201"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We hereby consent to the incorporation by reference in the Form S-8 (File Nos. 333-35942, 33-47073, 33-60056, 333-06061, 333-27561, 333-72715, and 333-76697) of The Scotts Company of our report dated October 29, 2001, except for Note 22, as to which the date is December 12, 2001, relating to the financial statements, which appears in this Form 10-K. We also consent to the incorporation by reference of our report dated October 29, 2001, relating to the financial statement schedule, which appears in this Form 10-K.</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PricewaterhouseCoopers LLP</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Columbus, Ohio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December 14, 2001</w:t>
      </w:r>
    </w:p>
    <w:sectPr>
      <w:pgSz w:w="11900" w:h="16838" w:orient="portrait"/>
      <w:cols w:equalWidth="0" w:num="1">
        <w:col w:w="10219"/>
      </w:cols>
      <w:pgMar w:left="240" w:top="3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C6E4AFD"/>
    <w:multiLevelType w:val="hybridMultilevel"/>
    <w:lvl w:ilvl="0">
      <w:lvlJc w:val="left"/>
      <w:lvlText w:val="("/>
      <w:numFmt w:val="bullet"/>
      <w:start w:val="1"/>
    </w:lvl>
  </w:abstractNum>
  <w:abstractNum w:abstractNumId="1">
    <w:nsid w:val="17A1B582"/>
    <w:multiLevelType w:val="hybridMultilevel"/>
    <w:lvl w:ilvl="0">
      <w:lvlJc w:val="left"/>
      <w:lvlText w:val="("/>
      <w:numFmt w:val="bullet"/>
      <w:start w:val="1"/>
    </w:lvl>
  </w:abstractNum>
  <w:abstractNum w:abstractNumId="2">
    <w:nsid w:val="4DF72E4E"/>
    <w:multiLevelType w:val="hybridMultilevel"/>
    <w:lvl w:ilvl="0">
      <w:lvlJc w:val="left"/>
      <w:lvlText w:val="-"/>
      <w:numFmt w:val="bullet"/>
      <w:start w:val="1"/>
    </w:lvl>
  </w:abstractNum>
  <w:abstractNum w:abstractNumId="3">
    <w:nsid w:val="5046B5A9"/>
    <w:multiLevelType w:val="hybridMultilevel"/>
    <w:lvl w:ilvl="0">
      <w:lvlJc w:val="left"/>
      <w:lvlText w:val="-"/>
      <w:numFmt w:val="bullet"/>
      <w:start w:val="1"/>
    </w:lvl>
  </w:abstractNum>
  <w:abstractNum w:abstractNumId="4">
    <w:nsid w:val="5D888A08"/>
    <w:multiLevelType w:val="hybridMultilevel"/>
    <w:lvl w:ilvl="0">
      <w:lvlJc w:val="left"/>
      <w:lvlText w:val="-"/>
      <w:numFmt w:val="bullet"/>
      <w:start w:val="1"/>
    </w:lvl>
    <w:lvl w:ilvl="1">
      <w:lvlJc w:val="left"/>
      <w:lvlText w:val="-"/>
      <w:numFmt w:val="bullet"/>
      <w:start w:val="1"/>
    </w:lvl>
  </w:abstractNum>
  <w:abstractNum w:abstractNumId="5">
    <w:nsid w:val="2A082C70"/>
    <w:multiLevelType w:val="hybridMultilevel"/>
    <w:lvl w:ilvl="0">
      <w:lvlJc w:val="left"/>
      <w:lvlText w:val="*"/>
      <w:numFmt w:val="bullet"/>
      <w:start w:val="1"/>
    </w:lvl>
  </w:abstractNum>
  <w:abstractNum w:abstractNumId="6">
    <w:nsid w:val="5EC6AFD4"/>
    <w:multiLevelType w:val="hybridMultilevel"/>
    <w:lvl w:ilvl="0">
      <w:lvlJc w:val="left"/>
      <w:lvlText w:val="-"/>
      <w:numFmt w:val="bullet"/>
      <w:start w:val="1"/>
    </w:lvl>
  </w:abstractNum>
  <w:abstractNum w:abstractNumId="7">
    <w:nsid w:val="19E21BB2"/>
    <w:multiLevelType w:val="hybridMultilevel"/>
    <w:lvl w:ilvl="0">
      <w:lvlJc w:val="left"/>
      <w:lvlText w:val="-"/>
      <w:numFmt w:val="bullet"/>
      <w:start w:val="1"/>
    </w:lvl>
  </w:abstractNum>
  <w:abstractNum w:abstractNumId="8">
    <w:nsid w:val="75E0858A"/>
    <w:multiLevelType w:val="hybridMultilevel"/>
    <w:lvl w:ilvl="0">
      <w:lvlJc w:val="left"/>
      <w:lvlText w:val="-"/>
      <w:numFmt w:val="bullet"/>
      <w:start w:val="1"/>
    </w:lvl>
  </w:abstractNum>
  <w:abstractNum w:abstractNumId="9">
    <w:nsid w:val="57A61A29"/>
    <w:multiLevelType w:val="hybridMultilevel"/>
    <w:lvl w:ilvl="0">
      <w:lvlJc w:val="left"/>
      <w:lvlText w:val="(%1)"/>
      <w:numFmt w:val="lowerRoman"/>
      <w:start w:val="4"/>
    </w:lvl>
  </w:abstractNum>
  <w:abstractNum w:abstractNumId="10">
    <w:nsid w:val="5399C654"/>
    <w:multiLevelType w:val="hybridMultilevel"/>
    <w:lvl w:ilvl="0">
      <w:lvlJc w:val="left"/>
      <w:lvlText w:val="-"/>
      <w:numFmt w:val="bullet"/>
      <w:start w:val="1"/>
    </w:lvl>
  </w:abstractNum>
  <w:abstractNum w:abstractNumId="11">
    <w:nsid w:val="20EE1348"/>
    <w:multiLevelType w:val="hybridMultilevel"/>
    <w:lvl w:ilvl="0">
      <w:lvlJc w:val="left"/>
      <w:lvlText w:val="3"/>
      <w:numFmt w:val="bullet"/>
      <w:start w:val="1"/>
    </w:lvl>
  </w:abstractNum>
  <w:abstractNum w:abstractNumId="12">
    <w:nsid w:val="4427069A"/>
    <w:multiLevelType w:val="hybridMultilevel"/>
    <w:lvl w:ilvl="0">
      <w:lvlJc w:val="left"/>
      <w:lvlText w:val="(%1)"/>
      <w:numFmt w:val="decimal"/>
      <w:start w:val="1"/>
    </w:lvl>
  </w:abstractNum>
  <w:abstractNum w:abstractNumId="13">
    <w:nsid w:val="B37E80A"/>
    <w:multiLevelType w:val="hybridMultilevel"/>
    <w:lvl w:ilvl="0">
      <w:lvlJc w:val="left"/>
      <w:lvlText w:val="(%1)"/>
      <w:numFmt w:val="decimal"/>
      <w:start w:val="5"/>
    </w:lvl>
  </w:abstractNum>
  <w:abstractNum w:abstractNumId="14">
    <w:nsid w:val="2157F6BC"/>
    <w:multiLevelType w:val="hybridMultilevel"/>
    <w:lvl w:ilvl="0">
      <w:lvlJc w:val="left"/>
      <w:lvlText w:val="--"/>
      <w:numFmt w:val="bullet"/>
      <w:start w:val="1"/>
    </w:lvl>
    <w:lvl w:ilvl="1">
      <w:lvlJc w:val="left"/>
      <w:lvlText w:val="-"/>
      <w:numFmt w:val="bullet"/>
      <w:start w:val="1"/>
    </w:lvl>
  </w:abstractNum>
  <w:abstractNum w:abstractNumId="15">
    <w:nsid w:val="704E1DD5"/>
    <w:multiLevelType w:val="hybridMultilevel"/>
    <w:lvl w:ilvl="0">
      <w:lvlJc w:val="left"/>
      <w:lvlText w:val="----"/>
      <w:numFmt w:val="bullet"/>
      <w:start w:val="1"/>
    </w:lvl>
  </w:abstractNum>
  <w:abstractNum w:abstractNumId="16">
    <w:nsid w:val="57D2F10E"/>
    <w:multiLevelType w:val="hybridMultilevel"/>
    <w:lvl w:ilvl="0">
      <w:lvlJc w:val="left"/>
      <w:lvlText w:val="----"/>
      <w:numFmt w:val="bullet"/>
      <w:start w:val="1"/>
    </w:lvl>
    <w:lvl w:ilvl="1">
      <w:lvlJc w:val="left"/>
      <w:lvlText w:val="---"/>
      <w:numFmt w:val="bullet"/>
      <w:start w:val="1"/>
    </w:lvl>
  </w:abstractNum>
  <w:abstractNum w:abstractNumId="17">
    <w:nsid w:val="BFFAE18"/>
    <w:multiLevelType w:val="hybridMultilevel"/>
    <w:lvl w:ilvl="0">
      <w:lvlJc w:val="left"/>
      <w:lvlText w:val="--"/>
      <w:numFmt w:val="bullet"/>
      <w:start w:val="1"/>
    </w:lvl>
  </w:abstractNum>
  <w:abstractNum w:abstractNumId="18">
    <w:nsid w:val="E3E47A8"/>
    <w:multiLevelType w:val="hybridMultilevel"/>
    <w:lvl w:ilvl="0">
      <w:lvlJc w:val="left"/>
      <w:lvlText w:val="----"/>
      <w:numFmt w:val="bullet"/>
      <w:start w:val="1"/>
    </w:lvl>
  </w:abstractNum>
  <w:abstractNum w:abstractNumId="19">
    <w:nsid w:val="2E48F044"/>
    <w:multiLevelType w:val="hybridMultilevel"/>
    <w:lvl w:ilvl="0">
      <w:lvlJc w:val="left"/>
      <w:lvlText w:val="-"/>
      <w:numFmt w:val="bullet"/>
      <w:start w:val="1"/>
    </w:lvl>
  </w:abstractNum>
  <w:abstractNum w:abstractNumId="20">
    <w:nsid w:val="49D0FEAC"/>
    <w:multiLevelType w:val="hybridMultilevel"/>
    <w:lvl w:ilvl="0">
      <w:lvlJc w:val="left"/>
      <w:lvlText w:val="(%1)"/>
      <w:numFmt w:val="decimal"/>
      <w:start w:val="1"/>
    </w:lvl>
  </w:abstractNum>
  <w:abstractNum w:abstractNumId="21">
    <w:nsid w:val="4BEE5A5B"/>
    <w:multiLevelType w:val="hybridMultilevel"/>
    <w:lvl w:ilvl="0">
      <w:lvlJc w:val="left"/>
      <w:lvlText w:val="-"/>
      <w:numFmt w:val="bullet"/>
      <w:start w:val="1"/>
    </w:lvl>
  </w:abstractNum>
  <w:abstractNum w:abstractNumId="22">
    <w:nsid w:val="5551B9F3"/>
    <w:multiLevelType w:val="hybridMultilevel"/>
    <w:lvl w:ilvl="0">
      <w:lvlJc w:val="left"/>
      <w:lvlText w:val="-"/>
      <w:numFmt w:val="bullet"/>
      <w:start w:val="1"/>
    </w:lvl>
  </w:abstractNum>
  <w:abstractNum w:abstractNumId="23">
    <w:nsid w:val="24F6AB8E"/>
    <w:multiLevelType w:val="hybridMultilevel"/>
    <w:lvl w:ilvl="0">
      <w:lvlJc w:val="left"/>
      <w:lvlText w:val="-"/>
      <w:numFmt w:val="bullet"/>
      <w:start w:val="1"/>
    </w:lvl>
  </w:abstractNum>
  <w:abstractNum w:abstractNumId="24">
    <w:nsid w:val="634C574C"/>
    <w:multiLevelType w:val="hybridMultilevel"/>
    <w:lvl w:ilvl="0">
      <w:lvlJc w:val="left"/>
      <w:lvlText w:val="-"/>
      <w:numFmt w:val="bullet"/>
      <w:start w:val="1"/>
    </w:lvl>
  </w:abstractNum>
  <w:abstractNum w:abstractNumId="25">
    <w:nsid w:val="24E99DD7"/>
    <w:multiLevelType w:val="hybridMultilevel"/>
    <w:lvl w:ilvl="0">
      <w:lvlJc w:val="left"/>
      <w:lvlText w:val="-"/>
      <w:numFmt w:val="bullet"/>
      <w:start w:val="1"/>
    </w:lvl>
  </w:abstractNum>
  <w:abstractNum w:abstractNumId="26">
    <w:nsid w:val="2A31B62D"/>
    <w:multiLevelType w:val="hybridMultilevel"/>
    <w:lvl w:ilvl="0">
      <w:lvlJc w:val="left"/>
      <w:lvlText w:val="-"/>
      <w:numFmt w:val="bullet"/>
      <w:start w:val="1"/>
    </w:lvl>
  </w:abstractNum>
  <w:abstractNum w:abstractNumId="27">
    <w:nsid w:val="1849C29B"/>
    <w:multiLevelType w:val="hybridMultilevel"/>
    <w:lvl w:ilvl="0">
      <w:lvlJc w:val="left"/>
      <w:lvlText w:val="-"/>
      <w:numFmt w:val="bullet"/>
      <w:start w:val="1"/>
    </w:lvl>
  </w:abstractNum>
  <w:abstractNum w:abstractNumId="28">
    <w:nsid w:val="7DFF9D09"/>
    <w:multiLevelType w:val="hybridMultilevel"/>
    <w:lvl w:ilvl="0">
      <w:lvlJc w:val="left"/>
      <w:lvlText w:val="-"/>
      <w:numFmt w:val="bullet"/>
      <w:start w:val="1"/>
    </w:lvl>
    <w:lvl w:ilvl="1">
      <w:lvlJc w:val="left"/>
      <w:lvlText w:val="-"/>
      <w:numFmt w:val="bullet"/>
      <w:start w:val="1"/>
    </w:lvl>
  </w:abstractNum>
  <w:abstractNum w:abstractNumId="29">
    <w:nsid w:val="754342"/>
    <w:multiLevelType w:val="hybridMultilevel"/>
    <w:lvl w:ilvl="0">
      <w:lvlJc w:val="left"/>
      <w:lvlText w:val="-"/>
      <w:numFmt w:val="bullet"/>
      <w:start w:val="1"/>
    </w:lvl>
  </w:abstractNum>
  <w:abstractNum w:abstractNumId="30">
    <w:nsid w:val="69E7F3E5"/>
    <w:multiLevelType w:val="hybridMultilevel"/>
    <w:lvl w:ilvl="0">
      <w:lvlJc w:val="left"/>
      <w:lvlText w:val="-"/>
      <w:numFmt w:val="bullet"/>
      <w:start w:val="1"/>
    </w:lvl>
  </w:abstractNum>
  <w:abstractNum w:abstractNumId="31">
    <w:nsid w:val="2A6DE806"/>
    <w:multiLevelType w:val="hybridMultilevel"/>
    <w:lvl w:ilvl="0">
      <w:lvlJc w:val="left"/>
      <w:lvlText w:val="-"/>
      <w:numFmt w:val="bullet"/>
      <w:start w:val="1"/>
    </w:lvl>
  </w:abstractNum>
  <w:abstractNum w:abstractNumId="32">
    <w:nsid w:val="1816F8C4"/>
    <w:multiLevelType w:val="hybridMultilevel"/>
    <w:lvl w:ilvl="0">
      <w:lvlJc w:val="left"/>
      <w:lvlText w:val="-"/>
      <w:numFmt w:val="bullet"/>
      <w:start w:val="1"/>
    </w:lvl>
  </w:abstractNum>
  <w:abstractNum w:abstractNumId="33">
    <w:nsid w:val="37DF2233"/>
    <w:multiLevelType w:val="hybridMultilevel"/>
    <w:lvl w:ilvl="0">
      <w:lvlJc w:val="left"/>
      <w:lvlText w:val="-"/>
      <w:numFmt w:val="bullet"/>
      <w:start w:val="1"/>
    </w:lvl>
  </w:abstractNum>
  <w:abstractNum w:abstractNumId="34">
    <w:nsid w:val="7AB49DAF"/>
    <w:multiLevelType w:val="hybridMultilevel"/>
    <w:lvl w:ilvl="0">
      <w:lvlJc w:val="left"/>
      <w:lvlText w:val="-"/>
      <w:numFmt w:val="bullet"/>
      <w:start w:val="1"/>
    </w:lvl>
  </w:abstractNum>
  <w:abstractNum w:abstractNumId="35">
    <w:nsid w:val="759F82CD"/>
    <w:multiLevelType w:val="hybridMultilevel"/>
    <w:lvl w:ilvl="0">
      <w:lvlJc w:val="left"/>
      <w:lvlText w:val="-"/>
      <w:numFmt w:val="bullet"/>
      <w:start w:val="1"/>
    </w:lvl>
  </w:abstractNum>
  <w:abstractNum w:abstractNumId="36">
    <w:nsid w:val="61E74EA3"/>
    <w:multiLevelType w:val="hybridMultilevel"/>
    <w:lvl w:ilvl="0">
      <w:lvlJc w:val="left"/>
      <w:lvlText w:val="-----"/>
      <w:numFmt w:val="bullet"/>
      <w:start w:val="1"/>
    </w:lvl>
  </w:abstractNum>
  <w:abstractNum w:abstractNumId="37">
    <w:nsid w:val="597B4D84"/>
    <w:multiLevelType w:val="hybridMultilevel"/>
    <w:lvl w:ilvl="0">
      <w:lvlJc w:val="left"/>
      <w:lvlText w:val="-"/>
      <w:numFmt w:val="bullet"/>
      <w:start w:val="1"/>
    </w:lvl>
  </w:abstractNum>
  <w:abstractNum w:abstractNumId="38">
    <w:nsid w:val="F819E7F"/>
    <w:multiLevelType w:val="hybridMultilevel"/>
    <w:lvl w:ilvl="0">
      <w:lvlJc w:val="left"/>
      <w:lvlText w:val="----"/>
      <w:numFmt w:val="bullet"/>
      <w:start w:val="1"/>
    </w:lvl>
    <w:lvl w:ilvl="1">
      <w:lvlJc w:val="left"/>
      <w:lvlText w:val="(%2)"/>
      <w:numFmt w:val="decimal"/>
      <w:start w:val="1"/>
    </w:lvl>
  </w:abstractNum>
  <w:abstractNum w:abstractNumId="39">
    <w:nsid w:val="57C7D42D"/>
    <w:multiLevelType w:val="hybridMultilevel"/>
    <w:lvl w:ilvl="0">
      <w:lvlJc w:val="left"/>
      <w:lvlText w:val="(%1)"/>
      <w:numFmt w:val="decimal"/>
      <w:start w:val="3"/>
    </w:lvl>
  </w:abstractNum>
  <w:abstractNum w:abstractNumId="40">
    <w:nsid w:val="312167AD"/>
    <w:multiLevelType w:val="hybridMultilevel"/>
    <w:lvl w:ilvl="0">
      <w:lvlJc w:val="left"/>
      <w:lvlText w:val="*"/>
      <w:numFmt w:val="bullet"/>
      <w:start w:val="1"/>
    </w:lvl>
  </w:abstractNum>
  <w:abstractNum w:abstractNumId="41">
    <w:nsid w:val="631B64D4"/>
    <w:multiLevelType w:val="hybridMultilevel"/>
    <w:lvl w:ilvl="0">
      <w:lvlJc w:val="left"/>
      <w:lvlText w:val="(%1)"/>
      <w:numFmt w:val="decimal"/>
      <w:start w:val="3"/>
    </w:lvl>
  </w:abstractNum>
  <w:abstractNum w:abstractNumId="42">
    <w:nsid w:val="78B5E776"/>
    <w:multiLevelType w:val="hybridMultilevel"/>
    <w:lvl w:ilvl="0">
      <w:lvlJc w:val="left"/>
      <w:lvlText w:val="%1."/>
      <w:numFmt w:val="upperLetter"/>
      <w:start w:val="13"/>
    </w:lvl>
  </w:abstractNum>
  <w:abstractNum w:abstractNumId="43">
    <w:nsid w:val="75486E47"/>
    <w:multiLevelType w:val="hybridMultilevel"/>
    <w:lvl w:ilvl="0">
      <w:lvlJc w:val="left"/>
      <w:lvlText w:val="%1."/>
      <w:numFmt w:val="upperLetter"/>
      <w:start w:val="13"/>
    </w:lvl>
  </w:abstractNum>
  <w:abstractNum w:abstractNumId="44">
    <w:nsid w:val="6E534CDE"/>
    <w:multiLevelType w:val="hybridMultilevel"/>
    <w:lvl w:ilvl="0">
      <w:lvlJc w:val="left"/>
      <w:lvlText w:val="%1."/>
      <w:numFmt w:val="upperLetter"/>
      <w:start w:val="13"/>
    </w:lvl>
  </w:abstractNum>
  <w:abstractNum w:abstractNumId="45">
    <w:nsid w:val="1A0DDE32"/>
    <w:multiLevelType w:val="hybridMultilevel"/>
    <w:lvl w:ilvl="0">
      <w:lvlJc w:val="left"/>
      <w:lvlText w:val="*"/>
      <w:numFmt w:val="bullet"/>
      <w:start w:val="1"/>
    </w:lvl>
  </w:abstractNum>
  <w:abstractNum w:abstractNumId="46">
    <w:nsid w:val="65968C1C"/>
    <w:multiLevelType w:val="hybridMultilevel"/>
    <w:lvl w:ilvl="0">
      <w:lvlJc w:val="left"/>
      <w:lvlText w:val="%1."/>
      <w:numFmt w:val="upperLetter"/>
      <w:start w:val="10"/>
    </w:lvl>
  </w:abstractNum>
  <w:abstractNum w:abstractNumId="47">
    <w:nsid w:val="46263DEC"/>
    <w:multiLevelType w:val="hybridMultilevel"/>
    <w:lvl w:ilvl="0">
      <w:lvlJc w:val="left"/>
      <w:lvlText w:val="----"/>
      <w:numFmt w:val="bullet"/>
      <w:start w:val="1"/>
    </w:lvl>
  </w:abstractNum>
  <w:abstractNum w:abstractNumId="48">
    <w:nsid w:val="260D8C4A"/>
    <w:multiLevelType w:val="hybridMultilevel"/>
    <w:lvl w:ilvl="0">
      <w:lvlJc w:val="left"/>
      <w:lvlText w:val="-"/>
      <w:numFmt w:val="bullet"/>
      <w:start w:val="1"/>
    </w:lvl>
    <w:lvl w:ilvl="1">
      <w:lvlJc w:val="left"/>
      <w:lvlText w:val="%2."/>
      <w:numFmt w:val="upperLetter"/>
      <w:start w:val="16"/>
    </w:lvl>
    <w:lvl w:ilvl="2">
      <w:lvlJc w:val="left"/>
      <w:lvlText w:val="(%3)"/>
      <w:numFmt w:val="lowerLetter"/>
      <w:start w:val="2"/>
    </w:lvl>
  </w:abstractNum>
  <w:abstractNum w:abstractNumId="49">
    <w:nsid w:val="73D4D3C4"/>
    <w:multiLevelType w:val="hybridMultilevel"/>
    <w:lvl w:ilvl="0">
      <w:lvlJc w:val="left"/>
      <w:lvlText w:val="--"/>
      <w:numFmt w:val="bullet"/>
      <w:start w:val="1"/>
    </w:lvl>
  </w:abstractNum>
  <w:abstractNum w:abstractNumId="50">
    <w:nsid w:val="746F2E30"/>
    <w:multiLevelType w:val="hybridMultilevel"/>
    <w:lvl w:ilvl="0">
      <w:lvlJc w:val="left"/>
      <w:lvlText w:val="%1."/>
      <w:numFmt w:val="upperLetter"/>
      <w:start w:val="13"/>
    </w:lvl>
  </w:abstractNum>
  <w:abstractNum w:abstractNumId="51">
    <w:nsid w:val="6FDE8AF6"/>
    <w:multiLevelType w:val="hybridMultilevel"/>
    <w:lvl w:ilvl="0">
      <w:lvlJc w:val="left"/>
      <w:lvlText w:val="---"/>
      <w:numFmt w:val="bullet"/>
      <w:start w:val="1"/>
    </w:lvl>
    <w:lvl w:ilvl="1">
      <w:lvlJc w:val="left"/>
      <w:lvlText w:val="-"/>
      <w:numFmt w:val="bullet"/>
      <w:start w:val="1"/>
    </w:lvl>
  </w:abstractNum>
  <w:abstractNum w:abstractNumId="52">
    <w:nsid w:val="3FC32E20"/>
    <w:multiLevelType w:val="hybridMultilevel"/>
    <w:lvl w:ilvl="0">
      <w:lvlJc w:val="left"/>
      <w:lvlText w:val="-----"/>
      <w:numFmt w:val="bullet"/>
      <w:start w:val="1"/>
    </w:lvl>
  </w:abstractNum>
  <w:abstractNum w:abstractNumId="53">
    <w:nsid w:val="49C0E823"/>
    <w:multiLevelType w:val="hybridMultilevel"/>
    <w:lvl w:ilvl="0">
      <w:lvlJc w:val="left"/>
      <w:lvlText w:val="-----"/>
      <w:numFmt w:val="bullet"/>
      <w:start w:val="1"/>
    </w:lvl>
  </w:abstractNum>
  <w:abstractNum w:abstractNumId="54">
    <w:nsid w:val="14D53685"/>
    <w:multiLevelType w:val="hybridMultilevel"/>
    <w:lvl w:ilvl="0">
      <w:lvlJc w:val="left"/>
      <w:lvlText w:val="---"/>
      <w:numFmt w:val="bullet"/>
      <w:start w:val="1"/>
    </w:lvl>
  </w:abstractNum>
  <w:abstractNum w:abstractNumId="55">
    <w:nsid w:val="230F856C"/>
    <w:multiLevelType w:val="hybridMultilevel"/>
    <w:lvl w:ilvl="0">
      <w:lvlJc w:val="left"/>
      <w:lvlText w:val="----"/>
      <w:numFmt w:val="bullet"/>
      <w:start w:val="1"/>
    </w:lvl>
  </w:abstractNum>
  <w:abstractNum w:abstractNumId="56">
    <w:nsid w:val="6EAA85FB"/>
    <w:multiLevelType w:val="hybridMultilevel"/>
    <w:lvl w:ilvl="0">
      <w:lvlJc w:val="left"/>
      <w:lvlText w:val="$"/>
      <w:numFmt w:val="bullet"/>
      <w:start w:val="1"/>
    </w:lvl>
  </w:abstractNum>
  <w:abstractNum w:abstractNumId="57">
    <w:nsid w:val="3F06ECB2"/>
    <w:multiLevelType w:val="hybridMultilevel"/>
    <w:lvl w:ilvl="0">
      <w:lvlJc w:val="left"/>
      <w:lvlText w:val="--"/>
      <w:numFmt w:val="bullet"/>
      <w:start w:val="1"/>
    </w:lvl>
  </w:abstractNum>
  <w:abstractNum w:abstractNumId="58">
    <w:nsid w:val="3B594807"/>
    <w:multiLevelType w:val="hybridMultilevel"/>
    <w:lvl w:ilvl="0">
      <w:lvlJc w:val="left"/>
      <w:lvlText w:val="-----"/>
      <w:numFmt w:val="bullet"/>
      <w:start w:val="1"/>
    </w:lvl>
  </w:abstractNum>
  <w:abstractNum w:abstractNumId="59">
    <w:nsid w:val="6CAA2304"/>
    <w:multiLevelType w:val="hybridMultilevel"/>
    <w:lvl w:ilvl="0">
      <w:lvlJc w:val="left"/>
      <w:lvlText w:val="---"/>
      <w:numFmt w:val="bullet"/>
      <w:start w:val="1"/>
    </w:lvl>
    <w:lvl w:ilvl="1">
      <w:lvlJc w:val="left"/>
      <w:lvlText w:val="-----"/>
      <w:numFmt w:val="bullet"/>
      <w:start w:val="1"/>
    </w:lvl>
  </w:abstractNum>
  <w:abstractNum w:abstractNumId="60">
    <w:nsid w:val="3F7C2FF4"/>
    <w:multiLevelType w:val="hybridMultilevel"/>
    <w:lvl w:ilvl="0">
      <w:lvlJc w:val="left"/>
      <w:lvlText w:val="-----"/>
      <w:numFmt w:val="bullet"/>
      <w:start w:val="1"/>
    </w:lvl>
  </w:abstractNum>
  <w:abstractNum w:abstractNumId="61">
    <w:nsid w:val="25413BEC"/>
    <w:multiLevelType w:val="hybridMultilevel"/>
    <w:lvl w:ilvl="0">
      <w:lvlJc w:val="left"/>
      <w:lvlText w:val="---"/>
      <w:numFmt w:val="bullet"/>
      <w:start w:val="1"/>
    </w:lvl>
    <w:lvl w:ilvl="1">
      <w:lvlJc w:val="left"/>
      <w:lvlText w:val="-----"/>
      <w:numFmt w:val="bullet"/>
      <w:start w:val="1"/>
    </w:lvl>
  </w:abstractNum>
  <w:abstractNum w:abstractNumId="62">
    <w:nsid w:val="17180B0B"/>
    <w:multiLevelType w:val="hybridMultilevel"/>
    <w:lvl w:ilvl="0">
      <w:lvlJc w:val="left"/>
      <w:lvlText w:val="$"/>
      <w:numFmt w:val="bullet"/>
      <w:start w:val="1"/>
    </w:lvl>
  </w:abstractNum>
  <w:abstractNum w:abstractNumId="63">
    <w:nsid w:val="579328B9"/>
    <w:multiLevelType w:val="hybridMultilevel"/>
    <w:lvl w:ilvl="0">
      <w:lvlJc w:val="left"/>
      <w:lvlText w:val="--"/>
      <w:numFmt w:val="bullet"/>
      <w:start w:val="1"/>
    </w:lvl>
  </w:abstractNum>
  <w:abstractNum w:abstractNumId="64">
    <w:nsid w:val="5D205E20"/>
    <w:multiLevelType w:val="hybridMultilevel"/>
    <w:lvl w:ilvl="0">
      <w:lvlJc w:val="left"/>
      <w:lvlText w:val="----"/>
      <w:numFmt w:val="bullet"/>
      <w:start w:val="1"/>
    </w:lvl>
  </w:abstractNum>
  <w:abstractNum w:abstractNumId="65">
    <w:nsid w:val="11CCA8BA"/>
    <w:multiLevelType w:val="hybridMultilevel"/>
    <w:lvl w:ilvl="0">
      <w:lvlJc w:val="left"/>
      <w:lvlText w:val="$"/>
      <w:numFmt w:val="bullet"/>
      <w:start w:val="1"/>
    </w:lvl>
  </w:abstractNum>
  <w:abstractNum w:abstractNumId="66">
    <w:nsid w:val="4D32AB86"/>
    <w:multiLevelType w:val="hybridMultilevel"/>
    <w:lvl w:ilvl="0">
      <w:lvlJc w:val="left"/>
      <w:lvlText w:val="--"/>
      <w:numFmt w:val="bullet"/>
      <w:start w:val="1"/>
    </w:lvl>
  </w:abstractNum>
  <w:abstractNum w:abstractNumId="67">
    <w:nsid w:val="3F07ACC3"/>
    <w:multiLevelType w:val="hybridMultilevel"/>
    <w:lvl w:ilvl="0">
      <w:lvlJc w:val="left"/>
      <w:lvlText w:val="----"/>
      <w:numFmt w:val="bullet"/>
      <w:start w:val="1"/>
    </w:lvl>
  </w:abstractNum>
  <w:abstractNum w:abstractNumId="68">
    <w:nsid w:val="6B47F63E"/>
    <w:multiLevelType w:val="hybridMultilevel"/>
    <w:lvl w:ilvl="0">
      <w:lvlJc w:val="left"/>
      <w:lvlText w:val="-----"/>
      <w:numFmt w:val="bullet"/>
      <w:start w:val="1"/>
    </w:lvl>
  </w:abstractNum>
  <w:abstractNum w:abstractNumId="69">
    <w:nsid w:val="5CB44A05"/>
    <w:multiLevelType w:val="hybridMultilevel"/>
    <w:lvl w:ilvl="0">
      <w:lvlJc w:val="left"/>
      <w:lvlText w:val="----"/>
      <w:numFmt w:val="bullet"/>
      <w:start w:val="1"/>
    </w:lvl>
  </w:abstractNum>
  <w:abstractNum w:abstractNumId="70">
    <w:nsid w:val="16CF80F1"/>
    <w:multiLevelType w:val="hybridMultilevel"/>
    <w:lvl w:ilvl="0">
      <w:lvlJc w:val="left"/>
      <w:lvlText w:val="--"/>
      <w:numFmt w:val="bullet"/>
      <w:start w:val="1"/>
    </w:lvl>
  </w:abstractNum>
  <w:abstractNum w:abstractNumId="71">
    <w:nsid w:val="1C695DEC"/>
    <w:multiLevelType w:val="hybridMultilevel"/>
    <w:lvl w:ilvl="0">
      <w:lvlJc w:val="left"/>
      <w:lvlText w:val="----"/>
      <w:numFmt w:val="bullet"/>
      <w:start w:val="1"/>
    </w:lvl>
    <w:lvl w:ilvl="1">
      <w:lvlJc w:val="left"/>
      <w:lvlText w:val="----"/>
      <w:numFmt w:val="bullet"/>
      <w:start w:val="1"/>
    </w:lvl>
  </w:abstractNum>
  <w:abstractNum w:abstractNumId="72">
    <w:nsid w:val="3FCFAED9"/>
    <w:multiLevelType w:val="hybridMultilevel"/>
    <w:lvl w:ilvl="0">
      <w:lvlJc w:val="left"/>
      <w:lvlText w:val="$"/>
      <w:numFmt w:val="bullet"/>
      <w:start w:val="1"/>
    </w:lvl>
  </w:abstractNum>
  <w:abstractNum w:abstractNumId="73">
    <w:nsid w:val="F856867"/>
    <w:multiLevelType w:val="hybridMultilevel"/>
    <w:lvl w:ilvl="0">
      <w:lvlJc w:val="left"/>
      <w:lvlText w:val="--"/>
      <w:numFmt w:val="bullet"/>
      <w:start w:val="1"/>
    </w:lvl>
  </w:abstractNum>
  <w:abstractNum w:abstractNumId="74">
    <w:nsid w:val="11B1CC33"/>
    <w:multiLevelType w:val="hybridMultilevel"/>
    <w:lvl w:ilvl="0">
      <w:lvlJc w:val="left"/>
      <w:lvlText w:val="-"/>
      <w:numFmt w:val="bullet"/>
      <w:start w:val="1"/>
    </w:lvl>
    <w:lvl w:ilvl="1">
      <w:lvlJc w:val="left"/>
      <w:lvlText w:val="-----"/>
      <w:numFmt w:val="bullet"/>
      <w:start w:val="1"/>
    </w:lvl>
  </w:abstractNum>
  <w:abstractNum w:abstractNumId="75">
    <w:nsid w:val="2E22FBB7"/>
    <w:multiLevelType w:val="hybridMultilevel"/>
    <w:lvl w:ilvl="0">
      <w:lvlJc w:val="left"/>
      <w:lvlText w:val="-"/>
      <w:numFmt w:val="bullet"/>
      <w:start w:val="1"/>
    </w:lvl>
  </w:abstractNum>
  <w:abstractNum w:abstractNumId="76">
    <w:nsid w:val="29934699"/>
    <w:multiLevelType w:val="hybridMultilevel"/>
    <w:lvl w:ilvl="0">
      <w:lvlJc w:val="left"/>
      <w:lvlText w:val="-"/>
      <w:numFmt w:val="bullet"/>
      <w:start w:val="1"/>
    </w:lvl>
  </w:abstractNum>
  <w:abstractNum w:abstractNumId="77">
    <w:nsid w:val="77485850"/>
    <w:multiLevelType w:val="hybridMultilevel"/>
    <w:lvl w:ilvl="0">
      <w:lvlJc w:val="left"/>
      <w:lvlText w:val="-"/>
      <w:numFmt w:val="bullet"/>
      <w:start w:val="1"/>
    </w:lvl>
    <w:lvl w:ilvl="1">
      <w:lvlJc w:val="left"/>
      <w:lvlText w:val="-"/>
      <w:numFmt w:val="bullet"/>
      <w:start w:val="1"/>
    </w:lvl>
  </w:abstractNum>
  <w:abstractNum w:abstractNumId="78">
    <w:nsid w:val="744939A3"/>
    <w:multiLevelType w:val="hybridMultilevel"/>
    <w:lvl w:ilvl="0">
      <w:lvlJc w:val="left"/>
      <w:lvlText w:val="(%1)"/>
      <w:numFmt w:val="lowerLetter"/>
      <w:start w:val="1"/>
    </w:lvl>
  </w:abstractNum>
  <w:abstractNum w:abstractNumId="79">
    <w:nsid w:val="4FA0D2E3"/>
    <w:multiLevelType w:val="hybridMultilevel"/>
    <w:lvl w:ilvl="0">
      <w:lvlJc w:val="left"/>
      <w:lvlText w:val="(%1)"/>
      <w:numFmt w:val="lowerLetter"/>
      <w:start w:val="2"/>
    </w:lvl>
  </w:abstractNum>
  <w:abstractNum w:abstractNumId="80">
    <w:nsid w:val="6B1D2C14"/>
    <w:multiLevelType w:val="hybridMultilevel"/>
    <w:lvl w:ilvl="0">
      <w:lvlJc w:val="left"/>
      <w:lvlText w:val="-----"/>
      <w:numFmt w:val="bullet"/>
      <w:start w:val="1"/>
    </w:lvl>
  </w:abstractNum>
  <w:abstractNum w:abstractNumId="81">
    <w:nsid w:val="68B867D3"/>
    <w:multiLevelType w:val="hybridMultilevel"/>
    <w:lvl w:ilvl="0">
      <w:lvlJc w:val="left"/>
      <w:lvlText w:val="---"/>
      <w:numFmt w:val="bullet"/>
      <w:start w:val="1"/>
    </w:lvl>
  </w:abstractNum>
  <w:abstractNum w:abstractNumId="82">
    <w:nsid w:val="3F7F5DD9"/>
    <w:multiLevelType w:val="hybridMultilevel"/>
    <w:lvl w:ilvl="0">
      <w:lvlJc w:val="left"/>
      <w:lvlText w:val="-----"/>
      <w:numFmt w:val="bullet"/>
      <w:start w:val="1"/>
    </w:lvl>
  </w:abstractNum>
  <w:abstractNum w:abstractNumId="83">
    <w:nsid w:val="2AE05A34"/>
    <w:multiLevelType w:val="hybridMultilevel"/>
    <w:lvl w:ilvl="0">
      <w:lvlJc w:val="left"/>
      <w:lvlText w:val="----"/>
      <w:numFmt w:val="bullet"/>
      <w:start w:val="1"/>
    </w:lvl>
  </w:abstractNum>
  <w:abstractNum w:abstractNumId="84">
    <w:nsid w:val="32794FF7"/>
    <w:multiLevelType w:val="hybridMultilevel"/>
    <w:lvl w:ilvl="0">
      <w:lvlJc w:val="left"/>
      <w:lvlText w:val="-----"/>
      <w:numFmt w:val="bullet"/>
      <w:start w:val="1"/>
    </w:lvl>
  </w:abstractNum>
  <w:abstractNum w:abstractNumId="85">
    <w:nsid w:val="5454945E"/>
    <w:multiLevelType w:val="hybridMultilevel"/>
    <w:lvl w:ilvl="0">
      <w:lvlJc w:val="left"/>
      <w:lvlText w:val="----"/>
      <w:numFmt w:val="bullet"/>
      <w:start w:val="1"/>
    </w:lvl>
  </w:abstractNum>
  <w:abstractNum w:abstractNumId="86">
    <w:nsid w:val="4DEFDFA0"/>
    <w:multiLevelType w:val="hybridMultilevel"/>
    <w:lvl w:ilvl="0">
      <w:lvlJc w:val="left"/>
      <w:lvlText w:val="-"/>
      <w:numFmt w:val="bullet"/>
      <w:start w:val="1"/>
    </w:lvl>
  </w:abstractNum>
  <w:abstractNum w:abstractNumId="87">
    <w:nsid w:val="2123D5F2"/>
    <w:multiLevelType w:val="hybridMultilevel"/>
    <w:lvl w:ilvl="0">
      <w:lvlJc w:val="left"/>
      <w:lvlText w:val="$"/>
      <w:numFmt w:val="bullet"/>
      <w:start w:val="1"/>
    </w:lvl>
  </w:abstractNum>
  <w:abstractNum w:abstractNumId="88">
    <w:nsid w:val="135B8110"/>
    <w:multiLevelType w:val="hybridMultilevel"/>
    <w:lvl w:ilvl="0">
      <w:lvlJc w:val="left"/>
      <w:lvlText w:val="--"/>
      <w:numFmt w:val="bullet"/>
      <w:start w:val="1"/>
    </w:lvl>
    <w:lvl w:ilvl="1">
      <w:lvlJc w:val="left"/>
      <w:lvlText w:val="--"/>
      <w:numFmt w:val="bullet"/>
      <w:start w:val="1"/>
    </w:lvl>
  </w:abstractNum>
  <w:abstractNum w:abstractNumId="89">
    <w:nsid w:val="94927A8"/>
    <w:multiLevelType w:val="hybridMultilevel"/>
    <w:lvl w:ilvl="0">
      <w:lvlJc w:val="left"/>
      <w:lvlText w:val="--"/>
      <w:numFmt w:val="bullet"/>
      <w:start w:val="1"/>
    </w:lvl>
  </w:abstractNum>
  <w:abstractNum w:abstractNumId="90">
    <w:nsid w:val="DCDF8F6"/>
    <w:multiLevelType w:val="hybridMultilevel"/>
    <w:lvl w:ilvl="0">
      <w:lvlJc w:val="left"/>
      <w:lvlText w:val="----"/>
      <w:numFmt w:val="bullet"/>
      <w:start w:val="1"/>
    </w:lvl>
  </w:abstractNum>
  <w:abstractNum w:abstractNumId="91">
    <w:nsid w:val="52D7B105"/>
    <w:multiLevelType w:val="hybridMultilevel"/>
    <w:lvl w:ilvl="0">
      <w:lvlJc w:val="left"/>
      <w:lvlText w:val="$"/>
      <w:numFmt w:val="bullet"/>
      <w:start w:val="1"/>
    </w:lvl>
  </w:abstractNum>
  <w:abstractNum w:abstractNumId="92">
    <w:nsid w:val="2E8A6394"/>
    <w:multiLevelType w:val="hybridMultilevel"/>
    <w:lvl w:ilvl="0">
      <w:lvlJc w:val="left"/>
      <w:lvlText w:val="---"/>
      <w:numFmt w:val="bullet"/>
      <w:start w:val="1"/>
    </w:lvl>
    <w:lvl w:ilvl="1">
      <w:lvlJc w:val="left"/>
      <w:lvlText w:val="-----"/>
      <w:numFmt w:val="bullet"/>
      <w:start w:val="1"/>
    </w:lvl>
  </w:abstractNum>
  <w:abstractNum w:abstractNumId="93">
    <w:nsid w:val="24E60401"/>
    <w:multiLevelType w:val="hybridMultilevel"/>
    <w:lvl w:ilvl="0">
      <w:lvlJc w:val="left"/>
      <w:lvlText w:val="$"/>
      <w:numFmt w:val="bullet"/>
      <w:start w:val="1"/>
    </w:lvl>
  </w:abstractNum>
  <w:abstractNum w:abstractNumId="94">
    <w:nsid w:val="2A6AD9BE"/>
    <w:multiLevelType w:val="hybridMultilevel"/>
    <w:lvl w:ilvl="0">
      <w:lvlJc w:val="left"/>
      <w:lvlText w:val="-"/>
      <w:numFmt w:val="bullet"/>
      <w:start w:val="1"/>
    </w:lvl>
    <w:lvl w:ilvl="1">
      <w:lvlJc w:val="left"/>
      <w:lvlText w:val="-----"/>
      <w:numFmt w:val="bullet"/>
      <w:start w:val="1"/>
    </w:lvl>
  </w:abstractNum>
  <w:abstractNum w:abstractNumId="95">
    <w:nsid w:val="BAAC1B4"/>
    <w:multiLevelType w:val="hybridMultilevel"/>
    <w:lvl w:ilvl="0">
      <w:lvlJc w:val="left"/>
      <w:lvlText w:val="----"/>
      <w:numFmt w:val="bullet"/>
      <w:start w:val="1"/>
    </w:lvl>
  </w:abstractNum>
  <w:abstractNum w:abstractNumId="96">
    <w:nsid w:val="36B2ACBC"/>
    <w:multiLevelType w:val="hybridMultilevel"/>
    <w:lvl w:ilvl="0">
      <w:lvlJc w:val="left"/>
      <w:lvlText w:val="$"/>
      <w:numFmt w:val="bullet"/>
      <w:start w:val="1"/>
    </w:lvl>
  </w:abstractNum>
  <w:abstractNum w:abstractNumId="97">
    <w:nsid w:val="779D8544"/>
    <w:multiLevelType w:val="hybridMultilevel"/>
    <w:lvl w:ilvl="0">
      <w:lvlJc w:val="left"/>
      <w:lvlText w:val="--"/>
      <w:numFmt w:val="bullet"/>
      <w:start w:val="1"/>
    </w:lvl>
  </w:abstractNum>
  <w:abstractNum w:abstractNumId="98">
    <w:nsid w:val="4AB26E78"/>
    <w:multiLevelType w:val="hybridMultilevel"/>
    <w:lvl w:ilvl="0">
      <w:lvlJc w:val="left"/>
      <w:lvlText w:val="-"/>
      <w:numFmt w:val="bullet"/>
      <w:start w:val="1"/>
    </w:lvl>
  </w:abstractNum>
  <w:abstractNum w:abstractNumId="99">
    <w:nsid w:val="21FAA2FA"/>
    <w:multiLevelType w:val="hybridMultilevel"/>
    <w:lvl w:ilvl="0">
      <w:lvlJc w:val="left"/>
      <w:lvlText w:val="----"/>
      <w:numFmt w:val="bullet"/>
      <w:start w:val="1"/>
    </w:lvl>
  </w:abstractNum>
  <w:abstractNum w:abstractNumId="100">
    <w:nsid w:val="5451CF49"/>
    <w:multiLevelType w:val="hybridMultilevel"/>
    <w:lvl w:ilvl="0">
      <w:lvlJc w:val="left"/>
      <w:lvlText w:val="-"/>
      <w:numFmt w:val="bullet"/>
      <w:start w:val="1"/>
    </w:lvl>
  </w:abstractNum>
  <w:abstractNum w:abstractNumId="101">
    <w:nsid w:val="6181EF69"/>
    <w:multiLevelType w:val="hybridMultilevel"/>
    <w:lvl w:ilvl="0">
      <w:lvlJc w:val="left"/>
      <w:lvlText w:val="-"/>
      <w:numFmt w:val="bullet"/>
      <w:start w:val="1"/>
    </w:lvl>
  </w:abstractNum>
  <w:abstractNum w:abstractNumId="102">
    <w:nsid w:val="3E6400E6"/>
    <w:multiLevelType w:val="hybridMultilevel"/>
    <w:lvl w:ilvl="0">
      <w:lvlJc w:val="left"/>
      <w:lvlText w:val="-"/>
      <w:numFmt w:val="bullet"/>
      <w:start w:val="1"/>
    </w:lvl>
  </w:abstractNum>
  <w:abstractNum w:abstractNumId="103">
    <w:nsid w:val="14217E23"/>
    <w:multiLevelType w:val="hybridMultilevel"/>
    <w:lvl w:ilvl="0">
      <w:lvlJc w:val="left"/>
      <w:lvlText w:val="-"/>
      <w:numFmt w:val="bullet"/>
      <w:start w:val="1"/>
    </w:lvl>
  </w:abstractNum>
  <w:abstractNum w:abstractNumId="104">
    <w:nsid w:val="710757D0"/>
    <w:multiLevelType w:val="hybridMultilevel"/>
    <w:lvl w:ilvl="0">
      <w:lvlJc w:val="left"/>
      <w:lvlText w:val="-"/>
      <w:numFmt w:val="bullet"/>
      <w:start w:val="1"/>
    </w:lvl>
  </w:abstractNum>
  <w:abstractNum w:abstractNumId="105">
    <w:nsid w:val="5015CD1A"/>
    <w:multiLevelType w:val="hybridMultilevel"/>
    <w:lvl w:ilvl="0">
      <w:lvlJc w:val="left"/>
      <w:lvlText w:val="-"/>
      <w:numFmt w:val="bullet"/>
      <w:start w:val="1"/>
    </w:lvl>
    <w:lvl w:ilvl="1">
      <w:lvlJc w:val="left"/>
      <w:lvlText w:val="---"/>
      <w:numFmt w:val="bullet"/>
      <w:start w:val="1"/>
    </w:lvl>
  </w:abstractNum>
  <w:abstractNum w:abstractNumId="106">
    <w:nsid w:val="424479DA"/>
    <w:multiLevelType w:val="hybridMultilevel"/>
    <w:lvl w:ilvl="0">
      <w:lvlJc w:val="left"/>
      <w:lvlText w:val="%1"/>
      <w:numFmt w:val="decimal"/>
      <w:start w:val="30"/>
    </w:lvl>
  </w:abstractNum>
  <w:abstractNum w:abstractNumId="107">
    <w:nsid w:val="1A9A9E69"/>
    <w:multiLevelType w:val="hybridMultilevel"/>
    <w:lvl w:ilvl="0">
      <w:lvlJc w:val="left"/>
      <w:lvlText w:val="-"/>
      <w:numFmt w:val="bullet"/>
      <w:start w:val="1"/>
    </w:lvl>
    <w:lvl w:ilvl="1">
      <w:lvlJc w:val="left"/>
      <w:lvlText w:val="--"/>
      <w:numFmt w:val="bullet"/>
      <w:start w:val="1"/>
    </w:lvl>
  </w:abstractNum>
  <w:abstractNum w:abstractNumId="108">
    <w:nsid w:val="475E256A"/>
    <w:multiLevelType w:val="hybridMultilevel"/>
    <w:lvl w:ilvl="0">
      <w:lvlJc w:val="left"/>
      <w:lvlText w:val="----"/>
      <w:numFmt w:val="bullet"/>
      <w:start w:val="1"/>
    </w:lvl>
  </w:abstractNum>
  <w:abstractNum w:abstractNumId="109">
    <w:nsid w:val="368DB37E"/>
    <w:multiLevelType w:val="hybridMultilevel"/>
    <w:lvl w:ilvl="0">
      <w:lvlJc w:val="left"/>
      <w:lvlText w:val="---"/>
      <w:numFmt w:val="bullet"/>
      <w:start w:val="1"/>
    </w:lvl>
  </w:abstractNum>
  <w:abstractNum w:abstractNumId="110">
    <w:nsid w:val="6A3B714C"/>
    <w:multiLevelType w:val="hybridMultilevel"/>
    <w:lvl w:ilvl="0">
      <w:lvlJc w:val="left"/>
      <w:lvlText w:val="-----"/>
      <w:numFmt w:val="bullet"/>
      <w:start w:val="1"/>
    </w:lvl>
  </w:abstractNum>
  <w:abstractNum w:abstractNumId="111">
    <w:nsid w:val="327B517E"/>
    <w:multiLevelType w:val="hybridMultilevel"/>
    <w:lvl w:ilvl="0">
      <w:lvlJc w:val="left"/>
      <w:lvlText w:val="-"/>
      <w:numFmt w:val="bullet"/>
      <w:start w:val="1"/>
    </w:lvl>
    <w:lvl w:ilvl="1">
      <w:lvlJc w:val="left"/>
      <w:lvlText w:val="-"/>
      <w:numFmt w:val="bullet"/>
      <w:start w:val="1"/>
    </w:lvl>
  </w:abstractNum>
  <w:abstractNum w:abstractNumId="112">
    <w:nsid w:val="1F461B51"/>
    <w:multiLevelType w:val="hybridMultilevel"/>
    <w:lvl w:ilvl="0">
      <w:lvlJc w:val="left"/>
      <w:lvlText w:val="-----"/>
      <w:numFmt w:val="bullet"/>
      <w:start w:val="1"/>
    </w:lvl>
  </w:abstractNum>
  <w:abstractNum w:abstractNumId="113">
    <w:nsid w:val="29BACF25"/>
    <w:multiLevelType w:val="hybridMultilevel"/>
    <w:lvl w:ilvl="0">
      <w:lvlJc w:val="left"/>
      <w:lvlText w:val="-"/>
      <w:numFmt w:val="bullet"/>
      <w:start w:val="1"/>
    </w:lvl>
  </w:abstractNum>
  <w:abstractNum w:abstractNumId="114">
    <w:nsid w:val="5D5BABB3"/>
    <w:multiLevelType w:val="hybridMultilevel"/>
    <w:lvl w:ilvl="0">
      <w:lvlJc w:val="left"/>
      <w:lvlText w:val="-----"/>
      <w:numFmt w:val="bullet"/>
      <w:start w:val="1"/>
    </w:lvl>
  </w:abstractNum>
  <w:abstractNum w:abstractNumId="115">
    <w:nsid w:val="51BF6B48"/>
    <w:multiLevelType w:val="hybridMultilevel"/>
    <w:lvl w:ilvl="0">
      <w:lvlJc w:val="left"/>
      <w:lvlText w:val="-"/>
      <w:numFmt w:val="bullet"/>
      <w:start w:val="1"/>
    </w:lvl>
    <w:lvl w:ilvl="1">
      <w:lvlJc w:val="left"/>
      <w:lvlText w:val="-"/>
      <w:numFmt w:val="bullet"/>
      <w:start w:val="1"/>
    </w:lvl>
  </w:abstractNum>
  <w:abstractNum w:abstractNumId="116">
    <w:nsid w:val="7E0F6384"/>
    <w:multiLevelType w:val="hybridMultilevel"/>
    <w:lvl w:ilvl="0">
      <w:lvlJc w:val="left"/>
      <w:lvlText w:val="-"/>
      <w:numFmt w:val="bullet"/>
      <w:start w:val="1"/>
    </w:lvl>
  </w:abstractNum>
  <w:abstractNum w:abstractNumId="117">
    <w:nsid w:val="2B4B8B53"/>
    <w:multiLevelType w:val="hybridMultilevel"/>
    <w:lvl w:ilvl="0">
      <w:lvlJc w:val="left"/>
      <w:lvlText w:val="---"/>
      <w:numFmt w:val="bullet"/>
      <w:start w:val="1"/>
    </w:lvl>
  </w:abstractNum>
  <w:abstractNum w:abstractNumId="118">
    <w:nsid w:val="72E3413A"/>
    <w:multiLevelType w:val="hybridMultilevel"/>
    <w:lvl w:ilvl="0">
      <w:lvlJc w:val="left"/>
      <w:lvlText w:val="-----"/>
      <w:numFmt w:val="bullet"/>
      <w:start w:val="1"/>
    </w:lvl>
  </w:abstractNum>
  <w:abstractNum w:abstractNumId="119">
    <w:nsid w:val="116AE494"/>
    <w:multiLevelType w:val="hybridMultilevel"/>
    <w:lvl w:ilvl="0">
      <w:lvlJc w:val="left"/>
      <w:lvlText w:val="---"/>
      <w:numFmt w:val="bullet"/>
      <w:start w:val="1"/>
    </w:lvl>
  </w:abstractNum>
  <w:abstractNum w:abstractNumId="120">
    <w:nsid w:val="3494B2FB"/>
    <w:multiLevelType w:val="hybridMultilevel"/>
    <w:lvl w:ilvl="0">
      <w:lvlJc w:val="left"/>
      <w:lvlText w:val="-----"/>
      <w:numFmt w:val="bullet"/>
      <w:start w:val="1"/>
    </w:lvl>
  </w:abstractNum>
  <w:abstractNum w:abstractNumId="121">
    <w:nsid w:val="B13A31"/>
    <w:multiLevelType w:val="hybridMultilevel"/>
    <w:lvl w:ilvl="0">
      <w:lvlJc w:val="left"/>
      <w:lvlText w:val="-----"/>
      <w:numFmt w:val="bullet"/>
      <w:start w:val="1"/>
    </w:lvl>
  </w:abstractNum>
  <w:abstractNum w:abstractNumId="122">
    <w:nsid w:val="64429599"/>
    <w:multiLevelType w:val="hybridMultilevel"/>
    <w:lvl w:ilvl="0">
      <w:lvlJc w:val="left"/>
      <w:lvlText w:val="-"/>
      <w:numFmt w:val="bullet"/>
      <w:start w:val="1"/>
    </w:lvl>
  </w:abstractNum>
  <w:abstractNum w:abstractNumId="123">
    <w:nsid w:val="631F1690"/>
    <w:multiLevelType w:val="hybridMultilevel"/>
    <w:lvl w:ilvl="0">
      <w:lvlJc w:val="left"/>
      <w:lvlText w:val="-----"/>
      <w:numFmt w:val="bullet"/>
      <w:start w:val="1"/>
    </w:lvl>
  </w:abstractNum>
  <w:abstractNum w:abstractNumId="124">
    <w:nsid w:val="25973E32"/>
    <w:multiLevelType w:val="hybridMultilevel"/>
    <w:lvl w:ilvl="0">
      <w:lvlJc w:val="left"/>
      <w:lvlText w:val="(%1)"/>
      <w:numFmt w:val="lowerRoman"/>
      <w:start w:val="1"/>
    </w:lvl>
  </w:abstractNum>
  <w:abstractNum w:abstractNumId="125">
    <w:nsid w:val="EAD6F57"/>
    <w:multiLevelType w:val="hybridMultilevel"/>
    <w:lvl w:ilvl="0">
      <w:lvlJc w:val="left"/>
      <w:lvlText w:val="(%1)"/>
      <w:numFmt w:val="lowerRoman"/>
      <w:start w:val="3"/>
    </w:lvl>
  </w:abstractNum>
  <w:abstractNum w:abstractNumId="126">
    <w:nsid w:val="6EC9D844"/>
    <w:multiLevelType w:val="hybridMultilevel"/>
    <w:lvl w:ilvl="0">
      <w:lvlJc w:val="left"/>
      <w:lvlText w:val="-"/>
      <w:numFmt w:val="bullet"/>
      <w:start w:val="1"/>
    </w:lvl>
  </w:abstractNum>
  <w:abstractNum w:abstractNumId="127">
    <w:nsid w:val="5C49EAEE"/>
    <w:multiLevelType w:val="hybridMultilevel"/>
    <w:lvl w:ilvl="0">
      <w:lvlJc w:val="left"/>
      <w:lvlText w:val="---"/>
      <w:numFmt w:val="bullet"/>
      <w:start w:val="1"/>
    </w:lvl>
  </w:abstractNum>
  <w:abstractNum w:abstractNumId="128">
    <w:nsid w:val="64AF49B"/>
    <w:multiLevelType w:val="hybridMultilevel"/>
    <w:lvl w:ilvl="0">
      <w:lvlJc w:val="left"/>
      <w:lvlText w:val="$"/>
      <w:numFmt w:val="bullet"/>
      <w:start w:val="1"/>
    </w:lvl>
  </w:abstractNum>
  <w:abstractNum w:abstractNumId="129">
    <w:nsid w:val="397C46BC"/>
    <w:multiLevelType w:val="hybridMultilevel"/>
    <w:lvl w:ilvl="0">
      <w:lvlJc w:val="left"/>
      <w:lvlText w:val="$"/>
      <w:numFmt w:val="bullet"/>
      <w:start w:val="1"/>
    </w:lvl>
  </w:abstractNum>
  <w:abstractNum w:abstractNumId="130">
    <w:nsid w:val="7E448DE9"/>
    <w:multiLevelType w:val="hybridMultilevel"/>
    <w:lvl w:ilvl="0">
      <w:lvlJc w:val="left"/>
      <w:lvlText w:val="-"/>
      <w:numFmt w:val="bullet"/>
      <w:start w:val="1"/>
    </w:lvl>
  </w:abstractNum>
  <w:abstractNum w:abstractNumId="131">
    <w:nsid w:val="5A9CC3E5"/>
    <w:multiLevelType w:val="hybridMultilevel"/>
    <w:lvl w:ilvl="0">
      <w:lvlJc w:val="left"/>
      <w:lvlText w:val="--"/>
      <w:numFmt w:val="bullet"/>
      <w:start w:val="1"/>
    </w:lvl>
  </w:abstractNum>
  <w:abstractNum w:abstractNumId="132">
    <w:nsid w:val="1AFE3625"/>
    <w:multiLevelType w:val="hybridMultilevel"/>
    <w:lvl w:ilvl="0">
      <w:lvlJc w:val="left"/>
      <w:lvlText w:val="$"/>
      <w:numFmt w:val="bullet"/>
      <w:start w:val="1"/>
    </w:lvl>
  </w:abstractNum>
  <w:abstractNum w:abstractNumId="133">
    <w:nsid w:val="3CA88ECF"/>
    <w:multiLevelType w:val="hybridMultilevel"/>
    <w:lvl w:ilvl="0">
      <w:lvlJc w:val="left"/>
      <w:lvlText w:val="$"/>
      <w:numFmt w:val="bullet"/>
      <w:start w:val="1"/>
    </w:lvl>
  </w:abstractNum>
  <w:abstractNum w:abstractNumId="134">
    <w:nsid w:val="6EBE4208"/>
    <w:multiLevelType w:val="hybridMultilevel"/>
    <w:lvl w:ilvl="0">
      <w:lvlJc w:val="left"/>
      <w:lvlText w:val="$"/>
      <w:numFmt w:val="bullet"/>
      <w:start w:val="1"/>
    </w:lvl>
  </w:abstractNum>
  <w:abstractNum w:abstractNumId="135">
    <w:nsid w:val="C058DF5"/>
    <w:multiLevelType w:val="hybridMultilevel"/>
    <w:lvl w:ilvl="0">
      <w:lvlJc w:val="left"/>
      <w:lvlText w:val="-"/>
      <w:numFmt w:val="bullet"/>
      <w:start w:val="1"/>
    </w:lvl>
  </w:abstractNum>
  <w:abstractNum w:abstractNumId="136">
    <w:nsid w:val="CBE5BE9"/>
    <w:multiLevelType w:val="hybridMultilevel"/>
    <w:lvl w:ilvl="0">
      <w:lvlJc w:val="left"/>
      <w:lvlText w:val="-"/>
      <w:numFmt w:val="bullet"/>
      <w:start w:val="1"/>
    </w:lvl>
  </w:abstractNum>
  <w:abstractNum w:abstractNumId="137">
    <w:nsid w:val="3102BBE2"/>
    <w:multiLevelType w:val="hybridMultilevel"/>
    <w:lvl w:ilvl="0">
      <w:lvlJc w:val="left"/>
      <w:lvlText w:val="-"/>
      <w:numFmt w:val="bullet"/>
      <w:start w:val="1"/>
    </w:lvl>
  </w:abstractNum>
  <w:abstractNum w:abstractNumId="138">
    <w:nsid w:val="26A02C5E"/>
    <w:multiLevelType w:val="hybridMultilevel"/>
    <w:lvl w:ilvl="0">
      <w:lvlJc w:val="left"/>
      <w:lvlText w:val="-"/>
      <w:numFmt w:val="bullet"/>
      <w:start w:val="1"/>
    </w:lvl>
    <w:lvl w:ilvl="1">
      <w:lvlJc w:val="left"/>
      <w:lvlText w:val="-----"/>
      <w:numFmt w:val="bullet"/>
      <w:start w:val="1"/>
    </w:lvl>
  </w:abstractNum>
  <w:abstractNum w:abstractNumId="139">
    <w:nsid w:val="541C8153"/>
    <w:multiLevelType w:val="hybridMultilevel"/>
    <w:lvl w:ilvl="0">
      <w:lvlJc w:val="left"/>
      <w:lvlText w:val="---"/>
      <w:numFmt w:val="bullet"/>
      <w:start w:val="1"/>
    </w:lvl>
    <w:lvl w:ilvl="1">
      <w:lvlJc w:val="left"/>
      <w:lvlText w:val="-----"/>
      <w:numFmt w:val="bullet"/>
      <w:start w:val="1"/>
    </w:lvl>
  </w:abstractNum>
  <w:abstractNum w:abstractNumId="140">
    <w:nsid w:val="67906F60"/>
    <w:multiLevelType w:val="hybridMultilevel"/>
    <w:lvl w:ilvl="0">
      <w:lvlJc w:val="left"/>
      <w:lvlText w:val="-"/>
      <w:numFmt w:val="bullet"/>
      <w:start w:val="1"/>
    </w:lvl>
  </w:abstractNum>
  <w:abstractNum w:abstractNumId="141">
    <w:nsid w:val="10DB9DAA"/>
    <w:multiLevelType w:val="hybridMultilevel"/>
    <w:lvl w:ilvl="0">
      <w:lvlJc w:val="left"/>
      <w:lvlText w:val="---"/>
      <w:numFmt w:val="bullet"/>
      <w:start w:val="1"/>
    </w:lvl>
    <w:lvl w:ilvl="1">
      <w:lvlJc w:val="left"/>
      <w:lvlText w:val="----"/>
      <w:numFmt w:val="bullet"/>
      <w:start w:val="1"/>
    </w:lvl>
  </w:abstractNum>
  <w:abstractNum w:abstractNumId="142">
    <w:nsid w:val="697D2D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43">
    <w:nsid w:val="6D68AB2"/>
    <w:multiLevelType w:val="hybridMultilevel"/>
    <w:lvl w:ilvl="0">
      <w:lvlJc w:val="left"/>
      <w:lvlText w:val="-----"/>
      <w:numFmt w:val="bullet"/>
      <w:start w:val="1"/>
    </w:lvl>
    <w:lvl w:ilvl="1">
      <w:lvlJc w:val="left"/>
      <w:lvlText w:val="-----"/>
      <w:numFmt w:val="bullet"/>
      <w:start w:val="1"/>
    </w:lvl>
  </w:abstractNum>
  <w:abstractNum w:abstractNumId="144">
    <w:nsid w:val="3A966CD0"/>
    <w:multiLevelType w:val="hybridMultilevel"/>
    <w:lvl w:ilvl="0">
      <w:lvlJc w:val="left"/>
      <w:lvlText w:val="-"/>
      <w:numFmt w:val="bullet"/>
      <w:start w:val="1"/>
    </w:lvl>
  </w:abstractNum>
  <w:abstractNum w:abstractNumId="145">
    <w:nsid w:val="63F37E85"/>
    <w:multiLevelType w:val="hybridMultilevel"/>
    <w:lvl w:ilvl="0">
      <w:lvlJc w:val="left"/>
      <w:lvlText w:val="-"/>
      <w:numFmt w:val="bullet"/>
      <w:start w:val="1"/>
    </w:lvl>
  </w:abstractNum>
  <w:abstractNum w:abstractNumId="146">
    <w:nsid w:val="5895F5FA"/>
    <w:multiLevelType w:val="hybridMultilevel"/>
    <w:lvl w:ilvl="0">
      <w:lvlJc w:val="left"/>
      <w:lvlText w:val="----"/>
      <w:numFmt w:val="bullet"/>
      <w:start w:val="1"/>
    </w:lvl>
    <w:lvl w:ilvl="1">
      <w:lvlJc w:val="left"/>
      <w:lvlText w:val="----"/>
      <w:numFmt w:val="bullet"/>
      <w:start w:val="1"/>
    </w:lvl>
  </w:abstractNum>
  <w:abstractNum w:abstractNumId="147">
    <w:nsid w:val="38A5D054"/>
    <w:multiLevelType w:val="hybridMultilevel"/>
    <w:lvl w:ilvl="0">
      <w:lvlJc w:val="left"/>
      <w:lvlText w:val="-"/>
      <w:numFmt w:val="bullet"/>
      <w:start w:val="1"/>
    </w:lvl>
    <w:lvl w:ilvl="1">
      <w:lvlJc w:val="left"/>
      <w:lvlText w:val="-"/>
      <w:numFmt w:val="bullet"/>
      <w:start w:val="1"/>
    </w:lvl>
  </w:abstractNum>
  <w:abstractNum w:abstractNumId="148">
    <w:nsid w:val="F3F09D8"/>
    <w:multiLevelType w:val="hybridMultilevel"/>
    <w:lvl w:ilvl="0">
      <w:lvlJc w:val="left"/>
      <w:lvlText w:val="----"/>
      <w:numFmt w:val="bullet"/>
      <w:start w:val="1"/>
    </w:lvl>
    <w:lvl w:ilvl="1">
      <w:lvlJc w:val="left"/>
      <w:lvlText w:val="----"/>
      <w:numFmt w:val="bullet"/>
      <w:start w:val="1"/>
    </w:lvl>
  </w:abstractNum>
  <w:abstractNum w:abstractNumId="149">
    <w:nsid w:val="4B793735"/>
    <w:multiLevelType w:val="hybridMultilevel"/>
    <w:lvl w:ilvl="0">
      <w:lvlJc w:val="left"/>
      <w:lvlText w:val="---"/>
      <w:numFmt w:val="bullet"/>
      <w:start w:val="1"/>
    </w:lvl>
  </w:abstractNum>
  <w:abstractNum w:abstractNumId="150">
    <w:nsid w:val="4A10B4E8"/>
    <w:multiLevelType w:val="hybridMultilevel"/>
    <w:lvl w:ilvl="0">
      <w:lvlJc w:val="left"/>
      <w:lvlText w:val="----"/>
      <w:numFmt w:val="bullet"/>
      <w:start w:val="1"/>
    </w:lvl>
  </w:abstractNum>
  <w:abstractNum w:abstractNumId="151">
    <w:nsid w:val="43D3BCD4"/>
    <w:multiLevelType w:val="hybridMultilevel"/>
    <w:lvl w:ilvl="0">
      <w:lvlJc w:val="left"/>
      <w:lvlText w:val="-"/>
      <w:numFmt w:val="bullet"/>
      <w:start w:val="1"/>
    </w:lvl>
    <w:lvl w:ilvl="1">
      <w:lvlJc w:val="left"/>
      <w:lvlText w:val="--"/>
      <w:numFmt w:val="bullet"/>
      <w:start w:val="1"/>
    </w:lvl>
  </w:abstractNum>
  <w:abstractNum w:abstractNumId="152">
    <w:nsid w:val="4C2A7166"/>
    <w:multiLevelType w:val="hybridMultilevel"/>
    <w:lvl w:ilvl="0">
      <w:lvlJc w:val="left"/>
      <w:lvlText w:val="--"/>
      <w:numFmt w:val="bullet"/>
      <w:start w:val="1"/>
    </w:lvl>
  </w:abstractNum>
  <w:abstractNum w:abstractNumId="153">
    <w:nsid w:val="2E534A82"/>
    <w:multiLevelType w:val="hybridMultilevel"/>
    <w:lvl w:ilvl="0">
      <w:lvlJc w:val="left"/>
      <w:lvlText w:val="----"/>
      <w:numFmt w:val="bullet"/>
      <w:start w:val="1"/>
    </w:lvl>
    <w:lvl w:ilvl="1">
      <w:lvlJc w:val="left"/>
      <w:lvlText w:val="-----"/>
      <w:numFmt w:val="bullet"/>
      <w:start w:val="1"/>
    </w:lvl>
  </w:abstractNum>
  <w:abstractNum w:abstractNumId="154">
    <w:nsid w:val="26F2D364"/>
    <w:multiLevelType w:val="hybridMultilevel"/>
    <w:lvl w:ilvl="0">
      <w:lvlJc w:val="left"/>
      <w:lvlText w:val="-"/>
      <w:numFmt w:val="bullet"/>
      <w:start w:val="1"/>
    </w:lvl>
  </w:abstractNum>
  <w:abstractNum w:abstractNumId="155">
    <w:nsid w:val="71C1AF98"/>
    <w:multiLevelType w:val="hybridMultilevel"/>
    <w:lvl w:ilvl="0">
      <w:lvlJc w:val="left"/>
      <w:lvlText w:val="--"/>
      <w:numFmt w:val="bullet"/>
      <w:start w:val="1"/>
    </w:lvl>
    <w:lvl w:ilvl="1">
      <w:lvlJc w:val="left"/>
      <w:lvlText w:val="---"/>
      <w:numFmt w:val="bullet"/>
      <w:start w:val="1"/>
    </w:lvl>
  </w:abstractNum>
  <w:abstractNum w:abstractNumId="156">
    <w:nsid w:val="3D00B9D9"/>
    <w:multiLevelType w:val="hybridMultilevel"/>
    <w:lvl w:ilvl="0">
      <w:lvlJc w:val="left"/>
      <w:lvlText w:val="--"/>
      <w:numFmt w:val="bullet"/>
      <w:start w:val="1"/>
    </w:lvl>
    <w:lvl w:ilvl="1">
      <w:lvlJc w:val="left"/>
      <w:lvlText w:val="----"/>
      <w:numFmt w:val="bullet"/>
      <w:start w:val="1"/>
    </w:lvl>
  </w:abstractNum>
  <w:abstractNum w:abstractNumId="157">
    <w:nsid w:val="15BCABA8"/>
    <w:multiLevelType w:val="hybridMultilevel"/>
    <w:lvl w:ilvl="0">
      <w:lvlJc w:val="left"/>
      <w:lvlText w:val="-"/>
      <w:numFmt w:val="bullet"/>
      <w:start w:val="1"/>
    </w:lvl>
    <w:lvl w:ilvl="1">
      <w:lvlJc w:val="left"/>
      <w:lvlText w:val="-----"/>
      <w:numFmt w:val="bullet"/>
      <w:start w:val="1"/>
    </w:lvl>
  </w:abstractNum>
  <w:abstractNum w:abstractNumId="158">
    <w:nsid w:val="4E0B9A87"/>
    <w:multiLevelType w:val="hybridMultilevel"/>
    <w:lvl w:ilvl="0">
      <w:lvlJc w:val="left"/>
      <w:lvlText w:val="-"/>
      <w:numFmt w:val="bullet"/>
      <w:start w:val="1"/>
    </w:lvl>
    <w:lvl w:ilvl="1">
      <w:lvlJc w:val="left"/>
      <w:lvlText w:val="----"/>
      <w:numFmt w:val="bullet"/>
      <w:start w:val="1"/>
    </w:lvl>
  </w:abstractNum>
  <w:abstractNum w:abstractNumId="159">
    <w:nsid w:val="434BAE75"/>
    <w:multiLevelType w:val="hybridMultilevel"/>
    <w:lvl w:ilvl="0">
      <w:lvlJc w:val="left"/>
      <w:lvlText w:val="-"/>
      <w:numFmt w:val="bullet"/>
      <w:start w:val="1"/>
    </w:lvl>
    <w:lvl w:ilvl="1">
      <w:lvlJc w:val="left"/>
      <w:lvlText w:val="-"/>
      <w:numFmt w:val="bullet"/>
      <w:start w:val="1"/>
    </w:lvl>
  </w:abstractNum>
  <w:abstractNum w:abstractNumId="160">
    <w:nsid w:val="4F38F265"/>
    <w:multiLevelType w:val="hybridMultilevel"/>
    <w:lvl w:ilvl="0">
      <w:lvlJc w:val="left"/>
      <w:lvlText w:val="----"/>
      <w:numFmt w:val="bullet"/>
      <w:start w:val="1"/>
    </w:lvl>
    <w:lvl w:ilvl="1">
      <w:lvlJc w:val="left"/>
      <w:lvlText w:val="----"/>
      <w:numFmt w:val="bullet"/>
      <w:start w:val="1"/>
    </w:lvl>
  </w:abstractNum>
  <w:abstractNum w:abstractNumId="161">
    <w:nsid w:val="4C502870"/>
    <w:multiLevelType w:val="hybridMultilevel"/>
    <w:lvl w:ilvl="0">
      <w:lvlJc w:val="left"/>
      <w:lvlText w:val="-"/>
      <w:numFmt w:val="bullet"/>
      <w:start w:val="1"/>
    </w:lvl>
  </w:abstractNum>
  <w:abstractNum w:abstractNumId="162">
    <w:nsid w:val="1DE8725A"/>
    <w:multiLevelType w:val="hybridMultilevel"/>
    <w:lvl w:ilvl="0">
      <w:lvlJc w:val="left"/>
      <w:lvlText w:val="-"/>
      <w:numFmt w:val="bullet"/>
      <w:start w:val="1"/>
    </w:lvl>
  </w:abstractNum>
  <w:abstractNum w:abstractNumId="163">
    <w:nsid w:val="6A37288A"/>
    <w:multiLevelType w:val="hybridMultilevel"/>
    <w:lvl w:ilvl="0">
      <w:lvlJc w:val="left"/>
      <w:lvlText w:val="----"/>
      <w:numFmt w:val="bullet"/>
      <w:start w:val="1"/>
    </w:lvl>
    <w:lvl w:ilvl="1">
      <w:lvlJc w:val="left"/>
      <w:lvlText w:val="----"/>
      <w:numFmt w:val="bullet"/>
      <w:start w:val="1"/>
    </w:lvl>
  </w:abstractNum>
  <w:abstractNum w:abstractNumId="164">
    <w:nsid w:val="8F8B73F"/>
    <w:multiLevelType w:val="hybridMultilevel"/>
    <w:lvl w:ilvl="0">
      <w:lvlJc w:val="left"/>
      <w:lvlText w:val="---"/>
      <w:numFmt w:val="bullet"/>
      <w:start w:val="1"/>
    </w:lvl>
  </w:abstractNum>
  <w:abstractNum w:abstractNumId="165">
    <w:nsid w:val="CA6B462"/>
    <w:multiLevelType w:val="hybridMultilevel"/>
    <w:lvl w:ilvl="0">
      <w:lvlJc w:val="left"/>
      <w:lvlText w:val="----"/>
      <w:numFmt w:val="bullet"/>
      <w:start w:val="1"/>
    </w:lvl>
  </w:abstractNum>
  <w:abstractNum w:abstractNumId="166">
    <w:nsid w:val="763CB680"/>
    <w:multiLevelType w:val="hybridMultilevel"/>
    <w:lvl w:ilvl="0">
      <w:lvlJc w:val="left"/>
      <w:lvlText w:val="-"/>
      <w:numFmt w:val="bullet"/>
      <w:start w:val="1"/>
    </w:lvl>
    <w:lvl w:ilvl="1">
      <w:lvlJc w:val="left"/>
      <w:lvlText w:val="-----"/>
      <w:numFmt w:val="bullet"/>
      <w:start w:val="1"/>
    </w:lvl>
  </w:abstractNum>
  <w:abstractNum w:abstractNumId="167">
    <w:nsid w:val="15B71329"/>
    <w:multiLevelType w:val="hybridMultilevel"/>
    <w:lvl w:ilvl="0">
      <w:lvlJc w:val="left"/>
      <w:lvlText w:val="---"/>
      <w:numFmt w:val="bullet"/>
      <w:start w:val="1"/>
    </w:lvl>
    <w:lvl w:ilvl="1">
      <w:lvlJc w:val="left"/>
      <w:lvlText w:val="-----"/>
      <w:numFmt w:val="bullet"/>
      <w:start w:val="1"/>
    </w:lvl>
  </w:abstractNum>
  <w:abstractNum w:abstractNumId="168">
    <w:nsid w:val="3DA97044"/>
    <w:multiLevelType w:val="hybridMultilevel"/>
    <w:lvl w:ilvl="0">
      <w:lvlJc w:val="left"/>
      <w:lvlText w:val="-"/>
      <w:numFmt w:val="bullet"/>
      <w:start w:val="1"/>
    </w:lvl>
    <w:lvl w:ilvl="1">
      <w:lvlJc w:val="left"/>
      <w:lvlText w:val="----"/>
      <w:numFmt w:val="bullet"/>
      <w:start w:val="1"/>
    </w:lvl>
  </w:abstractNum>
  <w:abstractNum w:abstractNumId="169">
    <w:nsid w:val="1CDCE2DE"/>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70">
    <w:nsid w:val="69D3947C"/>
    <w:multiLevelType w:val="hybridMultilevel"/>
    <w:lvl w:ilvl="0">
      <w:lvlJc w:val="left"/>
      <w:lvlText w:val="-----"/>
      <w:numFmt w:val="bullet"/>
      <w:start w:val="1"/>
    </w:lvl>
    <w:lvl w:ilvl="1">
      <w:lvlJc w:val="left"/>
      <w:lvlText w:val="-----"/>
      <w:numFmt w:val="bullet"/>
      <w:start w:val="1"/>
    </w:lvl>
  </w:abstractNum>
  <w:abstractNum w:abstractNumId="171">
    <w:nsid w:val="2539DFA5"/>
    <w:multiLevelType w:val="hybridMultilevel"/>
    <w:lvl w:ilvl="0">
      <w:lvlJc w:val="left"/>
      <w:lvlText w:val="---"/>
      <w:numFmt w:val="bullet"/>
      <w:start w:val="1"/>
    </w:lvl>
    <w:lvl w:ilvl="1">
      <w:lvlJc w:val="left"/>
      <w:lvlText w:val="----"/>
      <w:numFmt w:val="bullet"/>
      <w:start w:val="1"/>
    </w:lvl>
  </w:abstractNum>
  <w:abstractNum w:abstractNumId="172">
    <w:nsid w:val="2DB88089"/>
    <w:multiLevelType w:val="hybridMultilevel"/>
    <w:lvl w:ilvl="0">
      <w:lvlJc w:val="left"/>
      <w:lvlText w:val="---"/>
      <w:numFmt w:val="bullet"/>
      <w:start w:val="1"/>
    </w:lvl>
    <w:lvl w:ilvl="1">
      <w:lvlJc w:val="left"/>
      <w:lvlText w:val="----"/>
      <w:numFmt w:val="bullet"/>
      <w:start w:val="1"/>
    </w:lvl>
  </w:abstractNum>
  <w:abstractNum w:abstractNumId="173">
    <w:nsid w:val="706B674E"/>
    <w:multiLevelType w:val="hybridMultilevel"/>
    <w:lvl w:ilvl="0">
      <w:lvlJc w:val="left"/>
      <w:lvlText w:val="---"/>
      <w:numFmt w:val="bullet"/>
      <w:start w:val="1"/>
    </w:lvl>
  </w:abstractNum>
  <w:abstractNum w:abstractNumId="174">
    <w:nsid w:val="2C106A57"/>
    <w:multiLevelType w:val="hybridMultilevel"/>
    <w:lvl w:ilvl="0">
      <w:lvlJc w:val="left"/>
      <w:lvlText w:val="$"/>
      <w:numFmt w:val="bullet"/>
      <w:start w:val="1"/>
    </w:lvl>
  </w:abstractNum>
  <w:abstractNum w:abstractNumId="175">
    <w:nsid w:val="684EED59"/>
    <w:multiLevelType w:val="hybridMultilevel"/>
    <w:lvl w:ilvl="0">
      <w:lvlJc w:val="left"/>
      <w:lvlText w:val="---"/>
      <w:numFmt w:val="bullet"/>
      <w:start w:val="1"/>
    </w:lvl>
    <w:lvl w:ilvl="1">
      <w:lvlJc w:val="left"/>
      <w:lvlText w:val="----"/>
      <w:numFmt w:val="bullet"/>
      <w:start w:val="1"/>
    </w:lvl>
  </w:abstractNum>
  <w:abstractNum w:abstractNumId="176">
    <w:nsid w:val="545EE5D3"/>
    <w:multiLevelType w:val="hybridMultilevel"/>
    <w:lvl w:ilvl="0">
      <w:lvlJc w:val="left"/>
      <w:lvlText w:val="---"/>
      <w:numFmt w:val="bullet"/>
      <w:start w:val="1"/>
    </w:lvl>
  </w:abstractNum>
  <w:abstractNum w:abstractNumId="177">
    <w:nsid w:val="4A66051"/>
    <w:multiLevelType w:val="hybridMultilevel"/>
    <w:lvl w:ilvl="0">
      <w:lvlJc w:val="left"/>
      <w:lvlText w:val="(%1)"/>
      <w:numFmt w:val="decimal"/>
      <w:start w:val="2"/>
    </w:lvl>
  </w:abstractNum>
  <w:abstractNum w:abstractNumId="178">
    <w:nsid w:val="20F4BDAD"/>
    <w:multiLevelType w:val="hybridMultilevel"/>
    <w:lvl w:ilvl="0">
      <w:lvlJc w:val="left"/>
      <w:lvlText w:val="&amp;"/>
      <w:numFmt w:val="bullet"/>
      <w:start w:val="1"/>
    </w:lvl>
  </w:abstractNum>
  <w:abstractNum w:abstractNumId="179">
    <w:nsid w:val="639DEFAC"/>
    <w:multiLevelType w:val="hybridMultilevel"/>
    <w:lvl w:ilvl="0">
      <w:lvlJc w:val="left"/>
      <w:lvlText w:val="&amp;"/>
      <w:numFmt w:val="bullet"/>
      <w:start w:val="1"/>
    </w:lvl>
  </w:abstractNum>
  <w:abstractNum w:abstractNumId="180">
    <w:nsid w:val="501F9786"/>
    <w:multiLevelType w:val="hybridMultilevel"/>
    <w:lvl w:ilvl="0">
      <w:lvlJc w:val="left"/>
      <w:lvlText w:val="&amp;"/>
      <w:numFmt w:val="bullet"/>
      <w:start w:val="1"/>
    </w:lvl>
  </w:abstractNum>
  <w:abstractNum w:abstractNumId="181">
    <w:nsid w:val="6B057295"/>
    <w:multiLevelType w:val="hybridMultilevel"/>
    <w:lvl w:ilvl="0">
      <w:lvlJc w:val="left"/>
      <w:lvlText w:val="1"/>
      <w:numFmt w:val="bullet"/>
      <w:start w:val="1"/>
    </w:lvl>
  </w:abstractNum>
  <w:abstractNum w:abstractNumId="182">
    <w:nsid w:val="2771AC80"/>
    <w:multiLevelType w:val="hybridMultilevel"/>
    <w:lvl w:ilvl="0">
      <w:lvlJc w:val="left"/>
      <w:lvlText w:val="&amp;"/>
      <w:numFmt w:val="bullet"/>
      <w:start w:val="1"/>
    </w:lvl>
  </w:abstractNum>
  <w:abstractNum w:abstractNumId="183">
    <w:nsid w:val="1C4A08EC"/>
    <w:multiLevelType w:val="hybridMultilevel"/>
    <w:lvl w:ilvl="0">
      <w:lvlJc w:val="left"/>
      <w:lvlText w:val="1"/>
      <w:numFmt w:val="bullet"/>
      <w:start w:val="1"/>
    </w:lvl>
  </w:abstractNum>
  <w:abstractNum w:abstractNumId="184">
    <w:nsid w:val="1958BD17"/>
    <w:multiLevelType w:val="hybridMultilevel"/>
    <w:lvl w:ilvl="0">
      <w:lvlJc w:val="left"/>
      <w:lvlText w:val="&amp;"/>
      <w:numFmt w:val="bullet"/>
      <w:start w:val="1"/>
    </w:lvl>
  </w:abstractNum>
  <w:abstractNum w:abstractNumId="185">
    <w:nsid w:val="4E647FE4"/>
    <w:multiLevelType w:val="hybridMultilevel"/>
    <w:lvl w:ilvl="0">
      <w:lvlJc w:val="left"/>
      <w:lvlText w:val="&amp;"/>
      <w:numFmt w:val="bullet"/>
      <w:start w:val="1"/>
    </w:lvl>
  </w:abstractNum>
  <w:abstractNum w:abstractNumId="186">
    <w:nsid w:val="E0BB885"/>
    <w:multiLevelType w:val="hybridMultilevel"/>
    <w:lvl w:ilvl="0">
      <w:lvlJc w:val="left"/>
      <w:lvlText w:val="1"/>
      <w:numFmt w:val="bullet"/>
      <w:start w:val="1"/>
    </w:lvl>
  </w:abstractNum>
  <w:abstractNum w:abstractNumId="187">
    <w:nsid w:val="565976F1"/>
    <w:multiLevelType w:val="hybridMultilevel"/>
    <w:lvl w:ilvl="0">
      <w:lvlJc w:val="left"/>
      <w:lvlText w:val="%1."/>
      <w:numFmt w:val="upperLetter"/>
      <w:start w:val="16"/>
    </w:lvl>
  </w:abstractNum>
  <w:abstractNum w:abstractNumId="188">
    <w:nsid w:val="64212B8C"/>
    <w:multiLevelType w:val="hybridMultilevel"/>
    <w:lvl w:ilvl="0">
      <w:lvlJc w:val="left"/>
      <w:lvlText w:val="*"/>
      <w:numFmt w:val="bullet"/>
      <w:start w:val="1"/>
    </w:lvl>
  </w:abstractNum>
  <w:abstractNum w:abstractNumId="189">
    <w:nsid w:val="5C17530C"/>
    <w:multiLevelType w:val="hybridMultilevel"/>
    <w:lvl w:ilvl="0">
      <w:lvlJc w:val="left"/>
      <w:lvlText w:val="1"/>
      <w:numFmt w:val="bullet"/>
      <w:start w:val="1"/>
    </w:lvl>
  </w:abstractNum>
  <w:abstractNum w:abstractNumId="190">
    <w:nsid w:val="19A52566"/>
    <w:multiLevelType w:val="hybridMultilevel"/>
    <w:lvl w:ilvl="0">
      <w:lvlJc w:val="left"/>
      <w:lvlText w:val="(%1)"/>
      <w:numFmt w:val="decimal"/>
      <w:start w:val="2"/>
    </w:lvl>
  </w:abstractNum>
  <w:abstractNum w:abstractNumId="191">
    <w:nsid w:val="335A1DF1"/>
    <w:multiLevelType w:val="hybridMultilevel"/>
    <w:lvl w:ilvl="0">
      <w:lvlJc w:val="left"/>
      <w:lvlText w:val="-----"/>
      <w:numFmt w:val="bullet"/>
      <w:start w:val="1"/>
    </w:lvl>
  </w:abstractNum>
  <w:abstractNum w:abstractNumId="192">
    <w:nsid w:val="28677B7C"/>
    <w:multiLevelType w:val="hybridMultilevel"/>
    <w:lvl w:ilvl="0">
      <w:lvlJc w:val="left"/>
      <w:lvlText w:val="*"/>
      <w:numFmt w:val="bullet"/>
      <w:start w:val="1"/>
    </w:lvl>
  </w:abstractNum>
  <w:abstractNum w:abstractNumId="193">
    <w:nsid w:val="378D97C0"/>
    <w:multiLevelType w:val="hybridMultilevel"/>
    <w:lvl w:ilvl="0">
      <w:lvlJc w:val="left"/>
      <w:lvlText w:val="%1."/>
      <w:numFmt w:val="upperLetter"/>
      <w:start w:val="13"/>
    </w:lvl>
  </w:abstractNum>
  <w:abstractNum w:abstractNumId="194">
    <w:nsid w:val="1D91467C"/>
    <w:multiLevelType w:val="hybridMultilevel"/>
    <w:lvl w:ilvl="0">
      <w:lvlJc w:val="left"/>
      <w:lvlText w:val="%1."/>
      <w:numFmt w:val="upperLetter"/>
      <w:start w:val="13"/>
    </w:lvl>
  </w:abstractNum>
  <w:abstractNum w:abstractNumId="195">
    <w:nsid w:val="316032BB"/>
    <w:multiLevelType w:val="hybridMultilevel"/>
    <w:lvl w:ilvl="0">
      <w:lvlJc w:val="left"/>
      <w:lvlText w:val="%1."/>
      <w:numFmt w:val="upperLetter"/>
      <w:start w:val="10"/>
    </w:lvl>
  </w:abstractNum>
  <w:abstractNum w:abstractNumId="196">
    <w:nsid w:val="44344C22"/>
    <w:multiLevelType w:val="hybridMultilevel"/>
    <w:lvl w:ilvl="0">
      <w:lvlJc w:val="left"/>
      <w:lvlText w:val="%1."/>
      <w:numFmt w:val="upperLetter"/>
      <w:start w:val="16"/>
    </w:lvl>
  </w:abstractNum>
  <w:abstractNum w:abstractNumId="197">
    <w:nsid w:val="13CDFCFC"/>
    <w:multiLevelType w:val="hybridMultilevel"/>
    <w:lvl w:ilvl="0">
      <w:lvlJc w:val="left"/>
      <w:lvlText w:val="-"/>
      <w:numFmt w:val="bullet"/>
      <w:start w:val="1"/>
    </w:lvl>
    <w:lvl w:ilvl="1">
      <w:lvlJc w:val="left"/>
      <w:lvlText w:val="-----"/>
      <w:numFmt w:val="bullet"/>
      <w:start w:val="1"/>
    </w:lvl>
  </w:abstractNum>
  <w:abstractNum w:abstractNumId="198">
    <w:nsid w:val="471745E4"/>
    <w:multiLevelType w:val="hybridMultilevel"/>
    <w:lvl w:ilvl="0">
      <w:lvlJc w:val="left"/>
      <w:lvlText w:val="**"/>
      <w:numFmt w:val="bullet"/>
      <w:start w:val="1"/>
    </w:lvl>
  </w:abstractNum>
  <w:abstractNum w:abstractNumId="199">
    <w:nsid w:val="1DDBC66"/>
    <w:multiLevelType w:val="hybridMultilevel"/>
    <w:lvl w:ilvl="0">
      <w:lvlJc w:val="left"/>
      <w:lvlText w:val="%1."/>
      <w:numFmt w:val="decimal"/>
      <w:start w:val="1"/>
    </w:lvl>
  </w:abstractNum>
  <w:abstractNum w:abstractNumId="200">
    <w:nsid w:val="30AADFDA"/>
    <w:multiLevelType w:val="hybridMultilevel"/>
    <w:lvl w:ilvl="0">
      <w:lvlJc w:val="left"/>
      <w:lvlText w:val="%1."/>
      <w:numFmt w:val="decimal"/>
      <w:start w:val="3"/>
    </w:lvl>
  </w:abstractNum>
  <w:abstractNum w:abstractNumId="201">
    <w:nsid w:val="30EADA61"/>
    <w:multiLevelType w:val="hybridMultilevel"/>
    <w:lvl w:ilvl="0">
      <w:lvlJc w:val="left"/>
      <w:lvlText w:val="%1."/>
      <w:numFmt w:val="decimal"/>
      <w:start w:val="10"/>
    </w:lvl>
  </w:abstractNum>
  <w:abstractNum w:abstractNumId="202">
    <w:nsid w:val="27179C0B"/>
    <w:multiLevelType w:val="hybridMultilevel"/>
    <w:lvl w:ilvl="0">
      <w:lvlJc w:val="left"/>
      <w:lvlText w:val="%1."/>
      <w:numFmt w:val="upperLetter"/>
      <w:start w:val="9"/>
    </w:lvl>
    <w:lvl w:ilvl="1">
      <w:lvlJc w:val="left"/>
      <w:lvlText w:val="%2."/>
      <w:numFmt w:val="decimal"/>
      <w:start w:val="1"/>
    </w:lvl>
  </w:abstractNum>
  <w:abstractNum w:abstractNumId="203">
    <w:nsid w:val="5E636063"/>
    <w:multiLevelType w:val="hybridMultilevel"/>
    <w:lvl w:ilvl="0">
      <w:lvlJc w:val="left"/>
      <w:lvlText w:val="(%1)"/>
      <w:numFmt w:val="lowerLetter"/>
      <w:start w:val="2"/>
    </w:lvl>
  </w:abstractNum>
  <w:abstractNum w:abstractNumId="204">
    <w:nsid w:val="215641AF"/>
    <w:multiLevelType w:val="hybridMultilevel"/>
    <w:lvl w:ilvl="0">
      <w:lvlJc w:val="left"/>
      <w:lvlText w:val="%1."/>
      <w:numFmt w:val="decimal"/>
      <w:start w:val="3"/>
    </w:lvl>
  </w:abstractNum>
  <w:abstractNum w:abstractNumId="205">
    <w:nsid w:val="53280662"/>
    <w:multiLevelType w:val="hybridMultilevel"/>
    <w:lvl w:ilvl="0">
      <w:lvlJc w:val="left"/>
      <w:lvlText w:val="(%1)"/>
      <w:numFmt w:val="lowerRoman"/>
      <w:start w:val="2"/>
    </w:lvl>
  </w:abstractNum>
  <w:abstractNum w:abstractNumId="206">
    <w:nsid w:val="46B24DBC"/>
    <w:multiLevelType w:val="hybridMultilevel"/>
    <w:lvl w:ilvl="0">
      <w:lvlJc w:val="left"/>
      <w:lvlText w:val="%1."/>
      <w:numFmt w:val="decimal"/>
      <w:start w:val="4"/>
    </w:lvl>
  </w:abstractNum>
  <w:abstractNum w:abstractNumId="207">
    <w:nsid w:val="75B52783"/>
    <w:multiLevelType w:val="hybridMultilevel"/>
    <w:lvl w:ilvl="0">
      <w:lvlJc w:val="left"/>
      <w:lvlText w:val="(%1)"/>
      <w:numFmt w:val="lowerLetter"/>
      <w:start w:val="2"/>
    </w:lvl>
  </w:abstractNum>
  <w:abstractNum w:abstractNumId="208">
    <w:nsid w:val="57CE66B4"/>
    <w:multiLevelType w:val="hybridMultilevel"/>
    <w:lvl w:ilvl="0">
      <w:lvlJc w:val="left"/>
      <w:lvlText w:val="%1."/>
      <w:numFmt w:val="decimal"/>
      <w:start w:val="5"/>
    </w:lvl>
  </w:abstractNum>
  <w:abstractNum w:abstractNumId="209">
    <w:nsid w:val="67A70B69"/>
    <w:multiLevelType w:val="hybridMultilevel"/>
    <w:lvl w:ilvl="0">
      <w:lvlJc w:val="left"/>
      <w:lvlText w:val="%1."/>
      <w:numFmt w:val="decimal"/>
      <w:start w:val="6"/>
    </w:lvl>
  </w:abstractNum>
  <w:abstractNum w:abstractNumId="210">
    <w:nsid w:val="5953172F"/>
    <w:multiLevelType w:val="hybridMultilevel"/>
    <w:lvl w:ilvl="0">
      <w:lvlJc w:val="left"/>
      <w:lvlText w:val="%1."/>
      <w:numFmt w:val="decimal"/>
      <w:start w:val="7"/>
    </w:lvl>
  </w:abstractNum>
  <w:abstractNum w:abstractNumId="211">
    <w:nsid w:val="27EDFE3A"/>
    <w:multiLevelType w:val="hybridMultilevel"/>
    <w:lvl w:ilvl="0">
      <w:lvlJc w:val="left"/>
      <w:lvlText w:val="%1"/>
      <w:numFmt w:val="lowerLetter"/>
      <w:start w:val="1"/>
    </w:lvl>
    <w:lvl w:ilvl="1">
      <w:lvlJc w:val="left"/>
      <w:lvlText w:val="%2."/>
      <w:numFmt w:val="decimal"/>
      <w:start w:val="9"/>
    </w:lvl>
  </w:abstractNum>
  <w:abstractNum w:abstractNumId="212">
    <w:nsid w:val="52AC7DFF"/>
    <w:multiLevelType w:val="hybridMultilevel"/>
    <w:lvl w:ilvl="0">
      <w:lvlJc w:val="left"/>
      <w:lvlText w:val="(%1)"/>
      <w:numFmt w:val="lowerLetter"/>
      <w:start w:val="1"/>
    </w:lvl>
    <w:lvl w:ilvl="1">
      <w:lvlJc w:val="left"/>
      <w:lvlText w:val="%2"/>
      <w:numFmt w:val="decimal"/>
      <w:start w:val="1"/>
    </w:lvl>
  </w:abstractNum>
  <w:abstractNum w:abstractNumId="213">
    <w:nsid w:val="C4C3AF"/>
    <w:multiLevelType w:val="hybridMultilevel"/>
    <w:lvl w:ilvl="0">
      <w:lvlJc w:val="left"/>
      <w:lvlText w:val="(%1)"/>
      <w:numFmt w:val="lowerLetter"/>
      <w:start w:val="2"/>
    </w:lvl>
  </w:abstractNum>
  <w:abstractNum w:abstractNumId="214">
    <w:nsid w:val="44380727"/>
    <w:multiLevelType w:val="hybridMultilevel"/>
    <w:lvl w:ilvl="0">
      <w:lvlJc w:val="left"/>
      <w:lvlText w:val="(%1)"/>
      <w:numFmt w:val="lowerLetter"/>
      <w:start w:val="2"/>
    </w:lvl>
    <w:lvl w:ilvl="1">
      <w:lvlJc w:val="left"/>
      <w:lvlText w:val="%2."/>
      <w:numFmt w:val="decimal"/>
      <w:start w:val="10"/>
    </w:lvl>
  </w:abstractNum>
  <w:abstractNum w:abstractNumId="215">
    <w:nsid w:val="6C053B16"/>
    <w:multiLevelType w:val="hybridMultilevel"/>
    <w:lvl w:ilvl="0">
      <w:lvlJc w:val="left"/>
      <w:lvlText w:val="%1."/>
      <w:numFmt w:val="upperLetter"/>
      <w:start w:val="35"/>
    </w:lvl>
    <w:lvl w:ilvl="1">
      <w:lvlJc w:val="left"/>
      <w:lvlText w:val="%2."/>
      <w:numFmt w:val="decimal"/>
      <w:start w:val="1"/>
    </w:lvl>
  </w:abstractNum>
  <w:abstractNum w:abstractNumId="216">
    <w:nsid w:val="4F294393"/>
    <w:multiLevelType w:val="hybridMultilevel"/>
    <w:lvl w:ilvl="0">
      <w:lvlJc w:val="left"/>
      <w:lvlText w:val="%1."/>
      <w:numFmt w:val="decimal"/>
      <w:start w:val="4"/>
    </w:lvl>
  </w:abstractNum>
  <w:abstractNum w:abstractNumId="217">
    <w:nsid w:val="5243BFAC"/>
    <w:multiLevelType w:val="hybridMultilevel"/>
    <w:lvl w:ilvl="0">
      <w:lvlJc w:val="left"/>
      <w:lvlText w:val="%1."/>
      <w:numFmt w:val="decimal"/>
      <w:start w:val="1"/>
    </w:lvl>
  </w:abstractNum>
  <w:abstractNum w:abstractNumId="218">
    <w:nsid w:val="425EB207"/>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19">
    <w:nsid w:val="334A6F1F"/>
    <w:multiLevelType w:val="hybridMultilevel"/>
    <w:lvl w:ilvl="0">
      <w:lvlJc w:val="left"/>
      <w:lvlText w:val="(%1)"/>
      <w:numFmt w:val="lowerRoman"/>
      <w:start w:val="1"/>
    </w:lvl>
  </w:abstractNum>
  <w:abstractNum w:abstractNumId="220">
    <w:nsid w:val="2E5B12B8"/>
    <w:multiLevelType w:val="hybridMultilevel"/>
    <w:lvl w:ilvl="0">
      <w:lvlJc w:val="left"/>
      <w:lvlText w:val="%1."/>
      <w:numFmt w:val="decimal"/>
      <w:start w:val="1"/>
    </w:lvl>
  </w:abstractNum>
  <w:abstractNum w:abstractNumId="221">
    <w:nsid w:val="5C03D76D"/>
    <w:multiLevelType w:val="hybridMultilevel"/>
    <w:lvl w:ilvl="0">
      <w:lvlJc w:val="left"/>
      <w:lvlText w:val="%1."/>
      <w:numFmt w:val="decimal"/>
      <w:start w:val="2"/>
    </w:lvl>
    <w:lvl w:ilvl="1">
      <w:lvlJc w:val="left"/>
      <w:lvlText w:val="(%2)"/>
      <w:numFmt w:val="lowerLetter"/>
      <w:start w:val="2"/>
    </w:lvl>
    <w:lvl w:ilvl="2">
      <w:lvlJc w:val="left"/>
      <w:lvlText w:val="(%3)"/>
      <w:numFmt w:val="lowerRoman"/>
      <w:start w:val="1"/>
    </w:lvl>
  </w:abstractNum>
  <w:abstractNum w:abstractNumId="222">
    <w:nsid w:val="66A48D11"/>
    <w:multiLevelType w:val="hybridMultilevel"/>
    <w:lvl w:ilvl="0">
      <w:lvlJc w:val="left"/>
      <w:lvlText w:val="%1."/>
      <w:numFmt w:val="decimal"/>
      <w:start w:val="1"/>
    </w:lvl>
  </w:abstractNum>
  <w:abstractNum w:abstractNumId="223">
    <w:nsid w:val="56C28E3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24">
    <w:nsid w:val="13916F2D"/>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25">
    <w:nsid w:val="435D38D"/>
    <w:multiLevelType w:val="hybridMultilevel"/>
    <w:lvl w:ilvl="0">
      <w:lvlJc w:val="left"/>
      <w:lvlText w:val="%1"/>
      <w:numFmt w:val="lowerLetter"/>
      <w:start w:val="1"/>
    </w:lvl>
    <w:lvl w:ilvl="1">
      <w:lvlJc w:val="left"/>
      <w:lvlText w:val="%2."/>
      <w:numFmt w:val="lowerRoman"/>
      <w:start w:val="3"/>
    </w:lvl>
  </w:abstractNum>
  <w:abstractNum w:abstractNumId="226">
    <w:nsid w:val="822C0EF"/>
    <w:multiLevelType w:val="hybridMultilevel"/>
    <w:lvl w:ilvl="0">
      <w:lvlJc w:val="left"/>
      <w:lvlText w:val="(%1)"/>
      <w:numFmt w:val="lowerLetter"/>
      <w:start w:val="2"/>
    </w:lvl>
    <w:lvl w:ilvl="1">
      <w:lvlJc w:val="left"/>
      <w:lvlText w:val="%2."/>
      <w:numFmt w:val="lowerRoman"/>
      <w:start w:val="1"/>
    </w:lvl>
  </w:abstractNum>
  <w:abstractNum w:abstractNumId="227">
    <w:nsid w:val="57C5BB4F"/>
    <w:multiLevelType w:val="hybridMultilevel"/>
    <w:lvl w:ilvl="0">
      <w:lvlJc w:val="left"/>
      <w:lvlText w:val="%1."/>
      <w:numFmt w:val="decimal"/>
      <w:start w:val="1"/>
    </w:lvl>
  </w:abstractNum>
  <w:abstractNum w:abstractNumId="228">
    <w:nsid w:val="1803D089"/>
    <w:multiLevelType w:val="hybridMultilevel"/>
    <w:lvl w:ilvl="0">
      <w:lvlJc w:val="left"/>
      <w:lvlText w:val="%1."/>
      <w:numFmt w:val="decimal"/>
      <w:start w:val="1"/>
    </w:lvl>
  </w:abstractNum>
  <w:abstractNum w:abstractNumId="229">
    <w:nsid w:val="4F3A06D4"/>
    <w:multiLevelType w:val="hybridMultilevel"/>
    <w:lvl w:ilvl="0">
      <w:lvlJc w:val="left"/>
      <w:lvlText w:val="(%1)"/>
      <w:numFmt w:val="decimal"/>
      <w:start w:val="1"/>
    </w:lvl>
  </w:abstractNum>
  <w:abstractNum w:abstractNumId="230">
    <w:nsid w:val="59A377B6"/>
    <w:multiLevelType w:val="hybridMultilevel"/>
    <w:lvl w:ilvl="0">
      <w:lvlJc w:val="left"/>
      <w:lvlText w:val="%1."/>
      <w:numFmt w:val="decimal"/>
      <w:start w:val="1"/>
    </w:lvl>
  </w:abstractNum>
  <w:abstractNum w:abstractNumId="231">
    <w:nsid w:val="48AEB063"/>
    <w:multiLevelType w:val="hybridMultilevel"/>
    <w:lvl w:ilvl="0">
      <w:lvlJc w:val="left"/>
      <w:lvlText w:val="%1."/>
      <w:numFmt w:val="decimal"/>
      <w:start w:val="2"/>
    </w:lvl>
    <w:lvl w:ilvl="1">
      <w:lvlJc w:val="left"/>
      <w:lvlText w:val="(%2)"/>
      <w:numFmt w:val="decimal"/>
      <w:start w:val="1"/>
    </w:lvl>
  </w:abstractNum>
  <w:abstractNum w:abstractNumId="232">
    <w:nsid w:val="24E135"/>
    <w:multiLevelType w:val="hybridMultilevel"/>
    <w:lvl w:ilvl="0">
      <w:lvlJc w:val="left"/>
      <w:lvlText w:val="%1."/>
      <w:numFmt w:val="decimal"/>
      <w:start w:val="4"/>
    </w:lvl>
    <w:lvl w:ilvl="1">
      <w:lvlJc w:val="left"/>
      <w:lvlText w:val="(%2)"/>
      <w:numFmt w:val="decimal"/>
      <w:start w:val="5"/>
    </w:lvl>
  </w:abstractNum>
  <w:abstractNum w:abstractNumId="233">
    <w:nsid w:val="BB13C1"/>
    <w:multiLevelType w:val="hybridMultilevel"/>
    <w:lvl w:ilvl="0">
      <w:lvlJc w:val="left"/>
      <w:lvlText w:val="%1."/>
      <w:numFmt w:val="upperLetter"/>
      <w:start w:val="9"/>
    </w:lvl>
  </w:abstractNum>
  <w:abstractNum w:abstractNumId="234">
    <w:nsid w:val="271210C7"/>
    <w:multiLevelType w:val="hybridMultilevel"/>
    <w:lvl w:ilvl="0">
      <w:lvlJc w:val="left"/>
      <w:lvlText w:val="-"/>
      <w:numFmt w:val="bullet"/>
      <w:start w:val="1"/>
    </w:lvl>
  </w:abstractNum>
  <w:abstractNum w:abstractNumId="235">
    <w:nsid w:val="217B22E4"/>
    <w:multiLevelType w:val="hybridMultilevel"/>
    <w:lvl w:ilvl="0">
      <w:lvlJc w:val="left"/>
      <w:lvlText w:val="%1"/>
      <w:numFmt w:val="decimal"/>
      <w:start w:val="196"/>
    </w:lvl>
  </w:abstractNum>
  <w:abstractNum w:abstractNumId="236">
    <w:nsid w:val="53E31A24"/>
    <w:multiLevelType w:val="hybridMultilevel"/>
    <w:lvl w:ilvl="0">
      <w:lvlJc w:val="left"/>
      <w:lvlText w:val="%1."/>
      <w:numFmt w:val="decimal"/>
      <w:start w:val="1"/>
    </w:lvl>
    <w:lvl w:ilvl="1">
      <w:lvlJc w:val="left"/>
      <w:lvlText w:val="(%2)"/>
      <w:numFmt w:val="lowerLetter"/>
      <w:start w:val="1"/>
    </w:lvl>
  </w:abstractNum>
  <w:abstractNum w:abstractNumId="237">
    <w:nsid w:val="6DC45E83"/>
    <w:multiLevelType w:val="hybridMultilevel"/>
    <w:lvl w:ilvl="0">
      <w:lvlJc w:val="left"/>
      <w:lvlText w:val="%1."/>
      <w:numFmt w:val="decimal"/>
      <w:start w:val="2"/>
    </w:lvl>
    <w:lvl w:ilvl="1">
      <w:lvlJc w:val="left"/>
      <w:lvlText w:val="(%2)"/>
      <w:numFmt w:val="lowerLetter"/>
      <w:start w:val="1"/>
    </w:lvl>
  </w:abstractNum>
  <w:abstractNum w:abstractNumId="238">
    <w:nsid w:val="17304A67"/>
    <w:multiLevelType w:val="hybridMultilevel"/>
    <w:lvl w:ilvl="0">
      <w:lvlJc w:val="left"/>
      <w:lvlText w:val="%1."/>
      <w:numFmt w:val="decimal"/>
      <w:start w:val="4"/>
    </w:lvl>
  </w:abstractNum>
  <w:abstractNum w:abstractNumId="239">
    <w:nsid w:val="2BB180D8"/>
    <w:multiLevelType w:val="hybridMultilevel"/>
    <w:lvl w:ilvl="0">
      <w:lvlJc w:val="left"/>
      <w:lvlText w:val="%1."/>
      <w:numFmt w:val="decimal"/>
      <w:start w:val="1"/>
    </w:lvl>
  </w:abstractNum>
  <w:abstractNum w:abstractNumId="240">
    <w:nsid w:val="556B69ED"/>
    <w:multiLevelType w:val="hybridMultilevel"/>
    <w:lvl w:ilvl="0">
      <w:lvlJc w:val="left"/>
      <w:lvlText w:val="%1."/>
      <w:numFmt w:val="decimal"/>
      <w:start w:val="2"/>
    </w:lvl>
  </w:abstractNum>
  <w:abstractNum w:abstractNumId="241">
    <w:nsid w:val="70836196"/>
    <w:multiLevelType w:val="hybridMultilevel"/>
    <w:lvl w:ilvl="0">
      <w:lvlJc w:val="left"/>
      <w:lvlText w:val="(%1)"/>
      <w:numFmt w:val="lowerLetter"/>
      <w:start w:val="1"/>
    </w:lvl>
  </w:abstractNum>
  <w:abstractNum w:abstractNumId="242">
    <w:nsid w:val="539F7F12"/>
    <w:multiLevelType w:val="hybridMultilevel"/>
    <w:lvl w:ilvl="0">
      <w:lvlJc w:val="left"/>
      <w:lvlText w:val="%1."/>
      <w:numFmt w:val="decimal"/>
      <w:start w:val="1"/>
    </w:lvl>
  </w:abstractNum>
  <w:abstractNum w:abstractNumId="243">
    <w:nsid w:val="2817E7EC"/>
    <w:multiLevelType w:val="hybridMultilevel"/>
    <w:lvl w:ilvl="0">
      <w:lvlJc w:val="left"/>
      <w:lvlText w:val="%1."/>
      <w:numFmt w:val="decimal"/>
      <w:start w:val="2"/>
    </w:lvl>
  </w:abstractNum>
  <w:abstractNum w:abstractNumId="244">
    <w:nsid w:val="71482545"/>
    <w:multiLevelType w:val="hybridMultilevel"/>
    <w:lvl w:ilvl="0">
      <w:lvlJc w:val="left"/>
      <w:lvlText w:val="%1."/>
      <w:numFmt w:val="decimal"/>
      <w:start w:val="3"/>
    </w:lvl>
  </w:abstractNum>
  <w:abstractNum w:abstractNumId="245">
    <w:nsid w:val="17D78639"/>
    <w:multiLevelType w:val="hybridMultilevel"/>
    <w:lvl w:ilvl="0">
      <w:lvlJc w:val="left"/>
      <w:lvlText w:val="%1."/>
      <w:numFmt w:val="decimal"/>
      <w:start w:val="4"/>
    </w:lvl>
  </w:abstractNum>
  <w:abstractNum w:abstractNumId="246">
    <w:nsid w:val="141D2302"/>
    <w:multiLevelType w:val="hybridMultilevel"/>
    <w:lvl w:ilvl="0">
      <w:lvlJc w:val="left"/>
      <w:lvlText w:val="%1."/>
      <w:numFmt w:val="decimal"/>
      <w:start w:val="5"/>
    </w:lvl>
    <w:lvl w:ilvl="1">
      <w:lvlJc w:val="left"/>
      <w:lvlText w:val="%2)"/>
      <w:numFmt w:val="lowerLetter"/>
      <w:start w:val="1"/>
    </w:lvl>
  </w:abstractNum>
  <w:abstractNum w:abstractNumId="247">
    <w:nsid w:val="407168D8"/>
    <w:multiLevelType w:val="hybridMultilevel"/>
    <w:lvl w:ilvl="0">
      <w:lvlJc w:val="left"/>
      <w:lvlText w:val="%1."/>
      <w:numFmt w:val="decimal"/>
      <w:start w:val="8"/>
    </w:lvl>
  </w:abstractNum>
  <w:abstractNum w:abstractNumId="248">
    <w:nsid w:val="6A1B45E5"/>
    <w:multiLevelType w:val="hybridMultilevel"/>
    <w:lvl w:ilvl="0">
      <w:lvlJc w:val="left"/>
      <w:lvlText w:val="%1."/>
      <w:numFmt w:val="decimal"/>
      <w:start w:val="10"/>
    </w:lvl>
  </w:abstractNum>
  <w:abstractNum w:abstractNumId="249">
    <w:nsid w:val="567BD50A"/>
    <w:multiLevelType w:val="hybridMultilevel"/>
    <w:lvl w:ilvl="0">
      <w:lvlJc w:val="left"/>
      <w:lvlText w:val="%1."/>
      <w:numFmt w:val="decimal"/>
      <w:start w:val="11"/>
    </w:lvl>
  </w:abstractNum>
  <w:abstractNum w:abstractNumId="250">
    <w:nsid w:val="73BBD7F8"/>
    <w:multiLevelType w:val="hybridMultilevel"/>
    <w:lvl w:ilvl="0">
      <w:lvlJc w:val="left"/>
      <w:lvlText w:val="%1."/>
      <w:numFmt w:val="decimal"/>
      <w:start w:val="12"/>
    </w:lvl>
  </w:abstractNum>
  <w:abstractNum w:abstractNumId="251">
    <w:nsid w:val="1876589D"/>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2019-12-11T20:40:55Z</dcterms:created>
  <dcterms:modified xsi:type="dcterms:W3CDTF">2019-12-11T20:40:55Z</dcterms:modified>
</cp:coreProperties>
</file>