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87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 C.</w:t>
        <w:tab/>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FORM 8-K/A</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PURSUANT TO SECTION 13 OR 15(d) of</w:t>
      </w:r>
    </w:p>
    <w:p>
      <w:pPr>
        <w:ind w:left="138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19, 1995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SCOTTS COMPANY</w:t>
      </w:r>
    </w:p>
    <w:p>
      <w:pPr>
        <w:ind w:left="3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5" w:orient="portrait"/>
          <w:cols w:equalWidth="0" w:num="1">
            <w:col w:w="10219"/>
          </w:cols>
          <w:pgMar w:left="240" w:top="125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0-19768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31-1199481</w:t>
      </w:r>
    </w:p>
    <w:p>
      <w:pPr>
        <w:spacing w:after="0" w:line="21" w:lineRule="exact"/>
        <w:rPr>
          <w:sz w:val="24"/>
          <w:szCs w:val="24"/>
          <w:color w:val="auto"/>
        </w:rPr>
      </w:pPr>
    </w:p>
    <w:p>
      <w:pPr>
        <w:sectPr>
          <w:pgSz w:w="11900" w:h="16875" w:orient="portrait"/>
          <w:cols w:equalWidth="0" w:num="2">
            <w:col w:w="4020" w:space="720"/>
            <w:col w:w="5479"/>
          </w:cols>
          <w:pgMar w:left="240" w:top="1257"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Ohio</w:t>
      </w:r>
    </w:p>
    <w:p>
      <w:pPr>
        <w:sectPr>
          <w:pgSz w:w="11900" w:h="16875" w:orient="portrait"/>
          <w:cols w:equalWidth="0" w:num="1">
            <w:col w:w="10219"/>
          </w:cols>
          <w:pgMar w:left="240" w:top="1257" w:right="1440" w:bottom="0" w:gutter="0" w:footer="0" w:header="0"/>
          <w:type w:val="continuous"/>
        </w:sectPr>
      </w:pPr>
    </w:p>
    <w:p>
      <w:pPr>
        <w:spacing w:after="0" w:line="21" w:lineRule="exact"/>
        <w:rPr>
          <w:sz w:val="24"/>
          <w:szCs w:val="24"/>
          <w:color w:val="auto"/>
        </w:rPr>
      </w:pPr>
    </w:p>
    <w:p>
      <w:pPr>
        <w:ind w:left="320" w:hanging="104"/>
        <w:spacing w:after="0" w:line="268" w:lineRule="auto"/>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jc w:val="center"/>
        <w:ind w:right="389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75" w:orient="portrait"/>
          <w:cols w:equalWidth="0" w:num="3">
            <w:col w:w="1800" w:space="520"/>
            <w:col w:w="1700" w:space="300"/>
            <w:col w:w="5899"/>
          </w:cols>
          <w:pgMar w:left="240" w:top="1257"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of incorporation)</w:t>
      </w:r>
    </w:p>
    <w:p>
      <w:pPr>
        <w:sectPr>
          <w:pgSz w:w="11900" w:h="16875" w:orient="portrait"/>
          <w:cols w:equalWidth="0" w:num="1">
            <w:col w:w="10219"/>
          </w:cols>
          <w:pgMar w:left="240" w:top="125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20" w:right="120"/>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75" w:orient="portrait"/>
          <w:cols w:equalWidth="0" w:num="2">
            <w:col w:w="4440" w:space="720"/>
            <w:col w:w="5059"/>
          </w:cols>
          <w:pgMar w:left="240" w:top="1257" w:right="1440" w:bottom="0" w:gutter="0" w:footer="0" w:header="0"/>
          <w:type w:val="continuous"/>
        </w:sectPr>
      </w:pPr>
    </w:p>
    <w:p>
      <w:pPr>
        <w:spacing w:after="0" w:line="369"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Registrant's telephone number, including area code</w:t>
      </w:r>
    </w:p>
    <w:p>
      <w:pPr>
        <w:jc w:val="center"/>
        <w:ind w:right="3899"/>
        <w:spacing w:after="0" w:line="238" w:lineRule="auto"/>
        <w:rPr>
          <w:sz w:val="20"/>
          <w:szCs w:val="20"/>
          <w:color w:val="auto"/>
        </w:rPr>
      </w:pPr>
      <w:r>
        <w:rPr>
          <w:rFonts w:ascii="Courier New" w:cs="Courier New" w:eastAsia="Courier New" w:hAnsi="Courier New"/>
          <w:sz w:val="18"/>
          <w:szCs w:val="18"/>
          <w:color w:val="auto"/>
        </w:rPr>
        <w:t>(513) 644-0011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Page 1 of 19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right="3679"/>
        <w:spacing w:after="0" w:line="270" w:lineRule="auto"/>
        <w:rPr>
          <w:sz w:val="20"/>
          <w:szCs w:val="20"/>
          <w:color w:val="auto"/>
        </w:rPr>
      </w:pPr>
      <w:r>
        <w:rPr>
          <w:rFonts w:ascii="Courier New" w:cs="Courier New" w:eastAsia="Courier New" w:hAnsi="Courier New"/>
          <w:sz w:val="16"/>
          <w:szCs w:val="16"/>
          <w:color w:val="auto"/>
        </w:rPr>
        <w:t>This Current Report on Form 8-K/A of The Scotts Company (the "Registrant") furnishes the financial statements and the pro forma financial information that were omitted from the Current Report on Form 8-K of the Registrant filed with the Securities and Exchange Commission (the "Commission") on May 31, 1995 (the "Registrant's May 1995 Form 8-K) in accordance with Items 7(a)(4) and 7(b)(2) of Form 8-K which allow the Registrant a 60-day extension of the time for the filing of such financial statements and pro forma financial information. The financial statements and pro forma financial information relate to the acquisition by the Registrant of the Miracle-Gro Companies as described in Item 2 of the Registrant's May 1995</w:t>
      </w:r>
    </w:p>
    <w:p>
      <w:pPr>
        <w:sectPr>
          <w:pgSz w:w="11900" w:h="16875" w:orient="portrait"/>
          <w:cols w:equalWidth="0" w:num="1">
            <w:col w:w="10219"/>
          </w:cols>
          <w:pgMar w:left="240" w:top="125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the business acquired:</w:t>
      </w:r>
    </w:p>
    <w:p>
      <w:pPr>
        <w:spacing w:after="0" w:line="206" w:lineRule="exact"/>
        <w:rPr>
          <w:rFonts w:ascii="Courier New" w:cs="Courier New" w:eastAsia="Courier New" w:hAnsi="Courier New"/>
          <w:sz w:val="18"/>
          <w:szCs w:val="18"/>
          <w:color w:val="auto"/>
        </w:rPr>
      </w:pPr>
    </w:p>
    <w:p>
      <w:pPr>
        <w:ind w:left="42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Audited Financial Statements of Stern's Miracle-Gro Products, Inc. and Affiliated Companies:</w:t>
      </w:r>
    </w:p>
    <w:p>
      <w:pPr>
        <w:spacing w:after="0" w:line="208" w:lineRule="exact"/>
        <w:rPr>
          <w:rFonts w:ascii="Courier New" w:cs="Courier New" w:eastAsia="Courier New" w:hAnsi="Courier New"/>
          <w:sz w:val="18"/>
          <w:szCs w:val="18"/>
          <w:color w:val="auto"/>
        </w:rPr>
      </w:pPr>
    </w:p>
    <w:p>
      <w:pPr>
        <w:ind w:left="42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 of Independent Public Accountants. Incorporated herein by reference to the Registrant's Registration Statement on Form S-4 (File No. 33-57595) (the "Registrant's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S-4"), F-12.</w:t>
      </w:r>
    </w:p>
    <w:p>
      <w:pPr>
        <w:spacing w:after="0" w:line="207"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Balance Sheets at September 30, 1993 and 1994. Incorporated herein by</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to the Registrant's Form S-4, F-13.</w:t>
      </w:r>
    </w:p>
    <w:p>
      <w:pPr>
        <w:spacing w:after="0" w:line="207" w:lineRule="exact"/>
        <w:rPr>
          <w:rFonts w:ascii="Courier New" w:cs="Courier New" w:eastAsia="Courier New" w:hAnsi="Courier New"/>
          <w:sz w:val="18"/>
          <w:szCs w:val="18"/>
          <w:color w:val="auto"/>
        </w:rPr>
      </w:pPr>
    </w:p>
    <w:p>
      <w:pPr>
        <w:ind w:left="420" w:right="4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Statements of Income and Retained Earnings for the years ended September 30, 1992, 1993 and 1994. Incorporated herein by reference to the Registrant's Form S-4, F-14.</w:t>
      </w:r>
    </w:p>
    <w:p>
      <w:pPr>
        <w:spacing w:after="0" w:line="207" w:lineRule="exact"/>
        <w:rPr>
          <w:rFonts w:ascii="Courier New" w:cs="Courier New" w:eastAsia="Courier New" w:hAnsi="Courier New"/>
          <w:sz w:val="18"/>
          <w:szCs w:val="18"/>
          <w:color w:val="auto"/>
        </w:rPr>
      </w:pPr>
    </w:p>
    <w:p>
      <w:pPr>
        <w:ind w:left="420" w:right="3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Combined Statements of Cash Flows for the years ended September 30, 1992, 1993 and 1994. Incorporated herein by reference to the Registrant's Form S-4, F-15-F-16.</w:t>
      </w:r>
    </w:p>
    <w:p>
      <w:pPr>
        <w:spacing w:after="0" w:line="17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Combined Financial Statements.  Incorporated</w:t>
      </w:r>
    </w:p>
    <w:p>
      <w:pPr>
        <w:spacing w:after="0" w:line="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herein by reference to the Registrant's Form S-4, F-17-F-23.</w:t>
      </w:r>
    </w:p>
    <w:p>
      <w:pPr>
        <w:spacing w:after="0" w:line="223" w:lineRule="exact"/>
        <w:rPr>
          <w:rFonts w:ascii="Courier New" w:cs="Courier New" w:eastAsia="Courier New" w:hAnsi="Courier New"/>
          <w:sz w:val="18"/>
          <w:szCs w:val="18"/>
          <w:color w:val="auto"/>
        </w:rPr>
      </w:pPr>
    </w:p>
    <w:p>
      <w:pPr>
        <w:ind w:left="420"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 Financial Statements of Stern's Miracle-Gro Products, Inc. and Affiliated Companies: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Balance Sheets at March 31, 1995 (Unaudited)</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Statements of Income and Retained Earnings</w:t>
      </w:r>
    </w:p>
    <w:p>
      <w:pPr>
        <w:spacing w:after="0" w:line="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for the six months ended March 31, 1994 and 1995 (Unaudited)</w:t>
      </w:r>
    </w:p>
    <w:p>
      <w:pPr>
        <w:spacing w:after="0" w:line="223" w:lineRule="exact"/>
        <w:rPr>
          <w:rFonts w:ascii="Courier New" w:cs="Courier New" w:eastAsia="Courier New" w:hAnsi="Courier New"/>
          <w:sz w:val="18"/>
          <w:szCs w:val="18"/>
          <w:color w:val="auto"/>
        </w:rPr>
      </w:pPr>
    </w:p>
    <w:p>
      <w:pPr>
        <w:ind w:left="42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Statements of Cash Flows for the six months ended March 31, 1994 and 1995 (Unaudited)</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Combined Financial Statements (Unaudited)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6" w:lineRule="exact"/>
        <w:rPr>
          <w:rFonts w:ascii="Courier New" w:cs="Courier New" w:eastAsia="Courier New" w:hAnsi="Courier New"/>
          <w:sz w:val="18"/>
          <w:szCs w:val="18"/>
          <w:color w:val="auto"/>
        </w:rPr>
      </w:pPr>
    </w:p>
    <w:p>
      <w:pPr>
        <w:ind w:left="42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Consolidated Financial Information (Unaudited)</w:t>
      </w:r>
    </w:p>
    <w:p>
      <w:pPr>
        <w:spacing w:after="0" w:line="208" w:lineRule="exact"/>
        <w:rPr>
          <w:rFonts w:ascii="Courier New" w:cs="Courier New" w:eastAsia="Courier New" w:hAnsi="Courier New"/>
          <w:sz w:val="18"/>
          <w:szCs w:val="18"/>
          <w:color w:val="auto"/>
        </w:rPr>
      </w:pPr>
    </w:p>
    <w:p>
      <w:pPr>
        <w:ind w:left="42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Consolidated Statement of Income for the year ended September 30, 1994 (Unaudited)</w:t>
      </w:r>
    </w:p>
    <w:p>
      <w:pPr>
        <w:spacing w:after="0" w:line="208" w:lineRule="exact"/>
        <w:rPr>
          <w:rFonts w:ascii="Courier New" w:cs="Courier New" w:eastAsia="Courier New" w:hAnsi="Courier New"/>
          <w:sz w:val="18"/>
          <w:szCs w:val="18"/>
          <w:color w:val="auto"/>
        </w:rPr>
      </w:pPr>
    </w:p>
    <w:p>
      <w:pPr>
        <w:ind w:left="42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Pro Forma Consolidated Statement of Income for the year ended September 30, 1994 (Unaudited)</w:t>
      </w:r>
    </w:p>
    <w:p>
      <w:pPr>
        <w:spacing w:after="0" w:line="208" w:lineRule="exact"/>
        <w:rPr>
          <w:rFonts w:ascii="Courier New" w:cs="Courier New" w:eastAsia="Courier New" w:hAnsi="Courier New"/>
          <w:sz w:val="18"/>
          <w:szCs w:val="18"/>
          <w:color w:val="auto"/>
        </w:rPr>
      </w:pPr>
    </w:p>
    <w:p>
      <w:pPr>
        <w:ind w:left="42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Consolidated Statement of Income for the six months ended April 1, 1995 (Unaudited)</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420" w:right="3999"/>
        <w:spacing w:after="0" w:line="235" w:lineRule="auto"/>
        <w:rPr>
          <w:sz w:val="20"/>
          <w:szCs w:val="20"/>
          <w:color w:val="auto"/>
        </w:rPr>
      </w:pPr>
      <w:r>
        <w:rPr>
          <w:rFonts w:ascii="Courier New" w:cs="Courier New" w:eastAsia="Courier New" w:hAnsi="Courier New"/>
          <w:sz w:val="18"/>
          <w:szCs w:val="18"/>
          <w:color w:val="auto"/>
        </w:rPr>
        <w:t>Notes to Pro Forma Consolidated Statement of Income for the six months ended April 1, 1995 (Unaudited)</w:t>
      </w:r>
    </w:p>
    <w:p>
      <w:pPr>
        <w:spacing w:after="0" w:line="208" w:lineRule="exact"/>
        <w:rPr>
          <w:sz w:val="20"/>
          <w:szCs w:val="20"/>
          <w:color w:val="auto"/>
        </w:rPr>
      </w:pPr>
    </w:p>
    <w:p>
      <w:pPr>
        <w:ind w:left="420" w:right="4199"/>
        <w:spacing w:after="0" w:line="235" w:lineRule="auto"/>
        <w:rPr>
          <w:sz w:val="20"/>
          <w:szCs w:val="20"/>
          <w:color w:val="auto"/>
        </w:rPr>
      </w:pPr>
      <w:r>
        <w:rPr>
          <w:rFonts w:ascii="Courier New" w:cs="Courier New" w:eastAsia="Courier New" w:hAnsi="Courier New"/>
          <w:sz w:val="18"/>
          <w:szCs w:val="18"/>
          <w:color w:val="auto"/>
        </w:rPr>
        <w:t>Pro Forma Consolidated Balance Sheet at April 1, 1995 (Unaudited)</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Notes to Pro Forma Consolidated Balance Sheet</w:t>
      </w:r>
    </w:p>
    <w:p>
      <w:pPr>
        <w:ind w:left="42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42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were filed as exhibits to the Registrant's May 1995 Form 8-K or incorporated by reference therein and are all incorporated by reference herein.</w:t>
      </w:r>
    </w:p>
    <w:p>
      <w:pPr>
        <w:spacing w:after="0" w:line="202" w:lineRule="exact"/>
        <w:rPr>
          <w:sz w:val="20"/>
          <w:szCs w:val="20"/>
          <w:color w:val="auto"/>
        </w:rPr>
      </w:pPr>
    </w:p>
    <w:p>
      <w:pPr>
        <w:ind w:left="860"/>
        <w:spacing w:after="0"/>
        <w:tabs>
          <w:tab w:leader="none" w:pos="32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1160"/>
        <w:spacing w:after="0"/>
        <w:tabs>
          <w:tab w:leader="none" w:pos="2620" w:val="left"/>
        </w:tabs>
        <w:rPr>
          <w:sz w:val="20"/>
          <w:szCs w:val="20"/>
          <w:color w:val="auto"/>
        </w:rPr>
      </w:pPr>
      <w:r>
        <w:rPr>
          <w:rFonts w:ascii="Courier New" w:cs="Courier New" w:eastAsia="Courier New" w:hAnsi="Courier New"/>
          <w:sz w:val="18"/>
          <w:szCs w:val="18"/>
          <w:color w:val="auto"/>
        </w:rPr>
        <w:t>2(a)</w:t>
      </w:r>
      <w:r>
        <w:rPr>
          <w:sz w:val="20"/>
          <w:szCs w:val="20"/>
          <w:color w:val="auto"/>
        </w:rPr>
        <w:tab/>
      </w:r>
      <w:r>
        <w:rPr>
          <w:rFonts w:ascii="Courier New" w:cs="Courier New" w:eastAsia="Courier New" w:hAnsi="Courier New"/>
          <w:sz w:val="18"/>
          <w:szCs w:val="18"/>
          <w:color w:val="auto"/>
        </w:rPr>
        <w:t>Agreement and Plan of</w:t>
      </w:r>
    </w:p>
    <w:p>
      <w:pPr>
        <w:sectPr>
          <w:pgSz w:w="11900" w:h="16838" w:orient="portrait"/>
          <w:cols w:equalWidth="0" w:num="1">
            <w:col w:w="10219"/>
          </w:cols>
          <w:pgMar w:left="240" w:top="136" w:right="1440" w:bottom="0" w:gutter="0" w:footer="0" w:header="0"/>
        </w:sectPr>
      </w:pPr>
    </w:p>
    <w:bookmarkStart w:id="2" w:name="page3"/>
    <w:bookmarkEnd w:id="2"/>
    <w:tbl>
      <w:tblPr>
        <w:tblLayout w:type="fixed"/>
        <w:tblInd w:w="11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Merger dated as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January 26, 1995, among</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Miracle-Gro</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Companies, the original</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shareholders of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Miracle-Gro Companies,</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Registrant and Merger</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Subsidiary</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Amended and Restated</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Agreement and Plan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Merger dated as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May 19, 1995, among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Miracle-Gro Companies,</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Hagedorn</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Partnership, the general</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partners of the Hagedorn</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Partnership,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Charity, Horace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Hagedorn, John Kenlon,</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Registrant and</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Merger Subsidiary</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Amended Articles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Incorporation of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Registrant as filed with</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Ohio Secretary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State on September 20,</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 (including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terms of the Class A</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Convertible Preferred</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Stock of the Registrant)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w w:val="96"/>
              </w:rPr>
              <w:t>Certificate of Amendment</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by Shareholders of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Articles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Incorporation of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Registrant as filed with</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Ohio Secretary of</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State on May 4, 1995</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Regulations of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Registrant (reflecting</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amendments adopted by</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shareholders of the</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Registrant on April 6,</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w w:val="96"/>
              </w:rPr>
              <w:t>Form of Series A Warrant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4(d)</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w w:val="96"/>
              </w:rPr>
              <w:t>Form of Series B Warrant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4(e)</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w w:val="96"/>
              </w:rPr>
              <w:t>Form of Series C Warrant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99(a)</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Press release issued by</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Registrant on</w:t>
            </w:r>
          </w:p>
        </w:tc>
      </w:tr>
      <w:tr>
        <w:trPr>
          <w:trHeight w:val="203"/>
        </w:trPr>
        <w:tc>
          <w:tcPr>
            <w:tcW w:w="100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May 19, 1995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Date: August 2, 1995</w:t>
      </w:r>
      <w:r>
        <w:rPr>
          <w:sz w:val="20"/>
          <w:szCs w:val="20"/>
          <w:color w:val="auto"/>
        </w:rPr>
        <w:tab/>
      </w: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2860"/>
        <w:spacing w:after="0"/>
        <w:tabs>
          <w:tab w:leader="none" w:pos="3360" w:val="left"/>
          <w:tab w:leader="none" w:pos="38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Paul D. Yeager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Paul D. Yeager, Executive Vice</w:t>
      </w:r>
    </w:p>
    <w:p>
      <w:pPr>
        <w:ind w:left="2320"/>
        <w:spacing w:after="0" w:line="238" w:lineRule="auto"/>
        <w:rPr>
          <w:sz w:val="20"/>
          <w:szCs w:val="20"/>
          <w:color w:val="auto"/>
        </w:rPr>
      </w:pPr>
      <w:r>
        <w:rPr>
          <w:rFonts w:ascii="Courier New" w:cs="Courier New" w:eastAsia="Courier New" w:hAnsi="Courier New"/>
          <w:sz w:val="18"/>
          <w:szCs w:val="18"/>
          <w:color w:val="auto"/>
        </w:rPr>
        <w:t>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4480" w:type="dxa"/>
            <w:vAlign w:val="bottom"/>
          </w:tcPr>
          <w:p>
            <w:pPr>
              <w:ind w:left="960"/>
              <w:spacing w:after="0"/>
              <w:rPr>
                <w:sz w:val="20"/>
                <w:szCs w:val="20"/>
                <w:color w:val="auto"/>
              </w:rPr>
            </w:pPr>
            <w:r>
              <w:rPr>
                <w:rFonts w:ascii="Courier New" w:cs="Courier New" w:eastAsia="Courier New" w:hAnsi="Courier New"/>
                <w:sz w:val="18"/>
                <w:szCs w:val="18"/>
                <w:color w:val="auto"/>
              </w:rPr>
              <w:t>INDEX TO FINANCIAL STATEMENTS</w:t>
            </w:r>
          </w:p>
        </w:tc>
        <w:tc>
          <w:tcPr>
            <w:tcW w:w="1420" w:type="dxa"/>
            <w:vAlign w:val="bottom"/>
          </w:tcPr>
          <w:p>
            <w:pPr>
              <w:spacing w:after="0"/>
              <w:rPr>
                <w:sz w:val="17"/>
                <w:szCs w:val="17"/>
                <w:color w:val="auto"/>
              </w:rPr>
            </w:pPr>
          </w:p>
        </w:tc>
      </w:tr>
      <w:tr>
        <w:trPr>
          <w:trHeight w:val="608"/>
        </w:trPr>
        <w:tc>
          <w:tcPr>
            <w:tcW w:w="7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Page(s)</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Financial statements of the business</w:t>
            </w:r>
          </w:p>
        </w:tc>
        <w:tc>
          <w:tcPr>
            <w:tcW w:w="1420" w:type="dxa"/>
            <w:vAlign w:val="bottom"/>
          </w:tcPr>
          <w:p>
            <w:pPr>
              <w:spacing w:after="0"/>
              <w:rPr>
                <w:sz w:val="24"/>
                <w:szCs w:val="24"/>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7(a)</w:t>
            </w: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acquired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Unaudited Financial Statements of</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Stern's Miracle-Gro Products, Inc.</w:t>
            </w: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Affiliated Companies:</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8"/>
                <w:szCs w:val="18"/>
                <w:color w:val="auto"/>
              </w:rPr>
              <w:t>Combined Balance Sheets at March 31,</w:t>
            </w: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F-1</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8"/>
                <w:szCs w:val="18"/>
                <w:color w:val="auto"/>
              </w:rPr>
              <w:t>Combined Statements of Income and</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w:t>
            </w: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Earnings for the six months ended</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F-2</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March 31, 1994</w:t>
            </w: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1995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8"/>
                <w:szCs w:val="18"/>
                <w:color w:val="auto"/>
              </w:rPr>
              <w:t>Combined Statements of Cash Flows</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the six</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740" w:type="dxa"/>
            <w:vAlign w:val="bottom"/>
          </w:tcPr>
          <w:p>
            <w:pPr>
              <w:spacing w:after="0"/>
              <w:rPr>
                <w:sz w:val="17"/>
                <w:szCs w:val="17"/>
                <w:color w:val="auto"/>
              </w:rPr>
            </w:pPr>
          </w:p>
        </w:tc>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months ended March 31, 1994 and</w:t>
            </w: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1995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Courier New" w:cs="Courier New" w:eastAsia="Courier New" w:hAnsi="Courier New"/>
                <w:sz w:val="18"/>
                <w:szCs w:val="18"/>
                <w:color w:val="auto"/>
              </w:rPr>
              <w:t>Notes to Combined Financial</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F-4 - F-5</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Statements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Pro Forma Financial Information</w:t>
            </w:r>
          </w:p>
        </w:tc>
        <w:tc>
          <w:tcPr>
            <w:tcW w:w="1420" w:type="dxa"/>
            <w:vAlign w:val="bottom"/>
          </w:tcPr>
          <w:p>
            <w:pPr>
              <w:spacing w:after="0"/>
              <w:rPr>
                <w:sz w:val="24"/>
                <w:szCs w:val="24"/>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7(b)</w:t>
            </w:r>
          </w:p>
        </w:tc>
        <w:tc>
          <w:tcPr>
            <w:tcW w:w="4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Pro Forma Consolidated Financial</w:t>
            </w:r>
          </w:p>
        </w:tc>
        <w:tc>
          <w:tcPr>
            <w:tcW w:w="14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F-6</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Information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Pro Forma Consolidated Statement of</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for the year ended</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F-7</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September 30, 1994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Notes to Pro Forma Consolidated</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of Income for the year</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F-8 - F-9</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ended September 30, 1994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Pro Forma Consolidated Statement of</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for the six months ended</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F-10</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April 1, 1995 (Unaudited)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Notes to Pro Forma Consolidated</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of Income for the six</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F-11 - F-12</w:t>
            </w: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months ended April 1, 1995</w:t>
            </w:r>
          </w:p>
        </w:tc>
        <w:tc>
          <w:tcPr>
            <w:tcW w:w="14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17"/>
                <w:szCs w:val="17"/>
                <w:color w:val="auto"/>
              </w:rPr>
            </w:pP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Pro Forma Consolidated Balance Sheet</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April 1, 1995 (Unaudited)</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F-13</w:t>
            </w:r>
          </w:p>
        </w:tc>
      </w:tr>
      <w:tr>
        <w:trPr>
          <w:trHeight w:val="405"/>
        </w:trPr>
        <w:tc>
          <w:tcPr>
            <w:tcW w:w="740" w:type="dxa"/>
            <w:vAlign w:val="bottom"/>
          </w:tcPr>
          <w:p>
            <w:pPr>
              <w:spacing w:after="0"/>
              <w:rPr>
                <w:sz w:val="24"/>
                <w:szCs w:val="24"/>
                <w:color w:val="auto"/>
              </w:rPr>
            </w:pPr>
          </w:p>
        </w:tc>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Notes to Pro Forma Consolidated</w:t>
            </w:r>
          </w:p>
        </w:tc>
        <w:tc>
          <w:tcPr>
            <w:tcW w:w="142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Balance Sheet (Unaudited)</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F-14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41" w:right="1440" w:bottom="0" w:gutter="0" w:footer="0" w:header="0"/>
        </w:sectPr>
      </w:pPr>
    </w:p>
    <w:bookmarkStart w:id="4" w:name="page5"/>
    <w:bookmarkEnd w:id="4"/>
    <w:p>
      <w:pPr>
        <w:jc w:val="center"/>
        <w:ind w:right="3779"/>
        <w:spacing w:after="0"/>
        <w:rPr>
          <w:sz w:val="20"/>
          <w:szCs w:val="20"/>
          <w:color w:val="auto"/>
        </w:rPr>
      </w:pPr>
      <w:r>
        <w:rPr>
          <w:rFonts w:ascii="Courier New" w:cs="Courier New" w:eastAsia="Courier New" w:hAnsi="Courier New"/>
          <w:sz w:val="18"/>
          <w:szCs w:val="18"/>
          <w:color w:val="auto"/>
        </w:rPr>
        <w:t>STERN'S MIRACLE-GRO PRODUCTS, INC. AND AFFILIATED COMPANIES</w:t>
      </w:r>
    </w:p>
    <w:p>
      <w:pPr>
        <w:spacing w:after="0" w:line="20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COMBINED BALANCE SHEETS</w:t>
      </w:r>
    </w:p>
    <w:p>
      <w:pPr>
        <w:ind w:left="2640"/>
        <w:spacing w:after="0" w:line="238" w:lineRule="auto"/>
        <w:rPr>
          <w:sz w:val="20"/>
          <w:szCs w:val="20"/>
          <w:color w:val="auto"/>
        </w:rPr>
      </w:pPr>
      <w:r>
        <w:rPr>
          <w:rFonts w:ascii="Courier New" w:cs="Courier New" w:eastAsia="Courier New" w:hAnsi="Courier New"/>
          <w:sz w:val="18"/>
          <w:szCs w:val="18"/>
          <w:color w:val="auto"/>
        </w:rPr>
        <w:t>(Unaudited)</w:t>
      </w:r>
    </w:p>
    <w:p>
      <w:pPr>
        <w:ind w:left="244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March 31, 1995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459</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44,806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21,189</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66,675</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74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1,259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68,345</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 credit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23,100</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6,107</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5,317</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34,524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740" w:type="dxa"/>
            <w:vAlign w:val="bottom"/>
          </w:tcPr>
          <w:p>
            <w:pPr>
              <w:spacing w:after="0"/>
              <w:rPr>
                <w:sz w:val="24"/>
                <w:szCs w:val="24"/>
                <w:color w:val="auto"/>
              </w:rPr>
            </w:pP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3,500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38,024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stock</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9,455</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Paid in capital</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240</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20,626</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74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30,321</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68,345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See Notes to Combined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STERN'S MIRACLE-GRO PRODUCTS, INC. AND AFFILIATED COMPANIES</w:t>
      </w:r>
    </w:p>
    <w:p>
      <w:pPr>
        <w:spacing w:after="0" w:line="201"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COMBINED STATEMENTS OF INCOME AND RETAINED EARNINGS</w:t>
      </w:r>
    </w:p>
    <w:p>
      <w:pPr>
        <w:ind w:left="2640"/>
        <w:spacing w:after="0" w:line="238" w:lineRule="auto"/>
        <w:rPr>
          <w:sz w:val="20"/>
          <w:szCs w:val="20"/>
          <w:color w:val="auto"/>
        </w:rPr>
      </w:pPr>
      <w:r>
        <w:rPr>
          <w:rFonts w:ascii="Courier New" w:cs="Courier New" w:eastAsia="Courier New" w:hAnsi="Courier New"/>
          <w:sz w:val="18"/>
          <w:szCs w:val="18"/>
          <w:color w:val="auto"/>
        </w:rPr>
        <w:t>(Unaudited)</w:t>
      </w:r>
    </w:p>
    <w:p>
      <w:pPr>
        <w:ind w:left="244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Six Months Ended</w:t>
            </w:r>
          </w:p>
        </w:tc>
      </w:tr>
      <w:tr>
        <w:trPr>
          <w:trHeight w:val="203"/>
        </w:trPr>
        <w:tc>
          <w:tcPr>
            <w:tcW w:w="2480" w:type="dxa"/>
            <w:vAlign w:val="bottom"/>
          </w:tcPr>
          <w:p>
            <w:pPr>
              <w:spacing w:after="0"/>
              <w:rPr>
                <w:sz w:val="17"/>
                <w:szCs w:val="17"/>
                <w:color w:val="auto"/>
              </w:rPr>
            </w:pPr>
          </w:p>
        </w:tc>
        <w:tc>
          <w:tcPr>
            <w:tcW w:w="21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248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$43,214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$47,467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$57,293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$62,722</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19,717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23,323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26,287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30,614</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23,497</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24,144</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31,006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32,108</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5,263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6,431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6,778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8,180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1,938</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4,788</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administrative expenses</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bl>
    <w:p>
      <w:pPr>
        <w:sectPr>
          <w:pgSz w:w="11900" w:h="16838" w:orient="portrait"/>
          <w:cols w:equalWidth="0" w:num="1">
            <w:col w:w="10219"/>
          </w:cols>
          <w:pgMar w:left="240" w:top="946"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14,919</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13,787</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18,596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16,532</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w:t>
            </w:r>
          </w:p>
        </w:tc>
        <w:tc>
          <w:tcPr>
            <w:tcW w:w="1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Income before taxes</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14,732</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13,301</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18,410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16,043</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Provision for state</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120</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146</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295</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14,612</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13,155</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18,170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15,748</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Beginning retained</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8,068</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7,471</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13,478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19,415</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Total</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22,680</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20,626</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31,648</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35,163</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Less:  Distribution to</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(8,968)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(14,537)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Retained earnings,</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$22,680</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$20,626</w:t>
            </w:r>
          </w:p>
        </w:tc>
        <w:tc>
          <w:tcPr>
            <w:tcW w:w="11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$22,680</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$20,626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See Notes to Combined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STERN'S MIRACLE-GRO PRODUCTS, INC. AND AFFILIATED COMPANIES</w:t>
      </w:r>
    </w:p>
    <w:p>
      <w:pPr>
        <w:spacing w:after="0" w:line="201"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COMBINED STATEMENT OF CASH FLOWS</w:t>
      </w:r>
    </w:p>
    <w:p>
      <w:pPr>
        <w:jc w:val="center"/>
        <w:ind w:right="3779"/>
        <w:spacing w:after="0" w:line="238" w:lineRule="auto"/>
        <w:rPr>
          <w:sz w:val="20"/>
          <w:szCs w:val="20"/>
          <w:color w:val="auto"/>
        </w:rPr>
      </w:pPr>
      <w:r>
        <w:rPr>
          <w:rFonts w:ascii="Courier New" w:cs="Courier New" w:eastAsia="Courier New" w:hAnsi="Courier New"/>
          <w:sz w:val="18"/>
          <w:szCs w:val="18"/>
          <w:color w:val="auto"/>
        </w:rPr>
        <w:t>(Unaudited)</w:t>
      </w:r>
    </w:p>
    <w:p>
      <w:pPr>
        <w:ind w:left="244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900" w:type="dxa"/>
            <w:vAlign w:val="bottom"/>
          </w:tcPr>
          <w:p>
            <w:pPr>
              <w:spacing w:after="0"/>
              <w:rPr>
                <w:sz w:val="17"/>
                <w:szCs w:val="17"/>
                <w:color w:val="auto"/>
              </w:rPr>
            </w:pPr>
          </w:p>
        </w:tc>
        <w:tc>
          <w:tcPr>
            <w:tcW w:w="24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90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$ 18,170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$ 15,748</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Adjustments to reconcile net income</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 used in operating</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loss</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components of</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(37,306)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(40,502)</w:t>
            </w: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working capital</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900" w:type="dxa"/>
            <w:vAlign w:val="bottom"/>
          </w:tcPr>
          <w:p>
            <w:pPr>
              <w:ind w:left="120"/>
              <w:spacing w:after="0"/>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cash flows used in operating</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(18,963)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(24,338)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CASH FLOWS FROM INVESTING</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in fixed assets, net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Net cash flows used in investing</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(169)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CASH FLOWS FROM FINANCING</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Increase in note payable</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18,135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23,100</w:t>
            </w:r>
          </w:p>
        </w:tc>
      </w:tr>
      <w:tr>
        <w:trPr>
          <w:trHeight w:val="203"/>
        </w:trPr>
        <w:tc>
          <w:tcPr>
            <w:tcW w:w="3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Distribution to shareholders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(8,968)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(14,537)</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Net cash flows provided by financing</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9,167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8,563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Net decrease in cash and equivalents</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(10,396)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(15,944)</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Cash and cash equivalents at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11,747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16,403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CASH AND</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CASH EQUIVALENTS AT END OF</w:t>
            </w:r>
          </w:p>
        </w:tc>
        <w:tc>
          <w:tcPr>
            <w:tcW w:w="360" w:type="dxa"/>
            <w:vAlign w:val="bottom"/>
          </w:tcPr>
          <w:p>
            <w:pPr>
              <w:spacing w:after="0"/>
              <w:rPr>
                <w:sz w:val="17"/>
                <w:szCs w:val="17"/>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1,351</w:t>
            </w: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459</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Paid</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292</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Income Taxes Paid</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109</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See Notes to Combined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STERN'S MIRACLE-GRO PRODUCTS, INC. AND AFFILIATED COMPANIES</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ORGANIZATION AND BASIS OF PRESENTATION</w:t>
      </w:r>
    </w:p>
    <w:p>
      <w:pPr>
        <w:spacing w:after="0" w:line="207" w:lineRule="exact"/>
        <w:rPr>
          <w:sz w:val="20"/>
          <w:szCs w:val="20"/>
          <w:color w:val="auto"/>
        </w:rPr>
      </w:pPr>
    </w:p>
    <w:p>
      <w:pPr>
        <w:ind w:left="860" w:right="3999"/>
        <w:spacing w:after="0" w:line="270" w:lineRule="auto"/>
        <w:rPr>
          <w:sz w:val="20"/>
          <w:szCs w:val="20"/>
          <w:color w:val="auto"/>
        </w:rPr>
      </w:pPr>
      <w:r>
        <w:rPr>
          <w:rFonts w:ascii="Courier New" w:cs="Courier New" w:eastAsia="Courier New" w:hAnsi="Courier New"/>
          <w:sz w:val="16"/>
          <w:szCs w:val="16"/>
          <w:color w:val="auto"/>
        </w:rPr>
        <w:t>The accompanying combined quarterly financial statements include the accounts of Stern's Miracle-Gro Products, Inc. ("MG, Inc."), Miracle-Gro Products Limited ("MG Limited"), Miracle-Gro Lawn Products, Inc. ("Lawn Products") and Stern's Nurseries, Inc. ("Sterns"), collectively the "Company" or "Miracle-Gro." The Company is engaged in the marketing and distribution of plant foods and lawn and garden products primarily in the United States, Canada and through MG Limited in the United Kingdom. The Company's business is highly seasonal with approximately 80% of sales occurring in its second and third fiscal quarters.</w:t>
      </w:r>
    </w:p>
    <w:p>
      <w:pPr>
        <w:spacing w:after="0" w:line="185" w:lineRule="exact"/>
        <w:rPr>
          <w:sz w:val="20"/>
          <w:szCs w:val="20"/>
          <w:color w:val="auto"/>
        </w:rPr>
      </w:pPr>
    </w:p>
    <w:p>
      <w:pPr>
        <w:ind w:left="860" w:right="3999"/>
        <w:spacing w:after="0" w:line="268" w:lineRule="auto"/>
        <w:rPr>
          <w:sz w:val="20"/>
          <w:szCs w:val="20"/>
          <w:color w:val="auto"/>
        </w:rPr>
      </w:pPr>
      <w:r>
        <w:rPr>
          <w:rFonts w:ascii="Courier New" w:cs="Courier New" w:eastAsia="Courier New" w:hAnsi="Courier New"/>
          <w:sz w:val="16"/>
          <w:szCs w:val="16"/>
          <w:color w:val="auto"/>
        </w:rPr>
        <w:t>The combined financial statements are presented to reflect the combined financial position and results of operations of the companies acquired pursuant to the transaction described in Note 5. Each of the above companies is controlled by the same group of shareholders (directly or indirectly).</w:t>
      </w:r>
    </w:p>
    <w:p>
      <w:pPr>
        <w:spacing w:after="0" w:line="1" w:lineRule="exact"/>
        <w:rPr>
          <w:sz w:val="20"/>
          <w:szCs w:val="20"/>
          <w:color w:val="auto"/>
        </w:rPr>
      </w:pPr>
    </w:p>
    <w:p>
      <w:pPr>
        <w:ind w:left="860" w:right="4099"/>
        <w:spacing w:after="0" w:line="271" w:lineRule="auto"/>
        <w:rPr>
          <w:sz w:val="20"/>
          <w:szCs w:val="20"/>
          <w:color w:val="auto"/>
        </w:rPr>
      </w:pPr>
      <w:r>
        <w:rPr>
          <w:rFonts w:ascii="Courier New" w:cs="Courier New" w:eastAsia="Courier New" w:hAnsi="Courier New"/>
          <w:sz w:val="16"/>
          <w:szCs w:val="16"/>
          <w:color w:val="auto"/>
        </w:rPr>
        <w:t>Accordingly, the assets, liabilities and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acquired.</w:t>
      </w:r>
    </w:p>
    <w:p>
      <w:pPr>
        <w:spacing w:after="0" w:line="188" w:lineRule="exact"/>
        <w:rPr>
          <w:sz w:val="20"/>
          <w:szCs w:val="20"/>
          <w:color w:val="auto"/>
        </w:rPr>
      </w:pPr>
    </w:p>
    <w:p>
      <w:pPr>
        <w:ind w:left="860" w:right="3999"/>
        <w:spacing w:after="0" w:line="238" w:lineRule="auto"/>
        <w:rPr>
          <w:sz w:val="20"/>
          <w:szCs w:val="20"/>
          <w:color w:val="auto"/>
        </w:rPr>
      </w:pPr>
      <w:r>
        <w:rPr>
          <w:rFonts w:ascii="Courier New" w:cs="Courier New" w:eastAsia="Courier New" w:hAnsi="Courier New"/>
          <w:sz w:val="18"/>
          <w:szCs w:val="18"/>
          <w:color w:val="auto"/>
        </w:rPr>
        <w:t>The combined balance sheets as of March 31, 1995, the related combined statements of income and retained earnings, and cash flows for the six months ended March 31, 1994 and 1995 are unaudited; however, in the opinion of Miracle-Gro's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the accompanying notes in the Company's fiscal 1994 annual financial statements filed in the Registrant's S-4.</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INVENTORIES</w:t>
      </w:r>
    </w:p>
    <w:p>
      <w:pPr>
        <w:ind w:left="86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7" w:lineRule="exact"/>
        <w:rPr>
          <w:sz w:val="20"/>
          <w:szCs w:val="20"/>
          <w:color w:val="auto"/>
        </w:rPr>
      </w:pPr>
    </w:p>
    <w:p>
      <w:pPr>
        <w:ind w:left="860" w:right="3999"/>
        <w:spacing w:after="0" w:line="237" w:lineRule="auto"/>
        <w:rPr>
          <w:sz w:val="20"/>
          <w:szCs w:val="20"/>
          <w:color w:val="auto"/>
        </w:rPr>
      </w:pPr>
      <w:r>
        <w:rPr>
          <w:rFonts w:ascii="Courier New" w:cs="Courier New" w:eastAsia="Courier New" w:hAnsi="Courier New"/>
          <w:sz w:val="18"/>
          <w:szCs w:val="18"/>
          <w:color w:val="auto"/>
        </w:rPr>
        <w:t>Inventories are valued at the lower of cost or market under the Last-In First-Out (LIFO) method. Inventories at March 31, 1995 were comprised of the following:</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7,705</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13,484</w:t>
            </w:r>
          </w:p>
        </w:tc>
      </w:tr>
      <w:tr>
        <w:trPr>
          <w:trHeight w:val="203"/>
        </w:trPr>
        <w:tc>
          <w:tcPr>
            <w:tcW w:w="19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21,189</w:t>
            </w:r>
          </w:p>
        </w:tc>
      </w:tr>
    </w:tbl>
    <w:p>
      <w:pPr>
        <w:sectPr>
          <w:pgSz w:w="11900" w:h="16838" w:orient="portrait"/>
          <w:cols w:equalWidth="0" w:num="1">
            <w:col w:w="10219"/>
          </w:cols>
          <w:pgMar w:left="240" w:top="136" w:right="1440" w:bottom="0" w:gutter="0" w:footer="0" w:header="0"/>
        </w:sectPr>
      </w:pPr>
    </w:p>
    <w:bookmarkStart w:id="7" w:name="page8"/>
    <w:bookmarkEnd w:id="7"/>
    <w:p>
      <w:pPr>
        <w:spacing w:after="0"/>
        <w:tabs>
          <w:tab w:leader="none" w:pos="8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INCOME TAXES</w:t>
      </w:r>
    </w:p>
    <w:p>
      <w:pPr>
        <w:spacing w:after="0" w:line="207" w:lineRule="exact"/>
        <w:rPr>
          <w:sz w:val="20"/>
          <w:szCs w:val="20"/>
          <w:color w:val="auto"/>
        </w:rPr>
      </w:pPr>
    </w:p>
    <w:p>
      <w:pPr>
        <w:ind w:left="860" w:right="3999"/>
        <w:spacing w:after="0" w:line="237" w:lineRule="auto"/>
        <w:rPr>
          <w:sz w:val="20"/>
          <w:szCs w:val="20"/>
          <w:color w:val="auto"/>
        </w:rPr>
      </w:pPr>
      <w:r>
        <w:rPr>
          <w:rFonts w:ascii="Courier New" w:cs="Courier New" w:eastAsia="Courier New" w:hAnsi="Courier New"/>
          <w:sz w:val="18"/>
          <w:szCs w:val="18"/>
          <w:color w:val="auto"/>
        </w:rPr>
        <w:t>Each of the affiliated companies in the combined financial statements (except for Stern's) has elected to be treated as a Subchapter S corporation under the Internal Revenue Code. Therefore, federal and most state income taxes are paid by their stockholders. As a result, the combined financial statements include only those state and local income taxes payable directly by the affiliated companies.</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Had the affiliated companies been C corporations,</w:t>
      </w:r>
    </w:p>
    <w:p>
      <w:pPr>
        <w:ind w:left="860"/>
        <w:spacing w:after="0" w:line="238" w:lineRule="auto"/>
        <w:rPr>
          <w:sz w:val="20"/>
          <w:szCs w:val="20"/>
          <w:color w:val="auto"/>
        </w:rPr>
      </w:pPr>
      <w:r>
        <w:rPr>
          <w:rFonts w:ascii="Courier New" w:cs="Courier New" w:eastAsia="Courier New" w:hAnsi="Courier New"/>
          <w:sz w:val="18"/>
          <w:szCs w:val="18"/>
          <w:color w:val="auto"/>
        </w:rPr>
        <w:t>additional provisions for income taxes of</w:t>
      </w:r>
    </w:p>
    <w:p>
      <w:pPr>
        <w:ind w:left="860"/>
        <w:spacing w:after="0"/>
        <w:rPr>
          <w:sz w:val="20"/>
          <w:szCs w:val="20"/>
          <w:color w:val="auto"/>
        </w:rPr>
      </w:pPr>
      <w:r>
        <w:rPr>
          <w:rFonts w:ascii="Courier New" w:cs="Courier New" w:eastAsia="Courier New" w:hAnsi="Courier New"/>
          <w:sz w:val="18"/>
          <w:szCs w:val="18"/>
          <w:color w:val="auto"/>
        </w:rPr>
        <w:t>$7,140,000 and $6,090,000 would have been incurred</w:t>
      </w:r>
    </w:p>
    <w:p>
      <w:pPr>
        <w:ind w:left="860"/>
        <w:spacing w:after="0" w:line="237" w:lineRule="auto"/>
        <w:rPr>
          <w:sz w:val="20"/>
          <w:szCs w:val="20"/>
          <w:color w:val="auto"/>
        </w:rPr>
      </w:pPr>
      <w:r>
        <w:rPr>
          <w:rFonts w:ascii="Courier New" w:cs="Courier New" w:eastAsia="Courier New" w:hAnsi="Courier New"/>
          <w:sz w:val="18"/>
          <w:szCs w:val="18"/>
          <w:color w:val="auto"/>
        </w:rPr>
        <w:t>for the six months ended March 31, 1994 and 1995,</w:t>
      </w:r>
    </w:p>
    <w:p>
      <w:pPr>
        <w:ind w:left="860"/>
        <w:spacing w:after="0" w:line="238" w:lineRule="auto"/>
        <w:rPr>
          <w:sz w:val="20"/>
          <w:szCs w:val="20"/>
          <w:color w:val="auto"/>
        </w:rPr>
      </w:pPr>
      <w:r>
        <w:rPr>
          <w:rFonts w:ascii="Courier New" w:cs="Courier New" w:eastAsia="Courier New" w:hAnsi="Courier New"/>
          <w:sz w:val="18"/>
          <w:szCs w:val="18"/>
          <w:color w:val="auto"/>
        </w:rPr>
        <w:t>respectively.</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F-4</w:t>
      </w:r>
    </w:p>
    <w:p>
      <w:pPr>
        <w:spacing w:after="0" w:line="200" w:lineRule="exact"/>
        <w:rPr>
          <w:sz w:val="20"/>
          <w:szCs w:val="20"/>
          <w:color w:val="auto"/>
        </w:rPr>
      </w:pPr>
    </w:p>
    <w:p>
      <w:pPr>
        <w:spacing w:after="0" w:line="209"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STERN'S MIRACLE-GRO PRODUCTS, INC. AND AFFILIATED COMPANIES</w:t>
      </w: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4099"/>
        <w:spacing w:after="0" w:line="272" w:lineRule="auto"/>
        <w:rPr>
          <w:sz w:val="20"/>
          <w:szCs w:val="20"/>
          <w:color w:val="auto"/>
        </w:rPr>
      </w:pPr>
      <w:r>
        <w:rPr>
          <w:rFonts w:ascii="Courier New" w:cs="Courier New" w:eastAsia="Courier New" w:hAnsi="Courier New"/>
          <w:sz w:val="16"/>
          <w:szCs w:val="16"/>
          <w:color w:val="auto"/>
        </w:rPr>
        <w:t>As the entities are not taxable under the lnternal Revenue Code, no deferred taxes have been provided in the combined statements. Effective April 1, 1995, each of the affiliated Companies (except for Stern's) elected to be treated as a C corporation under the Internal Revenue Code.</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SIGNIFICANT TRANSACTIONS</w:t>
      </w:r>
    </w:p>
    <w:p>
      <w:pPr>
        <w:spacing w:after="0" w:line="207" w:lineRule="exact"/>
        <w:rPr>
          <w:sz w:val="20"/>
          <w:szCs w:val="20"/>
          <w:color w:val="auto"/>
        </w:rPr>
      </w:pPr>
    </w:p>
    <w:p>
      <w:pPr>
        <w:ind w:left="860" w:right="3999"/>
        <w:spacing w:after="0" w:line="237" w:lineRule="auto"/>
        <w:rPr>
          <w:sz w:val="20"/>
          <w:szCs w:val="20"/>
          <w:color w:val="auto"/>
        </w:rPr>
      </w:pPr>
      <w:r>
        <w:rPr>
          <w:rFonts w:ascii="Courier New" w:cs="Courier New" w:eastAsia="Courier New" w:hAnsi="Courier New"/>
          <w:sz w:val="18"/>
          <w:szCs w:val="18"/>
          <w:color w:val="auto"/>
        </w:rPr>
        <w:t>On December 31, 1994, MG Limited entered into an agreement to exchange its equipment and a license for distribution of Miracle-Gro products in certain areas of Europe for a 32.5% equity interest in a U.K. based garden products company. The initial period of the license is five years and may be extended up to twenty years from January 1, 1995, depending on the circumstances defined in the license agreement. MG Limited is entitled to annual royalties for the first five years of the license.</w:t>
      </w:r>
    </w:p>
    <w:p>
      <w:pPr>
        <w:spacing w:after="0" w:line="216" w:lineRule="exact"/>
        <w:rPr>
          <w:sz w:val="20"/>
          <w:szCs w:val="20"/>
          <w:color w:val="auto"/>
        </w:rPr>
      </w:pPr>
    </w:p>
    <w:p>
      <w:pPr>
        <w:ind w:left="860" w:right="3999"/>
        <w:spacing w:after="0" w:line="237" w:lineRule="auto"/>
        <w:rPr>
          <w:sz w:val="20"/>
          <w:szCs w:val="20"/>
          <w:color w:val="auto"/>
        </w:rPr>
      </w:pPr>
      <w:r>
        <w:rPr>
          <w:rFonts w:ascii="Courier New" w:cs="Courier New" w:eastAsia="Courier New" w:hAnsi="Courier New"/>
          <w:sz w:val="18"/>
          <w:szCs w:val="18"/>
          <w:color w:val="auto"/>
        </w:rPr>
        <w:t>The exchange is being accounted for at historical cost, with MG Ltd's investment being equal to the book value of its assets contributed to the new company. The investment will be accounted for on the equity method, with MG Limited recognizing its proportionate share of the new company's net income and/or losses, as well as royalty income.</w:t>
      </w:r>
    </w:p>
    <w:p>
      <w:pPr>
        <w:spacing w:after="0" w:line="211" w:lineRule="exact"/>
        <w:rPr>
          <w:sz w:val="20"/>
          <w:szCs w:val="20"/>
          <w:color w:val="auto"/>
        </w:rPr>
      </w:pPr>
    </w:p>
    <w:p>
      <w:pPr>
        <w:ind w:left="860" w:right="3999"/>
        <w:spacing w:after="0" w:line="270" w:lineRule="auto"/>
        <w:rPr>
          <w:sz w:val="20"/>
          <w:szCs w:val="20"/>
          <w:color w:val="auto"/>
        </w:rPr>
      </w:pPr>
      <w:r>
        <w:rPr>
          <w:rFonts w:ascii="Courier New" w:cs="Courier New" w:eastAsia="Courier New" w:hAnsi="Courier New"/>
          <w:sz w:val="16"/>
          <w:szCs w:val="16"/>
          <w:color w:val="auto"/>
        </w:rPr>
        <w:t>On January 26, 1995, the Company entered into a merger agreement with The Scotts Company ("Scotts") whereby Scotts would purchase all the outstanding stock of the Company in exchange for $195,000,000 face amount of convertible preferred stock and warrants to purchase 3,000,000 common shares of Scotts. Such securities have been registered on Form S-4 in connection with this transaction. The preferred stock will have a dividend yield of 5.0% and will be convertible to common shares of Scotts at $19.00 per share. The warrants are exercisable for 1,000,000 common shares at $21.00 per share, 1,000,000 common shares at $25.00 per share and 1,000,000 common shares at $29.00 per share.</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SUBSEQUENT EVENTS</w:t>
      </w:r>
    </w:p>
    <w:p>
      <w:pPr>
        <w:spacing w:after="0" w:line="207" w:lineRule="exact"/>
        <w:rPr>
          <w:sz w:val="20"/>
          <w:szCs w:val="20"/>
          <w:color w:val="auto"/>
        </w:rPr>
      </w:pPr>
    </w:p>
    <w:p>
      <w:pPr>
        <w:ind w:left="860" w:right="4099"/>
        <w:spacing w:after="0" w:line="273" w:lineRule="auto"/>
        <w:rPr>
          <w:sz w:val="20"/>
          <w:szCs w:val="20"/>
          <w:color w:val="auto"/>
        </w:rPr>
      </w:pPr>
      <w:r>
        <w:rPr>
          <w:rFonts w:ascii="Courier New" w:cs="Courier New" w:eastAsia="Courier New" w:hAnsi="Courier New"/>
          <w:sz w:val="16"/>
          <w:szCs w:val="16"/>
          <w:color w:val="auto"/>
        </w:rPr>
        <w:t>On May 19, 1995, the merger agreement between the Company and The Scotts Company was completed. The total purchase price was based on the estimated fair value of the convertible preferred stock and warrants as of closing and was $226,000,000.</w:t>
      </w:r>
    </w:p>
    <w:p>
      <w:pPr>
        <w:sectPr>
          <w:pgSz w:w="11900" w:h="16838" w:orient="portrait"/>
          <w:cols w:equalWidth="0" w:num="1">
            <w:col w:w="10219"/>
          </w:cols>
          <w:pgMar w:left="240" w:top="339" w:right="1440" w:bottom="0" w:gutter="0" w:footer="0" w:header="0"/>
        </w:sectPr>
      </w:pPr>
    </w:p>
    <w:bookmarkStart w:id="8" w:name="page9"/>
    <w:bookmarkEnd w:id="8"/>
    <w:p>
      <w:pPr>
        <w:spacing w:after="0"/>
        <w:tabs>
          <w:tab w:leader="none" w:pos="8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LITIGATION CONTINGENCY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An action was commenced against the Company on</w:t>
      </w:r>
    </w:p>
    <w:p>
      <w:pPr>
        <w:ind w:left="860"/>
        <w:spacing w:after="0" w:line="238" w:lineRule="auto"/>
        <w:rPr>
          <w:sz w:val="20"/>
          <w:szCs w:val="20"/>
          <w:color w:val="auto"/>
        </w:rPr>
      </w:pPr>
      <w:r>
        <w:rPr>
          <w:rFonts w:ascii="Courier New" w:cs="Courier New" w:eastAsia="Courier New" w:hAnsi="Courier New"/>
          <w:sz w:val="18"/>
          <w:szCs w:val="18"/>
          <w:color w:val="auto"/>
        </w:rPr>
        <w:t>March 2, 1995 in a U. S. District Court in Alabama</w:t>
      </w: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by Pursell Industries.</w:t>
      </w:r>
      <w:r>
        <w:rPr>
          <w:sz w:val="20"/>
          <w:szCs w:val="20"/>
          <w:color w:val="auto"/>
        </w:rPr>
        <w:tab/>
      </w:r>
      <w:r>
        <w:rPr>
          <w:rFonts w:ascii="Courier New" w:cs="Courier New" w:eastAsia="Courier New" w:hAnsi="Courier New"/>
          <w:sz w:val="16"/>
          <w:szCs w:val="16"/>
          <w:color w:val="auto"/>
        </w:rPr>
        <w:t>This action alleges, among</w:t>
      </w:r>
    </w:p>
    <w:p>
      <w:pPr>
        <w:ind w:left="860"/>
        <w:spacing w:after="0" w:line="237" w:lineRule="auto"/>
        <w:rPr>
          <w:sz w:val="20"/>
          <w:szCs w:val="20"/>
          <w:color w:val="auto"/>
        </w:rPr>
      </w:pPr>
      <w:r>
        <w:rPr>
          <w:rFonts w:ascii="Courier New" w:cs="Courier New" w:eastAsia="Courier New" w:hAnsi="Courier New"/>
          <w:sz w:val="18"/>
          <w:szCs w:val="18"/>
          <w:color w:val="auto"/>
        </w:rPr>
        <w:t>other things, that the Company breached an alleged</w:t>
      </w:r>
    </w:p>
    <w:p>
      <w:pPr>
        <w:ind w:left="860"/>
        <w:spacing w:after="0" w:line="238" w:lineRule="auto"/>
        <w:rPr>
          <w:sz w:val="20"/>
          <w:szCs w:val="20"/>
          <w:color w:val="auto"/>
        </w:rPr>
      </w:pPr>
      <w:r>
        <w:rPr>
          <w:rFonts w:ascii="Courier New" w:cs="Courier New" w:eastAsia="Courier New" w:hAnsi="Courier New"/>
          <w:sz w:val="18"/>
          <w:szCs w:val="18"/>
          <w:color w:val="auto"/>
        </w:rPr>
        <w:t>joint venture contract with the Plaintiff,</w:t>
      </w:r>
    </w:p>
    <w:p>
      <w:pPr>
        <w:ind w:left="860"/>
        <w:spacing w:after="0"/>
        <w:rPr>
          <w:sz w:val="20"/>
          <w:szCs w:val="20"/>
          <w:color w:val="auto"/>
        </w:rPr>
      </w:pPr>
      <w:r>
        <w:rPr>
          <w:rFonts w:ascii="Courier New" w:cs="Courier New" w:eastAsia="Courier New" w:hAnsi="Courier New"/>
          <w:sz w:val="18"/>
          <w:szCs w:val="18"/>
          <w:color w:val="auto"/>
        </w:rPr>
        <w:t>committed fraud and breached an alleged fiduciary</w:t>
      </w:r>
    </w:p>
    <w:p>
      <w:pPr>
        <w:ind w:left="860"/>
        <w:spacing w:after="0" w:line="237" w:lineRule="auto"/>
        <w:rPr>
          <w:sz w:val="20"/>
          <w:szCs w:val="20"/>
          <w:color w:val="auto"/>
        </w:rPr>
      </w:pPr>
      <w:r>
        <w:rPr>
          <w:rFonts w:ascii="Courier New" w:cs="Courier New" w:eastAsia="Courier New" w:hAnsi="Courier New"/>
          <w:sz w:val="18"/>
          <w:szCs w:val="18"/>
          <w:color w:val="auto"/>
        </w:rPr>
        <w:t>duty owed to the Plaintiff by not informing it of</w:t>
      </w:r>
    </w:p>
    <w:p>
      <w:pPr>
        <w:ind w:left="860"/>
        <w:spacing w:after="0"/>
        <w:rPr>
          <w:sz w:val="20"/>
          <w:szCs w:val="20"/>
          <w:color w:val="auto"/>
        </w:rPr>
      </w:pPr>
      <w:r>
        <w:rPr>
          <w:rFonts w:ascii="Courier New" w:cs="Courier New" w:eastAsia="Courier New" w:hAnsi="Courier New"/>
          <w:sz w:val="18"/>
          <w:szCs w:val="18"/>
          <w:color w:val="auto"/>
        </w:rPr>
        <w:t>the negotiations concerning the merger with The</w:t>
      </w:r>
    </w:p>
    <w:p>
      <w:pPr>
        <w:ind w:left="860"/>
        <w:spacing w:after="0"/>
        <w:tabs>
          <w:tab w:leader="none" w:pos="4720" w:val="left"/>
        </w:tabs>
        <w:rPr>
          <w:sz w:val="20"/>
          <w:szCs w:val="20"/>
          <w:color w:val="auto"/>
        </w:rPr>
      </w:pPr>
      <w:r>
        <w:rPr>
          <w:rFonts w:ascii="Courier New" w:cs="Courier New" w:eastAsia="Courier New" w:hAnsi="Courier New"/>
          <w:sz w:val="18"/>
          <w:szCs w:val="18"/>
          <w:color w:val="auto"/>
        </w:rPr>
        <w:t>Scotts Company described in Note 5.</w:t>
      </w:r>
      <w:r>
        <w:rPr>
          <w:sz w:val="20"/>
          <w:szCs w:val="20"/>
          <w:color w:val="auto"/>
        </w:rPr>
        <w:tab/>
      </w:r>
      <w:r>
        <w:rPr>
          <w:rFonts w:ascii="Courier New" w:cs="Courier New" w:eastAsia="Courier New" w:hAnsi="Courier New"/>
          <w:sz w:val="16"/>
          <w:szCs w:val="16"/>
          <w:color w:val="auto"/>
        </w:rPr>
        <w:t>The Plaintiff</w:t>
      </w:r>
    </w:p>
    <w:p>
      <w:pPr>
        <w:ind w:left="860"/>
        <w:spacing w:after="0"/>
        <w:rPr>
          <w:sz w:val="20"/>
          <w:szCs w:val="20"/>
          <w:color w:val="auto"/>
        </w:rPr>
      </w:pPr>
      <w:r>
        <w:rPr>
          <w:rFonts w:ascii="Courier New" w:cs="Courier New" w:eastAsia="Courier New" w:hAnsi="Courier New"/>
          <w:sz w:val="18"/>
          <w:szCs w:val="18"/>
          <w:color w:val="auto"/>
        </w:rPr>
        <w:t>seeks compensatory and punitive damages in excess</w:t>
      </w: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of $10 million.</w:t>
      </w:r>
      <w:r>
        <w:rPr>
          <w:sz w:val="20"/>
          <w:szCs w:val="20"/>
          <w:color w:val="auto"/>
        </w:rPr>
        <w:tab/>
      </w:r>
      <w:r>
        <w:rPr>
          <w:rFonts w:ascii="Courier New" w:cs="Courier New" w:eastAsia="Courier New" w:hAnsi="Courier New"/>
          <w:sz w:val="16"/>
          <w:szCs w:val="16"/>
          <w:color w:val="auto"/>
        </w:rPr>
        <w:t>Prior to that, the Company had</w:t>
      </w:r>
    </w:p>
    <w:p>
      <w:pPr>
        <w:ind w:left="860"/>
        <w:spacing w:after="0" w:line="238" w:lineRule="auto"/>
        <w:rPr>
          <w:sz w:val="20"/>
          <w:szCs w:val="20"/>
          <w:color w:val="auto"/>
        </w:rPr>
      </w:pPr>
      <w:r>
        <w:rPr>
          <w:rFonts w:ascii="Courier New" w:cs="Courier New" w:eastAsia="Courier New" w:hAnsi="Courier New"/>
          <w:sz w:val="18"/>
          <w:szCs w:val="18"/>
          <w:color w:val="auto"/>
        </w:rPr>
        <w:t>filed suit in New York seeking a declaratory</w:t>
      </w:r>
    </w:p>
    <w:p>
      <w:pPr>
        <w:ind w:left="860"/>
        <w:spacing w:after="0"/>
        <w:rPr>
          <w:sz w:val="20"/>
          <w:szCs w:val="20"/>
          <w:color w:val="auto"/>
        </w:rPr>
      </w:pPr>
      <w:r>
        <w:rPr>
          <w:rFonts w:ascii="Courier New" w:cs="Courier New" w:eastAsia="Courier New" w:hAnsi="Courier New"/>
          <w:sz w:val="18"/>
          <w:szCs w:val="18"/>
          <w:color w:val="auto"/>
        </w:rPr>
        <w:t>judgment there was no enforceable joint venture</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6"/>
          <w:szCs w:val="16"/>
          <w:color w:val="auto"/>
        </w:rPr>
        <w:t>The cases are presently in discovery</w:t>
      </w:r>
    </w:p>
    <w:p>
      <w:pPr>
        <w:ind w:left="860"/>
        <w:spacing w:after="0"/>
        <w:tabs>
          <w:tab w:leader="none" w:pos="5040" w:val="left"/>
        </w:tabs>
        <w:rPr>
          <w:sz w:val="20"/>
          <w:szCs w:val="20"/>
          <w:color w:val="auto"/>
        </w:rPr>
      </w:pPr>
      <w:r>
        <w:rPr>
          <w:rFonts w:ascii="Courier New" w:cs="Courier New" w:eastAsia="Courier New" w:hAnsi="Courier New"/>
          <w:sz w:val="18"/>
          <w:szCs w:val="18"/>
          <w:color w:val="auto"/>
        </w:rPr>
        <w:t>and there are several motions pending.</w:t>
      </w:r>
      <w:r>
        <w:rPr>
          <w:sz w:val="20"/>
          <w:szCs w:val="20"/>
          <w:color w:val="auto"/>
        </w:rPr>
        <w:tab/>
      </w:r>
      <w:r>
        <w:rPr>
          <w:rFonts w:ascii="Courier New" w:cs="Courier New" w:eastAsia="Courier New" w:hAnsi="Courier New"/>
          <w:sz w:val="16"/>
          <w:szCs w:val="16"/>
          <w:color w:val="auto"/>
        </w:rPr>
        <w:t>The Company</w:t>
      </w:r>
    </w:p>
    <w:p>
      <w:pPr>
        <w:ind w:left="860"/>
        <w:spacing w:after="0" w:line="237" w:lineRule="auto"/>
        <w:rPr>
          <w:sz w:val="20"/>
          <w:szCs w:val="20"/>
          <w:color w:val="auto"/>
        </w:rPr>
      </w:pPr>
      <w:r>
        <w:rPr>
          <w:rFonts w:ascii="Courier New" w:cs="Courier New" w:eastAsia="Courier New" w:hAnsi="Courier New"/>
          <w:sz w:val="18"/>
          <w:szCs w:val="18"/>
          <w:color w:val="auto"/>
        </w:rPr>
        <w:t>does not believe the Alabama action has any merit</w:t>
      </w:r>
    </w:p>
    <w:p>
      <w:pPr>
        <w:ind w:left="860"/>
        <w:spacing w:after="0"/>
        <w:tabs>
          <w:tab w:leader="none" w:pos="4840" w:val="left"/>
        </w:tabs>
        <w:rPr>
          <w:sz w:val="20"/>
          <w:szCs w:val="20"/>
          <w:color w:val="auto"/>
        </w:rPr>
      </w:pPr>
      <w:r>
        <w:rPr>
          <w:rFonts w:ascii="Courier New" w:cs="Courier New" w:eastAsia="Courier New" w:hAnsi="Courier New"/>
          <w:sz w:val="18"/>
          <w:szCs w:val="18"/>
          <w:color w:val="auto"/>
        </w:rPr>
        <w:t>and intends to defend it vigorously.</w:t>
      </w:r>
      <w:r>
        <w:rPr>
          <w:sz w:val="20"/>
          <w:szCs w:val="20"/>
          <w:color w:val="auto"/>
        </w:rPr>
        <w:tab/>
      </w:r>
      <w:r>
        <w:rPr>
          <w:rFonts w:ascii="Courier New" w:cs="Courier New" w:eastAsia="Courier New" w:hAnsi="Courier New"/>
          <w:sz w:val="16"/>
          <w:szCs w:val="16"/>
          <w:color w:val="auto"/>
        </w:rPr>
        <w:t>The financial</w:t>
      </w:r>
    </w:p>
    <w:p>
      <w:pPr>
        <w:ind w:left="860"/>
        <w:spacing w:after="0" w:line="237" w:lineRule="auto"/>
        <w:rPr>
          <w:sz w:val="20"/>
          <w:szCs w:val="20"/>
          <w:color w:val="auto"/>
        </w:rPr>
      </w:pPr>
      <w:r>
        <w:rPr>
          <w:rFonts w:ascii="Courier New" w:cs="Courier New" w:eastAsia="Courier New" w:hAnsi="Courier New"/>
          <w:sz w:val="18"/>
          <w:szCs w:val="18"/>
          <w:color w:val="auto"/>
        </w:rPr>
        <w:t>statements do not include any adjustments that</w:t>
      </w:r>
    </w:p>
    <w:p>
      <w:pPr>
        <w:ind w:left="860"/>
        <w:spacing w:after="0" w:line="238" w:lineRule="auto"/>
        <w:rPr>
          <w:sz w:val="20"/>
          <w:szCs w:val="20"/>
          <w:color w:val="auto"/>
        </w:rPr>
      </w:pPr>
      <w:r>
        <w:rPr>
          <w:rFonts w:ascii="Courier New" w:cs="Courier New" w:eastAsia="Courier New" w:hAnsi="Courier New"/>
          <w:sz w:val="18"/>
          <w:szCs w:val="18"/>
          <w:color w:val="auto"/>
        </w:rPr>
        <w:t>might result from the outcome of this litigation.</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PRO FORMA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740"/>
        <w:spacing w:after="0" w:line="237" w:lineRule="auto"/>
        <w:rPr>
          <w:sz w:val="20"/>
          <w:szCs w:val="20"/>
          <w:color w:val="auto"/>
        </w:rPr>
      </w:pPr>
      <w:r>
        <w:rPr>
          <w:rFonts w:ascii="Courier New" w:cs="Courier New" w:eastAsia="Courier New" w:hAnsi="Courier New"/>
          <w:sz w:val="18"/>
          <w:szCs w:val="18"/>
          <w:color w:val="auto"/>
        </w:rPr>
        <w:t>The following unaudited Pro Forma Consolidated Statements of Income give effect to the acquisition of the Miracle-Gro Companies as if the transaction, which occurred on May 19, 1995, had taken place on October 1, 1993. The following unaudited Pro Forma Consolidated Balance Sheet gives effect to the acquisition as if the transaction had occurred on April 1, 1995.</w:t>
      </w:r>
    </w:p>
    <w:p>
      <w:pPr>
        <w:spacing w:after="0" w:line="211" w:lineRule="exact"/>
        <w:rPr>
          <w:sz w:val="20"/>
          <w:szCs w:val="20"/>
          <w:color w:val="auto"/>
        </w:rPr>
      </w:pPr>
    </w:p>
    <w:p>
      <w:pPr>
        <w:ind w:right="4740"/>
        <w:spacing w:after="0" w:line="237" w:lineRule="auto"/>
        <w:rPr>
          <w:sz w:val="20"/>
          <w:szCs w:val="20"/>
          <w:color w:val="auto"/>
        </w:rPr>
      </w:pPr>
      <w:r>
        <w:rPr>
          <w:rFonts w:ascii="Courier New" w:cs="Courier New" w:eastAsia="Courier New" w:hAnsi="Courier New"/>
          <w:sz w:val="18"/>
          <w:szCs w:val="18"/>
          <w:color w:val="auto"/>
        </w:rPr>
        <w:t>The unaudited pro forma consolidated financial statements should be read in conjunction with the accompanying historical financial statements located elsewhere herein and in the Registrant's</w:t>
      </w:r>
    </w:p>
    <w:p>
      <w:pPr>
        <w:spacing w:after="0" w:line="5" w:lineRule="exact"/>
        <w:rPr>
          <w:sz w:val="20"/>
          <w:szCs w:val="20"/>
          <w:color w:val="auto"/>
        </w:rPr>
      </w:pPr>
    </w:p>
    <w:p>
      <w:pPr>
        <w:ind w:right="4740"/>
        <w:spacing w:after="0" w:line="237" w:lineRule="auto"/>
        <w:rPr>
          <w:sz w:val="20"/>
          <w:szCs w:val="20"/>
          <w:color w:val="auto"/>
        </w:rPr>
      </w:pPr>
      <w:r>
        <w:rPr>
          <w:rFonts w:ascii="Courier New" w:cs="Courier New" w:eastAsia="Courier New" w:hAnsi="Courier New"/>
          <w:sz w:val="18"/>
          <w:szCs w:val="18"/>
          <w:color w:val="auto"/>
        </w:rPr>
        <w:t>S-4. These statements do not purport to be indicative of the results of operations which actually would have occurred had the acquisition taken place on October 1, 1993 nor do they purport to indicate the results of future operations of 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8"/>
          <w:szCs w:val="18"/>
          <w:color w:val="auto"/>
        </w:rPr>
        <w:t>PRO FORMA CONSOLIDATED STATEMENT OF INCOME</w:t>
      </w:r>
    </w:p>
    <w:p>
      <w:pPr>
        <w:jc w:val="center"/>
        <w:ind w:right="3980"/>
        <w:spacing w:after="0" w:line="238" w:lineRule="auto"/>
        <w:rPr>
          <w:sz w:val="20"/>
          <w:szCs w:val="20"/>
          <w:color w:val="auto"/>
        </w:rPr>
      </w:pPr>
      <w:r>
        <w:rPr>
          <w:rFonts w:ascii="Courier New" w:cs="Courier New" w:eastAsia="Courier New" w:hAnsi="Courier New"/>
          <w:sz w:val="18"/>
          <w:szCs w:val="18"/>
          <w:color w:val="auto"/>
        </w:rPr>
        <w:t>For the Year Ended September 30, 1994</w:t>
      </w:r>
    </w:p>
    <w:p>
      <w:pPr>
        <w:jc w:val="center"/>
        <w:ind w:right="39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Subtotal</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 Forma</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 Scotts</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Sierra</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As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 Forma</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Previously</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Miracle-</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Gro</w:t>
            </w: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Historical</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See Note (A)</w:t>
            </w:r>
          </w:p>
        </w:tc>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Presented Historical</w:t>
            </w:r>
          </w:p>
        </w:tc>
        <w:tc>
          <w:tcPr>
            <w:tcW w:w="1940" w:type="dxa"/>
            <w:vAlign w:val="bottom"/>
            <w:gridSpan w:val="2"/>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Adjustments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810"/>
        </w:trPr>
        <w:tc>
          <w:tcPr>
            <w:tcW w:w="2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$606,339</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$20,826</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$627,165</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$107,421</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(8,355)</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$726,231</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319,730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10,642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330,372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52,255</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(7,355)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375,272</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286,609</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10,184</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296,793</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55,166</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w:t>
            </w:r>
          </w:p>
        </w:tc>
        <w:tc>
          <w:tcPr>
            <w:tcW w:w="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350,959</w:t>
            </w:r>
          </w:p>
        </w:tc>
      </w:tr>
    </w:tbl>
    <w:p>
      <w:pPr>
        <w:sectPr>
          <w:pgSz w:w="11900" w:h="16838" w:orient="portrait"/>
          <w:cols w:equalWidth="0" w:num="1">
            <w:col w:w="11060"/>
          </w:cols>
          <w:pgMar w:left="240" w:top="136" w:right="5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100,106</w:t>
            </w:r>
          </w:p>
        </w:tc>
        <w:tc>
          <w:tcPr>
            <w:tcW w:w="460" w:type="dxa"/>
            <w:vAlign w:val="bottom"/>
          </w:tcPr>
          <w:p>
            <w:pPr>
              <w:spacing w:after="0"/>
              <w:rPr>
                <w:sz w:val="17"/>
                <w:szCs w:val="17"/>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5,233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105,339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84,407</w:t>
            </w:r>
          </w:p>
        </w:tc>
        <w:tc>
          <w:tcPr>
            <w:tcW w:w="4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85,396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30,189</w:t>
            </w:r>
          </w:p>
        </w:tc>
        <w:tc>
          <w:tcPr>
            <w:tcW w:w="4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2,086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32,275</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Research and development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10,352</w:t>
            </w:r>
          </w:p>
        </w:tc>
        <w:tc>
          <w:tcPr>
            <w:tcW w:w="4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906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net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2,283</w:t>
            </w:r>
          </w:p>
        </w:tc>
        <w:tc>
          <w:tcPr>
            <w:tcW w:w="4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59,272</w:t>
            </w:r>
          </w:p>
        </w:tc>
        <w:tc>
          <w:tcPr>
            <w:tcW w:w="4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388</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59,660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17,450</w:t>
            </w:r>
          </w:p>
        </w:tc>
        <w:tc>
          <w:tcPr>
            <w:tcW w:w="4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1,460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18,910</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Income before income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41,822</w:t>
            </w:r>
          </w:p>
        </w:tc>
        <w:tc>
          <w:tcPr>
            <w:tcW w:w="46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(1,072)</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40,750</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taxes</w:t>
            </w: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17,947</w:t>
            </w:r>
          </w:p>
        </w:tc>
        <w:tc>
          <w:tcPr>
            <w:tcW w:w="4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(965)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16,982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23,875</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(107)</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  23,768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Notes to Pro Forma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8"/>
          <w:szCs w:val="18"/>
          <w:color w:val="auto"/>
        </w:rPr>
        <w:t>F-7</w:t>
      </w:r>
    </w:p>
    <w:p>
      <w:pPr>
        <w:spacing w:after="0" w:line="200" w:lineRule="exact"/>
        <w:rPr>
          <w:sz w:val="20"/>
          <w:szCs w:val="20"/>
          <w:color w:val="auto"/>
        </w:rPr>
      </w:pPr>
    </w:p>
    <w:p>
      <w:pPr>
        <w:spacing w:after="0" w:line="204" w:lineRule="exact"/>
        <w:rPr>
          <w:sz w:val="20"/>
          <w:szCs w:val="20"/>
          <w:color w:val="auto"/>
        </w:rPr>
      </w:pPr>
    </w:p>
    <w:p>
      <w:pPr>
        <w:jc w:val="center"/>
        <w:ind w:left="12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7" w:lineRule="exact"/>
        <w:rPr>
          <w:sz w:val="20"/>
          <w:szCs w:val="20"/>
          <w:color w:val="auto"/>
        </w:rPr>
      </w:pPr>
    </w:p>
    <w:p>
      <w:pPr>
        <w:jc w:val="center"/>
        <w:ind w:left="120" w:right="620"/>
        <w:spacing w:after="0" w:line="236" w:lineRule="auto"/>
        <w:rPr>
          <w:sz w:val="20"/>
          <w:szCs w:val="20"/>
          <w:color w:val="auto"/>
        </w:rPr>
      </w:pPr>
      <w:r>
        <w:rPr>
          <w:rFonts w:ascii="Courier New" w:cs="Courier New" w:eastAsia="Courier New" w:hAnsi="Courier New"/>
          <w:sz w:val="18"/>
          <w:szCs w:val="18"/>
          <w:color w:val="auto"/>
        </w:rPr>
        <w:t>NOTES TO PRO FORMA CONSOLIDATED STATEMENT OF INCOME For the fiscal year ended September 30, 1994 (Unaudited)</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Adjustments</w:t>
      </w:r>
    </w:p>
    <w:p>
      <w:pPr>
        <w:spacing w:after="0" w:line="207" w:lineRule="exact"/>
        <w:rPr>
          <w:sz w:val="20"/>
          <w:szCs w:val="20"/>
          <w:color w:val="auto"/>
        </w:rPr>
      </w:pP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17, 1993, Scotts purchased Grace-Sierra Horticultural Products Company ("Sierra"). The pro forma consolidated statement of income for the year ended September 30, 1994 reflects this acquisition as if it had occurred on October 1, 1992, as previously reported, giving effect to pro forma adjustments for depreciation and amortization of tangible and intangible assets, interest and expenses on acquisition indebtedness, and income taxes. The Company's consolidated balance sheet as of April 1, 1995 and consolidated statement of income for the six months ended April 1, 1995 include Sierra for the entire period.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Miracle-Gro Limited Transaction</w:t>
      </w:r>
    </w:p>
    <w:p>
      <w:pPr>
        <w:spacing w:after="0" w:line="207" w:lineRule="exact"/>
        <w:rPr>
          <w:sz w:val="20"/>
          <w:szCs w:val="20"/>
          <w:color w:val="auto"/>
        </w:rPr>
      </w:pPr>
    </w:p>
    <w:p>
      <w:pPr>
        <w:ind w:left="540" w:hanging="427"/>
        <w:spacing w:after="0" w:line="270"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Pro Forma Consolidated Statement of Income has been adjusted to reflect the net income of Limited for the year ended September 30, 1994 as if it had been accounted for as an equity investment.</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reclassify Limited income statement accounts: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2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8,355</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4,456</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expense</w:t>
            </w:r>
          </w:p>
        </w:tc>
        <w:tc>
          <w:tcPr>
            <w:tcW w:w="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1,868</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w:t>
            </w:r>
          </w:p>
        </w:tc>
        <w:tc>
          <w:tcPr>
            <w:tcW w:w="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w:t>
            </w:r>
          </w:p>
        </w:tc>
      </w:tr>
      <w:tr>
        <w:trPr>
          <w:trHeight w:val="405"/>
        </w:trPr>
        <w:tc>
          <w:tcPr>
            <w:tcW w:w="4260" w:type="dxa"/>
            <w:vAlign w:val="bottom"/>
          </w:tcPr>
          <w:p>
            <w:pPr>
              <w:spacing w:after="0"/>
              <w:rPr>
                <w:sz w:val="20"/>
                <w:szCs w:val="20"/>
                <w:color w:val="auto"/>
              </w:rPr>
            </w:pPr>
            <w:r>
              <w:rPr>
                <w:rFonts w:ascii="Courier New" w:cs="Courier New" w:eastAsia="Courier New" w:hAnsi="Courier New"/>
                <w:sz w:val="18"/>
                <w:szCs w:val="18"/>
                <w:color w:val="auto"/>
              </w:rPr>
              <w:t>Net income as reclassified to pro forma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920</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net</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18,551</w:t>
            </w:r>
          </w:p>
        </w:tc>
        <w:tc>
          <w:tcPr>
            <w:tcW w:w="116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6"/>
              </w:rPr>
              <w:t>(129)</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123,761</w:t>
            </w:r>
          </w:p>
        </w:tc>
      </w:tr>
      <w:tr>
        <w:trPr>
          <w:trHeight w:val="203"/>
        </w:trPr>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88,353</w:t>
            </w:r>
          </w:p>
        </w:tc>
      </w:tr>
      <w:tr>
        <w:trPr>
          <w:trHeight w:val="203"/>
        </w:trPr>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6,541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(2,075)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36,741</w:t>
            </w:r>
          </w:p>
        </w:tc>
      </w:tr>
      <w:tr>
        <w:trPr>
          <w:trHeight w:val="405"/>
        </w:trPr>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2"/>
              </w:rPr>
              <w:t>-</w:t>
            </w:r>
          </w:p>
        </w:tc>
        <w:tc>
          <w:tcPr>
            <w:tcW w:w="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11,258</w:t>
            </w:r>
          </w:p>
        </w:tc>
      </w:tr>
      <w:tr>
        <w:trPr>
          <w:trHeight w:val="203"/>
        </w:trPr>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550</w:t>
            </w:r>
          </w:p>
        </w:tc>
        <w:tc>
          <w:tcPr>
            <w:tcW w:w="11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6"/>
              </w:rPr>
              <w:t>2,617</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6,032</w:t>
            </w:r>
          </w:p>
        </w:tc>
      </w:tr>
      <w:tr>
        <w:trPr>
          <w:trHeight w:val="405"/>
        </w:trPr>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29,524</w:t>
            </w:r>
          </w:p>
        </w:tc>
        <w:tc>
          <w:tcPr>
            <w:tcW w:w="116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(4,370)</w:t>
            </w:r>
          </w:p>
        </w:tc>
        <w:tc>
          <w:tcPr>
            <w:tcW w:w="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84,814</w:t>
            </w:r>
          </w:p>
        </w:tc>
      </w:tr>
      <w:tr>
        <w:trPr>
          <w:trHeight w:val="203"/>
        </w:trPr>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c>
          <w:tcPr>
            <w:tcW w:w="11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19,035</w:t>
            </w:r>
          </w:p>
        </w:tc>
      </w:tr>
      <w:tr>
        <w:trPr>
          <w:trHeight w:val="405"/>
        </w:trPr>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29,399</w:t>
            </w:r>
          </w:p>
        </w:tc>
        <w:tc>
          <w:tcPr>
            <w:tcW w:w="116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(4,370)</w:t>
            </w:r>
          </w:p>
        </w:tc>
        <w:tc>
          <w:tcPr>
            <w:tcW w:w="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65,779</w:t>
            </w:r>
          </w:p>
        </w:tc>
      </w:tr>
      <w:tr>
        <w:trPr>
          <w:trHeight w:val="405"/>
        </w:trPr>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490</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11,172</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28,644</w:t>
            </w:r>
          </w:p>
        </w:tc>
      </w:tr>
      <w:tr>
        <w:trPr>
          <w:trHeight w:val="405"/>
        </w:trPr>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$28,909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(15,542)</w:t>
            </w:r>
          </w:p>
        </w:tc>
        <w:tc>
          <w:tcPr>
            <w:tcW w:w="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  37,135</w:t>
            </w:r>
          </w:p>
        </w:tc>
      </w:tr>
      <w:tr>
        <w:trPr>
          <w:trHeight w:val="203"/>
        </w:trPr>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r>
    </w:tbl>
    <w:p>
      <w:pPr>
        <w:sectPr>
          <w:pgSz w:w="11900" w:h="16838" w:orient="portrait"/>
          <w:cols w:equalWidth="0" w:num="2">
            <w:col w:w="6740" w:space="440"/>
            <w:col w:w="3880"/>
          </w:cols>
          <w:pgMar w:left="240" w:top="339" w:right="599" w:bottom="0" w:gutter="0" w:footer="0" w:header="0"/>
        </w:sectPr>
      </w:pPr>
    </w:p>
    <w:bookmarkStart w:id="10" w:name="page11"/>
    <w:bookmarkEnd w:id="10"/>
    <w:p>
      <w:pPr>
        <w:ind w:left="540" w:right="3679"/>
        <w:spacing w:after="0" w:line="271" w:lineRule="auto"/>
        <w:rPr>
          <w:sz w:val="20"/>
          <w:szCs w:val="20"/>
          <w:color w:val="auto"/>
        </w:rPr>
      </w:pPr>
      <w:r>
        <w:rPr>
          <w:rFonts w:ascii="Courier New" w:cs="Courier New" w:eastAsia="Courier New" w:hAnsi="Courier New"/>
          <w:sz w:val="16"/>
          <w:szCs w:val="16"/>
          <w:color w:val="auto"/>
        </w:rPr>
        <w:t>This reclassification reflects the historical Limited results and not the results that would have been reported had the 32.5% interest in the U.K. based garden products company been held for the year. The historical income of Limited reflected on the equity method of accounting is not necessarily indicative of Limited's share of future earnings attributable to its equity investment.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Miracle-Gro Acquisition</w:t>
      </w:r>
    </w:p>
    <w:p>
      <w:pPr>
        <w:spacing w:after="0" w:line="207" w:lineRule="exact"/>
        <w:rPr>
          <w:sz w:val="20"/>
          <w:szCs w:val="20"/>
          <w:color w:val="auto"/>
        </w:rPr>
      </w:pPr>
    </w:p>
    <w:p>
      <w:pPr>
        <w:ind w:left="540" w:right="3479"/>
        <w:spacing w:after="0" w:line="268" w:lineRule="auto"/>
        <w:rPr>
          <w:sz w:val="20"/>
          <w:szCs w:val="20"/>
          <w:color w:val="auto"/>
        </w:rPr>
      </w:pPr>
      <w:r>
        <w:rPr>
          <w:rFonts w:ascii="Courier New" w:cs="Courier New" w:eastAsia="Courier New" w:hAnsi="Courier New"/>
          <w:sz w:val="16"/>
          <w:szCs w:val="16"/>
          <w:color w:val="auto"/>
        </w:rPr>
        <w:t>The following pro forma adjustments are made to reflect the application of purchase accounting and certain adjustments</w:t>
      </w:r>
    </w:p>
    <w:p>
      <w:pPr>
        <w:ind w:left="540" w:right="3159"/>
        <w:spacing w:after="0" w:line="235" w:lineRule="auto"/>
        <w:rPr>
          <w:sz w:val="20"/>
          <w:szCs w:val="20"/>
          <w:color w:val="auto"/>
        </w:rPr>
      </w:pPr>
      <w:r>
        <w:rPr>
          <w:rFonts w:ascii="Courier New" w:cs="Courier New" w:eastAsia="Courier New" w:hAnsi="Courier New"/>
          <w:sz w:val="18"/>
          <w:szCs w:val="18"/>
          <w:color w:val="auto"/>
        </w:rPr>
        <w:t>to conform the Miracle-Gro financial statement classifications to the Scotts presentation.</w:t>
      </w:r>
    </w:p>
    <w:p>
      <w:pPr>
        <w:spacing w:after="0" w:line="208" w:lineRule="exact"/>
        <w:rPr>
          <w:sz w:val="20"/>
          <w:szCs w:val="20"/>
          <w:color w:val="auto"/>
        </w:rPr>
      </w:pPr>
    </w:p>
    <w:p>
      <w:pPr>
        <w:ind w:left="540" w:right="3899" w:hanging="427"/>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reclassify distribution expense ($2,957) recorded as cost of sales to distribution; and to reclassify depreciation ($58) to cost of sales from general and administrative.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F-8</w:t>
      </w: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7" w:lineRule="exact"/>
        <w:rPr>
          <w:sz w:val="20"/>
          <w:szCs w:val="20"/>
          <w:color w:val="auto"/>
        </w:rPr>
      </w:pPr>
    </w:p>
    <w:p>
      <w:pPr>
        <w:jc w:val="center"/>
        <w:ind w:right="3359"/>
        <w:spacing w:after="0" w:line="236" w:lineRule="auto"/>
        <w:rPr>
          <w:sz w:val="20"/>
          <w:szCs w:val="20"/>
          <w:color w:val="auto"/>
        </w:rPr>
      </w:pPr>
      <w:r>
        <w:rPr>
          <w:rFonts w:ascii="Courier New" w:cs="Courier New" w:eastAsia="Courier New" w:hAnsi="Courier New"/>
          <w:sz w:val="18"/>
          <w:szCs w:val="18"/>
          <w:color w:val="auto"/>
        </w:rPr>
        <w:t>NOTES TO PRELIMINARY PRO FORMA CONSOLIDATED STATEMENT OF INCOME For the fiscal year ended September 30, 1994 (Unaudited)</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3479" w:hanging="427"/>
        <w:spacing w:after="0" w:line="236"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reclassify sales and marketing related salaries and fringe benefits ($1,739) from general and administrative to marketing.</w:t>
      </w:r>
    </w:p>
    <w:p>
      <w:pPr>
        <w:spacing w:after="0" w:line="208" w:lineRule="exact"/>
        <w:rPr>
          <w:rFonts w:ascii="Courier New" w:cs="Courier New" w:eastAsia="Courier New" w:hAnsi="Courier New"/>
          <w:sz w:val="18"/>
          <w:szCs w:val="18"/>
          <w:color w:val="auto"/>
        </w:rPr>
      </w:pPr>
    </w:p>
    <w:p>
      <w:pPr>
        <w:ind w:left="540" w:right="3779" w:hanging="427"/>
        <w:spacing w:after="0" w:line="235"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reclassify distribution expense ($2,957) from cost of sales.</w:t>
      </w:r>
    </w:p>
    <w:p>
      <w:pPr>
        <w:spacing w:after="0" w:line="208" w:lineRule="exact"/>
        <w:rPr>
          <w:rFonts w:ascii="Courier New" w:cs="Courier New" w:eastAsia="Courier New" w:hAnsi="Courier New"/>
          <w:sz w:val="18"/>
          <w:szCs w:val="18"/>
          <w:color w:val="auto"/>
        </w:rPr>
      </w:pPr>
    </w:p>
    <w:p>
      <w:pPr>
        <w:ind w:left="540" w:right="3479" w:hanging="427"/>
        <w:spacing w:after="0" w:line="275" w:lineRule="auto"/>
        <w:tabs>
          <w:tab w:leader="none" w:pos="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additional depreciation on buildings and amortization of a favorable land lease ($26); to reclassify sales and marketing salaries ($1,739) to marketing; and to reclassify depreciation ($58) to cost of sales.</w:t>
      </w:r>
    </w:p>
    <w:p>
      <w:pPr>
        <w:spacing w:after="0" w:line="182" w:lineRule="exact"/>
        <w:rPr>
          <w:rFonts w:ascii="Courier New" w:cs="Courier New" w:eastAsia="Courier New" w:hAnsi="Courier New"/>
          <w:sz w:val="16"/>
          <w:szCs w:val="16"/>
          <w:color w:val="auto"/>
        </w:rPr>
      </w:pPr>
    </w:p>
    <w:p>
      <w:pPr>
        <w:ind w:left="540" w:right="3579" w:hanging="427"/>
        <w:spacing w:after="0" w:line="235"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amortization of acquired trademarks and goodwill ($4,343) over 40 years.</w:t>
      </w:r>
    </w:p>
    <w:p>
      <w:pPr>
        <w:spacing w:after="0" w:line="208" w:lineRule="exact"/>
        <w:rPr>
          <w:rFonts w:ascii="Courier New" w:cs="Courier New" w:eastAsia="Courier New" w:hAnsi="Courier New"/>
          <w:sz w:val="18"/>
          <w:szCs w:val="18"/>
          <w:color w:val="auto"/>
        </w:rPr>
      </w:pPr>
    </w:p>
    <w:p>
      <w:pPr>
        <w:ind w:left="540" w:right="3679" w:hanging="427"/>
        <w:spacing w:after="0" w:line="237"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additional income tax expense assuming Miracle-Gro had been taxed as C corporations ($11,180) and to record the tax benefit of pro forma adjustments ($8); historically Miracle-Gro had elected Subchapter S status under the Internal Revenue Code.</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left="220" w:right="3359"/>
        <w:spacing w:after="0" w:line="237" w:lineRule="auto"/>
        <w:rPr>
          <w:sz w:val="20"/>
          <w:szCs w:val="20"/>
          <w:color w:val="auto"/>
        </w:rPr>
      </w:pPr>
      <w:r>
        <w:rPr>
          <w:rFonts w:ascii="Courier New" w:cs="Courier New" w:eastAsia="Courier New" w:hAnsi="Courier New"/>
          <w:sz w:val="18"/>
          <w:szCs w:val="18"/>
          <w:color w:val="auto"/>
        </w:rPr>
        <w:t>For purposes of computing earnings per share, the convertible preferred stock is considered a common stock equivalent. Pro forma primary and fully-diluted earnings per share for the year ended September 30, 1994 are calculated using the weighted average common shares outstanding for Scotts of 18,784,729 and the common shares that would have been issued assuming conversion of preferred stock at the beginning of the year of 10,263,158 common shares. The computation of pro forma primary earnings per share assuming reduction of earnings for preferred dividends and no conversion of preferred stock was anti-dilutive.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F-9</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PRO FORMA CONSOLIDATED STATEMENT OF INCOME</w:t>
      </w:r>
    </w:p>
    <w:p>
      <w:pPr>
        <w:jc w:val="center"/>
        <w:ind w:right="3479"/>
        <w:spacing w:after="0" w:line="238" w:lineRule="auto"/>
        <w:rPr>
          <w:sz w:val="20"/>
          <w:szCs w:val="20"/>
          <w:color w:val="auto"/>
        </w:rPr>
      </w:pPr>
      <w:r>
        <w:rPr>
          <w:rFonts w:ascii="Courier New" w:cs="Courier New" w:eastAsia="Courier New" w:hAnsi="Courier New"/>
          <w:sz w:val="18"/>
          <w:szCs w:val="18"/>
          <w:color w:val="auto"/>
        </w:rPr>
        <w:t>For the Six Months Ended April 1, 1995</w:t>
      </w:r>
    </w:p>
    <w:p>
      <w:pPr>
        <w:sectPr>
          <w:pgSz w:w="11900" w:h="16838" w:orient="portrait"/>
          <w:cols w:equalWidth="0" w:num="1">
            <w:col w:w="10219"/>
          </w:cols>
          <w:pgMar w:left="240" w:top="344" w:right="1440" w:bottom="0" w:gutter="0" w:footer="0" w:header="0"/>
        </w:sectPr>
      </w:pPr>
    </w:p>
    <w:bookmarkStart w:id="11" w:name="page12"/>
    <w:bookmarkEnd w:id="11"/>
    <w:p>
      <w:pPr>
        <w:jc w:val="center"/>
        <w:ind w:right="3359"/>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w w:val="96"/>
              </w:rPr>
              <w:t>The Scotts</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Miracle-Gro</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 Forma</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Historical Historical</w:t>
            </w:r>
          </w:p>
        </w:tc>
        <w:tc>
          <w:tcPr>
            <w:tcW w:w="1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720" w:type="dxa"/>
            <w:vAlign w:val="bottom"/>
          </w:tcPr>
          <w:p>
            <w:pPr>
              <w:spacing w:after="0"/>
              <w:rPr>
                <w:sz w:val="17"/>
                <w:szCs w:val="17"/>
                <w:color w:val="auto"/>
              </w:rPr>
            </w:pP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Pro Forma</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$334,111</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$62,722</w:t>
            </w:r>
          </w:p>
        </w:tc>
        <w:tc>
          <w:tcPr>
            <w:tcW w:w="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(3,216)</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393,617</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177,410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30,614</w:t>
            </w:r>
          </w:p>
        </w:tc>
        <w:tc>
          <w:tcPr>
            <w:tcW w:w="38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(1,809)</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206,215</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156,701</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32,108</w:t>
            </w:r>
          </w:p>
        </w:tc>
        <w:tc>
          <w:tcPr>
            <w:tcW w:w="38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(1,407)</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187,402</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10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56,670</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8,180</w:t>
            </w:r>
          </w:p>
        </w:tc>
        <w:tc>
          <w:tcPr>
            <w:tcW w:w="38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747</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65,597</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1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45,019</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1,938</w:t>
            </w:r>
          </w:p>
        </w:tc>
        <w:tc>
          <w:tcPr>
            <w:tcW w:w="38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46,957</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w:t>
            </w:r>
          </w:p>
        </w:tc>
        <w:tc>
          <w:tcPr>
            <w:tcW w:w="1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12,964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4,788</w:t>
            </w:r>
          </w:p>
        </w:tc>
        <w:tc>
          <w:tcPr>
            <w:tcW w:w="38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(1,670)</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16,082</w:t>
            </w: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administrative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w:t>
            </w:r>
          </w:p>
        </w:tc>
        <w:tc>
          <w:tcPr>
            <w:tcW w:w="1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5,728</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5,728</w:t>
            </w: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Other expense, net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2,553</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705</w:t>
            </w:r>
          </w:p>
        </w:tc>
        <w:tc>
          <w:tcPr>
            <w:tcW w:w="380" w:type="dxa"/>
            <w:vAlign w:val="bottom"/>
          </w:tcPr>
          <w:p>
            <w:pPr>
              <w:spacing w:after="0"/>
              <w:rPr>
                <w:sz w:val="17"/>
                <w:szCs w:val="17"/>
                <w:color w:val="auto"/>
              </w:rPr>
            </w:pP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1,250</w:t>
            </w:r>
          </w:p>
        </w:tc>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(1)(5)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4,508</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Income from</w:t>
            </w:r>
          </w:p>
        </w:tc>
        <w:tc>
          <w:tcPr>
            <w:tcW w:w="10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33,767</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16,497</w:t>
            </w:r>
          </w:p>
        </w:tc>
        <w:tc>
          <w:tcPr>
            <w:tcW w:w="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(1,734)</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48,530</w:t>
            </w: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13,808</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489</w:t>
            </w:r>
          </w:p>
        </w:tc>
        <w:tc>
          <w:tcPr>
            <w:tcW w:w="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14,297</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Income before</w:t>
            </w:r>
          </w:p>
        </w:tc>
        <w:tc>
          <w:tcPr>
            <w:tcW w:w="10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19,959</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16,008</w:t>
            </w:r>
          </w:p>
        </w:tc>
        <w:tc>
          <w:tcPr>
            <w:tcW w:w="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(1,734)</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34,233</w:t>
            </w: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10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8,282</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295</w:t>
            </w:r>
          </w:p>
        </w:tc>
        <w:tc>
          <w:tcPr>
            <w:tcW w:w="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6"/>
              </w:rPr>
              <w:t>4,999</w:t>
            </w:r>
          </w:p>
        </w:tc>
        <w:tc>
          <w:tcPr>
            <w:tcW w:w="72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13,576</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11,677</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$15,713</w:t>
            </w:r>
          </w:p>
        </w:tc>
        <w:tc>
          <w:tcPr>
            <w:tcW w:w="3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(6,733)</w:t>
            </w:r>
          </w:p>
        </w:tc>
        <w:tc>
          <w:tcPr>
            <w:tcW w:w="7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20,657</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Net income per</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0.62</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0.71</w:t>
            </w:r>
          </w:p>
        </w:tc>
      </w:tr>
      <w:tr>
        <w:trPr>
          <w:trHeight w:val="203"/>
        </w:trPr>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share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F-10</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NOTES TO PRELIMINARY PRO FORMA CONSOLIDATED STATEMENT OF INCOME</w:t>
      </w:r>
    </w:p>
    <w:p>
      <w:pPr>
        <w:jc w:val="center"/>
        <w:ind w:right="3459"/>
        <w:spacing w:after="0" w:line="238" w:lineRule="auto"/>
        <w:rPr>
          <w:sz w:val="20"/>
          <w:szCs w:val="20"/>
          <w:color w:val="auto"/>
        </w:rPr>
      </w:pPr>
      <w:r>
        <w:rPr>
          <w:rFonts w:ascii="Courier New" w:cs="Courier New" w:eastAsia="Courier New" w:hAnsi="Courier New"/>
          <w:sz w:val="18"/>
          <w:szCs w:val="18"/>
          <w:color w:val="auto"/>
        </w:rPr>
        <w:t>For the six months ended April 1, 1995</w:t>
      </w:r>
    </w:p>
    <w:p>
      <w:pPr>
        <w:jc w:val="center"/>
        <w:ind w:right="335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Adjustments</w:t>
      </w:r>
    </w:p>
    <w:p>
      <w:pPr>
        <w:spacing w:after="0" w:line="207" w:lineRule="exact"/>
        <w:rPr>
          <w:sz w:val="20"/>
          <w:szCs w:val="20"/>
          <w:color w:val="auto"/>
        </w:rPr>
      </w:pPr>
    </w:p>
    <w:p>
      <w:pPr>
        <w:ind w:left="540" w:right="3679" w:hanging="427"/>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reclassifications have been made to Miracle-Gro's historical statement of income to conform to The Scotts Company classifications.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Miracle-Gro Limited Transaction</w:t>
      </w:r>
    </w:p>
    <w:p>
      <w:pPr>
        <w:spacing w:after="0" w:line="207" w:lineRule="exact"/>
        <w:rPr>
          <w:sz w:val="20"/>
          <w:szCs w:val="20"/>
          <w:color w:val="auto"/>
        </w:rPr>
      </w:pPr>
    </w:p>
    <w:p>
      <w:pPr>
        <w:ind w:left="540" w:right="3479" w:hanging="427"/>
        <w:spacing w:after="0" w:line="270"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six months ended April 1, 1995 as if it had been accounted for as an equity investment.</w:t>
      </w:r>
    </w:p>
    <w:p>
      <w:pPr>
        <w:spacing w:after="0" w:line="384"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reclassify Limited income statement accounts: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$3,216</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1,839</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expense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w:t>
            </w:r>
          </w:p>
        </w:tc>
      </w:tr>
    </w:tbl>
    <w:p>
      <w:pPr>
        <w:sectPr>
          <w:pgSz w:w="11900" w:h="16838" w:orient="portrait"/>
          <w:cols w:equalWidth="0" w:num="1">
            <w:col w:w="10219"/>
          </w:cols>
          <w:pgMar w:left="240" w:top="136" w:right="1440" w:bottom="0" w:gutter="0" w:footer="0" w:header="0"/>
        </w:sectPr>
      </w:pPr>
    </w:p>
    <w:bookmarkStart w:id="12" w:name="page13"/>
    <w:bookmarkEnd w:id="12"/>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expense</w:t>
            </w:r>
          </w:p>
        </w:tc>
        <w:tc>
          <w:tcPr>
            <w:tcW w:w="28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755</w:t>
            </w:r>
          </w:p>
        </w:tc>
      </w:tr>
      <w:tr>
        <w:trPr>
          <w:trHeight w:val="405"/>
        </w:trPr>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w w:val="99"/>
              </w:rPr>
              <w:t>Net income as</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reclassified to pro forma</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167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3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expense, net</w:t>
            </w: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This reclassification reflects the historical Limited results and not the results that would have been reported had the 32.5% interest in the U.K. based garden products company been held for the period. The historical income of Limited reflected on the equity method of accounting is not necessarily indicative of Limited's share of future earnings attributable to its equity investment.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Miracle-Gro Acquisition</w:t>
      </w:r>
    </w:p>
    <w:p>
      <w:pPr>
        <w:spacing w:after="0" w:line="207" w:lineRule="exact"/>
        <w:rPr>
          <w:sz w:val="20"/>
          <w:szCs w:val="20"/>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The following pro forma adjustments are made to reflect the application of purchase accounting and certain adjustments to conform the Miracle-Gro financial statement classifications to the Scotts presentation.</w:t>
      </w:r>
    </w:p>
    <w:p>
      <w:pPr>
        <w:spacing w:after="0" w:line="207" w:lineRule="exact"/>
        <w:rPr>
          <w:sz w:val="20"/>
          <w:szCs w:val="20"/>
          <w:color w:val="auto"/>
        </w:rPr>
      </w:pPr>
    </w:p>
    <w:p>
      <w:pPr>
        <w:ind w:left="540" w:right="3999" w:hanging="427"/>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reclassify depreciation ($30) to cost of sales from general and administrative.</w:t>
      </w:r>
    </w:p>
    <w:p>
      <w:pPr>
        <w:spacing w:after="0" w:line="208" w:lineRule="exact"/>
        <w:rPr>
          <w:rFonts w:ascii="Courier New" w:cs="Courier New" w:eastAsia="Courier New" w:hAnsi="Courier New"/>
          <w:sz w:val="18"/>
          <w:szCs w:val="18"/>
          <w:color w:val="auto"/>
        </w:rPr>
      </w:pPr>
    </w:p>
    <w:p>
      <w:pPr>
        <w:ind w:left="540" w:right="3679" w:hanging="427"/>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reclassify sales and marketing related salaries and fringe benefits ($870) from general and administrative to marketing.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F-11</w:t>
      </w: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NOTES TO PRELIMINARY PRO FORMA CONSOLIDATED STATEMENT OF INCOME</w:t>
      </w:r>
    </w:p>
    <w:p>
      <w:pPr>
        <w:jc w:val="center"/>
        <w:ind w:right="3479"/>
        <w:spacing w:after="0" w:line="238" w:lineRule="auto"/>
        <w:rPr>
          <w:sz w:val="20"/>
          <w:szCs w:val="20"/>
          <w:color w:val="auto"/>
        </w:rPr>
      </w:pPr>
      <w:r>
        <w:rPr>
          <w:rFonts w:ascii="Courier New" w:cs="Courier New" w:eastAsia="Courier New" w:hAnsi="Courier New"/>
          <w:sz w:val="18"/>
          <w:szCs w:val="18"/>
          <w:color w:val="auto"/>
        </w:rPr>
        <w:t>For the six months ended April 1, 1995</w:t>
      </w:r>
    </w:p>
    <w:p>
      <w:pPr>
        <w:jc w:val="center"/>
        <w:ind w:right="335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3479" w:hanging="427"/>
        <w:spacing w:after="0" w:line="237" w:lineRule="auto"/>
        <w:tabs>
          <w:tab w:leader="none" w:pos="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additional depreciation on buildings and amortization of a favorable land lease ($12); to reclassify sales and marketing salaries ($870) to marketing; to eliminate ($450) of Miracle-Gro deal costs; and to reclassify depreciation ($30) to cost of sales.</w:t>
      </w:r>
    </w:p>
    <w:p>
      <w:pPr>
        <w:spacing w:after="0" w:line="208" w:lineRule="exact"/>
        <w:rPr>
          <w:rFonts w:ascii="Courier New" w:cs="Courier New" w:eastAsia="Courier New" w:hAnsi="Courier New"/>
          <w:sz w:val="18"/>
          <w:szCs w:val="18"/>
          <w:color w:val="auto"/>
        </w:rPr>
      </w:pPr>
    </w:p>
    <w:p>
      <w:pPr>
        <w:ind w:left="420" w:right="3579" w:hanging="307"/>
        <w:spacing w:after="0" w:line="235" w:lineRule="auto"/>
        <w:tabs>
          <w:tab w:leader="none" w:pos="52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amortization of acquired trademarks and goodwill ($2,172) over 40 years.</w:t>
      </w:r>
    </w:p>
    <w:p>
      <w:pPr>
        <w:spacing w:after="0" w:line="208" w:lineRule="exact"/>
        <w:rPr>
          <w:rFonts w:ascii="Courier New" w:cs="Courier New" w:eastAsia="Courier New" w:hAnsi="Courier New"/>
          <w:sz w:val="18"/>
          <w:szCs w:val="18"/>
          <w:color w:val="auto"/>
        </w:rPr>
      </w:pPr>
    </w:p>
    <w:p>
      <w:pPr>
        <w:ind w:left="540" w:right="3579" w:hanging="427"/>
        <w:spacing w:after="0" w:line="237" w:lineRule="auto"/>
        <w:tabs>
          <w:tab w:leader="none" w:pos="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additional income tax expense assuming Miracle-Gro had been taxed as C corporation ($4,866) and to record the income tax of pro forma adjustments ($133); historically Miracle-Gro had elected Subchapter S status under the Internal Revenue Code.</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left="220" w:right="3159"/>
        <w:spacing w:after="0" w:line="271" w:lineRule="auto"/>
        <w:rPr>
          <w:sz w:val="20"/>
          <w:szCs w:val="20"/>
          <w:color w:val="auto"/>
        </w:rPr>
      </w:pPr>
      <w:r>
        <w:rPr>
          <w:rFonts w:ascii="Courier New" w:cs="Courier New" w:eastAsia="Courier New" w:hAnsi="Courier New"/>
          <w:sz w:val="16"/>
          <w:szCs w:val="16"/>
          <w:color w:val="auto"/>
        </w:rPr>
        <w:t>For purposes of computing earnings per share, the convertible preferred stock is considered a common stock equivalent. Pro forma primary and fully-diluted earnings per share for the six months ended April 1, 1995 are calculated using the weighted average common shares outstanding for Scotts of 18,762,358 and the common shares that would have been issued assuming conversion of preferred stock at the beginning of the year of 10,263,158 common shares. The computation of pro forma primary earnings per share assuming reduction of earnings for preferred dividends and no conversion of preferred stock was anti-dilutive.</w:t>
      </w:r>
    </w:p>
    <w:p>
      <w:pPr>
        <w:spacing w:after="0" w:line="38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PRO FORMA CONSOLIDATED BALANCE SHEET</w:t>
      </w:r>
    </w:p>
    <w:p>
      <w:pPr>
        <w:jc w:val="center"/>
        <w:ind w:right="2519"/>
        <w:spacing w:after="0" w:line="238" w:lineRule="auto"/>
        <w:rPr>
          <w:sz w:val="20"/>
          <w:szCs w:val="20"/>
          <w:color w:val="auto"/>
        </w:rPr>
      </w:pPr>
      <w:r>
        <w:rPr>
          <w:rFonts w:ascii="Courier New" w:cs="Courier New" w:eastAsia="Courier New" w:hAnsi="Courier New"/>
          <w:sz w:val="18"/>
          <w:szCs w:val="18"/>
          <w:color w:val="auto"/>
        </w:rPr>
        <w:t>As of April 1, 1995</w:t>
      </w:r>
    </w:p>
    <w:p>
      <w:pPr>
        <w:jc w:val="center"/>
        <w:ind w:right="2519"/>
        <w:spacing w:after="0"/>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136"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(in thousands)</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8"/>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The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Scotts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Miracle-Gro</w:t>
            </w:r>
          </w:p>
        </w:tc>
        <w:tc>
          <w:tcPr>
            <w:tcW w:w="320" w:type="dxa"/>
            <w:vAlign w:val="bottom"/>
          </w:tcPr>
          <w:p>
            <w:pPr>
              <w:spacing w:after="0"/>
              <w:rPr>
                <w:sz w:val="17"/>
                <w:szCs w:val="17"/>
                <w:color w:val="auto"/>
              </w:rPr>
            </w:pPr>
          </w:p>
        </w:tc>
        <w:tc>
          <w:tcPr>
            <w:tcW w:w="19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Pro Forma</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Historical</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Historical</w:t>
            </w:r>
          </w:p>
        </w:tc>
        <w:tc>
          <w:tcPr>
            <w:tcW w:w="320" w:type="dxa"/>
            <w:vAlign w:val="bottom"/>
          </w:tcPr>
          <w:p>
            <w:pPr>
              <w:spacing w:after="0"/>
              <w:rPr>
                <w:sz w:val="17"/>
                <w:szCs w:val="17"/>
                <w:color w:val="auto"/>
              </w:rPr>
            </w:pPr>
          </w:p>
        </w:tc>
        <w:tc>
          <w:tcPr>
            <w:tcW w:w="1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459</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7,078</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252,509</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44,806</w:t>
            </w:r>
          </w:p>
        </w:tc>
        <w:tc>
          <w:tcPr>
            <w:tcW w:w="32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(4,572) (1)(2)</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292,743</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143,574</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21,189</w:t>
            </w:r>
          </w:p>
        </w:tc>
        <w:tc>
          <w:tcPr>
            <w:tcW w:w="32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(184) (3)</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164,579</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and other current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22,841</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221</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23,062</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425,543</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66,675</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(4,756)</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487,462</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Property, plant and</w:t>
            </w:r>
          </w:p>
        </w:tc>
        <w:tc>
          <w:tcPr>
            <w:tcW w:w="16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143,791</w:t>
            </w:r>
          </w:p>
        </w:tc>
        <w:tc>
          <w:tcPr>
            <w:tcW w:w="3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1,259</w:t>
            </w:r>
          </w:p>
        </w:tc>
        <w:tc>
          <w:tcPr>
            <w:tcW w:w="3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659</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0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145,709</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equipment, net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Trademarks, patents and</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26,529</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90,000</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116,529</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intangibles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103,224</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83,739</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186,963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9,755</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10,226</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(1)(6)</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20,392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$708,842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68,345</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179,868</w:t>
            </w:r>
          </w:p>
        </w:tc>
        <w:tc>
          <w:tcPr>
            <w:tcW w:w="106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957,055</w:t>
            </w:r>
          </w:p>
        </w:tc>
      </w:tr>
      <w:tr>
        <w:trPr>
          <w:trHeight w:val="608"/>
        </w:trPr>
        <w:tc>
          <w:tcPr>
            <w:tcW w:w="5800" w:type="dxa"/>
            <w:vAlign w:val="bottom"/>
            <w:gridSpan w:val="5"/>
          </w:tcPr>
          <w:p>
            <w:pPr>
              <w:ind w:left="2000"/>
              <w:spacing w:after="0"/>
              <w:rPr>
                <w:sz w:val="20"/>
                <w:szCs w:val="20"/>
                <w:color w:val="auto"/>
              </w:rPr>
            </w:pPr>
            <w:r>
              <w:rPr>
                <w:rFonts w:ascii="Courier New" w:cs="Courier New" w:eastAsia="Courier New" w:hAnsi="Courier New"/>
                <w:sz w:val="18"/>
                <w:szCs w:val="18"/>
                <w:color w:val="auto"/>
                <w:w w:val="99"/>
              </w:rPr>
              <w:t>LIABILITIES AND SHAREHOLDERS EQUITY</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Revolving credit line</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$39,852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23,100</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62,952</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79,591</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6,107</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85,698</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46,589</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5,317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21,689</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(1)(7)(8)</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73,595</w:t>
            </w: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(9)(10)</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Total current liabilities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166,032</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34,524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21,689</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222,245</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6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324,630</w:t>
            </w:r>
          </w:p>
        </w:tc>
        <w:tc>
          <w:tcPr>
            <w:tcW w:w="360" w:type="dxa"/>
            <w:vAlign w:val="bottom"/>
          </w:tcPr>
          <w:p>
            <w:pPr>
              <w:spacing w:after="0"/>
              <w:rPr>
                <w:sz w:val="24"/>
                <w:szCs w:val="24"/>
                <w:color w:val="auto"/>
              </w:rPr>
            </w:pPr>
          </w:p>
        </w:tc>
        <w:tc>
          <w:tcPr>
            <w:tcW w:w="1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3,500</w:t>
            </w:r>
          </w:p>
        </w:tc>
        <w:tc>
          <w:tcPr>
            <w:tcW w:w="320" w:type="dxa"/>
            <w:vAlign w:val="bottom"/>
          </w:tcPr>
          <w:p>
            <w:pPr>
              <w:spacing w:after="0"/>
              <w:rPr>
                <w:sz w:val="24"/>
                <w:szCs w:val="24"/>
                <w:color w:val="auto"/>
              </w:rPr>
            </w:pPr>
          </w:p>
        </w:tc>
        <w:tc>
          <w:tcPr>
            <w:tcW w:w="19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(3,500)(1)</w:t>
            </w:r>
          </w:p>
        </w:tc>
        <w:tc>
          <w:tcPr>
            <w:tcW w:w="30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324,630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27,218</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27,218</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than pensions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Other noncurrent liabilities</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7,622</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7,622</w:t>
            </w: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525,502</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38,024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18,189</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581,715</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60" w:type="dxa"/>
            <w:vAlign w:val="bottom"/>
          </w:tcPr>
          <w:p>
            <w:pPr>
              <w:spacing w:after="0"/>
              <w:rPr>
                <w:sz w:val="17"/>
                <w:szCs w:val="17"/>
                <w:color w:val="auto"/>
              </w:rPr>
            </w:pP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178,200</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178,200</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211</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9,455</w:t>
            </w:r>
          </w:p>
        </w:tc>
        <w:tc>
          <w:tcPr>
            <w:tcW w:w="32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(9,455)(11)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in excess of par</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193,155</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13,560</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206,955</w:t>
            </w: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25,552</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20,626</w:t>
            </w:r>
          </w:p>
        </w:tc>
        <w:tc>
          <w:tcPr>
            <w:tcW w:w="320" w:type="dxa"/>
            <w:vAlign w:val="bottom"/>
          </w:tcPr>
          <w:p>
            <w:pPr>
              <w:spacing w:after="0"/>
              <w:rPr>
                <w:sz w:val="17"/>
                <w:szCs w:val="17"/>
                <w:color w:val="auto"/>
              </w:rPr>
            </w:pPr>
          </w:p>
        </w:tc>
        <w:tc>
          <w:tcPr>
            <w:tcW w:w="19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(20,626)(11)</w:t>
            </w: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25,552</w:t>
            </w:r>
          </w:p>
        </w:tc>
      </w:tr>
      <w:tr>
        <w:trPr>
          <w:trHeight w:val="203"/>
        </w:trPr>
        <w:tc>
          <w:tcPr>
            <w:tcW w:w="3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Cumulative translation gain</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5,863</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5,863</w:t>
            </w: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(41,441)</w:t>
            </w:r>
          </w:p>
        </w:tc>
        <w:tc>
          <w:tcPr>
            <w:tcW w:w="36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(41,441)</w:t>
            </w:r>
          </w:p>
        </w:tc>
      </w:tr>
      <w:tr>
        <w:trPr>
          <w:trHeight w:val="203"/>
        </w:trPr>
        <w:tc>
          <w:tcPr>
            <w:tcW w:w="30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Total Shareholders' Equity</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183,340</w:t>
            </w:r>
          </w:p>
        </w:tc>
        <w:tc>
          <w:tcPr>
            <w:tcW w:w="3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30,321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161,679</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375,340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6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9"/>
              </w:rPr>
              <w:t>$708,842</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68,345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179,868</w:t>
            </w:r>
          </w:p>
        </w:tc>
        <w:tc>
          <w:tcPr>
            <w:tcW w:w="106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957,055</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Notes to Pro Forma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Notes to Pro Forma Consolidated Balance Sheet</w:t>
      </w:r>
    </w:p>
    <w:p>
      <w:pPr>
        <w:jc w:val="center"/>
        <w:ind w:right="3359"/>
        <w:spacing w:after="0" w:line="238" w:lineRule="auto"/>
        <w:rPr>
          <w:sz w:val="20"/>
          <w:szCs w:val="20"/>
          <w:color w:val="auto"/>
        </w:rPr>
      </w:pPr>
      <w:r>
        <w:rPr>
          <w:rFonts w:ascii="Courier New" w:cs="Courier New" w:eastAsia="Courier New" w:hAnsi="Courier New"/>
          <w:sz w:val="18"/>
          <w:szCs w:val="18"/>
          <w:color w:val="auto"/>
        </w:rPr>
        <w:t>As of April 1, 1995</w:t>
      </w:r>
    </w:p>
    <w:p>
      <w:pPr>
        <w:jc w:val="center"/>
        <w:ind w:right="335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3579" w:hanging="521"/>
        <w:spacing w:after="0" w:line="275"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31, 1994, Limited entered into an agreement to exchange its equipment and a license for distribution of Miracle-Gro products in certain areas of Europe for a 32.5% equity interest in a U.K. based garden products</w:t>
      </w:r>
    </w:p>
    <w:p>
      <w:pPr>
        <w:sectPr>
          <w:pgSz w:w="11900" w:h="16838" w:orient="portrait"/>
          <w:cols w:equalWidth="0" w:num="1">
            <w:col w:w="10219"/>
          </w:cols>
          <w:pgMar w:left="240" w:top="136" w:right="1440" w:bottom="0" w:gutter="0" w:footer="0" w:header="0"/>
        </w:sectPr>
      </w:pPr>
    </w:p>
    <w:bookmarkStart w:id="14" w:name="page15"/>
    <w:bookmarkEnd w:id="14"/>
    <w:p>
      <w:pPr>
        <w:ind w:left="521" w:right="3479"/>
        <w:spacing w:after="0" w:line="237" w:lineRule="auto"/>
        <w:rPr>
          <w:sz w:val="20"/>
          <w:szCs w:val="20"/>
          <w:color w:val="auto"/>
        </w:rPr>
      </w:pPr>
      <w:r>
        <w:rPr>
          <w:rFonts w:ascii="Courier New" w:cs="Courier New" w:eastAsia="Courier New" w:hAnsi="Courier New"/>
          <w:sz w:val="18"/>
          <w:szCs w:val="18"/>
          <w:color w:val="auto"/>
        </w:rPr>
        <w:t>company. Current assets, comprised primarily of accounts receivable and inventories will be used to liquidate current liabilities and long-term debt, with any residual cash remaining with Limited.</w:t>
      </w:r>
    </w:p>
    <w:p>
      <w:pPr>
        <w:spacing w:after="0" w:line="207" w:lineRule="exact"/>
        <w:rPr>
          <w:sz w:val="20"/>
          <w:szCs w:val="20"/>
          <w:color w:val="auto"/>
        </w:rPr>
      </w:pPr>
    </w:p>
    <w:p>
      <w:pPr>
        <w:ind w:left="521" w:right="4099"/>
        <w:spacing w:after="0" w:line="235" w:lineRule="auto"/>
        <w:rPr>
          <w:sz w:val="20"/>
          <w:szCs w:val="20"/>
          <w:color w:val="auto"/>
        </w:rPr>
      </w:pPr>
      <w:r>
        <w:rPr>
          <w:rFonts w:ascii="Courier New" w:cs="Courier New" w:eastAsia="Courier New" w:hAnsi="Courier New"/>
          <w:sz w:val="18"/>
          <w:szCs w:val="18"/>
          <w:color w:val="auto"/>
        </w:rPr>
        <w:t>To record the investment in the new company at fair value:</w:t>
      </w:r>
    </w:p>
    <w:p>
      <w:pPr>
        <w:spacing w:after="0" w:line="203" w:lineRule="exact"/>
        <w:rPr>
          <w:sz w:val="20"/>
          <w:szCs w:val="20"/>
          <w:color w:val="auto"/>
        </w:rPr>
      </w:pPr>
    </w:p>
    <w:tbl>
      <w:tblPr>
        <w:tblLayout w:type="fixed"/>
        <w:tblInd w:w="421" w:type="dxa"/>
        <w:tblCellMar>
          <w:top w:w="0" w:type="dxa"/>
          <w:left w:w="0" w:type="dxa"/>
          <w:bottom w:w="0" w:type="dxa"/>
          <w:right w:w="0" w:type="dxa"/>
        </w:tblCellMar>
      </w:tblPr>
      <w:tr>
        <w:trPr>
          <w:trHeight w:val="204"/>
        </w:trPr>
        <w:tc>
          <w:tcPr>
            <w:tcW w:w="4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Other assets</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10,186</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w w:val="99"/>
              </w:rPr>
              <w:t>To reflect</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disposition of assets in</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satisfaction of liabilities:</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Accounts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receivable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(4,072)</w:t>
            </w:r>
          </w:p>
        </w:tc>
      </w:tr>
      <w:tr>
        <w:trPr>
          <w:trHeight w:val="203"/>
        </w:trPr>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payable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w:t>
            </w:r>
          </w:p>
        </w:tc>
      </w:tr>
      <w:tr>
        <w:trPr>
          <w:trHeight w:val="203"/>
        </w:trPr>
        <w:tc>
          <w:tcPr>
            <w:tcW w:w="4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480" w:type="dxa"/>
            <w:vAlign w:val="bottom"/>
          </w:tcPr>
          <w:p>
            <w:pPr>
              <w:spacing w:after="0"/>
              <w:rPr>
                <w:sz w:val="17"/>
                <w:szCs w:val="17"/>
                <w:color w:val="auto"/>
              </w:rPr>
            </w:pPr>
          </w:p>
        </w:tc>
        <w:tc>
          <w:tcPr>
            <w:tcW w:w="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w:t>
            </w:r>
          </w:p>
        </w:tc>
      </w:tr>
    </w:tbl>
    <w:p>
      <w:pPr>
        <w:spacing w:after="0" w:line="207" w:lineRule="exact"/>
        <w:rPr>
          <w:sz w:val="20"/>
          <w:szCs w:val="20"/>
          <w:color w:val="auto"/>
        </w:rPr>
      </w:pPr>
    </w:p>
    <w:p>
      <w:pPr>
        <w:ind w:left="521" w:right="3779" w:hanging="521"/>
        <w:spacing w:after="0" w:line="235"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adjust estimate for allowance for doubtful accounts ($500).</w:t>
      </w:r>
    </w:p>
    <w:p>
      <w:pPr>
        <w:spacing w:after="0" w:line="202"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inventory at estimated fair value ($344).</w:t>
      </w:r>
    </w:p>
    <w:p>
      <w:pPr>
        <w:spacing w:after="0" w:line="206" w:lineRule="exact"/>
        <w:rPr>
          <w:rFonts w:ascii="Courier New" w:cs="Courier New" w:eastAsia="Courier New" w:hAnsi="Courier New"/>
          <w:sz w:val="18"/>
          <w:szCs w:val="18"/>
          <w:color w:val="auto"/>
        </w:rPr>
      </w:pPr>
    </w:p>
    <w:p>
      <w:pPr>
        <w:ind w:left="521" w:right="3899" w:hanging="521"/>
        <w:spacing w:after="0" w:line="235"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buildings and equipment ($659) at estimated fair value.</w:t>
      </w:r>
    </w:p>
    <w:p>
      <w:pPr>
        <w:spacing w:after="0" w:line="208" w:lineRule="exact"/>
        <w:rPr>
          <w:rFonts w:ascii="Courier New" w:cs="Courier New" w:eastAsia="Courier New" w:hAnsi="Courier New"/>
          <w:sz w:val="18"/>
          <w:szCs w:val="18"/>
          <w:color w:val="auto"/>
        </w:rPr>
      </w:pPr>
    </w:p>
    <w:p>
      <w:pPr>
        <w:ind w:left="521" w:right="3479" w:hanging="521"/>
        <w:spacing w:after="0" w:line="237"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estimated fair value of Miracle-Gro trademarks ($90,000) and to record the excess of purchase price over the underlying value of net assets acquired (goodwill).</w:t>
      </w:r>
    </w:p>
    <w:p>
      <w:pPr>
        <w:spacing w:after="0" w:line="207" w:lineRule="exact"/>
        <w:rPr>
          <w:rFonts w:ascii="Courier New" w:cs="Courier New" w:eastAsia="Courier New" w:hAnsi="Courier New"/>
          <w:sz w:val="18"/>
          <w:szCs w:val="18"/>
          <w:color w:val="auto"/>
        </w:rPr>
      </w:pPr>
    </w:p>
    <w:p>
      <w:pPr>
        <w:ind w:left="521" w:right="3679" w:hanging="521"/>
        <w:spacing w:after="0" w:line="236"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a non-current deferred tax asset ($40) for differences in the financial reporting and tax bases of certain liabilities and fixed assets.</w:t>
      </w:r>
    </w:p>
    <w:p>
      <w:pPr>
        <w:spacing w:after="0" w:line="208" w:lineRule="exact"/>
        <w:rPr>
          <w:rFonts w:ascii="Courier New" w:cs="Courier New" w:eastAsia="Courier New" w:hAnsi="Courier New"/>
          <w:sz w:val="18"/>
          <w:szCs w:val="18"/>
          <w:color w:val="auto"/>
        </w:rPr>
      </w:pPr>
    </w:p>
    <w:p>
      <w:pPr>
        <w:ind w:left="521" w:right="3479" w:hanging="521"/>
        <w:spacing w:after="0" w:line="237"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estimated liability ($16,600) for distribution to be made to Miracle-Gro shareholders pursuant to the purchase agreement. The total liability will be $21,014 based on the increase in Miracle-Gro's net assets from normal operations through the transaction closing date.</w:t>
      </w:r>
    </w:p>
    <w:p>
      <w:pPr>
        <w:spacing w:after="0" w:line="209" w:lineRule="exact"/>
        <w:rPr>
          <w:rFonts w:ascii="Courier New" w:cs="Courier New" w:eastAsia="Courier New" w:hAnsi="Courier New"/>
          <w:sz w:val="18"/>
          <w:szCs w:val="18"/>
          <w:color w:val="auto"/>
        </w:rPr>
      </w:pPr>
    </w:p>
    <w:p>
      <w:pPr>
        <w:ind w:left="521" w:right="3579" w:hanging="521"/>
        <w:spacing w:after="0" w:line="236"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excess of the projected benefit obligation over the plan assets ($791) of the Miracle-Gro defined benefit pension plan.</w:t>
      </w:r>
    </w:p>
    <w:p>
      <w:pPr>
        <w:spacing w:after="0" w:line="208" w:lineRule="exact"/>
        <w:rPr>
          <w:rFonts w:ascii="Courier New" w:cs="Courier New" w:eastAsia="Courier New" w:hAnsi="Courier New"/>
          <w:sz w:val="18"/>
          <w:szCs w:val="18"/>
          <w:color w:val="auto"/>
        </w:rPr>
      </w:pPr>
    </w:p>
    <w:p>
      <w:pPr>
        <w:ind w:left="521" w:right="3779" w:hanging="521"/>
        <w:spacing w:after="0" w:line="235"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adjust estimated vacation accrual ($163), incentive accrual ($675) and payroll accrual ($32).</w:t>
      </w:r>
    </w:p>
    <w:p>
      <w:pPr>
        <w:spacing w:after="0" w:line="202" w:lineRule="exact"/>
        <w:rPr>
          <w:rFonts w:ascii="Courier New" w:cs="Courier New" w:eastAsia="Courier New" w:hAnsi="Courier New"/>
          <w:sz w:val="18"/>
          <w:szCs w:val="18"/>
          <w:color w:val="auto"/>
        </w:rPr>
      </w:pPr>
    </w:p>
    <w:p>
      <w:pPr>
        <w:ind w:left="521" w:hanging="521"/>
        <w:spacing w:after="0"/>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for estimated transaction costs ($4,000).</w:t>
      </w:r>
    </w:p>
    <w:p>
      <w:pPr>
        <w:spacing w:after="0" w:line="206" w:lineRule="exact"/>
        <w:rPr>
          <w:rFonts w:ascii="Courier New" w:cs="Courier New" w:eastAsia="Courier New" w:hAnsi="Courier New"/>
          <w:sz w:val="18"/>
          <w:szCs w:val="18"/>
          <w:color w:val="auto"/>
        </w:rPr>
      </w:pPr>
    </w:p>
    <w:p>
      <w:pPr>
        <w:ind w:left="521" w:right="3359" w:hanging="521"/>
        <w:spacing w:after="0" w:line="237" w:lineRule="auto"/>
        <w:tabs>
          <w:tab w:leader="none" w:pos="5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record the issuance of 5% convertible preferred stock with an estimated market value of $178,200 and a face amount of $195,000 and warrants to purchase common stock with an estimated market value of $13,800 as consideration to acquire Miracle-Gro, and to eliminate the historical shareholders' equity of Miracle-Gro.</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41"/>
        <w:spacing w:after="0"/>
        <w:rPr>
          <w:sz w:val="20"/>
          <w:szCs w:val="20"/>
          <w:color w:val="auto"/>
        </w:rPr>
      </w:pPr>
      <w:r>
        <w:rPr>
          <w:rFonts w:ascii="Courier New" w:cs="Courier New" w:eastAsia="Courier New" w:hAnsi="Courier New"/>
          <w:sz w:val="18"/>
          <w:szCs w:val="18"/>
          <w:color w:val="auto"/>
        </w:rPr>
        <w:t>F-14</w:t>
      </w:r>
    </w:p>
    <w:sectPr>
      <w:pgSz w:w="11900" w:h="16838" w:orient="portrait"/>
      <w:cols w:equalWidth="0" w:num="1">
        <w:col w:w="10000"/>
      </w:cols>
      <w:pgMar w:left="459"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1)"/>
      <w:numFmt w:val="lowerLetter"/>
      <w:start w:val="3"/>
    </w:lvl>
  </w:abstractNum>
  <w:abstractNum w:abstractNumId="2">
    <w:nsid w:val="12200854"/>
    <w:multiLevelType w:val="hybridMultilevel"/>
    <w:lvl w:ilvl="0">
      <w:lvlJc w:val="left"/>
      <w:lvlText w:val="%1."/>
      <w:numFmt w:val="upperLetter"/>
      <w:start w:val="9"/>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upperLetter"/>
      <w:start w:val="1"/>
    </w:lvl>
    <w:lvl w:ilvl="1">
      <w:lvlJc w:val="left"/>
      <w:lvlText w:val="(%2)"/>
      <w:numFmt w:val="decimal"/>
      <w:start w:val="3"/>
    </w:lvl>
  </w:abstractNum>
  <w:abstractNum w:abstractNumId="7">
    <w:nsid w:val="66EF438D"/>
    <w:multiLevelType w:val="hybridMultilevel"/>
    <w:lvl w:ilvl="0">
      <w:lvlJc w:val="left"/>
      <w:lvlText w:val="%1."/>
      <w:numFmt w:val="upperLetter"/>
      <w:start w:val="35"/>
    </w:lvl>
    <w:lvl w:ilvl="1">
      <w:lvlJc w:val="left"/>
      <w:lvlText w:val="%2"/>
      <w:numFmt w:val="decimal"/>
      <w:start w:val="1"/>
    </w:lvl>
  </w:abstractNum>
  <w:abstractNum w:abstractNumId="8">
    <w:nsid w:val="140E0F76"/>
    <w:multiLevelType w:val="hybridMultilevel"/>
    <w:lvl w:ilvl="0">
      <w:lvlJc w:val="left"/>
      <w:lvlText w:val="%1."/>
      <w:numFmt w:val="upperLetter"/>
      <w:start w:val="9"/>
    </w:lvl>
  </w:abstractNum>
  <w:abstractNum w:abstractNumId="9">
    <w:nsid w:val="3352255A"/>
    <w:multiLevelType w:val="hybridMultilevel"/>
    <w:lvl w:ilvl="0">
      <w:lvlJc w:val="left"/>
      <w:lvlText w:val="(%1)"/>
      <w:numFmt w:val="upp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2"/>
    </w:lvl>
  </w:abstractNum>
  <w:abstractNum w:abstractNumId="12">
    <w:nsid w:val="7FDCC233"/>
    <w:multiLevelType w:val="hybridMultilevel"/>
    <w:lvl w:ilvl="0">
      <w:lvlJc w:val="left"/>
      <w:lvlText w:val="%1"/>
      <w:numFmt w:val="upperLetter"/>
      <w:start w:val="1"/>
    </w:lvl>
    <w:lvl w:ilvl="1">
      <w:lvlJc w:val="left"/>
      <w:lvlText w:val="(%2)"/>
      <w:numFmt w:val="decimal"/>
      <w:start w:val="4"/>
    </w:lvl>
  </w:abstractNum>
  <w:abstractNum w:abstractNumId="13">
    <w:nsid w:val="1BEFD79F"/>
    <w:multiLevelType w:val="hybridMultilevel"/>
    <w:lvl w:ilvl="0">
      <w:lvlJc w:val="left"/>
      <w:lvlText w:val="%1."/>
      <w:numFmt w:val="upperLetter"/>
      <w:start w:val="35"/>
    </w:lvl>
    <w:lvl w:ilvl="1">
      <w:lvlJc w:val="left"/>
      <w:lvlText w:val="%2"/>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2019-12-19T23:58:39Z</dcterms:created>
  <dcterms:modified xsi:type="dcterms:W3CDTF">2019-12-19T23:58:39Z</dcterms:modified>
</cp:coreProperties>
</file>