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ind w:left="2960" w:right="2319" w:hanging="2633"/>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January 30, 1995 Registration No. 33-47073</w:t>
      </w: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rPr>
              <w:t>THE SCOTTS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2260" w:type="dxa"/>
            <w:vAlign w:val="bottom"/>
          </w:tcPr>
          <w:p>
            <w:pPr>
              <w:spacing w:after="0"/>
              <w:rPr>
                <w:sz w:val="17"/>
                <w:szCs w:val="17"/>
                <w:color w:val="auto"/>
              </w:rPr>
            </w:pP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(Exact name of registrant as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specified</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its charter)</w:t>
            </w:r>
          </w:p>
        </w:tc>
      </w:tr>
      <w:tr>
        <w:trPr>
          <w:trHeight w:val="405"/>
        </w:trPr>
        <w:tc>
          <w:tcPr>
            <w:tcW w:w="4480" w:type="dxa"/>
            <w:vAlign w:val="bottom"/>
          </w:tcPr>
          <w:p>
            <w:pPr>
              <w:ind w:left="1160"/>
              <w:spacing w:after="0"/>
              <w:rPr>
                <w:sz w:val="20"/>
                <w:szCs w:val="20"/>
                <w:color w:val="auto"/>
              </w:rPr>
            </w:pPr>
            <w:r>
              <w:rPr>
                <w:rFonts w:ascii="Courier New" w:cs="Courier New" w:eastAsia="Courier New" w:hAnsi="Courier New"/>
                <w:sz w:val="18"/>
                <w:szCs w:val="18"/>
                <w:color w:val="auto"/>
              </w:rPr>
              <w:t>Ohio</w:t>
            </w:r>
          </w:p>
        </w:tc>
        <w:tc>
          <w:tcPr>
            <w:tcW w:w="1060" w:type="dxa"/>
            <w:vAlign w:val="bottom"/>
          </w:tcPr>
          <w:p>
            <w:pPr>
              <w:spacing w:after="0"/>
              <w:rPr>
                <w:sz w:val="24"/>
                <w:szCs w:val="24"/>
                <w:color w:val="auto"/>
              </w:rPr>
            </w:pPr>
          </w:p>
        </w:tc>
        <w:tc>
          <w:tcPr>
            <w:tcW w:w="2260" w:type="dxa"/>
            <w:vAlign w:val="bottom"/>
          </w:tcPr>
          <w:p>
            <w:pPr>
              <w:ind w:left="480"/>
              <w:spacing w:after="0"/>
              <w:rPr>
                <w:sz w:val="20"/>
                <w:szCs w:val="20"/>
                <w:color w:val="auto"/>
              </w:rPr>
            </w:pPr>
            <w:r>
              <w:rPr>
                <w:rFonts w:ascii="Courier New" w:cs="Courier New" w:eastAsia="Courier New" w:hAnsi="Courier New"/>
                <w:sz w:val="18"/>
                <w:szCs w:val="18"/>
                <w:color w:val="auto"/>
              </w:rPr>
              <w:t>31-1199481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106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106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4480" w:type="dxa"/>
            <w:vAlign w:val="bottom"/>
          </w:tcPr>
          <w:p>
            <w:pPr>
              <w:ind w:left="120"/>
              <w:spacing w:after="0"/>
              <w:rPr>
                <w:sz w:val="20"/>
                <w:szCs w:val="20"/>
                <w:color w:val="auto"/>
              </w:rPr>
            </w:pPr>
            <w:r>
              <w:rPr>
                <w:rFonts w:ascii="Courier New" w:cs="Courier New" w:eastAsia="Courier New" w:hAnsi="Courier New"/>
                <w:sz w:val="18"/>
                <w:szCs w:val="18"/>
                <w:color w:val="auto"/>
              </w:rPr>
              <w:t>14111 Scottslawn Road, Marysville, Ohio</w:t>
            </w:r>
          </w:p>
        </w:tc>
        <w:tc>
          <w:tcPr>
            <w:tcW w:w="1060" w:type="dxa"/>
            <w:vAlign w:val="bottom"/>
          </w:tcPr>
          <w:p>
            <w:pPr>
              <w:spacing w:after="0"/>
              <w:rPr>
                <w:sz w:val="24"/>
                <w:szCs w:val="24"/>
                <w:color w:val="auto"/>
              </w:rPr>
            </w:pPr>
          </w:p>
        </w:tc>
        <w:tc>
          <w:tcPr>
            <w:tcW w:w="2260" w:type="dxa"/>
            <w:vAlign w:val="bottom"/>
          </w:tcPr>
          <w:p>
            <w:pPr>
              <w:ind w:left="780"/>
              <w:spacing w:after="0"/>
              <w:rPr>
                <w:sz w:val="20"/>
                <w:szCs w:val="20"/>
                <w:color w:val="auto"/>
              </w:rPr>
            </w:pPr>
            <w:r>
              <w:rPr>
                <w:rFonts w:ascii="Courier New" w:cs="Courier New" w:eastAsia="Courier New" w:hAnsi="Courier New"/>
                <w:sz w:val="18"/>
                <w:szCs w:val="18"/>
                <w:color w:val="auto"/>
              </w:rPr>
              <w:t>43041</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1060" w:type="dxa"/>
            <w:vAlign w:val="bottom"/>
          </w:tcPr>
          <w:p>
            <w:pPr>
              <w:spacing w:after="0"/>
              <w:rPr>
                <w:sz w:val="17"/>
                <w:szCs w:val="17"/>
                <w:color w:val="auto"/>
              </w:rPr>
            </w:pPr>
          </w:p>
        </w:tc>
        <w:tc>
          <w:tcPr>
            <w:tcW w:w="2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810"/>
        </w:trPr>
        <w:tc>
          <w:tcPr>
            <w:tcW w:w="5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Scotts Company Profit Sharing and</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Savings Plan</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(formerly known as The O.M. Scott &amp; Sons</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Profit</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Sharing and Savings Plan)</w:t>
            </w:r>
          </w:p>
        </w:tc>
        <w:tc>
          <w:tcPr>
            <w:tcW w:w="226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(Full title of the plan)</w:t>
            </w:r>
          </w:p>
        </w:tc>
        <w:tc>
          <w:tcPr>
            <w:tcW w:w="2260" w:type="dxa"/>
            <w:vAlign w:val="bottom"/>
          </w:tcPr>
          <w:p>
            <w:pPr>
              <w:spacing w:after="0"/>
              <w:rPr>
                <w:sz w:val="17"/>
                <w:szCs w:val="17"/>
                <w:color w:val="auto"/>
              </w:rPr>
            </w:pPr>
          </w:p>
        </w:tc>
      </w:tr>
      <w:tr>
        <w:trPr>
          <w:trHeight w:val="405"/>
        </w:trPr>
        <w:tc>
          <w:tcPr>
            <w:tcW w:w="4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Copy</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Craig D. Walley, Esq.</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Elizabeth</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Turrell Farrar, Esq.</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Vorys, Sater, Seymour and Pease</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14111 Scottslawn Road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52 East Gay Street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Marysville, Ohio  43041</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 Box 1008</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agent for service)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Columbus,</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Ohio  43216-1008</w:t>
            </w:r>
          </w:p>
        </w:tc>
      </w:tr>
    </w:tbl>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(513) 644-0011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On September 20, 1994, The Scotts Company, a Delaware corporation ("Scotts Delaware"), having a class of securities registered under Section 12(g) of the Securities Exchange Act of 1934, as amended (the "Exchange Act"), was merged (the "Merger") with and into The Scotts Company, an Ohio corporation ("Scotts Ohio") and a wholly-owned subsidiary of Scotts Delaware which was formed as an Ohio corporation as a vehicle to effect the change of Scotts Delaware's state of incorporation from Delaware to Ohio through the Merger. The Merger was approved by the stockholders of Scotts Delaware at a Special Meeting of Stockholders held on September 20, 1994.</w:t>
      </w:r>
    </w:p>
    <w:p>
      <w:pPr>
        <w:spacing w:after="0" w:line="216" w:lineRule="exact"/>
        <w:rPr>
          <w:sz w:val="24"/>
          <w:szCs w:val="24"/>
          <w:color w:val="auto"/>
        </w:rPr>
      </w:pPr>
    </w:p>
    <w:p>
      <w:pPr>
        <w:ind w:right="3159" w:firstLine="1264"/>
        <w:spacing w:after="0" w:line="237" w:lineRule="auto"/>
        <w:rPr>
          <w:sz w:val="20"/>
          <w:szCs w:val="20"/>
          <w:color w:val="auto"/>
        </w:rPr>
      </w:pPr>
      <w:r>
        <w:rPr>
          <w:rFonts w:ascii="Courier New" w:cs="Courier New" w:eastAsia="Courier New" w:hAnsi="Courier New"/>
          <w:sz w:val="18"/>
          <w:szCs w:val="18"/>
          <w:color w:val="auto"/>
        </w:rPr>
        <w:t>Each share of Class A Common Stock, par value $0.01 per share (the "Scotts Delaware Shares"), of Scotts Delaware was converted into one common share, without par value (the "Scotts Ohio Common Shares"), of Scotts Ohio. By virtue of the Merger, Scotts Ohio has succeeded to all the business, properties, assets and liabilities of Scotts Delaware.</w:t>
      </w:r>
    </w:p>
    <w:p>
      <w:pPr>
        <w:spacing w:after="0" w:line="210" w:lineRule="exact"/>
        <w:rPr>
          <w:sz w:val="24"/>
          <w:szCs w:val="24"/>
          <w:color w:val="auto"/>
        </w:rPr>
      </w:pPr>
    </w:p>
    <w:p>
      <w:pPr>
        <w:ind w:right="2939" w:firstLine="1264"/>
        <w:spacing w:after="0" w:line="235" w:lineRule="auto"/>
        <w:rPr>
          <w:sz w:val="20"/>
          <w:szCs w:val="20"/>
          <w:color w:val="auto"/>
        </w:rPr>
      </w:pPr>
      <w:r>
        <w:rPr>
          <w:rFonts w:ascii="Courier New" w:cs="Courier New" w:eastAsia="Courier New" w:hAnsi="Courier New"/>
          <w:sz w:val="18"/>
          <w:szCs w:val="18"/>
          <w:color w:val="auto"/>
        </w:rPr>
        <w:t>Pursuant to Rule 414 promulgated under the Securities Act of 1933, as amended (the "1933 Act"), Scotts Ohio hereby adopts</w:t>
      </w:r>
    </w:p>
    <w:p>
      <w:pPr>
        <w:spacing w:after="0" w:line="6" w:lineRule="exact"/>
        <w:rPr>
          <w:sz w:val="24"/>
          <w:szCs w:val="24"/>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the Registration Statement on Form S-8 (Registration No. 33-47073) of Scotts Delaware, related to the registration under the 1933 Act of 500,000 Scotts Delaware Shares and participations to be offered under The Scotts Company Profit Sharing and Svaing Plan (formerly known as The O. M. Scott &amp; Sons Profit Sharing and Savings Plan) (the "Plan"), as Scotts Ohio's own Registration Statement on Form S-8 for all purposes of the 1933 Act and the Exchange Act.</w:t>
      </w:r>
    </w:p>
    <w:p>
      <w:pPr>
        <w:sectPr>
          <w:pgSz w:w="11900" w:h="16874" w:orient="portrait"/>
          <w:cols w:equalWidth="0" w:num="1">
            <w:col w:w="10219"/>
          </w:cols>
          <w:pgMar w:left="240" w:top="452"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On September 30,</w:t>
            </w:r>
          </w:p>
        </w:tc>
        <w:tc>
          <w:tcPr>
            <w:tcW w:w="4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1994, The O.M. Scott &amp; Sons Company,</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 Delaware corporation and a</w:t>
            </w:r>
          </w:p>
        </w:tc>
        <w:tc>
          <w:tcPr>
            <w:tcW w:w="4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wholly-owned subsidiary of Scotts Ohio</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("OMS"), was merged with and</w:t>
            </w:r>
          </w:p>
        </w:tc>
        <w:tc>
          <w:tcPr>
            <w:tcW w:w="4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into Scotts Ohio (the "OMS Merger").</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By virtue of the OMS Merger,</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Scotts Ohio has</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succeeded to all the</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business, properties, assets</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and liabilities</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of OMS.  In connection</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with the OMS Merger, Scotts Ohio has adopted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Plan.</w:t>
            </w:r>
          </w:p>
        </w:tc>
      </w:tr>
    </w:tbl>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3679" w:firstLine="1264"/>
        <w:spacing w:after="0" w:line="237" w:lineRule="auto"/>
        <w:rPr>
          <w:sz w:val="20"/>
          <w:szCs w:val="20"/>
          <w:color w:val="auto"/>
        </w:rPr>
      </w:pPr>
      <w:r>
        <w:rPr>
          <w:rFonts w:ascii="Courier New" w:cs="Courier New" w:eastAsia="Courier New" w:hAnsi="Courier New"/>
          <w:sz w:val="18"/>
          <w:szCs w:val="18"/>
          <w:color w:val="auto"/>
        </w:rPr>
        <w:t>The description of the Scotts Ohio Common Shares contained in the Registration Statement on Form 8-B (File No. 0-19768) of Scotts Ohio filed with the Securities and Exchange Commission on January 17, 1995, is hereby incorporated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3259" w:firstLine="1264"/>
        <w:spacing w:after="0" w:line="236" w:lineRule="auto"/>
        <w:rPr>
          <w:sz w:val="20"/>
          <w:szCs w:val="20"/>
          <w:color w:val="auto"/>
        </w:rPr>
      </w:pPr>
      <w:r>
        <w:rPr>
          <w:rFonts w:ascii="Courier New" w:cs="Courier New" w:eastAsia="Courier New" w:hAnsi="Courier New"/>
          <w:sz w:val="18"/>
          <w:szCs w:val="18"/>
          <w:color w:val="auto"/>
        </w:rPr>
        <w:t>ARTICLE FIVE of the Regulations of Scotts Ohio governs the indemnification of officers and directors of Scotts Ohio. ARTICLE FIVE provides:</w:t>
      </w:r>
    </w:p>
    <w:p>
      <w:pPr>
        <w:spacing w:after="0" w:line="209" w:lineRule="exact"/>
        <w:rPr>
          <w:sz w:val="20"/>
          <w:szCs w:val="20"/>
          <w:color w:val="auto"/>
        </w:rPr>
      </w:pPr>
    </w:p>
    <w:p>
      <w:pPr>
        <w:ind w:left="640" w:right="3579" w:firstLine="632"/>
        <w:spacing w:after="0" w:line="268"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right="3579" w:firstLine="632"/>
        <w:spacing w:after="0" w:line="236"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209" w:lineRule="exact"/>
        <w:rPr>
          <w:sz w:val="20"/>
          <w:szCs w:val="20"/>
          <w:color w:val="auto"/>
        </w:rPr>
      </w:pPr>
    </w:p>
    <w:p>
      <w:pPr>
        <w:ind w:left="640" w:right="3359" w:firstLine="632"/>
        <w:spacing w:after="0" w:line="268" w:lineRule="auto"/>
        <w:tabs>
          <w:tab w:leader="none" w:pos="190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w:t>
      </w:r>
    </w:p>
    <w:p>
      <w:pPr>
        <w:ind w:left="640" w:right="35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w:t>
      </w:r>
    </w:p>
    <w:p>
      <w:pPr>
        <w:sectPr>
          <w:pgSz w:w="11900" w:h="16838" w:orient="portrait"/>
          <w:cols w:equalWidth="0" w:num="1">
            <w:col w:w="10219"/>
          </w:cols>
          <w:pgMar w:left="240" w:top="339" w:right="1440" w:bottom="0" w:gutter="0" w:footer="0" w:header="0"/>
        </w:sectPr>
      </w:pPr>
    </w:p>
    <w:bookmarkStart w:id="2" w:name="page3"/>
    <w:bookmarkEnd w:id="2"/>
    <w:p>
      <w:pPr>
        <w:ind w:right="3679"/>
        <w:spacing w:after="0" w:line="271" w:lineRule="auto"/>
        <w:rPr>
          <w:sz w:val="20"/>
          <w:szCs w:val="20"/>
          <w:color w:val="auto"/>
        </w:rPr>
      </w:pPr>
      <w:r>
        <w:rPr>
          <w:rFonts w:ascii="Courier New" w:cs="Courier New" w:eastAsia="Courier New" w:hAnsi="Courier New"/>
          <w:sz w:val="16"/>
          <w:szCs w:val="16"/>
          <w:color w:val="auto"/>
        </w:rPr>
        <w:t>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86" w:lineRule="exact"/>
        <w:rPr>
          <w:sz w:val="20"/>
          <w:szCs w:val="20"/>
          <w:color w:val="auto"/>
        </w:rPr>
      </w:pPr>
    </w:p>
    <w:p>
      <w:pPr>
        <w:jc w:val="both"/>
        <w:ind w:right="3679" w:firstLine="632"/>
        <w:spacing w:after="0" w:line="279" w:lineRule="auto"/>
        <w:tabs>
          <w:tab w:leader="none" w:pos="12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promptly make any such unpaid indemnification as is determined by a court to be proper as contemplated by this Section 5.02.</w:t>
      </w:r>
    </w:p>
    <w:p>
      <w:pPr>
        <w:spacing w:after="0" w:line="178" w:lineRule="exact"/>
        <w:rPr>
          <w:sz w:val="20"/>
          <w:szCs w:val="20"/>
          <w:color w:val="auto"/>
        </w:rPr>
      </w:pPr>
    </w:p>
    <w:p>
      <w:pPr>
        <w:ind w:right="3579" w:firstLine="632"/>
        <w:spacing w:after="0" w:line="238" w:lineRule="auto"/>
        <w:rPr>
          <w:sz w:val="20"/>
          <w:szCs w:val="20"/>
          <w:color w:val="auto"/>
        </w:rPr>
      </w:pPr>
      <w:r>
        <w:rPr>
          <w:rFonts w:ascii="Courier New" w:cs="Courier New" w:eastAsia="Courier New" w:hAnsi="Courier New"/>
          <w:sz w:val="18"/>
          <w:szCs w:val="18"/>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207" w:lineRule="exact"/>
        <w:rPr>
          <w:sz w:val="20"/>
          <w:szCs w:val="20"/>
          <w:color w:val="auto"/>
        </w:rPr>
      </w:pPr>
    </w:p>
    <w:p>
      <w:pPr>
        <w:ind w:right="3579" w:firstLine="632"/>
        <w:spacing w:after="0" w:line="269"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w:t>
      </w:r>
    </w:p>
    <w:p>
      <w:pPr>
        <w:spacing w:after="0" w:line="191" w:lineRule="exact"/>
        <w:rPr>
          <w:sz w:val="20"/>
          <w:szCs w:val="20"/>
          <w:color w:val="auto"/>
        </w:rPr>
      </w:pPr>
    </w:p>
    <w:p>
      <w:pPr>
        <w:ind w:right="3579"/>
        <w:spacing w:after="0" w:line="269"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394" w:lineRule="exact"/>
        <w:rPr>
          <w:sz w:val="20"/>
          <w:szCs w:val="20"/>
          <w:color w:val="auto"/>
        </w:rPr>
      </w:pPr>
    </w:p>
    <w:p>
      <w:pPr>
        <w:ind w:right="3579" w:firstLine="632"/>
        <w:spacing w:after="0" w:line="272"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w:t>
      </w:r>
    </w:p>
    <w:p>
      <w:pPr>
        <w:sectPr>
          <w:pgSz w:w="11900" w:h="16838" w:orient="portrait"/>
          <w:cols w:equalWidth="0" w:num="1">
            <w:col w:w="9579"/>
          </w:cols>
          <w:pgMar w:left="880" w:top="142" w:right="1440" w:bottom="0" w:gutter="0" w:footer="0" w:header="0"/>
        </w:sectPr>
      </w:pPr>
    </w:p>
    <w:bookmarkStart w:id="3" w:name="page4"/>
    <w:bookmarkEnd w:id="3"/>
    <w:p>
      <w:pPr>
        <w:ind w:right="3579"/>
        <w:spacing w:after="0" w:line="237" w:lineRule="auto"/>
        <w:rPr>
          <w:sz w:val="20"/>
          <w:szCs w:val="20"/>
          <w:color w:val="auto"/>
        </w:rPr>
      </w:pPr>
      <w:r>
        <w:rPr>
          <w:rFonts w:ascii="Courier New" w:cs="Courier New" w:eastAsia="Courier New" w:hAnsi="Courier New"/>
          <w:sz w:val="18"/>
          <w:szCs w:val="18"/>
          <w:color w:val="auto"/>
        </w:rPr>
        <w:t>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211" w:lineRule="exact"/>
        <w:rPr>
          <w:sz w:val="20"/>
          <w:szCs w:val="20"/>
          <w:color w:val="auto"/>
        </w:rPr>
      </w:pPr>
    </w:p>
    <w:p>
      <w:pPr>
        <w:ind w:right="3899" w:firstLine="632"/>
        <w:spacing w:after="0" w:line="237"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it shall ultimately be determined as provided in Section 5.04 that he is not entitled to be indemnified by the corporation as provided under Section 5.01; or</w:t>
      </w:r>
    </w:p>
    <w:p>
      <w:pPr>
        <w:spacing w:after="0" w:line="207" w:lineRule="exact"/>
        <w:rPr>
          <w:rFonts w:ascii="Courier New" w:cs="Courier New" w:eastAsia="Courier New" w:hAnsi="Courier New"/>
          <w:sz w:val="18"/>
          <w:szCs w:val="18"/>
          <w:color w:val="auto"/>
        </w:rPr>
      </w:pPr>
    </w:p>
    <w:p>
      <w:pPr>
        <w:ind w:right="3579" w:firstLine="632"/>
        <w:spacing w:after="0" w:line="238"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07" w:lineRule="exact"/>
        <w:rPr>
          <w:sz w:val="20"/>
          <w:szCs w:val="20"/>
          <w:color w:val="auto"/>
        </w:rPr>
      </w:pPr>
    </w:p>
    <w:p>
      <w:pPr>
        <w:ind w:right="3679" w:firstLine="632"/>
        <w:spacing w:after="0" w:line="270" w:lineRule="auto"/>
        <w:rPr>
          <w:sz w:val="20"/>
          <w:szCs w:val="20"/>
          <w:color w:val="auto"/>
        </w:rPr>
      </w:pPr>
      <w:r>
        <w:rPr>
          <w:rFonts w:ascii="Courier New" w:cs="Courier New" w:eastAsia="Courier New" w:hAnsi="Courier New"/>
          <w:sz w:val="16"/>
          <w:szCs w:val="16"/>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391" w:lineRule="exact"/>
        <w:rPr>
          <w:sz w:val="20"/>
          <w:szCs w:val="20"/>
          <w:color w:val="auto"/>
        </w:rPr>
      </w:pPr>
    </w:p>
    <w:p>
      <w:pPr>
        <w:ind w:right="3579" w:firstLine="632"/>
        <w:spacing w:after="0" w:line="269"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395" w:lineRule="exact"/>
        <w:rPr>
          <w:sz w:val="20"/>
          <w:szCs w:val="20"/>
          <w:color w:val="auto"/>
        </w:rPr>
      </w:pPr>
    </w:p>
    <w:p>
      <w:pPr>
        <w:jc w:val="both"/>
        <w:ind w:right="3779" w:firstLine="632"/>
        <w:spacing w:after="0" w:line="236" w:lineRule="auto"/>
        <w:rPr>
          <w:sz w:val="20"/>
          <w:szCs w:val="20"/>
          <w:color w:val="auto"/>
        </w:rPr>
      </w:pPr>
      <w:r>
        <w:rPr>
          <w:rFonts w:ascii="Courier New" w:cs="Courier New" w:eastAsia="Courier New" w:hAnsi="Courier New"/>
          <w:sz w:val="18"/>
          <w:szCs w:val="18"/>
          <w:color w:val="auto"/>
        </w:rPr>
        <w:t>Section 5.08. Certain Definitions. For purposes of this Article FIVE, and as examples and not by way of limitation:</w:t>
      </w:r>
    </w:p>
    <w:p>
      <w:pPr>
        <w:spacing w:after="0" w:line="209" w:lineRule="exact"/>
        <w:rPr>
          <w:sz w:val="20"/>
          <w:szCs w:val="20"/>
          <w:color w:val="auto"/>
        </w:rPr>
      </w:pPr>
    </w:p>
    <w:p>
      <w:pPr>
        <w:ind w:right="3579" w:firstLine="632"/>
        <w:spacing w:after="0" w:line="270" w:lineRule="auto"/>
        <w:tabs>
          <w:tab w:leader="none" w:pos="137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387" w:lineRule="exact"/>
        <w:rPr>
          <w:rFonts w:ascii="Courier New" w:cs="Courier New" w:eastAsia="Courier New" w:hAnsi="Courier New"/>
          <w:sz w:val="16"/>
          <w:szCs w:val="16"/>
          <w:color w:val="auto"/>
        </w:rPr>
      </w:pPr>
    </w:p>
    <w:p>
      <w:pPr>
        <w:ind w:right="3679" w:firstLine="632"/>
        <w:spacing w:after="0" w:line="279" w:lineRule="auto"/>
        <w:tabs>
          <w:tab w:leader="none" w:pos="12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 "other enterprise" shall include employee benefit plans; references to a "fine" shall include any excise taxes assessed on a person with</w:t>
      </w:r>
    </w:p>
    <w:p>
      <w:pPr>
        <w:sectPr>
          <w:pgSz w:w="11900" w:h="16838" w:orient="portrait"/>
          <w:cols w:equalWidth="0" w:num="1">
            <w:col w:w="9579"/>
          </w:cols>
          <w:pgMar w:left="880" w:top="142" w:right="1440" w:bottom="0" w:gutter="0" w:footer="0" w:header="0"/>
        </w:sectPr>
      </w:pPr>
    </w:p>
    <w:bookmarkStart w:id="4" w:name="page5"/>
    <w:bookmarkEnd w:id="4"/>
    <w:p>
      <w:pPr>
        <w:ind w:left="640" w:right="3579"/>
        <w:spacing w:after="0" w:line="238" w:lineRule="auto"/>
        <w:rPr>
          <w:sz w:val="20"/>
          <w:szCs w:val="20"/>
          <w:color w:val="auto"/>
        </w:rPr>
      </w:pPr>
      <w:r>
        <w:rPr>
          <w:rFonts w:ascii="Courier New" w:cs="Courier New" w:eastAsia="Courier New" w:hAnsi="Courier New"/>
          <w:sz w:val="18"/>
          <w:szCs w:val="18"/>
          <w:color w:val="auto"/>
        </w:rPr>
        <w:t>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7" w:lineRule="exact"/>
        <w:rPr>
          <w:sz w:val="20"/>
          <w:szCs w:val="20"/>
          <w:color w:val="auto"/>
        </w:rPr>
      </w:pPr>
    </w:p>
    <w:p>
      <w:pPr>
        <w:ind w:left="640" w:right="3579" w:firstLine="632"/>
        <w:spacing w:after="0" w:line="271" w:lineRule="auto"/>
        <w:rPr>
          <w:sz w:val="20"/>
          <w:szCs w:val="20"/>
          <w:color w:val="auto"/>
        </w:rPr>
      </w:pPr>
      <w:r>
        <w:rPr>
          <w:rFonts w:ascii="Courier New" w:cs="Courier New" w:eastAsia="Courier New" w:hAnsi="Courier New"/>
          <w:sz w:val="16"/>
          <w:szCs w:val="16"/>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84" w:lineRule="exact"/>
        <w:rPr>
          <w:sz w:val="20"/>
          <w:szCs w:val="20"/>
          <w:color w:val="auto"/>
        </w:rPr>
      </w:pPr>
    </w:p>
    <w:p>
      <w:pPr>
        <w:ind w:right="3039" w:firstLine="1264"/>
        <w:spacing w:after="0" w:line="236" w:lineRule="auto"/>
        <w:rPr>
          <w:sz w:val="20"/>
          <w:szCs w:val="20"/>
          <w:color w:val="auto"/>
        </w:rPr>
      </w:pPr>
      <w:r>
        <w:rPr>
          <w:rFonts w:ascii="Courier New" w:cs="Courier New" w:eastAsia="Courier New" w:hAnsi="Courier New"/>
          <w:sz w:val="18"/>
          <w:szCs w:val="18"/>
          <w:color w:val="auto"/>
        </w:rPr>
        <w:t>Division (E) of Section 1701.13 of the Ohio Revised Code addresses indemnification by an Ohio corporation and provides as follows:</w:t>
      </w:r>
    </w:p>
    <w:p>
      <w:pPr>
        <w:spacing w:after="0" w:line="209" w:lineRule="exact"/>
        <w:rPr>
          <w:sz w:val="20"/>
          <w:szCs w:val="20"/>
          <w:color w:val="auto"/>
        </w:rPr>
      </w:pPr>
    </w:p>
    <w:p>
      <w:pPr>
        <w:ind w:left="640" w:right="3579" w:firstLine="632"/>
        <w:spacing w:after="0" w:line="269"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200" w:lineRule="exact"/>
        <w:rPr>
          <w:sz w:val="20"/>
          <w:szCs w:val="20"/>
          <w:color w:val="auto"/>
        </w:rPr>
      </w:pPr>
    </w:p>
    <w:p>
      <w:pPr>
        <w:spacing w:after="0" w:line="392" w:lineRule="exact"/>
        <w:rPr>
          <w:sz w:val="20"/>
          <w:szCs w:val="20"/>
          <w:color w:val="auto"/>
        </w:rPr>
      </w:pPr>
    </w:p>
    <w:p>
      <w:pPr>
        <w:ind w:left="640" w:right="3579" w:firstLine="632"/>
        <w:spacing w:after="0" w:line="269" w:lineRule="auto"/>
        <w:tabs>
          <w:tab w:leader="none" w:pos="179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00" w:lineRule="exact"/>
        <w:rPr>
          <w:sz w:val="20"/>
          <w:szCs w:val="20"/>
          <w:color w:val="auto"/>
        </w:rPr>
      </w:pPr>
    </w:p>
    <w:p>
      <w:pPr>
        <w:spacing w:after="0" w:line="398" w:lineRule="exact"/>
        <w:rPr>
          <w:sz w:val="20"/>
          <w:szCs w:val="20"/>
          <w:color w:val="auto"/>
        </w:rPr>
      </w:pPr>
    </w:p>
    <w:p>
      <w:pPr>
        <w:ind w:left="640" w:right="3779" w:firstLine="632"/>
        <w:spacing w:after="0" w:line="290" w:lineRule="auto"/>
        <w:tabs>
          <w:tab w:leader="none" w:pos="179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w:t>
      </w:r>
    </w:p>
    <w:p>
      <w:pPr>
        <w:sectPr>
          <w:pgSz w:w="11900" w:h="16838" w:orient="portrait"/>
          <w:cols w:equalWidth="0" w:num="1">
            <w:col w:w="10219"/>
          </w:cols>
          <w:pgMar w:left="240" w:top="142" w:right="1440" w:bottom="0" w:gutter="0" w:footer="0" w:header="0"/>
        </w:sectPr>
      </w:pPr>
    </w:p>
    <w:bookmarkStart w:id="5" w:name="page6"/>
    <w:bookmarkEnd w:id="5"/>
    <w:p>
      <w:pPr>
        <w:ind w:right="3579"/>
        <w:spacing w:after="0" w:line="271" w:lineRule="auto"/>
        <w:rPr>
          <w:sz w:val="20"/>
          <w:szCs w:val="20"/>
          <w:color w:val="auto"/>
        </w:rPr>
      </w:pPr>
      <w:r>
        <w:rPr>
          <w:rFonts w:ascii="Courier New" w:cs="Courier New" w:eastAsia="Courier New" w:hAnsi="Courier New"/>
          <w:sz w:val="16"/>
          <w:szCs w:val="16"/>
          <w:color w:val="auto"/>
        </w:rPr>
        <w:t>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6" w:lineRule="exact"/>
        <w:rPr>
          <w:sz w:val="20"/>
          <w:szCs w:val="20"/>
          <w:color w:val="auto"/>
        </w:rPr>
      </w:pPr>
    </w:p>
    <w:p>
      <w:pPr>
        <w:ind w:right="3579" w:firstLine="632"/>
        <w:spacing w:after="0" w:line="236" w:lineRule="auto"/>
        <w:tabs>
          <w:tab w:leader="none" w:pos="11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suit in which the only liability asserted against a director is pursuant to section 1701.95 of the Revised Code.</w:t>
      </w:r>
    </w:p>
    <w:p>
      <w:pPr>
        <w:spacing w:after="0" w:line="209" w:lineRule="exact"/>
        <w:rPr>
          <w:sz w:val="20"/>
          <w:szCs w:val="20"/>
          <w:color w:val="auto"/>
        </w:rPr>
      </w:pPr>
    </w:p>
    <w:p>
      <w:pPr>
        <w:ind w:right="3579" w:firstLine="632"/>
        <w:spacing w:after="0" w:line="237" w:lineRule="auto"/>
        <w:tabs>
          <w:tab w:leader="none" w:pos="115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07" w:lineRule="exact"/>
        <w:rPr>
          <w:rFonts w:ascii="Courier New" w:cs="Courier New" w:eastAsia="Courier New" w:hAnsi="Courier New"/>
          <w:sz w:val="18"/>
          <w:szCs w:val="18"/>
          <w:color w:val="auto"/>
        </w:rPr>
      </w:pPr>
    </w:p>
    <w:p>
      <w:pPr>
        <w:ind w:left="1160" w:hanging="528"/>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division (E)(1) or</w:t>
      </w:r>
    </w:p>
    <w:p>
      <w:pPr>
        <w:spacing w:after="0" w:line="4" w:lineRule="exact"/>
        <w:rPr>
          <w:rFonts w:ascii="Courier New" w:cs="Courier New" w:eastAsia="Courier New" w:hAnsi="Courier New"/>
          <w:sz w:val="18"/>
          <w:szCs w:val="18"/>
          <w:color w:val="auto"/>
        </w:rPr>
      </w:pPr>
    </w:p>
    <w:p>
      <w:pPr>
        <w:ind w:right="3679"/>
        <w:spacing w:after="0" w:line="272"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385" w:lineRule="exact"/>
        <w:rPr>
          <w:sz w:val="20"/>
          <w:szCs w:val="20"/>
          <w:color w:val="auto"/>
        </w:rPr>
      </w:pPr>
    </w:p>
    <w:p>
      <w:pPr>
        <w:ind w:right="3579" w:firstLine="632"/>
        <w:spacing w:after="0" w:line="237" w:lineRule="auto"/>
        <w:tabs>
          <w:tab w:leader="none" w:pos="11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208" w:lineRule="exact"/>
        <w:rPr>
          <w:rFonts w:ascii="Courier New" w:cs="Courier New" w:eastAsia="Courier New" w:hAnsi="Courier New"/>
          <w:sz w:val="18"/>
          <w:szCs w:val="18"/>
          <w:color w:val="auto"/>
        </w:rPr>
      </w:pPr>
    </w:p>
    <w:p>
      <w:pPr>
        <w:ind w:right="3579" w:firstLine="632"/>
        <w:spacing w:after="0" w:line="272" w:lineRule="auto"/>
        <w:tabs>
          <w:tab w:leader="none" w:pos="12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379" w:lineRule="exact"/>
        <w:rPr>
          <w:rFonts w:ascii="Courier New" w:cs="Courier New" w:eastAsia="Courier New" w:hAnsi="Courier New"/>
          <w:sz w:val="16"/>
          <w:szCs w:val="16"/>
          <w:color w:val="auto"/>
        </w:rPr>
      </w:pPr>
    </w:p>
    <w:p>
      <w:pPr>
        <w:ind w:left="1160" w:hanging="528"/>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6" w:lineRule="exact"/>
        <w:rPr>
          <w:rFonts w:ascii="Courier New" w:cs="Courier New" w:eastAsia="Courier New" w:hAnsi="Courier New"/>
          <w:sz w:val="18"/>
          <w:szCs w:val="18"/>
          <w:color w:val="auto"/>
        </w:rPr>
      </w:pPr>
    </w:p>
    <w:p>
      <w:pPr>
        <w:ind w:right="3779" w:firstLine="632"/>
        <w:spacing w:after="0" w:line="279" w:lineRule="auto"/>
        <w:tabs>
          <w:tab w:leader="none" w:pos="115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or the court in which the action, suit, or proceeding referred to in division (E)(1) or (2) of this section was brought.</w:t>
      </w:r>
    </w:p>
    <w:p>
      <w:pPr>
        <w:spacing w:after="0" w:line="178" w:lineRule="exact"/>
        <w:rPr>
          <w:sz w:val="20"/>
          <w:szCs w:val="20"/>
          <w:color w:val="auto"/>
        </w:rPr>
      </w:pPr>
    </w:p>
    <w:p>
      <w:pPr>
        <w:ind w:right="3679" w:firstLine="632"/>
        <w:spacing w:after="0" w:line="237" w:lineRule="auto"/>
        <w:rPr>
          <w:sz w:val="20"/>
          <w:szCs w:val="20"/>
          <w:color w:val="auto"/>
        </w:rPr>
      </w:pPr>
      <w:r>
        <w:rPr>
          <w:rFonts w:ascii="Courier New" w:cs="Courier New" w:eastAsia="Courier New" w:hAnsi="Courier New"/>
          <w:sz w:val="18"/>
          <w:szCs w:val="18"/>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216" w:lineRule="exact"/>
        <w:rPr>
          <w:sz w:val="20"/>
          <w:szCs w:val="20"/>
          <w:color w:val="auto"/>
        </w:rPr>
      </w:pPr>
    </w:p>
    <w:p>
      <w:pPr>
        <w:ind w:right="3579" w:firstLine="632"/>
        <w:spacing w:after="0" w:line="270" w:lineRule="auto"/>
        <w:rPr>
          <w:sz w:val="20"/>
          <w:szCs w:val="20"/>
          <w:color w:val="auto"/>
        </w:rPr>
      </w:pPr>
      <w:r>
        <w:rPr>
          <w:rFonts w:ascii="Courier New" w:cs="Courier New" w:eastAsia="Courier New" w:hAnsi="Courier New"/>
          <w:sz w:val="16"/>
          <w:szCs w:val="16"/>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w:t>
      </w:r>
    </w:p>
    <w:p>
      <w:pPr>
        <w:sectPr>
          <w:pgSz w:w="11900" w:h="16838" w:orient="portrait"/>
          <w:cols w:equalWidth="0" w:num="1">
            <w:col w:w="9579"/>
          </w:cols>
          <w:pgMar w:left="880" w:top="142" w:right="1440" w:bottom="0" w:gutter="0" w:footer="0" w:header="0"/>
        </w:sectPr>
      </w:pPr>
    </w:p>
    <w:bookmarkStart w:id="6" w:name="page7"/>
    <w:bookmarkEnd w:id="6"/>
    <w:p>
      <w:pPr>
        <w:ind w:right="3779"/>
        <w:spacing w:after="0" w:line="235" w:lineRule="auto"/>
        <w:rPr>
          <w:sz w:val="20"/>
          <w:szCs w:val="20"/>
          <w:color w:val="auto"/>
        </w:rPr>
      </w:pPr>
      <w:r>
        <w:rPr>
          <w:rFonts w:ascii="Courier New" w:cs="Courier New" w:eastAsia="Courier New" w:hAnsi="Courier New"/>
          <w:sz w:val="18"/>
          <w:szCs w:val="18"/>
          <w:color w:val="auto"/>
        </w:rPr>
        <w:t>behalf of the director in which he agrees to do both of the following:</w:t>
      </w:r>
    </w:p>
    <w:p>
      <w:pPr>
        <w:spacing w:after="0" w:line="208" w:lineRule="exact"/>
        <w:rPr>
          <w:sz w:val="20"/>
          <w:szCs w:val="20"/>
          <w:color w:val="auto"/>
        </w:rPr>
      </w:pPr>
    </w:p>
    <w:p>
      <w:pPr>
        <w:ind w:right="3579" w:firstLine="632"/>
        <w:spacing w:after="0" w:line="272" w:lineRule="auto"/>
        <w:tabs>
          <w:tab w:leader="none" w:pos="115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85" w:lineRule="exact"/>
        <w:rPr>
          <w:rFonts w:ascii="Courier New" w:cs="Courier New" w:eastAsia="Courier New" w:hAnsi="Courier New"/>
          <w:sz w:val="16"/>
          <w:szCs w:val="16"/>
          <w:color w:val="auto"/>
        </w:rPr>
      </w:pPr>
    </w:p>
    <w:p>
      <w:pPr>
        <w:ind w:right="3999" w:firstLine="632"/>
        <w:spacing w:after="0" w:line="290" w:lineRule="auto"/>
        <w:tabs>
          <w:tab w:leader="none" w:pos="12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cooperate with the corporation concerning the action, suit, or proceeding.</w:t>
      </w:r>
    </w:p>
    <w:p>
      <w:pPr>
        <w:spacing w:after="0" w:line="170" w:lineRule="exact"/>
        <w:rPr>
          <w:sz w:val="20"/>
          <w:szCs w:val="20"/>
          <w:color w:val="auto"/>
        </w:rPr>
      </w:pPr>
    </w:p>
    <w:p>
      <w:pPr>
        <w:ind w:right="3679" w:firstLine="632"/>
        <w:spacing w:after="0" w:line="238" w:lineRule="auto"/>
        <w:tabs>
          <w:tab w:leader="none" w:pos="11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207" w:lineRule="exact"/>
        <w:rPr>
          <w:sz w:val="20"/>
          <w:szCs w:val="20"/>
          <w:color w:val="auto"/>
        </w:rPr>
      </w:pPr>
    </w:p>
    <w:p>
      <w:pPr>
        <w:ind w:right="3579" w:firstLine="632"/>
        <w:spacing w:after="0" w:line="238"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207" w:lineRule="exact"/>
        <w:rPr>
          <w:rFonts w:ascii="Courier New" w:cs="Courier New" w:eastAsia="Courier New" w:hAnsi="Courier New"/>
          <w:sz w:val="18"/>
          <w:szCs w:val="18"/>
          <w:color w:val="auto"/>
        </w:rPr>
      </w:pPr>
    </w:p>
    <w:p>
      <w:pPr>
        <w:ind w:right="3579" w:firstLine="632"/>
        <w:spacing w:after="0" w:line="269" w:lineRule="auto"/>
        <w:tabs>
          <w:tab w:leader="none" w:pos="11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395" w:lineRule="exact"/>
        <w:rPr>
          <w:rFonts w:ascii="Courier New" w:cs="Courier New" w:eastAsia="Courier New" w:hAnsi="Courier New"/>
          <w:sz w:val="16"/>
          <w:szCs w:val="16"/>
          <w:color w:val="auto"/>
        </w:rPr>
      </w:pPr>
    </w:p>
    <w:p>
      <w:pPr>
        <w:ind w:right="3579" w:firstLine="632"/>
        <w:spacing w:after="0" w:line="237"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213" w:lineRule="exact"/>
        <w:rPr>
          <w:rFonts w:ascii="Courier New" w:cs="Courier New" w:eastAsia="Courier New" w:hAnsi="Courier New"/>
          <w:sz w:val="18"/>
          <w:szCs w:val="18"/>
          <w:color w:val="auto"/>
        </w:rPr>
      </w:pPr>
    </w:p>
    <w:p>
      <w:pPr>
        <w:ind w:right="3579" w:firstLine="632"/>
        <w:spacing w:after="0" w:line="270" w:lineRule="auto"/>
        <w:tabs>
          <w:tab w:leader="none" w:pos="11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w:t>
      </w:r>
    </w:p>
    <w:p>
      <w:pPr>
        <w:sectPr>
          <w:pgSz w:w="11900" w:h="16838" w:orient="portrait"/>
          <w:cols w:equalWidth="0" w:num="1">
            <w:col w:w="9579"/>
          </w:cols>
          <w:pgMar w:left="880" w:top="142" w:right="1440" w:bottom="0" w:gutter="0" w:footer="0" w:header="0"/>
        </w:sectPr>
      </w:pPr>
    </w:p>
    <w:bookmarkStart w:id="7" w:name="page8"/>
    <w:bookmarkEnd w:id="7"/>
    <w:p>
      <w:pPr>
        <w:ind w:left="640"/>
        <w:spacing w:after="0"/>
        <w:rPr>
          <w:sz w:val="20"/>
          <w:szCs w:val="20"/>
          <w:color w:val="auto"/>
        </w:rPr>
      </w:pPr>
      <w:r>
        <w:rPr>
          <w:rFonts w:ascii="Courier New" w:cs="Courier New" w:eastAsia="Courier New" w:hAnsi="Courier New"/>
          <w:sz w:val="18"/>
          <w:szCs w:val="18"/>
          <w:color w:val="auto"/>
        </w:rPr>
        <w:t>same capacity.</w:t>
      </w:r>
    </w:p>
    <w:p>
      <w:pPr>
        <w:spacing w:after="0" w:line="200" w:lineRule="exact"/>
        <w:rPr>
          <w:sz w:val="20"/>
          <w:szCs w:val="20"/>
          <w:color w:val="auto"/>
        </w:rPr>
      </w:pPr>
    </w:p>
    <w:p>
      <w:pPr>
        <w:spacing w:after="0" w:line="209" w:lineRule="exact"/>
        <w:rPr>
          <w:sz w:val="20"/>
          <w:szCs w:val="20"/>
          <w:color w:val="auto"/>
        </w:rPr>
      </w:pPr>
    </w:p>
    <w:p>
      <w:pPr>
        <w:ind w:right="3479" w:firstLine="1264"/>
        <w:spacing w:after="0" w:line="236" w:lineRule="auto"/>
        <w:rPr>
          <w:sz w:val="20"/>
          <w:szCs w:val="20"/>
          <w:color w:val="auto"/>
        </w:rPr>
      </w:pPr>
      <w:r>
        <w:rPr>
          <w:rFonts w:ascii="Courier New" w:cs="Courier New" w:eastAsia="Courier New" w:hAnsi="Courier New"/>
          <w:sz w:val="18"/>
          <w:szCs w:val="18"/>
          <w:color w:val="auto"/>
        </w:rPr>
        <w:t>Scotts Ohio has purchased insurance coverage under a policy which insures directors and officers against certain liabilities which might be incurred by them in such capacity.</w:t>
      </w:r>
    </w:p>
    <w:p>
      <w:pPr>
        <w:spacing w:after="0" w:line="209" w:lineRule="exact"/>
        <w:rPr>
          <w:sz w:val="20"/>
          <w:szCs w:val="20"/>
          <w:color w:val="auto"/>
        </w:rPr>
      </w:pPr>
    </w:p>
    <w:p>
      <w:pPr>
        <w:ind w:right="3259" w:firstLine="1264"/>
        <w:spacing w:after="0" w:line="271" w:lineRule="auto"/>
        <w:rPr>
          <w:sz w:val="20"/>
          <w:szCs w:val="20"/>
          <w:color w:val="auto"/>
        </w:rPr>
      </w:pPr>
      <w:r>
        <w:rPr>
          <w:rFonts w:ascii="Courier New" w:cs="Courier New" w:eastAsia="Courier New" w:hAnsi="Courier New"/>
          <w:sz w:val="16"/>
          <w:szCs w:val="16"/>
          <w:color w:val="auto"/>
        </w:rPr>
        <w:t>Section 9.7 of The Scotts Company Profit Sharing and Savings Plan (formerly known as The O. M. Scott &amp; Sons Company Profit Sharing and Savings Plan) (the "Plan") governs the indemnification of members of the Advisory Committee for the Plan, members of the Investment Committee for the Plan and employees of Scotts Ohio carrying out the duties of the Administrator of the Plan, in connection with the Plan. That Section provides:</w:t>
      </w:r>
    </w:p>
    <w:p>
      <w:pPr>
        <w:spacing w:after="0" w:line="182" w:lineRule="exact"/>
        <w:rPr>
          <w:sz w:val="20"/>
          <w:szCs w:val="20"/>
          <w:color w:val="auto"/>
        </w:rPr>
      </w:pPr>
    </w:p>
    <w:p>
      <w:pPr>
        <w:ind w:left="1280"/>
        <w:spacing w:after="0"/>
        <w:tabs>
          <w:tab w:leader="none" w:pos="1880" w:val="left"/>
          <w:tab w:leader="none" w:pos="3780" w:val="left"/>
        </w:tabs>
        <w:rPr>
          <w:sz w:val="20"/>
          <w:szCs w:val="20"/>
          <w:color w:val="auto"/>
        </w:rPr>
      </w:pPr>
      <w:r>
        <w:rPr>
          <w:rFonts w:ascii="Courier New" w:cs="Courier New" w:eastAsia="Courier New" w:hAnsi="Courier New"/>
          <w:sz w:val="18"/>
          <w:szCs w:val="18"/>
          <w:color w:val="auto"/>
        </w:rPr>
        <w:t>9.7.</w:t>
        <w:tab/>
        <w:t>Indemnification.</w:t>
      </w:r>
      <w:r>
        <w:rPr>
          <w:sz w:val="20"/>
          <w:szCs w:val="20"/>
          <w:color w:val="auto"/>
        </w:rPr>
        <w:tab/>
      </w:r>
      <w:r>
        <w:rPr>
          <w:rFonts w:ascii="Courier New" w:cs="Courier New" w:eastAsia="Courier New" w:hAnsi="Courier New"/>
          <w:sz w:val="16"/>
          <w:szCs w:val="16"/>
          <w:color w:val="auto"/>
        </w:rPr>
        <w:t>Each member of the</w:t>
      </w:r>
    </w:p>
    <w:p>
      <w:pPr>
        <w:ind w:left="1280"/>
        <w:spacing w:after="0" w:line="238" w:lineRule="auto"/>
        <w:rPr>
          <w:sz w:val="20"/>
          <w:szCs w:val="20"/>
          <w:color w:val="auto"/>
        </w:rPr>
      </w:pPr>
      <w:r>
        <w:rPr>
          <w:rFonts w:ascii="Courier New" w:cs="Courier New" w:eastAsia="Courier New" w:hAnsi="Courier New"/>
          <w:sz w:val="18"/>
          <w:szCs w:val="18"/>
          <w:color w:val="auto"/>
        </w:rPr>
        <w:t>Advisory Committee, each member of the</w:t>
      </w:r>
    </w:p>
    <w:p>
      <w:pPr>
        <w:ind w:left="1280"/>
        <w:spacing w:after="0"/>
        <w:rPr>
          <w:sz w:val="20"/>
          <w:szCs w:val="20"/>
          <w:color w:val="auto"/>
        </w:rPr>
      </w:pPr>
      <w:r>
        <w:rPr>
          <w:rFonts w:ascii="Courier New" w:cs="Courier New" w:eastAsia="Courier New" w:hAnsi="Courier New"/>
          <w:sz w:val="18"/>
          <w:szCs w:val="18"/>
          <w:color w:val="auto"/>
        </w:rPr>
        <w:t>Investment Committee, and Employees carrying</w:t>
      </w:r>
    </w:p>
    <w:p>
      <w:pPr>
        <w:ind w:left="1280"/>
        <w:spacing w:after="0" w:line="237" w:lineRule="auto"/>
        <w:rPr>
          <w:sz w:val="20"/>
          <w:szCs w:val="20"/>
          <w:color w:val="auto"/>
        </w:rPr>
      </w:pPr>
      <w:r>
        <w:rPr>
          <w:rFonts w:ascii="Courier New" w:cs="Courier New" w:eastAsia="Courier New" w:hAnsi="Courier New"/>
          <w:sz w:val="18"/>
          <w:szCs w:val="18"/>
          <w:color w:val="auto"/>
        </w:rPr>
        <w:t>out the duties of the Administrator shall be</w:t>
      </w:r>
    </w:p>
    <w:p>
      <w:pPr>
        <w:ind w:left="1280"/>
        <w:spacing w:after="0" w:line="238" w:lineRule="auto"/>
        <w:rPr>
          <w:sz w:val="20"/>
          <w:szCs w:val="20"/>
          <w:color w:val="auto"/>
        </w:rPr>
      </w:pPr>
      <w:r>
        <w:rPr>
          <w:rFonts w:ascii="Courier New" w:cs="Courier New" w:eastAsia="Courier New" w:hAnsi="Courier New"/>
          <w:sz w:val="18"/>
          <w:szCs w:val="18"/>
          <w:color w:val="auto"/>
        </w:rPr>
        <w:t>indemnified by the Employer against costs,</w:t>
      </w:r>
    </w:p>
    <w:p>
      <w:pPr>
        <w:ind w:left="1280"/>
        <w:spacing w:after="0"/>
        <w:rPr>
          <w:sz w:val="20"/>
          <w:szCs w:val="20"/>
          <w:color w:val="auto"/>
        </w:rPr>
      </w:pPr>
      <w:r>
        <w:rPr>
          <w:rFonts w:ascii="Courier New" w:cs="Courier New" w:eastAsia="Courier New" w:hAnsi="Courier New"/>
          <w:sz w:val="18"/>
          <w:szCs w:val="18"/>
          <w:color w:val="auto"/>
        </w:rPr>
        <w:t>expenses and liabilities (other than amounts</w:t>
      </w:r>
    </w:p>
    <w:p>
      <w:pPr>
        <w:ind w:left="1280"/>
        <w:spacing w:after="0" w:line="237" w:lineRule="auto"/>
        <w:rPr>
          <w:sz w:val="20"/>
          <w:szCs w:val="20"/>
          <w:color w:val="auto"/>
        </w:rPr>
      </w:pPr>
      <w:r>
        <w:rPr>
          <w:rFonts w:ascii="Courier New" w:cs="Courier New" w:eastAsia="Courier New" w:hAnsi="Courier New"/>
          <w:sz w:val="18"/>
          <w:szCs w:val="18"/>
          <w:color w:val="auto"/>
        </w:rPr>
        <w:t>paid in settlement to which the Employer does</w:t>
      </w:r>
    </w:p>
    <w:p>
      <w:pPr>
        <w:ind w:left="1280"/>
        <w:spacing w:after="0"/>
        <w:rPr>
          <w:sz w:val="20"/>
          <w:szCs w:val="20"/>
          <w:color w:val="auto"/>
        </w:rPr>
      </w:pPr>
      <w:r>
        <w:rPr>
          <w:rFonts w:ascii="Courier New" w:cs="Courier New" w:eastAsia="Courier New" w:hAnsi="Courier New"/>
          <w:sz w:val="18"/>
          <w:szCs w:val="18"/>
          <w:color w:val="auto"/>
        </w:rPr>
        <w:t>not consent) reasonably incurred by the person</w:t>
      </w:r>
    </w:p>
    <w:p>
      <w:pPr>
        <w:ind w:left="1280"/>
        <w:spacing w:after="0" w:line="237" w:lineRule="auto"/>
        <w:rPr>
          <w:sz w:val="20"/>
          <w:szCs w:val="20"/>
          <w:color w:val="auto"/>
        </w:rPr>
      </w:pPr>
      <w:r>
        <w:rPr>
          <w:rFonts w:ascii="Courier New" w:cs="Courier New" w:eastAsia="Courier New" w:hAnsi="Courier New"/>
          <w:sz w:val="18"/>
          <w:szCs w:val="18"/>
          <w:color w:val="auto"/>
        </w:rPr>
        <w:t>in connection with any action to which the</w:t>
      </w:r>
    </w:p>
    <w:p>
      <w:pPr>
        <w:ind w:left="1280"/>
        <w:spacing w:after="0"/>
        <w:rPr>
          <w:sz w:val="20"/>
          <w:szCs w:val="20"/>
          <w:color w:val="auto"/>
        </w:rPr>
      </w:pPr>
      <w:r>
        <w:rPr>
          <w:rFonts w:ascii="Courier New" w:cs="Courier New" w:eastAsia="Courier New" w:hAnsi="Courier New"/>
          <w:sz w:val="18"/>
          <w:szCs w:val="18"/>
          <w:color w:val="auto"/>
        </w:rPr>
        <w:t>person may be a party by reason of his or her</w:t>
      </w:r>
    </w:p>
    <w:p>
      <w:pPr>
        <w:ind w:left="1280"/>
        <w:spacing w:after="0" w:line="237" w:lineRule="auto"/>
        <w:rPr>
          <w:sz w:val="20"/>
          <w:szCs w:val="20"/>
          <w:color w:val="auto"/>
        </w:rPr>
      </w:pPr>
      <w:r>
        <w:rPr>
          <w:rFonts w:ascii="Courier New" w:cs="Courier New" w:eastAsia="Courier New" w:hAnsi="Courier New"/>
          <w:sz w:val="18"/>
          <w:szCs w:val="18"/>
          <w:color w:val="auto"/>
        </w:rPr>
        <w:t>service as a member of the committee or for</w:t>
      </w:r>
    </w:p>
    <w:p>
      <w:pPr>
        <w:ind w:left="1280"/>
        <w:spacing w:after="0" w:line="238" w:lineRule="auto"/>
        <w:rPr>
          <w:sz w:val="20"/>
          <w:szCs w:val="20"/>
          <w:color w:val="auto"/>
        </w:rPr>
      </w:pPr>
      <w:r>
        <w:rPr>
          <w:rFonts w:ascii="Courier New" w:cs="Courier New" w:eastAsia="Courier New" w:hAnsi="Courier New"/>
          <w:sz w:val="18"/>
          <w:szCs w:val="18"/>
          <w:color w:val="auto"/>
        </w:rPr>
        <w:t>the Administrator, except in relation to</w:t>
      </w:r>
    </w:p>
    <w:p>
      <w:pPr>
        <w:ind w:left="1280"/>
        <w:spacing w:after="0"/>
        <w:rPr>
          <w:sz w:val="20"/>
          <w:szCs w:val="20"/>
          <w:color w:val="auto"/>
        </w:rPr>
      </w:pPr>
      <w:r>
        <w:rPr>
          <w:rFonts w:ascii="Courier New" w:cs="Courier New" w:eastAsia="Courier New" w:hAnsi="Courier New"/>
          <w:sz w:val="18"/>
          <w:szCs w:val="18"/>
          <w:color w:val="auto"/>
        </w:rPr>
        <w:t>matters as to which he or she shall be</w:t>
      </w:r>
    </w:p>
    <w:p>
      <w:pPr>
        <w:ind w:left="1280"/>
        <w:spacing w:after="0" w:line="237" w:lineRule="auto"/>
        <w:rPr>
          <w:sz w:val="20"/>
          <w:szCs w:val="20"/>
          <w:color w:val="auto"/>
        </w:rPr>
      </w:pPr>
      <w:r>
        <w:rPr>
          <w:rFonts w:ascii="Courier New" w:cs="Courier New" w:eastAsia="Courier New" w:hAnsi="Courier New"/>
          <w:sz w:val="18"/>
          <w:szCs w:val="18"/>
          <w:color w:val="auto"/>
        </w:rPr>
        <w:t>adjudged in such action to be personally</w:t>
      </w:r>
    </w:p>
    <w:p>
      <w:pPr>
        <w:ind w:left="1280"/>
        <w:spacing w:after="0"/>
        <w:rPr>
          <w:sz w:val="20"/>
          <w:szCs w:val="20"/>
          <w:color w:val="auto"/>
        </w:rPr>
      </w:pPr>
      <w:r>
        <w:rPr>
          <w:rFonts w:ascii="Courier New" w:cs="Courier New" w:eastAsia="Courier New" w:hAnsi="Courier New"/>
          <w:sz w:val="18"/>
          <w:szCs w:val="18"/>
          <w:color w:val="auto"/>
        </w:rPr>
        <w:t>guilty of negligence or willful misconduct in</w:t>
      </w:r>
    </w:p>
    <w:p>
      <w:pPr>
        <w:ind w:left="1280"/>
        <w:spacing w:after="0"/>
        <w:tabs>
          <w:tab w:leader="none" w:pos="5360" w:val="left"/>
        </w:tabs>
        <w:rPr>
          <w:sz w:val="20"/>
          <w:szCs w:val="20"/>
          <w:color w:val="auto"/>
        </w:rPr>
      </w:pPr>
      <w:r>
        <w:rPr>
          <w:rFonts w:ascii="Courier New" w:cs="Courier New" w:eastAsia="Courier New" w:hAnsi="Courier New"/>
          <w:sz w:val="18"/>
          <w:szCs w:val="18"/>
          <w:color w:val="auto"/>
        </w:rPr>
        <w:t>the performance of his or her duties.</w:t>
      </w:r>
      <w:r>
        <w:rPr>
          <w:sz w:val="20"/>
          <w:szCs w:val="20"/>
          <w:color w:val="auto"/>
        </w:rPr>
        <w:tab/>
      </w:r>
      <w:r>
        <w:rPr>
          <w:rFonts w:ascii="Courier New" w:cs="Courier New" w:eastAsia="Courier New" w:hAnsi="Courier New"/>
          <w:sz w:val="16"/>
          <w:szCs w:val="16"/>
          <w:color w:val="auto"/>
        </w:rPr>
        <w:t>The</w:t>
      </w:r>
    </w:p>
    <w:p>
      <w:pPr>
        <w:ind w:left="1280"/>
        <w:spacing w:after="0"/>
        <w:rPr>
          <w:sz w:val="20"/>
          <w:szCs w:val="20"/>
          <w:color w:val="auto"/>
        </w:rPr>
      </w:pPr>
      <w:r>
        <w:rPr>
          <w:rFonts w:ascii="Courier New" w:cs="Courier New" w:eastAsia="Courier New" w:hAnsi="Courier New"/>
          <w:sz w:val="18"/>
          <w:szCs w:val="18"/>
          <w:color w:val="auto"/>
        </w:rPr>
        <w:t>foregoing right to indemnification shall be in</w:t>
      </w:r>
    </w:p>
    <w:p>
      <w:pPr>
        <w:ind w:left="1280"/>
        <w:spacing w:after="0" w:line="237" w:lineRule="auto"/>
        <w:rPr>
          <w:sz w:val="20"/>
          <w:szCs w:val="20"/>
          <w:color w:val="auto"/>
        </w:rPr>
      </w:pPr>
      <w:r>
        <w:rPr>
          <w:rFonts w:ascii="Courier New" w:cs="Courier New" w:eastAsia="Courier New" w:hAnsi="Courier New"/>
          <w:sz w:val="18"/>
          <w:szCs w:val="18"/>
          <w:color w:val="auto"/>
        </w:rPr>
        <w:t>addition to such other rights as the person</w:t>
      </w:r>
    </w:p>
    <w:p>
      <w:pPr>
        <w:ind w:left="1280"/>
        <w:spacing w:after="0" w:line="238" w:lineRule="auto"/>
        <w:rPr>
          <w:sz w:val="20"/>
          <w:szCs w:val="20"/>
          <w:color w:val="auto"/>
        </w:rPr>
      </w:pPr>
      <w:r>
        <w:rPr>
          <w:rFonts w:ascii="Courier New" w:cs="Courier New" w:eastAsia="Courier New" w:hAnsi="Courier New"/>
          <w:sz w:val="18"/>
          <w:szCs w:val="18"/>
          <w:color w:val="auto"/>
        </w:rPr>
        <w:t>may enjoy as a matter of law or by reason of</w:t>
      </w:r>
    </w:p>
    <w:p>
      <w:pPr>
        <w:ind w:left="1280"/>
        <w:spacing w:after="0"/>
        <w:rPr>
          <w:sz w:val="20"/>
          <w:szCs w:val="20"/>
          <w:color w:val="auto"/>
        </w:rPr>
      </w:pPr>
      <w:r>
        <w:rPr>
          <w:rFonts w:ascii="Courier New" w:cs="Courier New" w:eastAsia="Courier New" w:hAnsi="Courier New"/>
          <w:sz w:val="18"/>
          <w:szCs w:val="18"/>
          <w:color w:val="auto"/>
        </w:rPr>
        <w:t>insurance coverage of any kind, but shall not</w:t>
      </w:r>
    </w:p>
    <w:p>
      <w:pPr>
        <w:ind w:left="1280"/>
        <w:spacing w:after="0" w:line="237" w:lineRule="auto"/>
        <w:rPr>
          <w:sz w:val="20"/>
          <w:szCs w:val="20"/>
          <w:color w:val="auto"/>
        </w:rPr>
      </w:pPr>
      <w:r>
        <w:rPr>
          <w:rFonts w:ascii="Courier New" w:cs="Courier New" w:eastAsia="Courier New" w:hAnsi="Courier New"/>
          <w:sz w:val="18"/>
          <w:szCs w:val="18"/>
          <w:color w:val="auto"/>
        </w:rPr>
        <w:t>extend to costs, expenses and/or liabilities</w:t>
      </w:r>
    </w:p>
    <w:p>
      <w:pPr>
        <w:ind w:left="1280"/>
        <w:spacing w:after="0"/>
        <w:rPr>
          <w:sz w:val="20"/>
          <w:szCs w:val="20"/>
          <w:color w:val="auto"/>
        </w:rPr>
      </w:pPr>
      <w:r>
        <w:rPr>
          <w:rFonts w:ascii="Courier New" w:cs="Courier New" w:eastAsia="Courier New" w:hAnsi="Courier New"/>
          <w:sz w:val="18"/>
          <w:szCs w:val="18"/>
          <w:color w:val="auto"/>
        </w:rPr>
        <w:t>otherwise covered by insurance or that would</w:t>
      </w:r>
    </w:p>
    <w:p>
      <w:pPr>
        <w:ind w:left="1280"/>
        <w:spacing w:after="0" w:line="237" w:lineRule="auto"/>
        <w:rPr>
          <w:sz w:val="20"/>
          <w:szCs w:val="20"/>
          <w:color w:val="auto"/>
        </w:rPr>
      </w:pPr>
      <w:r>
        <w:rPr>
          <w:rFonts w:ascii="Courier New" w:cs="Courier New" w:eastAsia="Courier New" w:hAnsi="Courier New"/>
          <w:sz w:val="18"/>
          <w:szCs w:val="18"/>
          <w:color w:val="auto"/>
        </w:rPr>
        <w:t>be so covered by any insurance then in force</w:t>
      </w:r>
    </w:p>
    <w:p>
      <w:pPr>
        <w:ind w:left="1280"/>
        <w:spacing w:after="0"/>
        <w:rPr>
          <w:sz w:val="20"/>
          <w:szCs w:val="20"/>
          <w:color w:val="auto"/>
        </w:rPr>
      </w:pPr>
      <w:r>
        <w:rPr>
          <w:rFonts w:ascii="Courier New" w:cs="Courier New" w:eastAsia="Courier New" w:hAnsi="Courier New"/>
          <w:sz w:val="18"/>
          <w:szCs w:val="18"/>
          <w:color w:val="auto"/>
        </w:rPr>
        <w:t>if such insurance contained a waiver of</w:t>
      </w:r>
    </w:p>
    <w:p>
      <w:pPr>
        <w:ind w:left="1280"/>
        <w:spacing w:after="0" w:line="237" w:lineRule="auto"/>
        <w:tabs>
          <w:tab w:leader="none" w:pos="2720" w:val="left"/>
        </w:tabs>
        <w:rPr>
          <w:sz w:val="20"/>
          <w:szCs w:val="20"/>
          <w:color w:val="auto"/>
        </w:rPr>
      </w:pPr>
      <w:r>
        <w:rPr>
          <w:rFonts w:ascii="Courier New" w:cs="Courier New" w:eastAsia="Courier New" w:hAnsi="Courier New"/>
          <w:sz w:val="18"/>
          <w:szCs w:val="18"/>
          <w:color w:val="auto"/>
        </w:rPr>
        <w:t>subrogation.</w:t>
        <w:tab/>
        <w:t>Rights granted hereunder shall</w:t>
      </w:r>
    </w:p>
    <w:p>
      <w:pPr>
        <w:ind w:left="1280"/>
        <w:spacing w:after="0"/>
        <w:rPr>
          <w:sz w:val="20"/>
          <w:szCs w:val="20"/>
          <w:color w:val="auto"/>
        </w:rPr>
      </w:pPr>
      <w:r>
        <w:rPr>
          <w:rFonts w:ascii="Courier New" w:cs="Courier New" w:eastAsia="Courier New" w:hAnsi="Courier New"/>
          <w:sz w:val="18"/>
          <w:szCs w:val="18"/>
          <w:color w:val="auto"/>
        </w:rPr>
        <w:t>be in addition to and not in lieu of any</w:t>
      </w:r>
    </w:p>
    <w:p>
      <w:pPr>
        <w:ind w:left="1280"/>
        <w:spacing w:after="0" w:line="237" w:lineRule="auto"/>
        <w:rPr>
          <w:sz w:val="20"/>
          <w:szCs w:val="20"/>
          <w:color w:val="auto"/>
        </w:rPr>
      </w:pPr>
      <w:r>
        <w:rPr>
          <w:rFonts w:ascii="Courier New" w:cs="Courier New" w:eastAsia="Courier New" w:hAnsi="Courier New"/>
          <w:sz w:val="18"/>
          <w:szCs w:val="18"/>
          <w:color w:val="auto"/>
        </w:rPr>
        <w:t>rights to indemnification to which the person</w:t>
      </w:r>
    </w:p>
    <w:p>
      <w:pPr>
        <w:ind w:left="1280"/>
        <w:spacing w:after="0" w:line="238" w:lineRule="auto"/>
        <w:rPr>
          <w:sz w:val="20"/>
          <w:szCs w:val="20"/>
          <w:color w:val="auto"/>
        </w:rPr>
      </w:pPr>
      <w:r>
        <w:rPr>
          <w:rFonts w:ascii="Courier New" w:cs="Courier New" w:eastAsia="Courier New" w:hAnsi="Courier New"/>
          <w:sz w:val="18"/>
          <w:szCs w:val="18"/>
          <w:color w:val="auto"/>
        </w:rPr>
        <w:t>may be entitled under the bylaws of the</w:t>
      </w:r>
    </w:p>
    <w:p>
      <w:pPr>
        <w:ind w:left="1280"/>
        <w:spacing w:after="0"/>
        <w:tabs>
          <w:tab w:leader="none" w:pos="2300" w:val="left"/>
        </w:tabs>
        <w:rPr>
          <w:sz w:val="20"/>
          <w:szCs w:val="20"/>
          <w:color w:val="auto"/>
        </w:rPr>
      </w:pPr>
      <w:r>
        <w:rPr>
          <w:rFonts w:ascii="Courier New" w:cs="Courier New" w:eastAsia="Courier New" w:hAnsi="Courier New"/>
          <w:sz w:val="18"/>
          <w:szCs w:val="18"/>
          <w:color w:val="auto"/>
        </w:rPr>
        <w:t>Company.</w:t>
        <w:tab/>
        <w:t>Service on the Advisory Committee or</w:t>
      </w:r>
    </w:p>
    <w:p>
      <w:pPr>
        <w:ind w:left="1280"/>
        <w:spacing w:after="0" w:line="237" w:lineRule="auto"/>
        <w:rPr>
          <w:sz w:val="20"/>
          <w:szCs w:val="20"/>
          <w:color w:val="auto"/>
        </w:rPr>
      </w:pPr>
      <w:r>
        <w:rPr>
          <w:rFonts w:ascii="Courier New" w:cs="Courier New" w:eastAsia="Courier New" w:hAnsi="Courier New"/>
          <w:sz w:val="18"/>
          <w:szCs w:val="18"/>
          <w:color w:val="auto"/>
        </w:rPr>
        <w:t>the Investment Committee or for the</w:t>
      </w:r>
    </w:p>
    <w:p>
      <w:pPr>
        <w:ind w:left="1280"/>
        <w:spacing w:after="0"/>
        <w:rPr>
          <w:sz w:val="20"/>
          <w:szCs w:val="20"/>
          <w:color w:val="auto"/>
        </w:rPr>
      </w:pPr>
      <w:r>
        <w:rPr>
          <w:rFonts w:ascii="Courier New" w:cs="Courier New" w:eastAsia="Courier New" w:hAnsi="Courier New"/>
          <w:sz w:val="18"/>
          <w:szCs w:val="18"/>
          <w:color w:val="auto"/>
        </w:rPr>
        <w:t>Administrator shall be deemed in partial</w:t>
      </w:r>
    </w:p>
    <w:p>
      <w:pPr>
        <w:ind w:left="1280"/>
        <w:spacing w:after="0" w:line="237" w:lineRule="auto"/>
        <w:rPr>
          <w:sz w:val="20"/>
          <w:szCs w:val="20"/>
          <w:color w:val="auto"/>
        </w:rPr>
      </w:pPr>
      <w:r>
        <w:rPr>
          <w:rFonts w:ascii="Courier New" w:cs="Courier New" w:eastAsia="Courier New" w:hAnsi="Courier New"/>
          <w:sz w:val="18"/>
          <w:szCs w:val="18"/>
          <w:color w:val="auto"/>
        </w:rPr>
        <w:t>fulfillment of the person's function as an</w:t>
      </w:r>
    </w:p>
    <w:p>
      <w:pPr>
        <w:ind w:left="1280"/>
        <w:spacing w:after="0"/>
        <w:rPr>
          <w:sz w:val="20"/>
          <w:szCs w:val="20"/>
          <w:color w:val="auto"/>
        </w:rPr>
      </w:pPr>
      <w:r>
        <w:rPr>
          <w:rFonts w:ascii="Courier New" w:cs="Courier New" w:eastAsia="Courier New" w:hAnsi="Courier New"/>
          <w:sz w:val="18"/>
          <w:szCs w:val="18"/>
          <w:color w:val="auto"/>
        </w:rPr>
        <w:t>Employee, officer and/or director of the</w:t>
      </w:r>
    </w:p>
    <w:p>
      <w:pPr>
        <w:ind w:left="1280"/>
        <w:spacing w:after="0" w:line="237" w:lineRule="auto"/>
        <w:rPr>
          <w:sz w:val="20"/>
          <w:szCs w:val="20"/>
          <w:color w:val="auto"/>
        </w:rPr>
      </w:pPr>
      <w:r>
        <w:rPr>
          <w:rFonts w:ascii="Courier New" w:cs="Courier New" w:eastAsia="Courier New" w:hAnsi="Courier New"/>
          <w:sz w:val="18"/>
          <w:szCs w:val="18"/>
          <w:color w:val="auto"/>
        </w:rPr>
        <w:t>Employer, if the person serves in such</w:t>
      </w:r>
    </w:p>
    <w:p>
      <w:pPr>
        <w:ind w:left="1280"/>
        <w:spacing w:after="0" w:line="238" w:lineRule="auto"/>
        <w:rPr>
          <w:sz w:val="20"/>
          <w:szCs w:val="20"/>
          <w:color w:val="auto"/>
        </w:rPr>
      </w:pPr>
      <w:r>
        <w:rPr>
          <w:rFonts w:ascii="Courier New" w:cs="Courier New" w:eastAsia="Courier New" w:hAnsi="Courier New"/>
          <w:sz w:val="18"/>
          <w:szCs w:val="18"/>
          <w:color w:val="auto"/>
        </w:rPr>
        <w:t>capacity as well.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the Index to Exhibits at page 16.</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[Signatures begin on the following page.]</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159" w:firstLine="1264"/>
        <w:spacing w:after="0" w:line="271" w:lineRule="auto"/>
        <w:rPr>
          <w:sz w:val="20"/>
          <w:szCs w:val="20"/>
          <w:color w:val="auto"/>
        </w:rPr>
      </w:pPr>
      <w:r>
        <w:rPr>
          <w:rFonts w:ascii="Courier New" w:cs="Courier New" w:eastAsia="Courier New" w:hAnsi="Courier New"/>
          <w:sz w:val="16"/>
          <w:szCs w:val="16"/>
          <w:color w:val="auto"/>
        </w:rPr>
        <w:t>The Registrant. 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Marysville, State of Ohio, on the 24th day of January, 1995.</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Tadd C. Seitz</w:t>
      </w:r>
    </w:p>
    <w:p>
      <w:pPr>
        <w:ind w:left="4120"/>
        <w:spacing w:after="0" w:line="238" w:lineRule="auto"/>
        <w:rPr>
          <w:sz w:val="20"/>
          <w:szCs w:val="20"/>
          <w:color w:val="auto"/>
        </w:rPr>
      </w:pPr>
      <w:r>
        <w:rPr>
          <w:rFonts w:ascii="Courier New" w:cs="Courier New" w:eastAsia="Courier New" w:hAnsi="Courier New"/>
          <w:sz w:val="18"/>
          <w:szCs w:val="18"/>
          <w:color w:val="auto"/>
        </w:rPr>
        <w:t>Tadd C. Seitz, Chairman of the</w:t>
      </w:r>
    </w:p>
    <w:p>
      <w:pPr>
        <w:jc w:val="right"/>
        <w:ind w:right="2619"/>
        <w:spacing w:after="0"/>
        <w:rPr>
          <w:sz w:val="20"/>
          <w:szCs w:val="20"/>
          <w:color w:val="auto"/>
        </w:rPr>
      </w:pPr>
      <w:r>
        <w:rPr>
          <w:rFonts w:ascii="Courier New" w:cs="Courier New" w:eastAsia="Courier New" w:hAnsi="Courier New"/>
          <w:sz w:val="18"/>
          <w:szCs w:val="18"/>
          <w:color w:val="auto"/>
        </w:rPr>
        <w:t>Board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159" w:firstLine="1264"/>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Post-Effective Amendment No. 1 to Registration Statement has been signed by the following persons in the capacities</w:t>
      </w:r>
    </w:p>
    <w:p>
      <w:pPr>
        <w:sectPr>
          <w:pgSz w:w="11900" w:h="16838" w:orient="portrait"/>
          <w:cols w:equalWidth="0" w:num="1">
            <w:col w:w="10219"/>
          </w:cols>
          <w:pgMar w:left="240" w:top="136"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indicated on January 24,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Tadd C. Seitz*</w:t>
      </w:r>
    </w:p>
    <w:p>
      <w:pPr>
        <w:spacing w:after="0" w:line="238" w:lineRule="auto"/>
        <w:rPr>
          <w:sz w:val="20"/>
          <w:szCs w:val="20"/>
          <w:color w:val="auto"/>
        </w:rPr>
      </w:pPr>
      <w:r>
        <w:rPr>
          <w:rFonts w:ascii="Courier New" w:cs="Courier New" w:eastAsia="Courier New" w:hAnsi="Courier New"/>
          <w:sz w:val="18"/>
          <w:szCs w:val="18"/>
          <w:color w:val="auto"/>
        </w:rPr>
        <w:t>Tadd C. Seitz</w:t>
      </w:r>
    </w:p>
    <w:p>
      <w:pPr>
        <w:spacing w:after="0"/>
        <w:rPr>
          <w:sz w:val="20"/>
          <w:szCs w:val="20"/>
          <w:color w:val="auto"/>
        </w:rPr>
      </w:pPr>
      <w:r>
        <w:rPr>
          <w:rFonts w:ascii="Courier New" w:cs="Courier New" w:eastAsia="Courier New" w:hAnsi="Courier New"/>
          <w:sz w:val="18"/>
          <w:szCs w:val="18"/>
          <w:color w:val="auto"/>
        </w:rPr>
        <w:t>Chairman of the Board, Chief</w:t>
      </w:r>
    </w:p>
    <w:p>
      <w:pPr>
        <w:spacing w:after="0" w:line="237" w:lineRule="auto"/>
        <w:rPr>
          <w:sz w:val="20"/>
          <w:szCs w:val="20"/>
          <w:color w:val="auto"/>
        </w:rPr>
      </w:pPr>
      <w:r>
        <w:rPr>
          <w:rFonts w:ascii="Courier New" w:cs="Courier New" w:eastAsia="Courier New" w:hAnsi="Courier New"/>
          <w:sz w:val="18"/>
          <w:szCs w:val="18"/>
          <w:color w:val="auto"/>
        </w:rPr>
        <w:t>Executive Officer and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Theodore J. Host*</w:t>
      </w:r>
    </w:p>
    <w:p>
      <w:pPr>
        <w:spacing w:after="0" w:line="238" w:lineRule="auto"/>
        <w:rPr>
          <w:sz w:val="20"/>
          <w:szCs w:val="20"/>
          <w:color w:val="auto"/>
        </w:rPr>
      </w:pPr>
      <w:r>
        <w:rPr>
          <w:rFonts w:ascii="Courier New" w:cs="Courier New" w:eastAsia="Courier New" w:hAnsi="Courier New"/>
          <w:sz w:val="18"/>
          <w:szCs w:val="18"/>
          <w:color w:val="auto"/>
        </w:rPr>
        <w:t>Theodore J. Host</w:t>
      </w:r>
    </w:p>
    <w:p>
      <w:pPr>
        <w:spacing w:after="0"/>
        <w:rPr>
          <w:sz w:val="20"/>
          <w:szCs w:val="20"/>
          <w:color w:val="auto"/>
        </w:rPr>
      </w:pPr>
      <w:r>
        <w:rPr>
          <w:rFonts w:ascii="Courier New" w:cs="Courier New" w:eastAsia="Courier New" w:hAnsi="Courier New"/>
          <w:sz w:val="18"/>
          <w:szCs w:val="18"/>
          <w:color w:val="auto"/>
        </w:rPr>
        <w:t>President, Chief Operating</w:t>
      </w:r>
    </w:p>
    <w:p>
      <w:pPr>
        <w:spacing w:after="0" w:line="237" w:lineRule="auto"/>
        <w:rPr>
          <w:sz w:val="20"/>
          <w:szCs w:val="20"/>
          <w:color w:val="auto"/>
        </w:rPr>
      </w:pPr>
      <w:r>
        <w:rPr>
          <w:rFonts w:ascii="Courier New" w:cs="Courier New" w:eastAsia="Courier New" w:hAnsi="Courier New"/>
          <w:sz w:val="18"/>
          <w:szCs w:val="18"/>
          <w:color w:val="auto"/>
        </w:rPr>
        <w:t>Officer and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B Beard*</w:t>
      </w:r>
    </w:p>
    <w:p>
      <w:pPr>
        <w:spacing w:after="0" w:line="238" w:lineRule="auto"/>
        <w:rPr>
          <w:sz w:val="20"/>
          <w:szCs w:val="20"/>
          <w:color w:val="auto"/>
        </w:rPr>
      </w:pPr>
      <w:r>
        <w:rPr>
          <w:rFonts w:ascii="Courier New" w:cs="Courier New" w:eastAsia="Courier New" w:hAnsi="Courier New"/>
          <w:sz w:val="18"/>
          <w:szCs w:val="18"/>
          <w:color w:val="auto"/>
        </w:rPr>
        <w:t>James B Beard</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S. Chamberlin*</w:t>
      </w:r>
    </w:p>
    <w:p>
      <w:pPr>
        <w:spacing w:after="0" w:line="238" w:lineRule="auto"/>
        <w:rPr>
          <w:sz w:val="20"/>
          <w:szCs w:val="20"/>
          <w:color w:val="auto"/>
        </w:rPr>
      </w:pPr>
      <w:r>
        <w:rPr>
          <w:rFonts w:ascii="Courier New" w:cs="Courier New" w:eastAsia="Courier New" w:hAnsi="Courier New"/>
          <w:sz w:val="18"/>
          <w:szCs w:val="18"/>
          <w:color w:val="auto"/>
        </w:rPr>
        <w:t>John S. Chamberlin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Tadd C. Seitz</w:t>
      </w:r>
    </w:p>
    <w:p>
      <w:pPr>
        <w:spacing w:after="0" w:line="238" w:lineRule="auto"/>
        <w:rPr>
          <w:sz w:val="20"/>
          <w:szCs w:val="20"/>
          <w:color w:val="auto"/>
        </w:rPr>
      </w:pPr>
      <w:r>
        <w:rPr>
          <w:rFonts w:ascii="Courier New" w:cs="Courier New" w:eastAsia="Courier New" w:hAnsi="Courier New"/>
          <w:sz w:val="18"/>
          <w:szCs w:val="18"/>
          <w:color w:val="auto"/>
        </w:rPr>
        <w:t>Tadd C. Seitz</w:t>
      </w:r>
    </w:p>
    <w:p>
      <w:pPr>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P. Flannery*</w:t>
      </w:r>
    </w:p>
    <w:p>
      <w:pPr>
        <w:spacing w:after="0" w:line="238" w:lineRule="auto"/>
        <w:rPr>
          <w:sz w:val="20"/>
          <w:szCs w:val="20"/>
          <w:color w:val="auto"/>
        </w:rPr>
      </w:pPr>
      <w:r>
        <w:rPr>
          <w:rFonts w:ascii="Courier New" w:cs="Courier New" w:eastAsia="Courier New" w:hAnsi="Courier New"/>
          <w:sz w:val="18"/>
          <w:szCs w:val="18"/>
          <w:color w:val="auto"/>
        </w:rPr>
        <w:t>Joseph P. Flannery</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Karen Gordon Mills*</w:t>
      </w:r>
    </w:p>
    <w:p>
      <w:pPr>
        <w:spacing w:after="0" w:line="238" w:lineRule="auto"/>
        <w:rPr>
          <w:sz w:val="20"/>
          <w:szCs w:val="20"/>
          <w:color w:val="auto"/>
        </w:rPr>
      </w:pPr>
      <w:r>
        <w:rPr>
          <w:rFonts w:ascii="Courier New" w:cs="Courier New" w:eastAsia="Courier New" w:hAnsi="Courier New"/>
          <w:sz w:val="18"/>
          <w:szCs w:val="18"/>
          <w:color w:val="auto"/>
        </w:rPr>
        <w:t>Karen Gordon Mills</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A. Sherman*</w:t>
      </w:r>
    </w:p>
    <w:p>
      <w:pPr>
        <w:spacing w:after="0" w:line="238" w:lineRule="auto"/>
        <w:rPr>
          <w:sz w:val="20"/>
          <w:szCs w:val="20"/>
          <w:color w:val="auto"/>
        </w:rPr>
      </w:pPr>
      <w:r>
        <w:rPr>
          <w:rFonts w:ascii="Courier New" w:cs="Courier New" w:eastAsia="Courier New" w:hAnsi="Courier New"/>
          <w:sz w:val="18"/>
          <w:szCs w:val="18"/>
          <w:color w:val="auto"/>
        </w:rPr>
        <w:t>Donald A. Sherman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M. Sullivan*</w:t>
      </w:r>
    </w:p>
    <w:p>
      <w:pPr>
        <w:spacing w:after="0" w:line="238" w:lineRule="auto"/>
        <w:rPr>
          <w:sz w:val="20"/>
          <w:szCs w:val="20"/>
          <w:color w:val="auto"/>
        </w:rPr>
      </w:pPr>
      <w:r>
        <w:rPr>
          <w:rFonts w:ascii="Courier New" w:cs="Courier New" w:eastAsia="Courier New" w:hAnsi="Courier New"/>
          <w:sz w:val="18"/>
          <w:szCs w:val="18"/>
          <w:color w:val="auto"/>
        </w:rPr>
        <w:t>John M. Sullivan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Jack Van Fossen*</w:t>
      </w:r>
    </w:p>
    <w:p>
      <w:pPr>
        <w:spacing w:after="0" w:line="238" w:lineRule="auto"/>
        <w:rPr>
          <w:sz w:val="20"/>
          <w:szCs w:val="20"/>
          <w:color w:val="auto"/>
        </w:rPr>
      </w:pPr>
      <w:r>
        <w:rPr>
          <w:rFonts w:ascii="Courier New" w:cs="Courier New" w:eastAsia="Courier New" w:hAnsi="Courier New"/>
          <w:sz w:val="18"/>
          <w:szCs w:val="18"/>
          <w:color w:val="auto"/>
        </w:rPr>
        <w:t>L. Jack Van Fossen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Yeager*</w:t>
      </w:r>
    </w:p>
    <w:p>
      <w:pPr>
        <w:spacing w:after="0" w:line="238" w:lineRule="auto"/>
        <w:rPr>
          <w:sz w:val="20"/>
          <w:szCs w:val="20"/>
          <w:color w:val="auto"/>
        </w:rPr>
      </w:pPr>
      <w:r>
        <w:rPr>
          <w:rFonts w:ascii="Courier New" w:cs="Courier New" w:eastAsia="Courier New" w:hAnsi="Courier New"/>
          <w:sz w:val="18"/>
          <w:szCs w:val="18"/>
          <w:color w:val="auto"/>
        </w:rPr>
        <w:t>Paul D. Yeager</w:t>
      </w: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rPr>
          <w:sz w:val="20"/>
          <w:szCs w:val="20"/>
          <w:color w:val="auto"/>
        </w:rPr>
      </w:pPr>
      <w:r>
        <w:rPr>
          <w:rFonts w:ascii="Courier New" w:cs="Courier New" w:eastAsia="Courier New" w:hAnsi="Courier New"/>
          <w:sz w:val="18"/>
          <w:szCs w:val="18"/>
          <w:color w:val="auto"/>
        </w:rPr>
        <w:t>Chief Financial Officer and</w:t>
      </w:r>
    </w:p>
    <w:p>
      <w:pPr>
        <w:spacing w:after="0" w:line="238"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Tadd C. Seitz</w:t>
      </w:r>
    </w:p>
    <w:p>
      <w:pPr>
        <w:spacing w:after="0" w:line="238" w:lineRule="auto"/>
        <w:rPr>
          <w:sz w:val="20"/>
          <w:szCs w:val="20"/>
          <w:color w:val="auto"/>
        </w:rPr>
      </w:pPr>
      <w:r>
        <w:rPr>
          <w:rFonts w:ascii="Courier New" w:cs="Courier New" w:eastAsia="Courier New" w:hAnsi="Courier New"/>
          <w:sz w:val="18"/>
          <w:szCs w:val="18"/>
          <w:color w:val="auto"/>
        </w:rPr>
        <w:t>Tadd C. Seitz</w:t>
      </w:r>
    </w:p>
    <w:p>
      <w:pPr>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right="2939" w:firstLine="1264"/>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the trustees (or other persons who administer the employee benefit plan) have duly caused this Post-Effective Amend-ment No. 1 to Registration Statement to be signed on its behalf by the undersigned, thereunto duly authorized, in the City of Marysville, State of Ohio, on January 24, 1995.</w:t>
      </w: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The Scotts Company Profit Sharing and</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Savings Plan (formerly known as The</w:t>
      </w:r>
    </w:p>
    <w:p>
      <w:pPr>
        <w:ind w:left="3800"/>
        <w:spacing w:after="0" w:line="238" w:lineRule="auto"/>
        <w:rPr>
          <w:sz w:val="20"/>
          <w:szCs w:val="20"/>
          <w:color w:val="auto"/>
        </w:rPr>
      </w:pPr>
      <w:r>
        <w:rPr>
          <w:rFonts w:ascii="Courier New" w:cs="Courier New" w:eastAsia="Courier New" w:hAnsi="Courier New"/>
          <w:sz w:val="18"/>
          <w:szCs w:val="18"/>
          <w:color w:val="auto"/>
        </w:rPr>
        <w:t>O.M. Scott &amp; Sons Company Profit</w:t>
      </w:r>
    </w:p>
    <w:p>
      <w:pPr>
        <w:ind w:left="3800"/>
        <w:spacing w:after="0"/>
        <w:rPr>
          <w:sz w:val="20"/>
          <w:szCs w:val="20"/>
          <w:color w:val="auto"/>
        </w:rPr>
      </w:pPr>
      <w:r>
        <w:rPr>
          <w:rFonts w:ascii="Courier New" w:cs="Courier New" w:eastAsia="Courier New" w:hAnsi="Courier New"/>
          <w:sz w:val="18"/>
          <w:szCs w:val="18"/>
          <w:color w:val="auto"/>
        </w:rPr>
        <w:t>Sharing and Savings Plan)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By: /s/ Lisa D. Turner</w:t>
      </w:r>
    </w:p>
    <w:p>
      <w:pPr>
        <w:sectPr>
          <w:pgSz w:w="11900" w:h="16838" w:orient="portrait"/>
          <w:cols w:equalWidth="0" w:num="1">
            <w:col w:w="10219"/>
          </w:cols>
          <w:pgMar w:left="240" w:top="136" w:right="1440" w:bottom="0" w:gutter="0" w:footer="0" w:header="0"/>
          <w:type w:val="continuous"/>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Lisa D. Turner, Plan Administrator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of The Scotts Company Profit Sharing</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198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Amended Articles of</w:t>
      </w:r>
    </w:p>
    <w:p>
      <w:pPr>
        <w:spacing w:after="0" w:line="4" w:lineRule="exact"/>
        <w:rPr>
          <w:sz w:val="20"/>
          <w:szCs w:val="20"/>
          <w:color w:val="auto"/>
        </w:rPr>
      </w:pPr>
    </w:p>
    <w:p>
      <w:pPr>
        <w:ind w:left="2000"/>
        <w:spacing w:after="0" w:line="275" w:lineRule="auto"/>
        <w:rPr>
          <w:sz w:val="20"/>
          <w:szCs w:val="20"/>
          <w:color w:val="auto"/>
        </w:rPr>
      </w:pPr>
      <w:r>
        <w:rPr>
          <w:rFonts w:ascii="Courier New" w:cs="Courier New" w:eastAsia="Courier New" w:hAnsi="Courier New"/>
          <w:sz w:val="16"/>
          <w:szCs w:val="16"/>
          <w:color w:val="auto"/>
        </w:rPr>
        <w:t>Incorporation of The Scotts Company, as filed with the Ohio Secretary of State on September 20,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4(b)</w:t>
      </w:r>
    </w:p>
    <w:p>
      <w:pPr>
        <w:spacing w:after="0" w:line="4" w:lineRule="exact"/>
        <w:rPr>
          <w:sz w:val="20"/>
          <w:szCs w:val="20"/>
          <w:color w:val="auto"/>
        </w:rPr>
      </w:pPr>
    </w:p>
    <w:p>
      <w:pPr>
        <w:ind w:left="2000" w:right="120"/>
        <w:spacing w:after="0" w:line="235" w:lineRule="auto"/>
        <w:rPr>
          <w:sz w:val="20"/>
          <w:szCs w:val="20"/>
          <w:color w:val="auto"/>
        </w:rPr>
      </w:pPr>
      <w:r>
        <w:rPr>
          <w:rFonts w:ascii="Courier New" w:cs="Courier New" w:eastAsia="Courier New" w:hAnsi="Courier New"/>
          <w:sz w:val="18"/>
          <w:szCs w:val="18"/>
          <w:color w:val="auto"/>
        </w:rPr>
        <w:t>Code of Regulations of The Scotts Company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Exhibit 3(a)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Registrant's</w:t>
      </w:r>
    </w:p>
    <w:p>
      <w:pPr>
        <w:spacing w:after="0" w:line="238" w:lineRule="auto"/>
        <w:rPr>
          <w:sz w:val="20"/>
          <w:szCs w:val="20"/>
          <w:color w:val="auto"/>
        </w:rPr>
      </w:pPr>
      <w:r>
        <w:rPr>
          <w:rFonts w:ascii="Courier New" w:cs="Courier New" w:eastAsia="Courier New" w:hAnsi="Courier New"/>
          <w:sz w:val="18"/>
          <w:szCs w:val="18"/>
          <w:color w:val="auto"/>
        </w:rPr>
        <w:t>Annual Report on</w:t>
      </w:r>
    </w:p>
    <w:p>
      <w:pPr>
        <w:spacing w:after="0"/>
        <w:rPr>
          <w:sz w:val="20"/>
          <w:szCs w:val="20"/>
          <w:color w:val="auto"/>
        </w:rPr>
      </w:pPr>
      <w:r>
        <w:rPr>
          <w:rFonts w:ascii="Courier New" w:cs="Courier New" w:eastAsia="Courier New" w:hAnsi="Courier New"/>
          <w:sz w:val="18"/>
          <w:szCs w:val="18"/>
          <w:color w:val="auto"/>
        </w:rPr>
        <w:t>Form 10-K for the fiscal</w:t>
      </w:r>
    </w:p>
    <w:p>
      <w:pPr>
        <w:spacing w:after="0" w:line="237" w:lineRule="auto"/>
        <w:rPr>
          <w:sz w:val="20"/>
          <w:szCs w:val="20"/>
          <w:color w:val="auto"/>
        </w:rPr>
      </w:pPr>
      <w:r>
        <w:rPr>
          <w:rFonts w:ascii="Courier New" w:cs="Courier New" w:eastAsia="Courier New" w:hAnsi="Courier New"/>
          <w:sz w:val="18"/>
          <w:szCs w:val="18"/>
          <w:color w:val="auto"/>
        </w:rPr>
        <w:t>year ended September 30,</w:t>
      </w:r>
    </w:p>
    <w:p>
      <w:pPr>
        <w:spacing w:after="0" w:line="238" w:lineRule="auto"/>
        <w:rPr>
          <w:sz w:val="20"/>
          <w:szCs w:val="20"/>
          <w:color w:val="auto"/>
        </w:rPr>
      </w:pPr>
      <w:r>
        <w:rPr>
          <w:rFonts w:ascii="Courier New" w:cs="Courier New" w:eastAsia="Courier New" w:hAnsi="Courier New"/>
          <w:sz w:val="18"/>
          <w:szCs w:val="18"/>
          <w:color w:val="auto"/>
        </w:rPr>
        <w:t>1994 (File No. 0-19768)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Exhibit 3(b)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Registrant's</w:t>
      </w:r>
    </w:p>
    <w:p>
      <w:pPr>
        <w:spacing w:after="0" w:line="238" w:lineRule="auto"/>
        <w:rPr>
          <w:sz w:val="20"/>
          <w:szCs w:val="20"/>
          <w:color w:val="auto"/>
        </w:rPr>
      </w:pPr>
      <w:r>
        <w:rPr>
          <w:rFonts w:ascii="Courier New" w:cs="Courier New" w:eastAsia="Courier New" w:hAnsi="Courier New"/>
          <w:sz w:val="18"/>
          <w:szCs w:val="18"/>
          <w:color w:val="auto"/>
        </w:rPr>
        <w:t>Annual Report on</w:t>
      </w:r>
    </w:p>
    <w:p>
      <w:pPr>
        <w:spacing w:after="0"/>
        <w:rPr>
          <w:sz w:val="20"/>
          <w:szCs w:val="20"/>
          <w:color w:val="auto"/>
        </w:rPr>
      </w:pPr>
      <w:r>
        <w:rPr>
          <w:rFonts w:ascii="Courier New" w:cs="Courier New" w:eastAsia="Courier New" w:hAnsi="Courier New"/>
          <w:sz w:val="18"/>
          <w:szCs w:val="18"/>
          <w:color w:val="auto"/>
        </w:rPr>
        <w:t>Form 10-K for the fiscal</w:t>
      </w:r>
    </w:p>
    <w:p>
      <w:pPr>
        <w:spacing w:after="0" w:line="237" w:lineRule="auto"/>
        <w:rPr>
          <w:sz w:val="20"/>
          <w:szCs w:val="20"/>
          <w:color w:val="auto"/>
        </w:rPr>
      </w:pPr>
      <w:r>
        <w:rPr>
          <w:rFonts w:ascii="Courier New" w:cs="Courier New" w:eastAsia="Courier New" w:hAnsi="Courier New"/>
          <w:sz w:val="18"/>
          <w:szCs w:val="18"/>
          <w:color w:val="auto"/>
        </w:rPr>
        <w:t>year ended September 30,</w:t>
      </w:r>
    </w:p>
    <w:p>
      <w:pPr>
        <w:spacing w:after="0" w:line="238" w:lineRule="auto"/>
        <w:rPr>
          <w:sz w:val="20"/>
          <w:szCs w:val="20"/>
          <w:color w:val="auto"/>
        </w:rPr>
      </w:pPr>
      <w:r>
        <w:rPr>
          <w:rFonts w:ascii="Courier New" w:cs="Courier New" w:eastAsia="Courier New" w:hAnsi="Courier New"/>
          <w:sz w:val="18"/>
          <w:szCs w:val="18"/>
          <w:color w:val="auto"/>
        </w:rPr>
        <w:t>1994 (File No. 0-19768)</w:t>
      </w:r>
    </w:p>
    <w:p>
      <w:pPr>
        <w:spacing w:after="0" w:line="200" w:lineRule="exact"/>
        <w:rPr>
          <w:sz w:val="20"/>
          <w:szCs w:val="20"/>
          <w:color w:val="auto"/>
        </w:rPr>
      </w:pPr>
    </w:p>
    <w:p>
      <w:pPr>
        <w:sectPr>
          <w:pgSz w:w="11900" w:h="16838" w:orient="portrait"/>
          <w:cols w:equalWidth="0" w:num="2">
            <w:col w:w="4860" w:space="300"/>
            <w:col w:w="5059"/>
          </w:cols>
          <w:pgMar w:left="240" w:top="136" w:right="1440" w:bottom="1440" w:gutter="0" w:footer="0" w:header="0"/>
          <w:type w:val="continuous"/>
        </w:sectPr>
      </w:pPr>
    </w:p>
    <w:p>
      <w:pPr>
        <w:spacing w:after="0" w:line="204" w:lineRule="exact"/>
        <w:rPr>
          <w:sz w:val="20"/>
          <w:szCs w:val="20"/>
          <w:color w:val="auto"/>
        </w:rPr>
      </w:pPr>
    </w:p>
    <w:p>
      <w:pPr>
        <w:ind w:left="220"/>
        <w:spacing w:after="0"/>
        <w:tabs>
          <w:tab w:leader="none" w:pos="1980" w:val="left"/>
          <w:tab w:leader="none" w:pos="51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w:t>
      </w:r>
      <w:r>
        <w:rPr>
          <w:sz w:val="20"/>
          <w:szCs w:val="20"/>
          <w:color w:val="auto"/>
        </w:rPr>
        <w:tab/>
      </w:r>
      <w:r>
        <w:rPr>
          <w:rFonts w:ascii="Courier New" w:cs="Courier New" w:eastAsia="Courier New" w:hAnsi="Courier New"/>
          <w:sz w:val="16"/>
          <w:szCs w:val="16"/>
          <w:color w:val="auto"/>
        </w:rPr>
        <w:t>Pages 17 through 27</w:t>
      </w:r>
    </w:p>
    <w:p>
      <w:pPr>
        <w:sectPr>
          <w:pgSz w:w="11900" w:h="16838" w:orient="portrait"/>
          <w:cols w:equalWidth="0" w:num="1">
            <w:col w:w="10219"/>
          </w:cols>
          <w:pgMar w:left="240" w:top="136" w:right="1440" w:bottom="1440" w:gutter="0" w:footer="0" w:header="0"/>
          <w:type w:val="continuous"/>
        </w:sectPr>
      </w:pPr>
    </w:p>
    <w:bookmarkStart w:id="10" w:name="page11"/>
    <w:bookmarkEnd w:id="10"/>
    <w:p>
      <w:pPr>
        <w:jc w:val="center"/>
        <w:ind w:right="1979"/>
        <w:spacing w:after="0"/>
        <w:rPr>
          <w:sz w:val="20"/>
          <w:szCs w:val="20"/>
          <w:color w:val="auto"/>
        </w:rPr>
      </w:pPr>
      <w:r>
        <w:rPr>
          <w:rFonts w:ascii="Courier New" w:cs="Courier New" w:eastAsia="Courier New" w:hAnsi="Courier New"/>
          <w:sz w:val="18"/>
          <w:szCs w:val="18"/>
          <w:color w:val="auto"/>
        </w:rPr>
        <w:t>POWERS OF ATTORNEY</w:t>
      </w:r>
    </w:p>
    <w:p>
      <w:pPr>
        <w:ind w:left="3480"/>
        <w:spacing w:after="0" w:line="238" w:lineRule="auto"/>
        <w:rPr>
          <w:sz w:val="20"/>
          <w:szCs w:val="20"/>
          <w:color w:val="auto"/>
        </w:rPr>
      </w:pPr>
      <w:r>
        <w:rPr>
          <w:rFonts w:ascii="Courier New" w:cs="Courier New" w:eastAsia="Courier New" w:hAnsi="Courier New"/>
          <w:sz w:val="18"/>
          <w:szCs w:val="18"/>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Tadd C. Seitz</w:t>
      </w:r>
    </w:p>
    <w:p>
      <w:pPr>
        <w:ind w:left="3800"/>
        <w:spacing w:after="0" w:line="238" w:lineRule="auto"/>
        <w:rPr>
          <w:sz w:val="20"/>
          <w:szCs w:val="20"/>
          <w:color w:val="auto"/>
        </w:rPr>
      </w:pPr>
      <w:r>
        <w:rPr>
          <w:rFonts w:ascii="Courier New" w:cs="Courier New" w:eastAsia="Courier New" w:hAnsi="Courier New"/>
          <w:sz w:val="18"/>
          <w:szCs w:val="18"/>
          <w:color w:val="auto"/>
        </w:rPr>
        <w:t>Tadd C. Seitz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ectPr>
          <w:pgSz w:w="11900" w:h="16838" w:orient="portrait"/>
          <w:cols w:equalWidth="0" w:num="1">
            <w:col w:w="10219"/>
          </w:cols>
          <w:pgMar w:left="240" w:top="541" w:right="1440" w:bottom="134" w:gutter="0" w:footer="0" w:header="0"/>
        </w:sectPr>
      </w:pPr>
    </w:p>
    <w:bookmarkStart w:id="11" w:name="page12"/>
    <w:bookmarkEnd w:id="11"/>
    <w:p>
      <w:pPr>
        <w:ind w:left="3800"/>
        <w:spacing w:after="0"/>
        <w:rPr>
          <w:sz w:val="20"/>
          <w:szCs w:val="20"/>
          <w:color w:val="auto"/>
        </w:rPr>
      </w:pPr>
      <w:r>
        <w:rPr>
          <w:rFonts w:ascii="Courier New" w:cs="Courier New" w:eastAsia="Courier New" w:hAnsi="Courier New"/>
          <w:sz w:val="18"/>
          <w:szCs w:val="18"/>
          <w:color w:val="auto"/>
        </w:rPr>
        <w:t>/s/ Theodore J. Host</w:t>
      </w:r>
    </w:p>
    <w:p>
      <w:pPr>
        <w:ind w:left="3800"/>
        <w:spacing w:after="0" w:line="238" w:lineRule="auto"/>
        <w:rPr>
          <w:sz w:val="20"/>
          <w:szCs w:val="20"/>
          <w:color w:val="auto"/>
        </w:rPr>
      </w:pPr>
      <w:r>
        <w:rPr>
          <w:rFonts w:ascii="Courier New" w:cs="Courier New" w:eastAsia="Courier New" w:hAnsi="Courier New"/>
          <w:sz w:val="18"/>
          <w:szCs w:val="18"/>
          <w:color w:val="auto"/>
        </w:rPr>
        <w:t>Theodore J. Host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James B Beard</w:t>
      </w:r>
    </w:p>
    <w:p>
      <w:pPr>
        <w:ind w:left="3800"/>
        <w:spacing w:after="0" w:line="238" w:lineRule="auto"/>
        <w:rPr>
          <w:sz w:val="20"/>
          <w:szCs w:val="20"/>
          <w:color w:val="auto"/>
        </w:rPr>
      </w:pPr>
      <w:r>
        <w:rPr>
          <w:rFonts w:ascii="Courier New" w:cs="Courier New" w:eastAsia="Courier New" w:hAnsi="Courier New"/>
          <w:sz w:val="18"/>
          <w:szCs w:val="18"/>
          <w:color w:val="auto"/>
        </w:rPr>
        <w:t>James B Beard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ectPr>
          <w:pgSz w:w="11900" w:h="16838" w:orient="portrait"/>
          <w:cols w:equalWidth="0" w:num="1">
            <w:col w:w="10219"/>
          </w:cols>
          <w:pgMar w:left="240" w:top="339" w:right="1440" w:bottom="0" w:gutter="0" w:footer="0" w:header="0"/>
        </w:sectPr>
      </w:pPr>
    </w:p>
    <w:bookmarkStart w:id="12" w:name="page13"/>
    <w:bookmarkEnd w:id="12"/>
    <w:p>
      <w:pPr>
        <w:ind w:left="3800"/>
        <w:spacing w:after="0"/>
        <w:rPr>
          <w:sz w:val="20"/>
          <w:szCs w:val="20"/>
          <w:color w:val="auto"/>
        </w:rPr>
      </w:pPr>
      <w:r>
        <w:rPr>
          <w:rFonts w:ascii="Courier New" w:cs="Courier New" w:eastAsia="Courier New" w:hAnsi="Courier New"/>
          <w:sz w:val="18"/>
          <w:szCs w:val="18"/>
          <w:color w:val="auto"/>
        </w:rPr>
        <w:t>/s/ John S. Chamberlin</w:t>
      </w:r>
    </w:p>
    <w:p>
      <w:pPr>
        <w:ind w:left="3800"/>
        <w:spacing w:after="0" w:line="238" w:lineRule="auto"/>
        <w:rPr>
          <w:sz w:val="20"/>
          <w:szCs w:val="20"/>
          <w:color w:val="auto"/>
        </w:rPr>
      </w:pPr>
      <w:r>
        <w:rPr>
          <w:rFonts w:ascii="Courier New" w:cs="Courier New" w:eastAsia="Courier New" w:hAnsi="Courier New"/>
          <w:sz w:val="18"/>
          <w:szCs w:val="18"/>
          <w:color w:val="auto"/>
        </w:rPr>
        <w:t>John S. Chamberlin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Joseph P. Flannery</w:t>
      </w:r>
    </w:p>
    <w:p>
      <w:pPr>
        <w:ind w:left="3800"/>
        <w:spacing w:after="0" w:line="238" w:lineRule="auto"/>
        <w:rPr>
          <w:sz w:val="20"/>
          <w:szCs w:val="20"/>
          <w:color w:val="auto"/>
        </w:rPr>
      </w:pPr>
      <w:r>
        <w:rPr>
          <w:rFonts w:ascii="Courier New" w:cs="Courier New" w:eastAsia="Courier New" w:hAnsi="Courier New"/>
          <w:sz w:val="18"/>
          <w:szCs w:val="18"/>
          <w:color w:val="auto"/>
        </w:rPr>
        <w:t>Joseph P. Flannery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her true and lawful attorneys-in-fact and agents with full power of substitution and resubstitution, for her and in her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as of this 14th day of December, 1994.</w:t>
      </w:r>
    </w:p>
    <w:p>
      <w:pPr>
        <w:sectPr>
          <w:pgSz w:w="11900" w:h="16838" w:orient="portrait"/>
          <w:cols w:equalWidth="0" w:num="1">
            <w:col w:w="10219"/>
          </w:cols>
          <w:pgMar w:left="240" w:top="541" w:right="1440" w:bottom="0" w:gutter="0" w:footer="0" w:header="0"/>
        </w:sectPr>
      </w:pPr>
    </w:p>
    <w:bookmarkStart w:id="13" w:name="page14"/>
    <w:bookmarkEnd w:id="13"/>
    <w:p>
      <w:pPr>
        <w:ind w:left="3800"/>
        <w:spacing w:after="0"/>
        <w:rPr>
          <w:sz w:val="20"/>
          <w:szCs w:val="20"/>
          <w:color w:val="auto"/>
        </w:rPr>
      </w:pPr>
      <w:r>
        <w:rPr>
          <w:rFonts w:ascii="Courier New" w:cs="Courier New" w:eastAsia="Courier New" w:hAnsi="Courier New"/>
          <w:sz w:val="18"/>
          <w:szCs w:val="18"/>
          <w:color w:val="auto"/>
        </w:rPr>
        <w:t>/s/ Karen Gordon Mills</w:t>
      </w:r>
    </w:p>
    <w:p>
      <w:pPr>
        <w:ind w:left="3800"/>
        <w:spacing w:after="0" w:line="238" w:lineRule="auto"/>
        <w:rPr>
          <w:sz w:val="20"/>
          <w:szCs w:val="20"/>
          <w:color w:val="auto"/>
        </w:rPr>
      </w:pPr>
      <w:r>
        <w:rPr>
          <w:rFonts w:ascii="Courier New" w:cs="Courier New" w:eastAsia="Courier New" w:hAnsi="Courier New"/>
          <w:sz w:val="18"/>
          <w:szCs w:val="18"/>
          <w:color w:val="auto"/>
        </w:rPr>
        <w:t>Karen Gordon Mills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Donald A. Sherman</w:t>
      </w:r>
    </w:p>
    <w:p>
      <w:pPr>
        <w:ind w:left="3800"/>
        <w:spacing w:after="0" w:line="238" w:lineRule="auto"/>
        <w:rPr>
          <w:sz w:val="20"/>
          <w:szCs w:val="20"/>
          <w:color w:val="auto"/>
        </w:rPr>
      </w:pPr>
      <w:r>
        <w:rPr>
          <w:rFonts w:ascii="Courier New" w:cs="Courier New" w:eastAsia="Courier New" w:hAnsi="Courier New"/>
          <w:sz w:val="18"/>
          <w:szCs w:val="18"/>
          <w:color w:val="auto"/>
        </w:rPr>
        <w:t>Donald A. Sherman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ectPr>
          <w:pgSz w:w="11900" w:h="16838" w:orient="portrait"/>
          <w:cols w:equalWidth="0" w:num="1">
            <w:col w:w="10219"/>
          </w:cols>
          <w:pgMar w:left="240" w:top="541" w:right="1440" w:bottom="134" w:gutter="0" w:footer="0" w:header="0"/>
        </w:sectPr>
      </w:pPr>
    </w:p>
    <w:bookmarkStart w:id="14" w:name="page15"/>
    <w:bookmarkEnd w:id="14"/>
    <w:p>
      <w:pPr>
        <w:ind w:left="3800"/>
        <w:spacing w:after="0"/>
        <w:rPr>
          <w:sz w:val="20"/>
          <w:szCs w:val="20"/>
          <w:color w:val="auto"/>
        </w:rPr>
      </w:pPr>
      <w:r>
        <w:rPr>
          <w:rFonts w:ascii="Courier New" w:cs="Courier New" w:eastAsia="Courier New" w:hAnsi="Courier New"/>
          <w:sz w:val="18"/>
          <w:szCs w:val="18"/>
          <w:color w:val="auto"/>
        </w:rPr>
        <w:t>/s/ John M. Sullivan</w:t>
      </w:r>
    </w:p>
    <w:p>
      <w:pPr>
        <w:ind w:left="3800"/>
        <w:spacing w:after="0" w:line="238" w:lineRule="auto"/>
        <w:rPr>
          <w:sz w:val="20"/>
          <w:szCs w:val="20"/>
          <w:color w:val="auto"/>
        </w:rPr>
      </w:pPr>
      <w:r>
        <w:rPr>
          <w:rFonts w:ascii="Courier New" w:cs="Courier New" w:eastAsia="Courier New" w:hAnsi="Courier New"/>
          <w:sz w:val="18"/>
          <w:szCs w:val="18"/>
          <w:color w:val="auto"/>
        </w:rPr>
        <w:t>John M. Sullivan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L. Jack Van Fossen</w:t>
      </w:r>
    </w:p>
    <w:p>
      <w:pPr>
        <w:ind w:left="3800"/>
        <w:spacing w:after="0" w:line="238" w:lineRule="auto"/>
        <w:rPr>
          <w:sz w:val="20"/>
          <w:szCs w:val="20"/>
          <w:color w:val="auto"/>
        </w:rPr>
      </w:pPr>
      <w:r>
        <w:rPr>
          <w:rFonts w:ascii="Courier New" w:cs="Courier New" w:eastAsia="Courier New" w:hAnsi="Courier New"/>
          <w:sz w:val="18"/>
          <w:szCs w:val="18"/>
          <w:color w:val="auto"/>
        </w:rPr>
        <w:t>L. Jack Van Fossen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Profit Sharing and Savings Plan (formerly known as The O. M. Scott &amp; Sons Company Profit Sharing and Savings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ectPr>
          <w:pgSz w:w="11900" w:h="16838" w:orient="portrait"/>
          <w:cols w:equalWidth="0" w:num="1">
            <w:col w:w="10219"/>
          </w:cols>
          <w:pgMar w:left="240" w:top="339" w:right="1440" w:bottom="336" w:gutter="0" w:footer="0" w:header="0"/>
        </w:sectPr>
      </w:pPr>
    </w:p>
    <w:bookmarkStart w:id="15" w:name="page16"/>
    <w:bookmarkEnd w:id="15"/>
    <w:p>
      <w:pPr>
        <w:ind w:left="2600"/>
        <w:spacing w:after="0"/>
        <w:rPr>
          <w:sz w:val="20"/>
          <w:szCs w:val="20"/>
          <w:color w:val="auto"/>
        </w:rPr>
      </w:pPr>
      <w:r>
        <w:rPr>
          <w:rFonts w:ascii="Courier New" w:cs="Courier New" w:eastAsia="Courier New" w:hAnsi="Courier New"/>
          <w:sz w:val="16"/>
          <w:szCs w:val="16"/>
          <w:color w:val="auto"/>
        </w:rPr>
        <w:t>/s/ Paul D. Yeager</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Paul D. Yeager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1"/>
    </w:lvl>
  </w:abstractNum>
  <w:abstractNum w:abstractNumId="1">
    <w:nsid w:val="7545E146"/>
    <w:multiLevelType w:val="hybridMultilevel"/>
    <w:lvl w:ilvl="0">
      <w:lvlJc w:val="left"/>
      <w:lvlText w:val="(%1)"/>
      <w:numFmt w:val="upperLetter"/>
      <w:start w:val="2"/>
    </w:lvl>
  </w:abstractNum>
  <w:abstractNum w:abstractNumId="2">
    <w:nsid w:val="515F007C"/>
    <w:multiLevelType w:val="hybridMultilevel"/>
    <w:lvl w:ilvl="0">
      <w:lvlJc w:val="left"/>
      <w:lvlText w:val="(%1)"/>
      <w:numFmt w:val="upperLetter"/>
      <w:start w:val="4"/>
    </w:lvl>
  </w:abstractNum>
  <w:abstractNum w:abstractNumId="3">
    <w:nsid w:val="5BD062C2"/>
    <w:multiLevelType w:val="hybridMultilevel"/>
    <w:lvl w:ilvl="0">
      <w:lvlJc w:val="left"/>
      <w:lvlText w:val="(%1)"/>
      <w:numFmt w:val="upperLetter"/>
      <w:start w:val="1"/>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1"/>
      <w:numFmt w:val="decimal"/>
      <w:start w:val="1"/>
    </w:lvl>
    <w:lvl w:ilvl="1">
      <w:lvlJc w:val="left"/>
      <w:lvlText w:val="(%2)"/>
      <w:numFmt w:val="decimal"/>
      <w:start w:val="3"/>
    </w:lvl>
  </w:abstractNum>
  <w:abstractNum w:abstractNumId="9">
    <w:nsid w:val="66EF438D"/>
    <w:multiLevelType w:val="hybridMultilevel"/>
    <w:lvl w:ilvl="0">
      <w:lvlJc w:val="left"/>
      <w:lvlText w:val="(%1)"/>
      <w:numFmt w:val="decimal"/>
      <w:start w:val="2"/>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2019-12-12T07:57:54Z</dcterms:created>
  <dcterms:modified xsi:type="dcterms:W3CDTF">2019-12-12T07:57:54Z</dcterms:modified>
</cp:coreProperties>
</file>