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 13d-1(b)(c), AND (d) AND AMENDMENTS THERETO FILED</w:t>
      </w:r>
    </w:p>
    <w:p>
      <w:pPr>
        <w:ind w:left="2860"/>
        <w:spacing w:after="0" w:line="238" w:lineRule="auto"/>
        <w:rPr>
          <w:sz w:val="20"/>
          <w:szCs w:val="20"/>
          <w:color w:val="auto"/>
        </w:rPr>
      </w:pPr>
      <w:r>
        <w:rPr>
          <w:rFonts w:ascii="Courier New" w:cs="Courier New" w:eastAsia="Courier New" w:hAnsi="Courier New"/>
          <w:sz w:val="18"/>
          <w:szCs w:val="18"/>
          <w:color w:val="auto"/>
        </w:rPr>
        <w:t>PURSUANT TO RULE 13d-2(b)</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no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|_| Rule 13d-1 (b)</w:t>
      </w:r>
    </w:p>
    <w:p>
      <w:pPr>
        <w:ind w:left="640"/>
        <w:spacing w:after="0" w:line="238" w:lineRule="auto"/>
        <w:rPr>
          <w:sz w:val="20"/>
          <w:szCs w:val="20"/>
          <w:color w:val="auto"/>
        </w:rPr>
      </w:pPr>
      <w:r>
        <w:rPr>
          <w:rFonts w:ascii="Courier New" w:cs="Courier New" w:eastAsia="Courier New" w:hAnsi="Courier New"/>
          <w:sz w:val="18"/>
          <w:szCs w:val="18"/>
          <w:color w:val="auto"/>
        </w:rPr>
        <w:t>|X| Rule 13d-1 (c)</w:t>
      </w:r>
    </w:p>
    <w:p>
      <w:pPr>
        <w:ind w:left="640"/>
        <w:spacing w:after="0" w:line="238" w:lineRule="auto"/>
        <w:rPr>
          <w:sz w:val="20"/>
          <w:szCs w:val="20"/>
          <w:color w:val="auto"/>
        </w:rPr>
      </w:pPr>
      <w:r>
        <w:rPr>
          <w:rFonts w:ascii="Courier New" w:cs="Courier New" w:eastAsia="Courier New" w:hAnsi="Courier New"/>
          <w:sz w:val="18"/>
          <w:szCs w:val="18"/>
          <w:color w:val="auto"/>
        </w:rPr>
        <w:t>|_| Rule 13d-1 (d)</w:t>
      </w:r>
    </w:p>
    <w:p>
      <w:pPr>
        <w:spacing w:after="0" w:line="202"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1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1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810186106</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Perry Corp.</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120" w:hanging="425"/>
        <w:spacing w:after="0" w:line="238" w:lineRule="auto"/>
        <w:tabs>
          <w:tab w:leader="none" w:pos="8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425"/>
        <w:spacing w:after="0" w:line="238" w:lineRule="auto"/>
        <w:tabs>
          <w:tab w:leader="none" w:pos="8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1,813,432</w:t>
            </w:r>
          </w:p>
        </w:tc>
      </w:tr>
      <w:tr>
        <w:trPr>
          <w:trHeight w:val="203"/>
        </w:trPr>
        <w:tc>
          <w:tcPr>
            <w:tcW w:w="1520" w:type="dxa"/>
            <w:vAlign w:val="bottom"/>
          </w:tcPr>
          <w:p>
            <w:pPr>
              <w:spacing w:after="0"/>
              <w:rPr>
                <w:sz w:val="17"/>
                <w:szCs w:val="17"/>
                <w:color w:val="auto"/>
              </w:rPr>
            </w:pP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2"/>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2"/>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5900" w:type="dxa"/>
            <w:vAlign w:val="bottom"/>
          </w:tcPr>
          <w:p>
            <w:pPr>
              <w:spacing w:after="0"/>
              <w:rPr>
                <w:sz w:val="17"/>
                <w:szCs w:val="17"/>
                <w:color w:val="auto"/>
              </w:rPr>
            </w:pPr>
          </w:p>
        </w:tc>
      </w:tr>
    </w:tbl>
    <w:p>
      <w:pPr>
        <w:sectPr>
          <w:pgSz w:w="11900" w:h="16838" w:orient="portrait"/>
          <w:cols w:equalWidth="0" w:num="1">
            <w:col w:w="10139"/>
          </w:cols>
          <w:pgMar w:left="320" w:top="447" w:right="1440" w:bottom="0" w:gutter="0" w:footer="0" w:header="0"/>
        </w:sectPr>
      </w:pPr>
    </w:p>
    <w:bookmarkStart w:id="1" w:name="page2"/>
    <w:bookmarkEnd w:id="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0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PERSON</w:t>
            </w:r>
          </w:p>
        </w:tc>
        <w:tc>
          <w:tcPr>
            <w:tcW w:w="6960" w:type="dxa"/>
            <w:vAlign w:val="bottom"/>
          </w:tcPr>
          <w:p>
            <w:pPr>
              <w:jc w:val="right"/>
              <w:ind w:right="4872"/>
              <w:spacing w:after="0"/>
              <w:rPr>
                <w:sz w:val="20"/>
                <w:szCs w:val="20"/>
                <w:color w:val="auto"/>
              </w:rPr>
            </w:pPr>
            <w:r>
              <w:rPr>
                <w:rFonts w:ascii="Courier New" w:cs="Courier New" w:eastAsia="Courier New" w:hAnsi="Courier New"/>
                <w:sz w:val="18"/>
                <w:szCs w:val="18"/>
                <w:color w:val="auto"/>
              </w:rPr>
              <w:t>1,813,432</w:t>
            </w:r>
          </w:p>
        </w:tc>
      </w:tr>
      <w:tr>
        <w:trPr>
          <w:trHeight w:val="203"/>
        </w:trPr>
        <w:tc>
          <w:tcPr>
            <w:tcW w:w="106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WITH</w:t>
            </w:r>
          </w:p>
        </w:tc>
        <w:tc>
          <w:tcPr>
            <w:tcW w:w="6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540" w:right="5079" w:hanging="637"/>
        <w:spacing w:after="0" w:line="357" w:lineRule="auto"/>
        <w:tabs>
          <w:tab w:leader="none" w:pos="2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1,813,432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91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6.36%</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2420" w:right="3919" w:hanging="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 SECURITIES AND EXCHANGE COMMISSION WASHINGTON, DC 20549</w:t>
      </w:r>
    </w:p>
    <w:p>
      <w:pPr>
        <w:sectPr>
          <w:pgSz w:w="11900" w:h="16838" w:orient="portrait"/>
          <w:cols w:equalWidth="0" w:num="1">
            <w:col w:w="10139"/>
          </w:cols>
          <w:pgMar w:left="32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810186106</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Richard C. Perry</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120" w:hanging="425"/>
        <w:spacing w:after="0" w:line="238" w:lineRule="auto"/>
        <w:tabs>
          <w:tab w:leader="none" w:pos="8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20" w:hanging="425"/>
        <w:spacing w:after="0" w:line="238" w:lineRule="auto"/>
        <w:tabs>
          <w:tab w:leader="none" w:pos="8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w w:val="97"/>
              </w:rPr>
              <w:t>1,813,432 (all shares beneficially owned by Perry Corp.)</w:t>
            </w:r>
          </w:p>
        </w:tc>
      </w:tr>
      <w:tr>
        <w:trPr>
          <w:trHeight w:val="203"/>
        </w:trPr>
        <w:tc>
          <w:tcPr>
            <w:tcW w:w="1520" w:type="dxa"/>
            <w:vAlign w:val="bottom"/>
          </w:tcPr>
          <w:p>
            <w:pPr>
              <w:spacing w:after="0"/>
              <w:rPr>
                <w:sz w:val="17"/>
                <w:szCs w:val="17"/>
                <w:color w:val="auto"/>
              </w:rPr>
            </w:pP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1,813,432 (all shares beneficially owned by Perry Corp.)</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WITH</w:t>
            </w:r>
          </w:p>
        </w:tc>
        <w:tc>
          <w:tcPr>
            <w:tcW w:w="6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540" w:right="5079" w:hanging="637"/>
        <w:spacing w:after="0" w:line="357" w:lineRule="auto"/>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1,813,432</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91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|_|</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6.36%</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2420" w:right="3919" w:hanging="105"/>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 SECURITIES AND EXCHANGE COMMISSION WASHINGTON, DC 20549</w:t>
      </w:r>
    </w:p>
    <w:p>
      <w:pPr>
        <w:sectPr>
          <w:pgSz w:w="11900" w:h="16838" w:orient="portrait"/>
          <w:cols w:equalWidth="0" w:num="1">
            <w:col w:w="10139"/>
          </w:cols>
          <w:pgMar w:left="32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14111 Scottslawn Road</w:t>
      </w:r>
    </w:p>
    <w:p>
      <w:pPr>
        <w:ind w:left="12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Marysville, Ohio</w:t>
        <w:tab/>
        <w:t>43041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7" w:lineRule="exact"/>
        <w:rPr>
          <w:sz w:val="20"/>
          <w:szCs w:val="20"/>
          <w:color w:val="auto"/>
        </w:rPr>
      </w:pPr>
    </w:p>
    <w:p>
      <w:pPr>
        <w:ind w:right="1819" w:firstLine="1264"/>
        <w:spacing w:after="0" w:line="236" w:lineRule="auto"/>
        <w:rPr>
          <w:sz w:val="20"/>
          <w:szCs w:val="20"/>
          <w:color w:val="auto"/>
        </w:rPr>
      </w:pPr>
      <w:r>
        <w:rPr>
          <w:rFonts w:ascii="Courier New" w:cs="Courier New" w:eastAsia="Courier New" w:hAnsi="Courier New"/>
          <w:sz w:val="18"/>
          <w:szCs w:val="18"/>
          <w:color w:val="auto"/>
        </w:rPr>
        <w:t>This statement is filed on behalf of Perry Corp., a New York corporation, and Richard C. Perry. Perry Corp. is a private investment firm and Richard C. Perry is the President and sole stockholder of Perry Corp.</w:t>
      </w:r>
    </w:p>
    <w:p>
      <w:pPr>
        <w:spacing w:after="0" w:line="208" w:lineRule="exact"/>
        <w:rPr>
          <w:sz w:val="20"/>
          <w:szCs w:val="20"/>
          <w:color w:val="auto"/>
        </w:rPr>
      </w:pPr>
    </w:p>
    <w:p>
      <w:pPr>
        <w:ind w:right="1699" w:firstLine="1264"/>
        <w:spacing w:after="0" w:line="235" w:lineRule="auto"/>
        <w:rPr>
          <w:sz w:val="20"/>
          <w:szCs w:val="20"/>
          <w:color w:val="auto"/>
        </w:rPr>
      </w:pPr>
      <w:r>
        <w:rPr>
          <w:rFonts w:ascii="Courier New" w:cs="Courier New" w:eastAsia="Courier New" w:hAnsi="Courier New"/>
          <w:sz w:val="18"/>
          <w:szCs w:val="18"/>
          <w:color w:val="auto"/>
        </w:rPr>
        <w:t>See attached Exhibit A which is a copy of their agreement in writing to file this statement on behalf of each of them.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599 Lexington Avenue</w:t>
      </w:r>
    </w:p>
    <w:p>
      <w:pPr>
        <w:ind w:left="12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New York, NY</w:t>
        <w:tab/>
        <w:t>10022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7" w:lineRule="exact"/>
        <w:rPr>
          <w:sz w:val="20"/>
          <w:szCs w:val="20"/>
          <w:color w:val="auto"/>
        </w:rPr>
      </w:pPr>
    </w:p>
    <w:p>
      <w:pPr>
        <w:ind w:left="1280" w:right="2119"/>
        <w:spacing w:after="0" w:line="235" w:lineRule="auto"/>
        <w:rPr>
          <w:sz w:val="20"/>
          <w:szCs w:val="20"/>
          <w:color w:val="auto"/>
        </w:rPr>
      </w:pPr>
      <w:r>
        <w:rPr>
          <w:rFonts w:ascii="Courier New" w:cs="Courier New" w:eastAsia="Courier New" w:hAnsi="Courier New"/>
          <w:sz w:val="18"/>
          <w:szCs w:val="18"/>
          <w:color w:val="auto"/>
        </w:rPr>
        <w:t>Perry Corp. is a New York corporation, and Richard C. Perry is a citizen of the United States.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810186106</w:t>
      </w:r>
    </w:p>
    <w:p>
      <w:pPr>
        <w:spacing w:after="0" w:line="207" w:lineRule="exact"/>
        <w:rPr>
          <w:sz w:val="20"/>
          <w:szCs w:val="20"/>
          <w:color w:val="auto"/>
        </w:rPr>
      </w:pPr>
    </w:p>
    <w:p>
      <w:pPr>
        <w:ind w:left="860" w:right="1699" w:hanging="841"/>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8" w:lineRule="exact"/>
        <w:rPr>
          <w:sz w:val="20"/>
          <w:szCs w:val="20"/>
          <w:color w:val="auto"/>
        </w:rPr>
      </w:pPr>
    </w:p>
    <w:p>
      <w:pPr>
        <w:ind w:left="1280" w:right="211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1580" w:right="5819" w:hanging="414"/>
        <w:spacing w:after="0" w:line="469"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1,813,432 shares</w:t>
      </w:r>
    </w:p>
    <w:p>
      <w:pPr>
        <w:spacing w:after="0" w:line="7"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6.36%</w:t>
      </w:r>
    </w:p>
    <w:p>
      <w:pPr>
        <w:spacing w:after="0" w:line="201" w:lineRule="exact"/>
        <w:rPr>
          <w:sz w:val="20"/>
          <w:szCs w:val="20"/>
          <w:color w:val="auto"/>
        </w:rPr>
      </w:pPr>
    </w:p>
    <w:p>
      <w:pPr>
        <w:ind w:left="1580" w:hanging="414"/>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220" w:right="3699" w:hanging="633"/>
        <w:spacing w:after="0" w:line="469" w:lineRule="auto"/>
        <w:tabs>
          <w:tab w:leader="none" w:pos="211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1,813,432 shares</w:t>
      </w:r>
    </w:p>
    <w:p>
      <w:pPr>
        <w:spacing w:after="0" w:line="7" w:lineRule="exact"/>
        <w:rPr>
          <w:rFonts w:ascii="Courier New" w:cs="Courier New" w:eastAsia="Courier New" w:hAnsi="Courier New"/>
          <w:sz w:val="18"/>
          <w:szCs w:val="18"/>
          <w:color w:val="auto"/>
        </w:rPr>
      </w:pPr>
    </w:p>
    <w:p>
      <w:pPr>
        <w:ind w:left="2120" w:hanging="533"/>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2220" w:right="2239" w:hanging="633"/>
        <w:spacing w:after="0" w:line="469" w:lineRule="auto"/>
        <w:tabs>
          <w:tab w:leader="none" w:pos="22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1,813,432 shares</w:t>
      </w:r>
    </w:p>
    <w:p>
      <w:pPr>
        <w:sectPr>
          <w:pgSz w:w="11900" w:h="16838" w:orient="portrait"/>
          <w:cols w:equalWidth="0" w:num="1">
            <w:col w:w="10139"/>
          </w:cols>
          <w:pgMar w:left="320" w:top="717" w:right="1440" w:bottom="1440" w:gutter="0" w:footer="0" w:header="0"/>
        </w:sectPr>
      </w:pPr>
    </w:p>
    <w:bookmarkStart w:id="4" w:name="page5"/>
    <w:bookmarkEnd w:id="4"/>
    <w:p>
      <w:pPr>
        <w:ind w:left="2120" w:hanging="533"/>
        <w:spacing w:after="0"/>
        <w:tabs>
          <w:tab w:leader="none" w:pos="21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19" w:firstLine="1264"/>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8"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139"/>
          </w:cols>
          <w:pgMar w:left="32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2000</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6"/>
          <w:szCs w:val="16"/>
          <w:color w:val="auto"/>
        </w:rPr>
        <w:t>Name:</w:t>
        <w:tab/>
        <w:t>Richard C. Perry</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080" w:space="720"/>
            <w:col w:w="6339"/>
          </w:cols>
          <w:pgMar w:left="32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2000</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p>
      <w:pPr>
        <w:sectPr>
          <w:pgSz w:w="11900" w:h="16838" w:orient="portrait"/>
          <w:cols w:equalWidth="0" w:num="2">
            <w:col w:w="3080" w:space="720"/>
            <w:col w:w="6339"/>
          </w:cols>
          <w:pgMar w:left="320" w:top="717" w:right="1440" w:bottom="1440" w:gutter="0" w:footer="0" w:header="0"/>
          <w:type w:val="continuous"/>
        </w:sectPr>
      </w:pPr>
    </w:p>
    <w:bookmarkStart w:id="5" w:name="page6"/>
    <w:bookmarkEnd w:id="5"/>
    <w:p>
      <w:pPr>
        <w:jc w:val="right"/>
        <w:ind w:right="169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1819" w:firstLine="1264"/>
        <w:spacing w:after="0" w:line="237" w:lineRule="auto"/>
        <w:rPr>
          <w:sz w:val="20"/>
          <w:szCs w:val="20"/>
          <w:color w:val="auto"/>
        </w:rPr>
      </w:pPr>
      <w:r>
        <w:rPr>
          <w:rFonts w:ascii="Courier New" w:cs="Courier New" w:eastAsia="Courier New" w:hAnsi="Courier New"/>
          <w:sz w:val="18"/>
          <w:szCs w:val="18"/>
          <w:color w:val="auto"/>
        </w:rPr>
        <w:t>The undersigned hereby agree to jointly prepare and file with regulatory authorities a Schedule 13G and any future amendments thereto reporting each of the undersigned's ownership of securities of The Scotts Company and hereby affirm that such Schedule 13G is being filed on behalf of each of the undersigned.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PERRY CORP.</w:t>
      </w:r>
    </w:p>
    <w:p>
      <w:pPr>
        <w:sectPr>
          <w:pgSz w:w="11900" w:h="16838" w:orient="portrait"/>
          <w:cols w:equalWidth="0" w:num="1">
            <w:col w:w="10139"/>
          </w:cols>
          <w:pgMar w:left="32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2000</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C. Perry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6"/>
          <w:szCs w:val="16"/>
          <w:color w:val="auto"/>
        </w:rPr>
        <w:t>Name:</w:t>
        <w:tab/>
        <w:t>Richard C. Perry</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820" w:space="720"/>
            <w:col w:w="5599"/>
          </w:cols>
          <w:pgMar w:left="32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2000</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New York, New York</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C. Perry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C. Perry</w:t>
      </w:r>
    </w:p>
    <w:sectPr>
      <w:pgSz w:w="11900" w:h="16838" w:orient="portrait"/>
      <w:cols w:equalWidth="0" w:num="2">
        <w:col w:w="3820" w:space="720"/>
        <w:col w:w="559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lvl w:ilvl="1">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lvl w:ilvl="1">
      <w:lvlJc w:val="left"/>
      <w:lvlText w:val="(%2)"/>
      <w:numFmt w:val="lowerLetter"/>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8"/>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2)"/>
      <w:numFmt w:val="lowerLetter"/>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lvl w:ilvl="1">
      <w:lvlJc w:val="left"/>
      <w:lvlText w:val="8"/>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3"/>
    </w:lvl>
    <w:lvl w:ilvl="1">
      <w:lvlJc w:val="left"/>
      <w:lvlText w:val="(%2)"/>
      <w:numFmt w:val="lowerRoman"/>
      <w:start w:val="1"/>
    </w:lvl>
  </w:abstractNum>
  <w:abstractNum w:abstractNumId="21">
    <w:nsid w:val="721DA31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2020-10-07T14:06:09Z</dcterms:created>
  <dcterms:modified xsi:type="dcterms:W3CDTF">2020-10-07T14:06:09Z</dcterms:modified>
</cp:coreProperties>
</file>