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4782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782820"/>
                    </a:xfrm>
                    <a:prstGeom prst="rect">
                      <a:avLst/>
                    </a:prstGeom>
                    <a:noFill/>
                  </pic:spPr>
                </pic:pic>
              </a:graphicData>
            </a:graphic>
          </wp:anchor>
        </w:drawing>
      </w:r>
    </w:p>
    <w:p>
      <w:pPr>
        <w:spacing w:after="0" w:line="1251"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Miller Austin Scott</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220"/>
        <w:spacing w:after="0" w:line="348" w:lineRule="auto"/>
        <w:rPr>
          <w:sz w:val="20"/>
          <w:szCs w:val="20"/>
          <w:color w:val="auto"/>
        </w:rPr>
      </w:pPr>
      <w:r>
        <w:rPr>
          <w:rFonts w:ascii="Times New Roman" w:cs="Times New Roman" w:eastAsia="Times New Roman" w:hAnsi="Times New Roman"/>
          <w:sz w:val="17"/>
          <w:szCs w:val="17"/>
          <w:color w:val="0000FF"/>
        </w:rPr>
        <w:t>C/O THE SCOTTS MIRACLE-GRO COMPANY 14111 SCOTTSLAWN ROAD</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MARYSVILLE</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OH</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43041</w:t>
            </w:r>
          </w:p>
        </w:tc>
      </w:tr>
      <w:tr>
        <w:trPr>
          <w:trHeight w:val="152"/>
        </w:trPr>
        <w:tc>
          <w:tcPr>
            <w:tcW w:w="2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3760" w:type="dxa"/>
            <w:vAlign w:val="bottom"/>
            <w:gridSpan w:val="3"/>
          </w:tcPr>
          <w:p>
            <w:pPr>
              <w:spacing w:after="0" w:line="22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SCOTTS MIRACLE-GRO CO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SMG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500" w:type="dxa"/>
            <w:vAlign w:val="bottom"/>
            <w:tcBorders>
              <w:top w:val="single" w:sz="8" w:color="0000EE"/>
            </w:tcBorders>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5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vMerge w:val="restart"/>
          </w:tcPr>
          <w:p>
            <w:pPr>
              <w:ind w:left="3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tcPr>
          <w:p>
            <w:pPr>
              <w:ind w:left="3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27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06/05/2026</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490"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55</w:t>
            </w: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Equivalent</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200"/>
              <w:spacing w:after="0" w:line="144" w:lineRule="exact"/>
              <w:rPr>
                <w:sz w:val="20"/>
                <w:szCs w:val="20"/>
                <w:color w:val="auto"/>
              </w:rPr>
            </w:pPr>
            <w:r>
              <w:rPr>
                <w:rFonts w:ascii="Times New Roman" w:cs="Times New Roman" w:eastAsia="Times New Roman" w:hAnsi="Times New Roman"/>
                <w:sz w:val="13"/>
                <w:szCs w:val="13"/>
                <w:color w:val="0000FF"/>
              </w:rPr>
              <w:t>06/05/2026</w:t>
            </w:r>
          </w:p>
        </w:tc>
        <w:tc>
          <w:tcPr>
            <w:tcW w:w="1100" w:type="dxa"/>
            <w:vAlign w:val="bottom"/>
          </w:tcPr>
          <w:p>
            <w:pPr>
              <w:spacing w:after="0"/>
              <w:rPr>
                <w:sz w:val="5"/>
                <w:szCs w:val="5"/>
                <w:color w:val="auto"/>
              </w:rPr>
            </w:pPr>
          </w:p>
        </w:tc>
        <w:tc>
          <w:tcPr>
            <w:tcW w:w="800" w:type="dxa"/>
            <w:vAlign w:val="bottom"/>
            <w:vMerge w:val="restart"/>
          </w:tcPr>
          <w:p>
            <w:pPr>
              <w:ind w:left="160"/>
              <w:spacing w:after="0" w:line="144" w:lineRule="exact"/>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20"/>
              <w:spacing w:after="0" w:line="144" w:lineRule="exact"/>
              <w:rPr>
                <w:sz w:val="20"/>
                <w:szCs w:val="20"/>
                <w:color w:val="auto"/>
              </w:rPr>
            </w:pPr>
            <w:r>
              <w:rPr>
                <w:rFonts w:ascii="Times New Roman" w:cs="Times New Roman" w:eastAsia="Times New Roman" w:hAnsi="Times New Roman"/>
                <w:sz w:val="13"/>
                <w:szCs w:val="13"/>
                <w:color w:val="0000FF"/>
              </w:rPr>
              <w:t>55</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restart"/>
          </w:tcPr>
          <w:p>
            <w:pPr>
              <w:ind w:left="380"/>
              <w:spacing w:after="0" w:line="144" w:lineRule="exact"/>
              <w:rPr>
                <w:sz w:val="20"/>
                <w:szCs w:val="20"/>
                <w:color w:val="auto"/>
              </w:rPr>
            </w:pPr>
            <w:r>
              <w:rPr>
                <w:rFonts w:ascii="Times New Roman" w:cs="Times New Roman" w:eastAsia="Times New Roman" w:hAnsi="Times New Roman"/>
                <w:sz w:val="13"/>
                <w:szCs w:val="13"/>
                <w:color w:val="0000FF"/>
              </w:rPr>
              <w:t>136</w:t>
            </w:r>
          </w:p>
        </w:tc>
        <w:tc>
          <w:tcPr>
            <w:tcW w:w="74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66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dividend equivalent rights accrued on DSU or RSU grants and become exercisable proportionately with the DSUs or RSUs to which they relate. Each dividend equivalent right is the economic equivalent of one common share of the Issuer.</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5" w:lineRule="auto"/>
        <w:rPr>
          <w:sz w:val="20"/>
          <w:szCs w:val="20"/>
          <w:color w:val="auto"/>
        </w:rPr>
      </w:pPr>
      <w:r>
        <w:rPr>
          <w:rFonts w:ascii="Times New Roman" w:cs="Times New Roman" w:eastAsia="Times New Roman" w:hAnsi="Times New Roman"/>
          <w:sz w:val="17"/>
          <w:szCs w:val="17"/>
          <w:color w:val="0000FF"/>
        </w:rPr>
        <w:t xml:space="preserve">/s/ Kathy L. Uttley as attorney- </w:t>
      </w:r>
      <w:r>
        <w:rPr>
          <w:rFonts w:ascii="Times New Roman" w:cs="Times New Roman" w:eastAsia="Times New Roman" w:hAnsi="Times New Roman"/>
          <w:sz w:val="33"/>
          <w:szCs w:val="33"/>
          <w:color w:val="0000FF"/>
          <w:vertAlign w:val="subscript"/>
        </w:rPr>
        <w:t>06/09/2026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37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Austin Scott Miller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290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9032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902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28932" TargetMode="External"/><Relationship Id="rId14"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2026-06-09T12:37:42Z</dcterms:created>
  <dcterms:modified xsi:type="dcterms:W3CDTF">2026-06-09T12:37:42Z</dcterms:modified>
</cp:coreProperties>
</file>