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Scotts Company</w:t>
      </w:r>
    </w:p>
    <w:p>
      <w:pPr>
        <w:ind w:left="34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Class A Common</w:t>
      </w:r>
    </w:p>
    <w:p>
      <w:pPr>
        <w:ind w:left="27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810186 10 6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purposes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810186 10 6</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 OF REPORTING PERSONS</w:t>
      </w:r>
    </w:p>
    <w:p>
      <w:pPr>
        <w:spacing w:after="0" w:line="5" w:lineRule="exact"/>
        <w:rPr>
          <w:sz w:val="24"/>
          <w:szCs w:val="24"/>
          <w:color w:val="auto"/>
        </w:rPr>
      </w:pPr>
    </w:p>
    <w:p>
      <w:pPr>
        <w:ind w:left="220" w:right="4939" w:hanging="212"/>
        <w:spacing w:after="0" w:line="470" w:lineRule="auto"/>
        <w:tabs>
          <w:tab w:leader="none" w:pos="53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PERSONS Dresdner Bank AG 13-2722082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spacing w:after="0" w:line="202" w:lineRule="exact"/>
        <w:rPr>
          <w:sz w:val="24"/>
          <w:szCs w:val="24"/>
          <w:color w:val="auto"/>
        </w:rPr>
      </w:pPr>
    </w:p>
    <w:p>
      <w:pPr>
        <w:spacing w:after="0"/>
        <w:tabs>
          <w:tab w:leader="none" w:pos="520" w:val="left"/>
          <w:tab w:leader="none" w:pos="840" w:val="left"/>
          <w:tab w:leader="none" w:pos="3140" w:val="left"/>
          <w:tab w:leader="none" w:pos="410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238" w:lineRule="auto"/>
        <w:rPr>
          <w:sz w:val="20"/>
          <w:szCs w:val="20"/>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Frankfurt, Germany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VOTING POWER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1,331,300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ectPr>
          <w:pgSz w:w="11900" w:h="16838" w:orient="portrait"/>
          <w:cols w:equalWidth="0" w:num="1">
            <w:col w:w="10219"/>
          </w:cols>
          <w:pgMar w:left="240" w:top="447" w:right="1440" w:bottom="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7.13%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TYPE OF REPORTING PERSON*</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BK, HC</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Scotts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14111 Scottslawn Road</w:t>
      </w:r>
    </w:p>
    <w:p>
      <w:pPr>
        <w:ind w:left="2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Marysville, OH</w:t>
        <w:tab/>
        <w:t>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Jurgen-Ponto-Platz 1</w:t>
      </w:r>
    </w:p>
    <w:p>
      <w:pPr>
        <w:ind w:left="220"/>
        <w:spacing w:after="0" w:line="238" w:lineRule="auto"/>
        <w:rPr>
          <w:sz w:val="20"/>
          <w:szCs w:val="20"/>
          <w:color w:val="auto"/>
        </w:rPr>
      </w:pPr>
      <w:r>
        <w:rPr>
          <w:rFonts w:ascii="Courier New" w:cs="Courier New" w:eastAsia="Courier New" w:hAnsi="Courier New"/>
          <w:sz w:val="18"/>
          <w:szCs w:val="18"/>
          <w:color w:val="auto"/>
        </w:rPr>
        <w:t>60301 Frankfurt, Germany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German Bank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Class A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810186 10 6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right="2739" w:firstLine="219"/>
        <w:spacing w:after="0" w:line="290" w:lineRule="auto"/>
        <w:tabs>
          <w:tab w:leader="none" w:pos="73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in accordance with Section 240.13d-1(b)(ii)(G) under the Securities Exchange Act of 1934. *See Exhibit A.</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responses to Items 5, 6, 7, 8, 9, and 11 of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 Reinhard Pruesche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L. Price</w:t>
      </w:r>
    </w:p>
    <w:p>
      <w:pPr>
        <w:ind w:left="320"/>
        <w:spacing w:after="0" w:line="238" w:lineRule="auto"/>
        <w:rPr>
          <w:sz w:val="20"/>
          <w:szCs w:val="20"/>
          <w:color w:val="auto"/>
        </w:rPr>
      </w:pPr>
      <w:r>
        <w:rPr>
          <w:rFonts w:ascii="Courier New" w:cs="Courier New" w:eastAsia="Courier New" w:hAnsi="Courier New"/>
          <w:sz w:val="18"/>
          <w:szCs w:val="18"/>
          <w:color w:val="auto"/>
        </w:rPr>
        <w:t>William L. Price</w:t>
      </w:r>
    </w:p>
    <w:p>
      <w:pPr>
        <w:ind w:left="320"/>
        <w:spacing w:after="0"/>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717" w:right="1440" w:bottom="0" w:gutter="0" w:footer="0" w:header="0"/>
        </w:sectPr>
      </w:pPr>
    </w:p>
    <w:bookmarkStart w:id="3" w:name="page4"/>
    <w:bookmarkEnd w:id="3"/>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Bank AG</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 Reinhard Preusche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General Assistant Manager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1998</w:t>
      </w:r>
    </w:p>
    <w:p>
      <w:pPr>
        <w:spacing w:after="0" w:line="402" w:lineRule="exact"/>
        <w:rPr>
          <w:sz w:val="20"/>
          <w:szCs w:val="20"/>
          <w:color w:val="auto"/>
        </w:rPr>
      </w:pPr>
    </w:p>
    <w:p>
      <w:pPr>
        <w:sectPr>
          <w:pgSz w:w="11900" w:h="16838" w:orient="portrait"/>
          <w:cols w:equalWidth="0" w:num="2">
            <w:col w:w="3300" w:space="720"/>
            <w:col w:w="619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William L. Price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William L. Price</w:t>
      </w:r>
    </w:p>
    <w:p>
      <w:pPr>
        <w:ind w:left="320"/>
        <w:spacing w:after="0" w:line="238"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142"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Dresdner Bank AG ("Dresdner") is an international banking organization headquartered in Frankfurt, Germany. Dresdner RCM Global Investors LLC ("Dresdner RCM"), a wholly owned subsidiary of Dresdner, is an investment adviser registered under Section 203 of the Investment Advisers Act of 1940.</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Dresdner has filed this Schedule 13G pursuant to Rule 13d-1(b)(ii)(G) under the Securities Exchange Act of 1934. Dresdner has beneficial ownership of the securities reported on this Schedule 13G only to the extent that Dresdner may be deemed to have beneficial ownership of securities deemed to be beneficially owned by Dresdner RCM.</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Dresdner is responsible for the timely filing of Schedule 13G and any amendments thereto, and for the completeness and accuracy of the information concerning Dresdner contained therein.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DRESDNER BANK AG</w:t>
      </w:r>
    </w:p>
    <w:p>
      <w:pPr>
        <w:spacing w:after="0" w:line="201"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8"/>
          <w:szCs w:val="18"/>
          <w:color w:val="auto"/>
        </w:rPr>
        <w:t>Dr. Reinhard Pruesche</w:t>
      </w:r>
      <w:r>
        <w:rPr>
          <w:sz w:val="20"/>
          <w:szCs w:val="20"/>
          <w:color w:val="auto"/>
        </w:rPr>
        <w:tab/>
      </w:r>
      <w:r>
        <w:rPr>
          <w:rFonts w:ascii="Courier New" w:cs="Courier New" w:eastAsia="Courier New" w:hAnsi="Courier New"/>
          <w:sz w:val="16"/>
          <w:szCs w:val="16"/>
          <w:color w:val="auto"/>
        </w:rPr>
        <w:t>January 30,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L. Price</w:t>
      </w:r>
    </w:p>
    <w:p>
      <w:pPr>
        <w:ind w:left="320"/>
        <w:spacing w:after="0" w:line="238" w:lineRule="auto"/>
        <w:rPr>
          <w:sz w:val="20"/>
          <w:szCs w:val="20"/>
          <w:color w:val="auto"/>
        </w:rPr>
      </w:pPr>
      <w:r>
        <w:rPr>
          <w:rFonts w:ascii="Courier New" w:cs="Courier New" w:eastAsia="Courier New" w:hAnsi="Courier New"/>
          <w:sz w:val="18"/>
          <w:szCs w:val="18"/>
          <w:color w:val="auto"/>
        </w:rPr>
        <w:t>William L. Price</w:t>
      </w:r>
    </w:p>
    <w:p>
      <w:pPr>
        <w:ind w:left="320"/>
        <w:spacing w:after="0"/>
        <w:rPr>
          <w:sz w:val="20"/>
          <w:szCs w:val="20"/>
          <w:color w:val="auto"/>
        </w:rPr>
      </w:pPr>
      <w:r>
        <w:rPr>
          <w:rFonts w:ascii="Courier New" w:cs="Courier New" w:eastAsia="Courier New" w:hAnsi="Courier New"/>
          <w:sz w:val="18"/>
          <w:szCs w:val="18"/>
          <w:color w:val="auto"/>
        </w:rPr>
        <w:t>Attorney-in-Fact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S.%1."/>
      <w:numFmt w:val="upperLetter"/>
      <w:start w:val="19"/>
    </w:lvl>
  </w:abstractNum>
  <w:abstractNum w:abstractNumId="1">
    <w:nsid w:val="66334873"/>
    <w:multiLevelType w:val="hybridMultilevel"/>
    <w:lvl w:ilvl="0">
      <w:lvlJc w:val="left"/>
      <w:lvlText w:val="(%1)"/>
      <w:numFmt w:val="lowerLetter"/>
      <w:start w:val="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2019-12-20T00:43:37Z</dcterms:created>
  <dcterms:modified xsi:type="dcterms:W3CDTF">2019-12-20T00:43:37Z</dcterms:modified>
</cp:coreProperties>
</file>