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1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0" w:lineRule="exact"/>
        <w:rPr>
          <w:sz w:val="24"/>
          <w:szCs w:val="24"/>
          <w:color w:val="auto"/>
        </w:rPr>
      </w:pPr>
    </w:p>
    <w:p>
      <w:pPr>
        <w:spacing w:after="0" w:line="295" w:lineRule="exact"/>
        <w:rPr>
          <w:sz w:val="24"/>
          <w:szCs w:val="24"/>
          <w:color w:val="auto"/>
        </w:rPr>
      </w:pPr>
    </w:p>
    <w:p>
      <w:pPr>
        <w:ind w:left="440" w:hanging="230"/>
        <w:spacing w:after="0"/>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4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2021</w:t>
      </w:r>
    </w:p>
    <w:p>
      <w:pPr>
        <w:spacing w:after="0" w:line="25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6" w:lineRule="exact"/>
        <w:rPr>
          <w:sz w:val="24"/>
          <w:szCs w:val="24"/>
          <w:color w:val="auto"/>
        </w:rPr>
      </w:pPr>
    </w:p>
    <w:p>
      <w:pPr>
        <w:ind w:left="600" w:hanging="349"/>
        <w:spacing w:after="0"/>
        <w:tabs>
          <w:tab w:leader="none" w:pos="60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6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 TO _________________</w:t>
      </w:r>
    </w:p>
    <w:p>
      <w:pPr>
        <w:spacing w:after="0" w:line="200" w:lineRule="exact"/>
        <w:rPr>
          <w:sz w:val="24"/>
          <w:szCs w:val="24"/>
          <w:color w:val="auto"/>
        </w:rPr>
      </w:pPr>
    </w:p>
    <w:p>
      <w:pPr>
        <w:spacing w:after="0" w:line="29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COMMISSION FILE NUMBERS 033-47073; 333-154364</w:t>
      </w:r>
    </w:p>
    <w:p>
      <w:pPr>
        <w:spacing w:after="0" w:line="256" w:lineRule="exact"/>
        <w:rPr>
          <w:sz w:val="24"/>
          <w:szCs w:val="24"/>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48" w:lineRule="exact"/>
        <w:rPr>
          <w:rFonts w:ascii="Times New Roman" w:cs="Times New Roman" w:eastAsia="Times New Roman" w:hAnsi="Times New Roman"/>
          <w:sz w:val="18"/>
          <w:szCs w:val="18"/>
          <w:color w:val="auto"/>
        </w:rPr>
      </w:pPr>
    </w:p>
    <w:p>
      <w:pPr>
        <w:ind w:left="3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Scotts Company LLC Retirement Savings Plan</w:t>
      </w:r>
    </w:p>
    <w:p>
      <w:pPr>
        <w:spacing w:after="0" w:line="25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5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14111 Scottslawn Road</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Marysville, Ohio 43041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353" w:right="61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REQUIRED INFORMATION</w:t>
      </w:r>
    </w:p>
    <w:p>
      <w:pPr>
        <w:spacing w:after="0" w:line="200" w:lineRule="exact"/>
        <w:rPr>
          <w:sz w:val="20"/>
          <w:szCs w:val="20"/>
          <w:color w:val="auto"/>
        </w:rPr>
      </w:pPr>
    </w:p>
    <w:p>
      <w:pPr>
        <w:spacing w:after="0" w:line="295" w:lineRule="exact"/>
        <w:rPr>
          <w:sz w:val="20"/>
          <w:szCs w:val="20"/>
          <w:color w:val="auto"/>
        </w:rPr>
      </w:pPr>
    </w:p>
    <w:p>
      <w:pPr>
        <w:ind w:right="460" w:firstLine="194"/>
        <w:spacing w:after="0" w:line="283" w:lineRule="auto"/>
        <w:rPr>
          <w:sz w:val="20"/>
          <w:szCs w:val="20"/>
          <w:color w:val="auto"/>
        </w:rPr>
      </w:pPr>
      <w:r>
        <w:rPr>
          <w:rFonts w:ascii="Times New Roman" w:cs="Times New Roman" w:eastAsia="Times New Roman" w:hAnsi="Times New Roman"/>
          <w:sz w:val="20"/>
          <w:szCs w:val="20"/>
          <w:color w:val="auto"/>
        </w:rPr>
        <w:t>The following financial statements and supplemental schedule for The Scotts Company LLC Retirement Savings Plan are being filed herewith: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Audited Financial Statements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Financial Statements:</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Statements of Net Assets Available for Benefits as of December 31, 2021 and 2020</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Statements of Changes in Net Assets Available for Benefits for the Years Ended December 31, 2021 and 2020</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Schedule:</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Schedule of Assets Held for Investment Purposes at End of Year</w:t>
      </w:r>
    </w:p>
    <w:p>
      <w:pPr>
        <w:spacing w:after="0" w:line="256" w:lineRule="exact"/>
        <w:rPr>
          <w:sz w:val="20"/>
          <w:szCs w:val="20"/>
          <w:color w:val="auto"/>
        </w:rPr>
      </w:pPr>
    </w:p>
    <w:p>
      <w:pPr>
        <w:ind w:left="1300"/>
        <w:spacing w:after="0" w:line="283" w:lineRule="auto"/>
        <w:rPr>
          <w:sz w:val="20"/>
          <w:szCs w:val="20"/>
          <w:color w:val="auto"/>
        </w:rPr>
      </w:pPr>
      <w:r>
        <w:rPr>
          <w:rFonts w:ascii="Times New Roman" w:cs="Times New Roman" w:eastAsia="Times New Roman" w:hAnsi="Times New Roman"/>
          <w:sz w:val="20"/>
          <w:szCs w:val="20"/>
          <w:color w:val="auto"/>
        </w:rPr>
        <w:t>Note: Other supplemental schedules required by Section 252.103-10 of the Department of Labor’s Rules and Regulations for Reporting and Disclosure under ERISA have been omitted because they are not applicable.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exhibit is being filed herewith:</w:t>
      </w: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266"/>
        </w:trPr>
        <w:tc>
          <w:tcPr>
            <w:tcW w:w="20" w:type="dxa"/>
            <w:vAlign w:val="bottom"/>
          </w:tcPr>
          <w:p>
            <w:pPr>
              <w:spacing w:after="0"/>
              <w:rPr>
                <w:sz w:val="23"/>
                <w:szCs w:val="23"/>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0"/>
        </w:trPr>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0000FF"/>
            </w:tcBorders>
          </w:tcPr>
          <w:p>
            <w:pPr>
              <w:spacing w:after="0" w:line="200" w:lineRule="exact"/>
              <w:rPr>
                <w:sz w:val="20"/>
                <w:szCs w:val="20"/>
                <w:color w:val="auto"/>
              </w:rPr>
            </w:pPr>
            <w:r>
              <w:rPr>
                <w:rFonts w:ascii="Times New Roman" w:cs="Times New Roman" w:eastAsia="Times New Roman" w:hAnsi="Times New Roman"/>
                <w:sz w:val="20"/>
                <w:szCs w:val="20"/>
                <w:color w:val="0000FF"/>
                <w:w w:val="91"/>
              </w:rPr>
              <w:t>23.</w:t>
            </w:r>
            <w:r>
              <w:rPr>
                <w:rFonts w:ascii="Times New Roman" w:cs="Times New Roman" w:eastAsia="Times New Roman" w:hAnsi="Times New Roman"/>
                <w:sz w:val="20"/>
                <w:szCs w:val="20"/>
                <w:u w:val="single" w:color="auto"/>
                <w:color w:val="0000FF"/>
                <w:w w:val="91"/>
              </w:rPr>
              <w:t>1</w:t>
            </w:r>
          </w:p>
        </w:tc>
        <w:tc>
          <w:tcPr>
            <w:tcW w:w="1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72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bl>
    <w:p>
      <w:pPr>
        <w:sectPr>
          <w:pgSz w:w="11900" w:h="16838" w:orient="portrait"/>
          <w:cols w:equalWidth="0" w:num="1">
            <w:col w:w="11200"/>
          </w:cols>
          <w:pgMar w:left="320" w:top="1008"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6" w:lineRule="exact"/>
        <w:rPr>
          <w:sz w:val="20"/>
          <w:szCs w:val="20"/>
          <w:color w:val="auto"/>
        </w:rPr>
      </w:pPr>
    </w:p>
    <w:p>
      <w:pPr>
        <w:ind w:firstLine="19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The Plan. </w:t>
      </w:r>
      <w:r>
        <w:rPr>
          <w:rFonts w:ascii="Times New Roman" w:cs="Times New Roman" w:eastAsia="Times New Roman" w:hAnsi="Times New Roman"/>
          <w:sz w:val="20"/>
          <w:szCs w:val="20"/>
          <w:color w:val="auto"/>
        </w:rPr>
        <w:t>Pursuant to the requirements of the Securities Exchange Act of 1934, the trustees (or other persons who administer the employee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 plan) have duly caused this annual report to be signed on its behalf by the undersigned hereunto duly authorized.</w:t>
      </w:r>
    </w:p>
    <w:p>
      <w:pPr>
        <w:spacing w:after="0" w:line="25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THE SCOTTS COMPANY LLC RETIREMENT</w:t>
      </w:r>
    </w:p>
    <w:p>
      <w:pPr>
        <w:ind w:left="5040"/>
        <w:spacing w:after="0"/>
        <w:rPr>
          <w:sz w:val="20"/>
          <w:szCs w:val="20"/>
          <w:color w:val="auto"/>
        </w:rPr>
      </w:pPr>
      <w:r>
        <w:rPr>
          <w:rFonts w:ascii="Times New Roman" w:cs="Times New Roman" w:eastAsia="Times New Roman" w:hAnsi="Times New Roman"/>
          <w:sz w:val="18"/>
          <w:szCs w:val="18"/>
          <w:color w:val="auto"/>
        </w:rPr>
        <w:t>SAVINGS PLAN</w:t>
      </w:r>
    </w:p>
    <w:p>
      <w:pPr>
        <w:spacing w:after="0" w:line="286" w:lineRule="exact"/>
        <w:rPr>
          <w:sz w:val="20"/>
          <w:szCs w:val="20"/>
          <w:color w:val="auto"/>
        </w:rPr>
      </w:pPr>
    </w:p>
    <w:p>
      <w:pPr>
        <w:ind w:left="1980"/>
        <w:spacing w:after="0"/>
        <w:tabs>
          <w:tab w:leader="none" w:pos="5020" w:val="left"/>
        </w:tabs>
        <w:rPr>
          <w:sz w:val="20"/>
          <w:szCs w:val="20"/>
          <w:color w:val="auto"/>
        </w:rPr>
      </w:pPr>
      <w:r>
        <w:rPr>
          <w:rFonts w:ascii="Times New Roman" w:cs="Times New Roman" w:eastAsia="Times New Roman" w:hAnsi="Times New Roman"/>
          <w:sz w:val="18"/>
          <w:szCs w:val="18"/>
          <w:color w:val="auto"/>
        </w:rPr>
        <w:t>Date: June 23, 2022</w:t>
      </w:r>
      <w:r>
        <w:rPr>
          <w:sz w:val="20"/>
          <w:szCs w:val="20"/>
          <w:color w:val="auto"/>
        </w:rPr>
        <w:tab/>
      </w:r>
      <w:r>
        <w:rPr>
          <w:rFonts w:ascii="Times New Roman" w:cs="Times New Roman" w:eastAsia="Times New Roman" w:hAnsi="Times New Roman"/>
          <w:sz w:val="17"/>
          <w:szCs w:val="17"/>
          <w:color w:val="auto"/>
        </w:rPr>
        <w:t>/s/ CORY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7171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Printed Name: Cory J. Miller</w:t>
      </w:r>
    </w:p>
    <w:p>
      <w:pPr>
        <w:spacing w:after="0" w:line="1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Title: Chief Financial Officer and Executive Vice</w:t>
      </w:r>
    </w:p>
    <w:p>
      <w:pPr>
        <w:ind w:left="5040"/>
        <w:spacing w:after="0"/>
        <w:rPr>
          <w:sz w:val="20"/>
          <w:szCs w:val="20"/>
          <w:color w:val="auto"/>
        </w:rPr>
      </w:pPr>
      <w:r>
        <w:rPr>
          <w:rFonts w:ascii="Times New Roman" w:cs="Times New Roman" w:eastAsia="Times New Roman" w:hAnsi="Times New Roman"/>
          <w:sz w:val="18"/>
          <w:szCs w:val="18"/>
          <w:color w:val="auto"/>
        </w:rPr>
        <w:t>President</w:t>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The Scotts Company LLC</w:t>
      </w:r>
    </w:p>
    <w:p>
      <w:pPr>
        <w:sectPr>
          <w:pgSz w:w="11900" w:h="16838" w:orient="portrait"/>
          <w:cols w:equalWidth="0" w:num="1">
            <w:col w:w="11240"/>
          </w:cols>
          <w:pgMar w:left="320" w:top="1247" w:right="339" w:bottom="1440" w:gutter="0" w:footer="0" w:header="0"/>
        </w:sectPr>
      </w:pPr>
    </w:p>
    <w:bookmarkStart w:id="3" w:name="page4"/>
    <w:bookmarkEnd w:id="3"/>
    <w:p>
      <w:pPr>
        <w:ind w:left="410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Index to the Financial Statements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December 31, 2021 and 2020</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4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20"/>
                <w:szCs w:val="20"/>
                <w:color w:val="auto"/>
              </w:rPr>
              <w:t>Page Number</w:t>
            </w:r>
          </w:p>
        </w:tc>
        <w:tc>
          <w:tcPr>
            <w:tcW w:w="0" w:type="dxa"/>
            <w:vAlign w:val="bottom"/>
          </w:tcPr>
          <w:p>
            <w:pPr>
              <w:spacing w:after="0"/>
              <w:rPr>
                <w:sz w:val="1"/>
                <w:szCs w:val="1"/>
                <w:color w:val="auto"/>
              </w:rPr>
            </w:pPr>
          </w:p>
        </w:tc>
      </w:tr>
      <w:tr>
        <w:trPr>
          <w:trHeight w:val="456"/>
        </w:trPr>
        <w:tc>
          <w:tcPr>
            <w:tcW w:w="4640" w:type="dxa"/>
            <w:vAlign w:val="bottom"/>
            <w:gridSpan w:val="7"/>
          </w:tcPr>
          <w:p>
            <w:pPr>
              <w:spacing w:after="0"/>
              <w:rPr>
                <w:sz w:val="20"/>
                <w:szCs w:val="20"/>
                <w:color w:val="auto"/>
              </w:rPr>
            </w:pPr>
            <w:r>
              <w:rPr>
                <w:rFonts w:ascii="Times New Roman" w:cs="Times New Roman" w:eastAsia="Times New Roman" w:hAnsi="Times New Roman"/>
                <w:sz w:val="20"/>
                <w:szCs w:val="20"/>
                <w:color w:val="0000FF"/>
                <w:w w:val="98"/>
              </w:rPr>
              <w:t>Report of Independent Registered Public Accounting Firm</w:t>
            </w:r>
          </w:p>
        </w:tc>
        <w:tc>
          <w:tcPr>
            <w:tcW w:w="4880" w:type="dxa"/>
            <w:vAlign w:val="bottom"/>
            <w:gridSpan w:val="3"/>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6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Financial Statements:</w:t>
            </w:r>
          </w:p>
        </w:tc>
        <w:tc>
          <w:tcPr>
            <w:tcW w:w="4880" w:type="dxa"/>
            <w:vAlign w:val="bottom"/>
            <w:gridSpan w:val="3"/>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0" w:type="dxa"/>
            <w:vAlign w:val="bottom"/>
          </w:tcPr>
          <w:p>
            <w:pPr>
              <w:spacing w:after="0"/>
              <w:rPr>
                <w:sz w:val="24"/>
                <w:szCs w:val="24"/>
                <w:color w:val="auto"/>
              </w:rPr>
            </w:pPr>
          </w:p>
        </w:tc>
        <w:tc>
          <w:tcPr>
            <w:tcW w:w="37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8"/>
              </w:rPr>
              <w:t>Statements of Net Assets Available for Benefits</w:t>
            </w:r>
          </w:p>
        </w:tc>
        <w:tc>
          <w:tcPr>
            <w:tcW w:w="5640" w:type="dxa"/>
            <w:vAlign w:val="bottom"/>
            <w:gridSpan w:val="4"/>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0" w:type="dxa"/>
            <w:vAlign w:val="bottom"/>
          </w:tcPr>
          <w:p>
            <w:pPr>
              <w:spacing w:after="0"/>
              <w:rPr>
                <w:sz w:val="24"/>
                <w:szCs w:val="24"/>
                <w:color w:val="auto"/>
              </w:rPr>
            </w:pPr>
          </w:p>
        </w:tc>
        <w:tc>
          <w:tcPr>
            <w:tcW w:w="4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Statements of Changes in Net Assets Available for Benefits</w:t>
            </w:r>
          </w:p>
        </w:tc>
        <w:tc>
          <w:tcPr>
            <w:tcW w:w="3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3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w w:val="98"/>
              </w:rPr>
              <w:t>Notes to Financial Statements</w:t>
            </w:r>
          </w:p>
        </w:tc>
        <w:tc>
          <w:tcPr>
            <w:tcW w:w="2720" w:type="dxa"/>
            <w:vAlign w:val="bottom"/>
            <w:gridSpan w:val="4"/>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100" w:type="dxa"/>
            <w:vAlign w:val="bottom"/>
          </w:tcPr>
          <w:p>
            <w:pPr>
              <w:spacing w:after="0"/>
              <w:rPr>
                <w:sz w:val="24"/>
                <w:szCs w:val="24"/>
                <w:color w:val="auto"/>
              </w:rPr>
            </w:pPr>
          </w:p>
        </w:tc>
        <w:tc>
          <w:tcPr>
            <w:tcW w:w="2380" w:type="dxa"/>
            <w:vAlign w:val="bottom"/>
            <w:tcBorders>
              <w:bottom w:val="single" w:sz="8" w:color="0000FF"/>
            </w:tcBorders>
            <w:gridSpan w:val="4"/>
            <w:vMerge w:val="continue"/>
          </w:tcPr>
          <w:p>
            <w:pPr>
              <w:spacing w:after="0"/>
              <w:rPr>
                <w:sz w:val="24"/>
                <w:szCs w:val="24"/>
                <w:color w:val="auto"/>
              </w:rPr>
            </w:pPr>
          </w:p>
        </w:tc>
        <w:tc>
          <w:tcPr>
            <w:tcW w:w="2720" w:type="dxa"/>
            <w:vAlign w:val="bottom"/>
            <w:gridSpan w:val="4"/>
          </w:tcPr>
          <w:p>
            <w:pPr>
              <w:spacing w:after="0"/>
              <w:rPr>
                <w:sz w:val="24"/>
                <w:szCs w:val="24"/>
                <w:color w:val="auto"/>
              </w:rPr>
            </w:pPr>
          </w:p>
        </w:tc>
        <w:tc>
          <w:tcPr>
            <w:tcW w:w="43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2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w w:val="97"/>
              </w:rPr>
              <w:t>Supplemental Schedule:</w:t>
            </w:r>
          </w:p>
        </w:tc>
        <w:tc>
          <w:tcPr>
            <w:tcW w:w="7600" w:type="dxa"/>
            <w:vAlign w:val="bottom"/>
            <w:gridSpan w:val="6"/>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920" w:type="dxa"/>
            <w:vAlign w:val="bottom"/>
            <w:tcBorders>
              <w:bottom w:val="single" w:sz="8" w:color="0000FF"/>
            </w:tcBorders>
            <w:gridSpan w:val="4"/>
            <w:vMerge w:val="continue"/>
          </w:tcPr>
          <w:p>
            <w:pPr>
              <w:spacing w:after="0"/>
              <w:rPr>
                <w:sz w:val="24"/>
                <w:szCs w:val="24"/>
                <w:color w:val="auto"/>
              </w:rPr>
            </w:pPr>
          </w:p>
        </w:tc>
        <w:tc>
          <w:tcPr>
            <w:tcW w:w="7600" w:type="dxa"/>
            <w:vAlign w:val="bottom"/>
            <w:gridSpan w:val="6"/>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00" w:type="dxa"/>
            <w:vAlign w:val="bottom"/>
          </w:tcPr>
          <w:p>
            <w:pPr>
              <w:spacing w:after="0"/>
              <w:rPr>
                <w:sz w:val="24"/>
                <w:szCs w:val="24"/>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Schedule of Assets Held for Investment Purposes at End of Year</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40" w:type="dxa"/>
            <w:vAlign w:val="bottom"/>
            <w:gridSpan w:val="7"/>
            <w:shd w:val="clear" w:color="auto" w:fill="0000FF"/>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100" w:type="dxa"/>
            <w:vAlign w:val="bottom"/>
          </w:tcPr>
          <w:p>
            <w:pPr>
              <w:spacing w:after="0"/>
              <w:rPr>
                <w:sz w:val="24"/>
                <w:szCs w:val="24"/>
                <w:color w:val="auto"/>
              </w:rPr>
            </w:pPr>
          </w:p>
        </w:tc>
        <w:tc>
          <w:tcPr>
            <w:tcW w:w="942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auto"/>
              </w:rPr>
              <w:t>NOTE: Other supplemental schedules required by Section 252.103-10 of the Department of Labor’s Rules and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0" w:type="dxa"/>
            <w:vAlign w:val="bottom"/>
          </w:tcPr>
          <w:p>
            <w:pPr>
              <w:spacing w:after="0"/>
              <w:rPr>
                <w:sz w:val="22"/>
                <w:szCs w:val="22"/>
                <w:color w:val="auto"/>
              </w:rPr>
            </w:pPr>
          </w:p>
        </w:tc>
        <w:tc>
          <w:tcPr>
            <w:tcW w:w="942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auto"/>
              </w:rPr>
              <w:t>Regulations for Reporting and Disclosure under ERISA have been omitted because they are not applicable.</w:t>
            </w: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1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Index to Exhibits</w:t>
            </w:r>
          </w:p>
        </w:tc>
        <w:tc>
          <w:tcPr>
            <w:tcW w:w="8160" w:type="dxa"/>
            <w:vAlign w:val="bottom"/>
            <w:gridSpan w:val="8"/>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60" w:top="599"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Administrator and Plan Participants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Scotts Company LLC Retirement Savings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Marysville, Ohio</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Scotts Company LLC Retirement Savings Plan (the “Plan”) as of December 31, 2021 and 2020 and the related statements of changes in net assets available for benefits for the years then ended, and the related notes and schedule (collectively referred to as the “financial statements”). In our opinion, the financial statements present fairly, in all material respects, the net assets available for benefits of the Plan as of December 31, 2021 and 2020, and the changes in net assets available for benefits for the years then ended,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purposes of expressing an opinion on the effectiveness of the Plan’s internal control over financial reporting. Accordingly, we express no such opinion.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supplemental Schedule of Assets Held for Investment Purposes at End of Year as of December 31, 2021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Department of Labor’s (DOL)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MEADEN &amp; MOORE, LTD.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2022</w:t>
      </w:r>
    </w:p>
    <w:p>
      <w:pPr>
        <w:sectPr>
          <w:pgSz w:w="11900" w:h="16838" w:orient="portrait"/>
          <w:cols w:equalWidth="0" w:num="1">
            <w:col w:w="11240"/>
          </w:cols>
          <w:pgMar w:left="320" w:top="599" w:right="339" w:bottom="1440" w:gutter="0" w:footer="0" w:header="0"/>
        </w:sectPr>
      </w:pPr>
    </w:p>
    <w:bookmarkStart w:id="5" w:name="page6"/>
    <w:bookmarkEnd w:id="5"/>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2021</w:t>
            </w:r>
          </w:p>
        </w:tc>
        <w:tc>
          <w:tcPr>
            <w:tcW w:w="2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2020</w:t>
            </w:r>
          </w:p>
        </w:tc>
        <w:tc>
          <w:tcPr>
            <w:tcW w:w="0" w:type="dxa"/>
            <w:vAlign w:val="bottom"/>
          </w:tcPr>
          <w:p>
            <w:pPr>
              <w:spacing w:after="0"/>
              <w:rPr>
                <w:sz w:val="1"/>
                <w:szCs w:val="1"/>
                <w:color w:val="auto"/>
              </w:rPr>
            </w:pPr>
          </w:p>
        </w:tc>
      </w:tr>
      <w:tr>
        <w:trPr>
          <w:trHeight w:val="233"/>
        </w:trPr>
        <w:tc>
          <w:tcPr>
            <w:tcW w:w="71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20"/>
                <w:szCs w:val="20"/>
                <w:color w:val="auto"/>
              </w:rPr>
              <w:t>Receivables:</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9,934,750</w:t>
            </w:r>
          </w:p>
        </w:tc>
        <w:tc>
          <w:tcPr>
            <w:tcW w:w="220" w:type="dxa"/>
            <w:vAlign w:val="bottom"/>
          </w:tcPr>
          <w:p>
            <w:pPr>
              <w:spacing w:after="0"/>
              <w:rPr>
                <w:sz w:val="22"/>
                <w:szCs w:val="22"/>
                <w:color w:val="auto"/>
              </w:rPr>
            </w:pPr>
          </w:p>
        </w:tc>
        <w:tc>
          <w:tcPr>
            <w:tcW w:w="6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9,302,174</w:t>
            </w: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Employer contributions receivable</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3,196,352</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2,809,075</w:t>
            </w: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20"/>
                <w:szCs w:val="20"/>
                <w:color w:val="auto"/>
              </w:rPr>
              <w:t>Other receivables</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14,779</w:t>
            </w:r>
          </w:p>
        </w:tc>
        <w:tc>
          <w:tcPr>
            <w:tcW w:w="2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3,446</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20"/>
                <w:szCs w:val="20"/>
                <w:color w:val="auto"/>
              </w:rPr>
              <w:t>Total receivables</w:t>
            </w:r>
          </w:p>
        </w:tc>
        <w:tc>
          <w:tcPr>
            <w:tcW w:w="4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13,145,881</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12,114,695</w:t>
            </w: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20"/>
                <w:szCs w:val="20"/>
                <w:color w:val="auto"/>
              </w:rPr>
              <w:t>Investments held by trustee, at fair value</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728,854,181</w:t>
            </w:r>
          </w:p>
        </w:tc>
        <w:tc>
          <w:tcPr>
            <w:tcW w:w="2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635,389,289</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Total assets</w:t>
            </w:r>
          </w:p>
        </w:tc>
        <w:tc>
          <w:tcPr>
            <w:tcW w:w="4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742,000,062</w:t>
            </w:r>
          </w:p>
        </w:tc>
        <w:tc>
          <w:tcPr>
            <w:tcW w:w="2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647,503,984</w:t>
            </w:r>
          </w:p>
        </w:tc>
        <w:tc>
          <w:tcPr>
            <w:tcW w:w="0" w:type="dxa"/>
            <w:vAlign w:val="bottom"/>
          </w:tcPr>
          <w:p>
            <w:pPr>
              <w:spacing w:after="0"/>
              <w:rPr>
                <w:sz w:val="1"/>
                <w:szCs w:val="1"/>
                <w:color w:val="auto"/>
              </w:rPr>
            </w:pP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20"/>
                <w:szCs w:val="20"/>
                <w:color w:val="auto"/>
              </w:rPr>
              <w:t>Total liabilities</w:t>
            </w:r>
          </w:p>
        </w:tc>
        <w:tc>
          <w:tcPr>
            <w:tcW w:w="44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71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44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742,000,062</w:t>
            </w:r>
          </w:p>
        </w:tc>
        <w:tc>
          <w:tcPr>
            <w:tcW w:w="22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647,503,984</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599" w:right="339" w:bottom="1440" w:gutter="0" w:footer="0" w:header="0"/>
        </w:sectPr>
      </w:pPr>
    </w:p>
    <w:bookmarkStart w:id="6" w:name="page7"/>
    <w:bookmarkEnd w:id="6"/>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Changes in Net Assets Available for Benefits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3700" w:type="dxa"/>
            <w:vAlign w:val="bottom"/>
            <w:tcBorders>
              <w:bottom w:val="single" w:sz="8" w:color="auto"/>
            </w:tcBorders>
            <w:gridSpan w:val="4"/>
          </w:tcPr>
          <w:p>
            <w:pPr>
              <w:jc w:val="right"/>
              <w:ind w:right="86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54"/>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Additions to net assets attributed to:</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2021</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2020</w:t>
            </w:r>
          </w:p>
        </w:tc>
        <w:tc>
          <w:tcPr>
            <w:tcW w:w="0" w:type="dxa"/>
            <w:vAlign w:val="bottom"/>
          </w:tcPr>
          <w:p>
            <w:pPr>
              <w:spacing w:after="0"/>
              <w:rPr>
                <w:sz w:val="1"/>
                <w:szCs w:val="1"/>
                <w:color w:val="auto"/>
              </w:rPr>
            </w:pPr>
          </w:p>
        </w:tc>
      </w:tr>
      <w:tr>
        <w:trPr>
          <w:trHeight w:val="233"/>
        </w:trPr>
        <w:tc>
          <w:tcPr>
            <w:tcW w:w="71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Contributions:</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Employer</w:t>
            </w:r>
          </w:p>
        </w:tc>
        <w:tc>
          <w:tcPr>
            <w:tcW w:w="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31,837,756</w:t>
            </w:r>
          </w:p>
        </w:tc>
        <w:tc>
          <w:tcPr>
            <w:tcW w:w="220" w:type="dxa"/>
            <w:vAlign w:val="bottom"/>
          </w:tcPr>
          <w:p>
            <w:pPr>
              <w:spacing w:after="0"/>
              <w:rPr>
                <w:sz w:val="22"/>
                <w:szCs w:val="22"/>
                <w:color w:val="auto"/>
              </w:rPr>
            </w:pP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31,677,122</w:t>
            </w: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Participant</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31,715,475</w:t>
            </w: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27,002,662</w:t>
            </w: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20"/>
                <w:szCs w:val="20"/>
                <w:color w:val="auto"/>
              </w:rPr>
              <w:t>Rollovers</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10,237,179</w:t>
            </w: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5,205,305</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20"/>
                <w:szCs w:val="20"/>
                <w:color w:val="auto"/>
              </w:rPr>
              <w:t>Total contributions</w:t>
            </w:r>
          </w:p>
        </w:tc>
        <w:tc>
          <w:tcPr>
            <w:tcW w:w="4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73,790,410</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63,885,089</w:t>
            </w:r>
          </w:p>
        </w:tc>
        <w:tc>
          <w:tcPr>
            <w:tcW w:w="0" w:type="dxa"/>
            <w:vAlign w:val="bottom"/>
          </w:tcPr>
          <w:p>
            <w:pPr>
              <w:spacing w:after="0"/>
              <w:rPr>
                <w:sz w:val="1"/>
                <w:szCs w:val="1"/>
                <w:color w:val="auto"/>
              </w:rPr>
            </w:pPr>
          </w:p>
        </w:tc>
      </w:tr>
      <w:tr>
        <w:trPr>
          <w:trHeight w:val="257"/>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 on notes receivable from participants</w:t>
            </w:r>
          </w:p>
        </w:tc>
        <w:tc>
          <w:tcPr>
            <w:tcW w:w="4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490,511</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543,510</w:t>
            </w: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Investment income:</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4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15,359,324</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16,490,564</w:t>
            </w:r>
          </w:p>
        </w:tc>
        <w:tc>
          <w:tcPr>
            <w:tcW w:w="0" w:type="dxa"/>
            <w:vAlign w:val="bottom"/>
          </w:tcPr>
          <w:p>
            <w:pPr>
              <w:spacing w:after="0"/>
              <w:rPr>
                <w:sz w:val="1"/>
                <w:szCs w:val="1"/>
                <w:color w:val="auto"/>
              </w:rPr>
            </w:pPr>
          </w:p>
        </w:tc>
      </w:tr>
      <w:tr>
        <w:trPr>
          <w:trHeight w:val="256"/>
        </w:trPr>
        <w:tc>
          <w:tcPr>
            <w:tcW w:w="7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4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61,087,242</w:t>
            </w:r>
          </w:p>
        </w:tc>
        <w:tc>
          <w:tcPr>
            <w:tcW w:w="2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108,844,611</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20"/>
                <w:szCs w:val="20"/>
                <w:color w:val="auto"/>
              </w:rPr>
              <w:t>Total investment income</w:t>
            </w:r>
          </w:p>
        </w:tc>
        <w:tc>
          <w:tcPr>
            <w:tcW w:w="4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76,446,566</w:t>
            </w:r>
          </w:p>
        </w:tc>
        <w:tc>
          <w:tcPr>
            <w:tcW w:w="2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125,335,175</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20"/>
                <w:szCs w:val="20"/>
                <w:color w:val="auto"/>
              </w:rPr>
              <w:t>Total additions</w:t>
            </w:r>
          </w:p>
        </w:tc>
        <w:tc>
          <w:tcPr>
            <w:tcW w:w="4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150,727,487</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189,763,774</w:t>
            </w:r>
          </w:p>
        </w:tc>
        <w:tc>
          <w:tcPr>
            <w:tcW w:w="0" w:type="dxa"/>
            <w:vAlign w:val="bottom"/>
          </w:tcPr>
          <w:p>
            <w:pPr>
              <w:spacing w:after="0"/>
              <w:rPr>
                <w:sz w:val="1"/>
                <w:szCs w:val="1"/>
                <w:color w:val="auto"/>
              </w:rPr>
            </w:pPr>
          </w:p>
        </w:tc>
      </w:tr>
      <w:tr>
        <w:trPr>
          <w:trHeight w:val="257"/>
        </w:trPr>
        <w:tc>
          <w:tcPr>
            <w:tcW w:w="71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Deductions from net assets attributed to:</w:t>
            </w:r>
          </w:p>
        </w:tc>
        <w:tc>
          <w:tcPr>
            <w:tcW w:w="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58,147,338</w:t>
            </w: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63,497,872</w:t>
            </w: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0"/>
                <w:szCs w:val="20"/>
                <w:color w:val="auto"/>
              </w:rPr>
              <w:t>Administrative expenses</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295,954</w:t>
            </w: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305,670</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20"/>
                <w:szCs w:val="20"/>
                <w:color w:val="auto"/>
              </w:rPr>
              <w:t>Total deductions</w:t>
            </w:r>
          </w:p>
        </w:tc>
        <w:tc>
          <w:tcPr>
            <w:tcW w:w="4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58,443,292</w:t>
            </w:r>
          </w:p>
        </w:tc>
        <w:tc>
          <w:tcPr>
            <w:tcW w:w="2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63,803,542</w:t>
            </w:r>
          </w:p>
        </w:tc>
        <w:tc>
          <w:tcPr>
            <w:tcW w:w="0" w:type="dxa"/>
            <w:vAlign w:val="bottom"/>
          </w:tcPr>
          <w:p>
            <w:pPr>
              <w:spacing w:after="0"/>
              <w:rPr>
                <w:sz w:val="1"/>
                <w:szCs w:val="1"/>
                <w:color w:val="auto"/>
              </w:rPr>
            </w:pPr>
          </w:p>
        </w:tc>
      </w:tr>
      <w:tr>
        <w:trPr>
          <w:trHeight w:val="250"/>
        </w:trPr>
        <w:tc>
          <w:tcPr>
            <w:tcW w:w="71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Net increase before transfers</w:t>
            </w: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92,284,195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125,960,232</w:t>
            </w: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Plan transfers:</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0"/>
                <w:szCs w:val="20"/>
                <w:color w:val="auto"/>
              </w:rPr>
              <w:t>Transfers in</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2,211,883</w:t>
            </w: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20"/>
                <w:szCs w:val="20"/>
                <w:color w:val="auto"/>
              </w:rPr>
              <w:t>Total transfers</w:t>
            </w:r>
          </w:p>
        </w:tc>
        <w:tc>
          <w:tcPr>
            <w:tcW w:w="4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2,211,883</w:t>
            </w:r>
          </w:p>
        </w:tc>
        <w:tc>
          <w:tcPr>
            <w:tcW w:w="2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71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Net increase in net assets</w:t>
            </w: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94,496,078</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125,960,232</w:t>
            </w: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0"/>
                <w:szCs w:val="20"/>
                <w:color w:val="auto"/>
              </w:rPr>
              <w:t>Beginning of year</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647,503,984</w:t>
            </w: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521,543,752</w:t>
            </w:r>
          </w:p>
        </w:tc>
        <w:tc>
          <w:tcPr>
            <w:tcW w:w="0" w:type="dxa"/>
            <w:vAlign w:val="bottom"/>
          </w:tcPr>
          <w:p>
            <w:pPr>
              <w:spacing w:after="0"/>
              <w:rPr>
                <w:sz w:val="1"/>
                <w:szCs w:val="1"/>
                <w:color w:val="auto"/>
              </w:rPr>
            </w:pPr>
          </w:p>
        </w:tc>
      </w:tr>
      <w:tr>
        <w:trPr>
          <w:trHeight w:val="275"/>
        </w:trPr>
        <w:tc>
          <w:tcPr>
            <w:tcW w:w="7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End of year</w:t>
            </w:r>
          </w:p>
        </w:tc>
        <w:tc>
          <w:tcPr>
            <w:tcW w:w="44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742,000,062</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647,503,984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599" w:right="339" w:bottom="1440" w:gutter="0" w:footer="0" w:header="0"/>
        </w:sectPr>
      </w:pPr>
    </w:p>
    <w:bookmarkStart w:id="7" w:name="page8"/>
    <w:bookmarkEnd w:id="7"/>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DESCRIPTION OF PLAN</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Scotts Company LLC Retirement Savings Plan (the “Plan”) is a defined contribution plan covering substantially all employees of The Scotts Company LLC (the “Company”) and certain of its affiliates who meet the eligibility requirements. The Plan is subject to the provisions of the Employee Retirement Income Security Act of 1974, as amended (“ERISA”).</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World Health Organization recognized a novel strain of coronavirus (“COVID-19”) as a public health emergency of international concern on January 30, 2020 and as a global pandemic on March 11, 2020. Effective March 27, 2020, the Plan adopted the distribution provision of the Coronavirus Aid, Relief, and Economic Security Act (the “CARES Act”) that was signed into law on March 27, 2020. A CARES Act distribution allowed the Plan’s participants to take a COVID-19 related distribution up to $100,000 from the Plan beginning on or after January 1, 2020 and before December 31, 2020. In addition, effective April 21, 2020, the Plan adopted the temporary loan repayment deferral provision of the CARES Act. The deferral provision adopted by the Plan allowed qualified Plan participants who had Plan loan repayments due from the date of enactment of the CARES Act through December 31, 2020, to defer such repayments for up to one year.</w:t>
      </w:r>
    </w:p>
    <w:p>
      <w:pPr>
        <w:spacing w:after="0" w:line="2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description of the Plan provides only general information. Participants should refer to the Plan document for a complete description of the Plan’s provisions, such as eligibility, vesting, allocation and funding.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Company’s Benefits Administrative Committee is responsible for the general operation and administration of the Plan. Fidelity Management Trust Company serves as the Plan trustee, record keeper, and custodian.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Eligibility</w:t>
      </w:r>
    </w:p>
    <w:p>
      <w:pPr>
        <w:spacing w:after="0" w:line="11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Domestic employees are immediately eligible to participate in the Plan upon date of hire. Certain temporary employees are not eligible to participate in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Contributions</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Plan provides for a participant to make pre-tax contributions of up to 75% of eligible earnings, not to exceed the annual Internal Revenue Service (“IRS”) maximum contribution amount. The maximum contribution for the years ended December 31, 2021 and 2020 was $19,500. The Plan also provides that participants who will reach age 50 or older by the end of the calendar year and who are making contributions to the Plan may also make catch-up contributions, up to $6,500 for Plan years 2021 and 2020. Participants also have the option to designate all or any portion of their contributions as after-tax Roth contributions.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Eligible employees are automatically enrolled in the Plan at a pre-tax contribution rate of 3% of compensation for those who do not opt out of such participation. The contribution rate is automatically escalated by an additional 1% of compensation up to a maximum of 6% of compensation. Employees also receive the applicable Company matching contribution. The Company provides matching contributions of 200% of employees’ initial 3% contribution and 50% of their remaining contribution up to 6%. At of the end of each Plan year, the Company provides, if necessary, an additional true-up matching contribution to employees, based on their total elective contributions and eligible compensation for the Plan year. The Company may make additional discretionary profit sharing matching contributions to eligible employees on their initial 4% contribution. The Company may also make additional discretionary employer special contributions to the Plan on behalf of eligible employees. For the year ended December 31, 2020, the Company made a discretionary employer special contribution to the Plan of $3.9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599" w:right="339" w:bottom="1440" w:gutter="0" w:footer="0" w:header="0"/>
        </w:sectPr>
      </w:pPr>
    </w:p>
    <w:bookmarkStart w:id="8" w:name="page9"/>
    <w:bookmarkEnd w:id="8"/>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Rollover contributions from other plans are also accepted provided certain specified conditions are met. Participants may direct their contributions and their Company matching contributions into any or all of the investment options under the Plan. Contributions are subject to limitations on annual additions and other limitations imposed by the Internal Revenue Code, as defined in the Plan document.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Transfers</w:t>
      </w:r>
    </w:p>
    <w:p>
      <w:pPr>
        <w:spacing w:after="0" w:line="11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color w:val="auto"/>
        </w:rPr>
        <w:t>On February 26, 2021, an affiliate of the Company acquired the remaining outstanding shares of AeroGrow International, Inc. Effective April 1, 2021, most AeroGrow employees transferred to employment with The Scotts Company LLC and these employees became immediately eligible to participate in the Plan. During the year, assets of $2,211,883 were transferred into the Plan in connection with this acquisition.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 Accounts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Each participant’s account is credited with the participant’s elective contributions, any rollover contributions made by the participant, allocations of the Company’s base, matching and discretionary contributions and Plan earnings. A participant is entitled to the benefit provided from the participant’s vested account balance.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All participants are immediately vested in their contributions to the Plan plus actual earnings thereon. Company matching contributions and discretionary employer special contributions vest immediately, however, base retirement contributions made by the Company prior to January 1, 2011 vested after three years of service or immediately upon death, attainment of age 65 or permanent and total disability.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Forfeitures</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non-vested portions of participant account balances are forfeitable and used to reduce Company contributions to the Plan and to pay reasonable Plan fees. Forfeitures used to reduce Company contributions were $0 for the years ended December 31, 2021 and 2020. Forfeitures used to offset plan expenses were $16,041 and $0 for the years ended December 31, 2021 and 2020, respectively. The total unused balance remaining in the forfeiture account was $12,178 and $25,138 at December 31, 2021 and 2020,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Receivable from Participants</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Participant loans are permitted under certain circumstances and are subject to limitations. Participants may borrow from their account up to a maximum equal to the lesser of $50,000 or 50% of their account balance. Participant loans are repaid over a period not to exceed 5 years, or 10 years if the loan is for the purchase of a principal residence. The loans are secured by the balance in the participant’s account and bear interest at rates managed by Fidelity Management Trust Company. Principal and interest are paid through payroll deductions. Loans are recorded at unpaid principal plus accrued but unpaid interest.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 of Benefits</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Participants are eligible to receive benefit payments upon termination, retirement, death or disability equal to the vested balance of the participant’s account as of the business day the trustee processes the distribution. Normal retirement age is 65; however, the Plan also provides for in-service withdrawals for active employees under certain circumstances. Hardship withdrawals are permitted in accordance with IRS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599" w:right="339" w:bottom="1440" w:gutter="0" w:footer="0" w:header="0"/>
        </w:sectPr>
      </w:pPr>
    </w:p>
    <w:bookmarkStart w:id="9" w:name="page10"/>
    <w:bookmarkEnd w:id="9"/>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Administrative Expenses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Administrative expenses are paid by the Company or from the assets of the Plan. General expenses paid from the Plan’s assets are allocated among participant accounts to the extent not paid from forfeitures, except for a plan administrative fee of $10 per quarter, fees for loans, withdrawals, and Qualified Domestic Relations Orders which are paid from the account of the participant incurring the expense.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SUMMARY OF SIGNIFICANT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financial statements of the Plan have been prepared on the accrual basis of accounting in accordance with accounting principles generally accepted in the United States of America (“GAAP”).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Plan’s investments are recorded at fair value. Purchases and sales of securities are recorded on a trade-date basis using fair market value.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Dividends are recorded on the ex-dividend date. Interest is recorded as earned.</w:t>
      </w:r>
    </w:p>
    <w:p>
      <w:pPr>
        <w:spacing w:after="0" w:line="2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Plan holds a stable value investment contract, Fidelity Managed Income Portfolio II (the “Portfolio”), with Fidelity Management Trust Company (the “Trustee”). The Portfolio is an open-end commingled pool dedicated exclusively to the management of assets of defined contribution plans. The Portfolio invests in underlying assets (typically fixed-income securities or bond funds, although investments may also include derivative instruments such as futures contracts and swap agreements) and enters into “wrapper” contracts issued by a third party. The account is credited with earnings on the underlying investments and charged for participant withdrawals and administrative expenses. The wrap issuer agrees to pay the Portfolio an amount sufficient to cover unit holder redemptions and certain other payments (such as portfolio expenses), provided all the terms of the wrapper have been met. Wrappers are normally purchased from issuers rated in the top three long-term rating categories (A- or the equivalent and above). The purpose of the wrappers is to preserve the investors’ principal investment while earning interest income, providing more stability in value than a traditional investment. Net asset value is determined by the Portfolio each business day. Issues and redemptions of units are recorded, upon receipt of unit holder’s instructions in good order, based on the next determined net asset value per unit normally each day. In unusual market conditions, in accordance with the Portfolio’s Declaration of Trust, the trustee of the Portfolio may in its sole discretion, impose restrictions on issues and redemptions of units.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Payments of Benefits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and Uncertainties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provides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599" w:right="339" w:bottom="1440" w:gutter="0" w:footer="0" w:header="0"/>
        </w:sectPr>
      </w:pPr>
    </w:p>
    <w:bookmarkStart w:id="10" w:name="page11"/>
    <w:bookmarkEnd w:id="10"/>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Subsequent Events</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the year ended December 31, 2021, the Plan has evaluated subsequent events for potential recognition and disclosure through the date the financial statements were available for issuance.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FAIR VALUE MEASUREMENTS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i w:val="1"/>
          <w:iCs w:val="1"/>
          <w:color w:val="auto"/>
        </w:rPr>
        <w:t xml:space="preserve">Level 1 - </w:t>
      </w:r>
      <w:r>
        <w:rPr>
          <w:rFonts w:ascii="Times New Roman" w:cs="Times New Roman" w:eastAsia="Times New Roman" w:hAnsi="Times New Roman"/>
          <w:sz w:val="20"/>
          <w:szCs w:val="20"/>
          <w:color w:val="auto"/>
        </w:rPr>
        <w:t>Quoted prices in active markets for identical assets or liabilities.</w:t>
      </w:r>
    </w:p>
    <w:p>
      <w:pPr>
        <w:spacing w:after="0" w:line="81" w:lineRule="exact"/>
        <w:rPr>
          <w:sz w:val="20"/>
          <w:szCs w:val="20"/>
          <w:color w:val="auto"/>
        </w:rPr>
      </w:pPr>
    </w:p>
    <w:p>
      <w:pPr>
        <w:jc w:val="both"/>
        <w:ind w:left="460"/>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Level 2 - </w:t>
      </w:r>
      <w:r>
        <w:rPr>
          <w:rFonts w:ascii="Times New Roman" w:cs="Times New Roman" w:eastAsia="Times New Roman" w:hAnsi="Times New Roman"/>
          <w:sz w:val="20"/>
          <w:szCs w:val="20"/>
          <w:color w:val="auto"/>
        </w:rPr>
        <w:t>Observable inputs other than quoted prices included in Level 1, such as quoted prices for similar assets and liabilities in active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markets; quoted prices for similar assets and liabilities in markets that are not active; or other inputs that are observable or can be corroborated by observable market data.</w:t>
      </w:r>
    </w:p>
    <w:p>
      <w:pPr>
        <w:spacing w:after="0" w:line="20" w:lineRule="exact"/>
        <w:rPr>
          <w:sz w:val="20"/>
          <w:szCs w:val="20"/>
          <w:color w:val="auto"/>
        </w:rPr>
      </w:pPr>
    </w:p>
    <w:p>
      <w:pPr>
        <w:jc w:val="both"/>
        <w:ind w:left="460"/>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Level 3 - </w:t>
      </w:r>
      <w:r>
        <w:rPr>
          <w:rFonts w:ascii="Times New Roman" w:cs="Times New Roman" w:eastAsia="Times New Roman" w:hAnsi="Times New Roman"/>
          <w:sz w:val="20"/>
          <w:szCs w:val="20"/>
          <w:color w:val="auto"/>
        </w:rPr>
        <w:t>Unobservable inputs that are supported by little or no market activity and that are significant to the fair value of the assets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liabilities. This includes pricing models, discounted cash flow methodologies and similar techniques that use significant unobservable inputs.</w:t>
      </w:r>
    </w:p>
    <w:p>
      <w:pPr>
        <w:spacing w:after="0" w:line="28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describes the valuation methodologies used for assets measured at fair value. There have been no changes in the methodologies used at December 31, 2021 and 2020.</w:t>
      </w:r>
    </w:p>
    <w:p>
      <w:pPr>
        <w:spacing w:after="0" w:line="173"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Mutual funds and common shares: Valued at the closing price reported on the active market on which the securities are traded.</w:t>
      </w:r>
    </w:p>
    <w:p>
      <w:pPr>
        <w:spacing w:after="0" w:line="28"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Self-directed brokerage account: Includes investments in common stocks, preferred stocks, mutual funds, cash and cash equivalents, bonds, and warrants which are valued at quoted market prices at year end.</w:t>
      </w:r>
    </w:p>
    <w:p>
      <w:pPr>
        <w:spacing w:after="0" w:line="1"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Stable value investment contracts: Valued at fair value by discounting the related cash flows based on current yields of similar instruments with comparable durations considering the credit worthiness of the issuer (see Note 2).</w:t>
      </w:r>
    </w:p>
    <w:p>
      <w:pPr>
        <w:spacing w:after="0" w:line="1" w:lineRule="exact"/>
        <w:rPr>
          <w:rFonts w:ascii="Times New Roman" w:cs="Times New Roman" w:eastAsia="Times New Roman" w:hAnsi="Times New Roman"/>
          <w:sz w:val="20"/>
          <w:szCs w:val="20"/>
          <w:color w:val="auto"/>
        </w:rPr>
      </w:pPr>
    </w:p>
    <w:p>
      <w:pPr>
        <w:ind w:left="660" w:hanging="328"/>
        <w:spacing w:after="0" w:line="263" w:lineRule="auto"/>
        <w:tabs>
          <w:tab w:leader="none" w:pos="64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Money market funds: Valued at amortized cost which approximates fair value. The amortized cost of an instrument is determined by valuing it at its original cost and thereafter amortizing any discount or premium from its face value at a constant rate until maturity.</w:t>
      </w:r>
    </w:p>
    <w:p>
      <w:pPr>
        <w:ind w:left="660" w:hanging="328"/>
        <w:spacing w:after="0" w:line="260"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Collective investment trusts: The fair value is based on net asset value as reported by the trust, which is reported at fair value. Participant transactions (purchases and sales) may occur daily.</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599" w:right="339" w:bottom="1440" w:gutter="0" w:footer="0" w:header="0"/>
        </w:sectPr>
      </w:pPr>
    </w:p>
    <w:bookmarkStart w:id="11" w:name="page12"/>
    <w:bookmarkEnd w:id="11"/>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Plan’s investments measured at fair value at December 31,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400" w:type="dxa"/>
            <w:vAlign w:val="bottom"/>
          </w:tcPr>
          <w:p>
            <w:pPr>
              <w:spacing w:after="0"/>
              <w:rPr>
                <w:sz w:val="23"/>
                <w:szCs w:val="23"/>
                <w:color w:val="auto"/>
              </w:rPr>
            </w:pPr>
          </w:p>
        </w:tc>
        <w:tc>
          <w:tcPr>
            <w:tcW w:w="1360" w:type="dxa"/>
            <w:vAlign w:val="bottom"/>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54"/>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Mutual funds</w:t>
            </w:r>
          </w:p>
        </w:tc>
        <w:tc>
          <w:tcPr>
            <w:tcW w:w="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296,018,185</w:t>
            </w: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296,018,185</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line="189" w:lineRule="exact"/>
              <w:rPr>
                <w:sz w:val="20"/>
                <w:szCs w:val="20"/>
                <w:color w:val="auto"/>
              </w:rPr>
            </w:pPr>
            <w:r>
              <w:rPr>
                <w:rFonts w:ascii="Times New Roman" w:cs="Times New Roman" w:eastAsia="Times New Roman" w:hAnsi="Times New Roman"/>
                <w:sz w:val="20"/>
                <w:szCs w:val="20"/>
                <w:color w:val="auto"/>
              </w:rPr>
              <w:t>The Scotts Miracle-Gro Company common</w:t>
            </w:r>
          </w:p>
        </w:tc>
        <w:tc>
          <w:tcPr>
            <w:tcW w:w="34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52,449,073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6"/>
                <w:szCs w:val="16"/>
                <w:color w:val="auto"/>
              </w:rPr>
            </w:pPr>
          </w:p>
        </w:tc>
        <w:tc>
          <w:tcPr>
            <w:tcW w:w="1600" w:type="dxa"/>
            <w:vAlign w:val="bottom"/>
            <w:gridSpan w:val="2"/>
            <w:vMerge w:val="restart"/>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52,449,073</w:t>
            </w:r>
          </w:p>
        </w:tc>
        <w:tc>
          <w:tcPr>
            <w:tcW w:w="0" w:type="dxa"/>
            <w:vAlign w:val="bottom"/>
          </w:tcPr>
          <w:p>
            <w:pPr>
              <w:spacing w:after="0"/>
              <w:rPr>
                <w:sz w:val="1"/>
                <w:szCs w:val="1"/>
                <w:color w:val="auto"/>
              </w:rPr>
            </w:pP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shares</w:t>
            </w:r>
          </w:p>
        </w:tc>
        <w:tc>
          <w:tcPr>
            <w:tcW w:w="34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vMerge w:val="continue"/>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vMerge w:val="continue"/>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Self-directed brokerage account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32,713,174</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32,713,174</w:t>
            </w:r>
          </w:p>
        </w:tc>
        <w:tc>
          <w:tcPr>
            <w:tcW w:w="0" w:type="dxa"/>
            <w:vAlign w:val="bottom"/>
          </w:tcPr>
          <w:p>
            <w:pPr>
              <w:spacing w:after="0"/>
              <w:rPr>
                <w:sz w:val="1"/>
                <w:szCs w:val="1"/>
                <w:color w:val="auto"/>
              </w:rPr>
            </w:pP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Stable value investment contracts</w:t>
            </w:r>
          </w:p>
        </w:tc>
        <w:tc>
          <w:tcPr>
            <w:tcW w:w="340" w:type="dxa"/>
            <w:vAlign w:val="bottom"/>
          </w:tcPr>
          <w:p>
            <w:pPr>
              <w:spacing w:after="0"/>
              <w:rPr>
                <w:sz w:val="22"/>
                <w:szCs w:val="22"/>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30,765,237</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30,765,237</w:t>
            </w: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Money market funds</w:t>
            </w: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651,683</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651,683</w:t>
            </w: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 in the fair value hierarchy</w:t>
            </w: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381,180,432</w:t>
            </w:r>
          </w:p>
        </w:tc>
        <w:tc>
          <w:tcPr>
            <w:tcW w:w="2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31,416,920</w:t>
            </w:r>
          </w:p>
        </w:tc>
        <w:tc>
          <w:tcPr>
            <w:tcW w:w="2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40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412,597,352</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Collective investment trusts, measured at net</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316,256,829</w:t>
            </w: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asset value</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728,854,181</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Plan’s investments measured at fair value at December 31,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400" w:type="dxa"/>
            <w:vAlign w:val="bottom"/>
          </w:tcPr>
          <w:p>
            <w:pPr>
              <w:spacing w:after="0"/>
              <w:rPr>
                <w:sz w:val="23"/>
                <w:szCs w:val="23"/>
                <w:color w:val="auto"/>
              </w:rPr>
            </w:pPr>
          </w:p>
        </w:tc>
        <w:tc>
          <w:tcPr>
            <w:tcW w:w="1360" w:type="dxa"/>
            <w:vAlign w:val="bottom"/>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54"/>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Mutual funds</w:t>
            </w:r>
          </w:p>
        </w:tc>
        <w:tc>
          <w:tcPr>
            <w:tcW w:w="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511,118,662</w:t>
            </w: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511,118,662</w:t>
            </w:r>
          </w:p>
        </w:tc>
        <w:tc>
          <w:tcPr>
            <w:tcW w:w="0" w:type="dxa"/>
            <w:vAlign w:val="bottom"/>
          </w:tcPr>
          <w:p>
            <w:pPr>
              <w:spacing w:after="0"/>
              <w:rPr>
                <w:sz w:val="1"/>
                <w:szCs w:val="1"/>
                <w:color w:val="auto"/>
              </w:rPr>
            </w:pPr>
          </w:p>
        </w:tc>
      </w:tr>
      <w:tr>
        <w:trPr>
          <w:trHeight w:val="193"/>
        </w:trPr>
        <w:tc>
          <w:tcPr>
            <w:tcW w:w="3660" w:type="dxa"/>
            <w:vAlign w:val="bottom"/>
          </w:tcPr>
          <w:p>
            <w:pPr>
              <w:ind w:left="20"/>
              <w:spacing w:after="0" w:line="193" w:lineRule="exact"/>
              <w:rPr>
                <w:sz w:val="20"/>
                <w:szCs w:val="20"/>
                <w:color w:val="auto"/>
              </w:rPr>
            </w:pPr>
            <w:r>
              <w:rPr>
                <w:rFonts w:ascii="Times New Roman" w:cs="Times New Roman" w:eastAsia="Times New Roman" w:hAnsi="Times New Roman"/>
                <w:sz w:val="20"/>
                <w:szCs w:val="20"/>
                <w:color w:val="auto"/>
              </w:rPr>
              <w:t>The Scotts Miracle-Gro Company common</w:t>
            </w:r>
          </w:p>
        </w:tc>
        <w:tc>
          <w:tcPr>
            <w:tcW w:w="34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64,170,112</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6"/>
                <w:szCs w:val="16"/>
                <w:color w:val="auto"/>
              </w:rPr>
            </w:pPr>
          </w:p>
        </w:tc>
        <w:tc>
          <w:tcPr>
            <w:tcW w:w="1600" w:type="dxa"/>
            <w:vAlign w:val="bottom"/>
            <w:gridSpan w:val="2"/>
            <w:vMerge w:val="restart"/>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64,170,112</w:t>
            </w:r>
          </w:p>
        </w:tc>
        <w:tc>
          <w:tcPr>
            <w:tcW w:w="0" w:type="dxa"/>
            <w:vAlign w:val="bottom"/>
          </w:tcPr>
          <w:p>
            <w:pPr>
              <w:spacing w:after="0"/>
              <w:rPr>
                <w:sz w:val="1"/>
                <w:szCs w:val="1"/>
                <w:color w:val="auto"/>
              </w:rPr>
            </w:pPr>
          </w:p>
        </w:tc>
      </w:tr>
      <w:tr>
        <w:trPr>
          <w:trHeight w:val="252"/>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shares</w:t>
            </w:r>
          </w:p>
        </w:tc>
        <w:tc>
          <w:tcPr>
            <w:tcW w:w="34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Self-directed brokerage account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27,784,815</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27,784,815</w:t>
            </w:r>
          </w:p>
        </w:tc>
        <w:tc>
          <w:tcPr>
            <w:tcW w:w="0" w:type="dxa"/>
            <w:vAlign w:val="bottom"/>
          </w:tcPr>
          <w:p>
            <w:pPr>
              <w:spacing w:after="0"/>
              <w:rPr>
                <w:sz w:val="1"/>
                <w:szCs w:val="1"/>
                <w:color w:val="auto"/>
              </w:rPr>
            </w:pP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Stable value investment contracts</w:t>
            </w:r>
          </w:p>
        </w:tc>
        <w:tc>
          <w:tcPr>
            <w:tcW w:w="340" w:type="dxa"/>
            <w:vAlign w:val="bottom"/>
          </w:tcPr>
          <w:p>
            <w:pPr>
              <w:spacing w:after="0"/>
              <w:rPr>
                <w:sz w:val="22"/>
                <w:szCs w:val="22"/>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32,068,035</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32,068,035</w:t>
            </w: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Money market funds</w:t>
            </w: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247,665</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247,665</w:t>
            </w: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603,073,589</w:t>
            </w:r>
          </w:p>
        </w:tc>
        <w:tc>
          <w:tcPr>
            <w:tcW w:w="2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32,315,700</w:t>
            </w:r>
          </w:p>
        </w:tc>
        <w:tc>
          <w:tcPr>
            <w:tcW w:w="2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635,389,289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TAX STATUS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obtained its latest determination letter on December 5, 2017, based on plan amendments through January 1, 2017, in which the Internal Revenue Service (“IRS”) stated that the Plan, as then designed, was in compliance with the applicable requirements of the Internal Revenue Code. The Plan administrator and the Company believe that the Plan is being operated in compliance with the applicable requirements of the Internal Revenue Code. Accordingly, no provision for federal income taxes has been made.</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GAAP requires Plan management to evaluate tax positions taken by the Plan and recognize a tax liability if the Plan has taken uncertain tax positions that more-likely-than-not would not be sustained upon examination by applicable taxing authorities. The Plan administrator has analyzed tax positions taken by the Plan and has concluded that, as of December 31, 2021, there are no uncertain tax positions taken, or expected to be taken, that would require recognition of a liability or that would require disclosure in the financial statements. The Plan is subject to routine audits by taxing jurisdictions. Currently no audits for any tax periods are in progress.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PLAN TERMINATION</w:t>
      </w:r>
    </w:p>
    <w:p>
      <w:pPr>
        <w:spacing w:after="0" w:line="2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Although it has not expressed any intent to do so, the Company has the right under the Plan to terminate the Plan or its contributions subject to the provisions of ERISA. In the event the Plan is terminated, all participants will become fully vested in their accounts.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599" w:right="339" w:bottom="1440" w:gutter="0" w:footer="0" w:header="0"/>
        </w:sectPr>
      </w:pPr>
    </w:p>
    <w:bookmarkStart w:id="12" w:name="page13"/>
    <w:bookmarkEnd w:id="12"/>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PARTY-IN-INTEREST TRANSACTIONS</w:t>
      </w:r>
    </w:p>
    <w:p>
      <w:pPr>
        <w:spacing w:after="0" w:line="26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Certain Plan investments are shares of mutual funds managed by Fidelity Management Trust Company, the Trustee as defined by the Plan, and therefore, these transactions qualify as party-in-interest. The fees for the investment management services are paid by the mutual funds.</w:t>
      </w:r>
    </w:p>
    <w:p>
      <w:pPr>
        <w:spacing w:after="0" w:line="20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is also a party-in-interest to the Plan under the definition provided in Section 3(14) of ERISA. Therefore, the Company’s common share transactions qualify as party-in-interest.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 Plan has arrangements with various service providers and these arrangements qualify as party-in-interest transactions.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59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SCHEDULE OF ASSETS HELD FOR INVESTMENT PURPOSES AT END OF YEAR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5500, Schedule H, Part IV, Line 4i</w:t>
      </w:r>
    </w:p>
    <w:p>
      <w:pPr>
        <w:spacing w:after="0" w:line="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The Scotts Company LLC</w:t>
      </w:r>
    </w:p>
    <w:p>
      <w:pPr>
        <w:spacing w:after="0" w:line="1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Retirement Savings Plan</w:t>
      </w:r>
    </w:p>
    <w:p>
      <w:pPr>
        <w:spacing w:after="0" w:line="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EIN 31-1414921</w:t>
      </w:r>
    </w:p>
    <w:p>
      <w:pPr>
        <w:spacing w:after="0" w:line="1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Plan Number 001</w:t>
      </w:r>
    </w:p>
    <w:p>
      <w:pPr>
        <w:spacing w:after="0" w:line="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(a)</w:t>
            </w:r>
          </w:p>
        </w:tc>
        <w:tc>
          <w:tcPr>
            <w:tcW w:w="4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(b) Identity of Issue, Borrower, Lessor, or Similar Party</w:t>
            </w: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 Description of Investment Including Maturity Date,</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w w:val="99"/>
              </w:rPr>
              <w:t>(d) Cost</w:t>
            </w:r>
          </w:p>
        </w:tc>
        <w:tc>
          <w:tcPr>
            <w:tcW w:w="120" w:type="dxa"/>
            <w:vAlign w:val="bottom"/>
          </w:tcPr>
          <w:p>
            <w:pPr>
              <w:spacing w:after="0"/>
              <w:rPr>
                <w:sz w:val="16"/>
                <w:szCs w:val="16"/>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6"/>
                <w:szCs w:val="16"/>
                <w:color w:val="auto"/>
              </w:rPr>
              <w:t>(e) Current</w:t>
            </w:r>
          </w:p>
        </w:tc>
        <w:tc>
          <w:tcPr>
            <w:tcW w:w="0" w:type="dxa"/>
            <w:vAlign w:val="bottom"/>
          </w:tcPr>
          <w:p>
            <w:pPr>
              <w:spacing w:after="0"/>
              <w:rPr>
                <w:sz w:val="1"/>
                <w:szCs w:val="1"/>
                <w:color w:val="auto"/>
              </w:rPr>
            </w:pPr>
          </w:p>
        </w:tc>
      </w:tr>
      <w:tr>
        <w:trPr>
          <w:trHeight w:val="213"/>
        </w:trPr>
        <w:tc>
          <w:tcPr>
            <w:tcW w:w="540" w:type="dxa"/>
            <w:vAlign w:val="bottom"/>
            <w:gridSpan w:val="2"/>
            <w:vMerge w:val="continue"/>
          </w:tcPr>
          <w:p>
            <w:pPr>
              <w:spacing w:after="0"/>
              <w:rPr>
                <w:sz w:val="18"/>
                <w:szCs w:val="18"/>
                <w:color w:val="auto"/>
              </w:rPr>
            </w:pPr>
          </w:p>
        </w:tc>
        <w:tc>
          <w:tcPr>
            <w:tcW w:w="4900" w:type="dxa"/>
            <w:vAlign w:val="bottom"/>
            <w:gridSpan w:val="2"/>
            <w:vMerge w:val="continue"/>
          </w:tcPr>
          <w:p>
            <w:pPr>
              <w:spacing w:after="0"/>
              <w:rPr>
                <w:sz w:val="18"/>
                <w:szCs w:val="18"/>
                <w:color w:val="auto"/>
              </w:rPr>
            </w:pPr>
          </w:p>
        </w:tc>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Rate of Interest, Collateral, Par or Maturity Value</w:t>
            </w: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26"/>
        </w:trPr>
        <w:tc>
          <w:tcPr>
            <w:tcW w:w="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Dodge and Cox Stock Fund</w:t>
            </w:r>
          </w:p>
        </w:tc>
        <w:tc>
          <w:tcPr>
            <w:tcW w:w="120" w:type="dxa"/>
            <w:vAlign w:val="bottom"/>
            <w:tcBorders>
              <w:top w:val="single" w:sz="8" w:color="CCEEFF"/>
            </w:tcBorders>
            <w:shd w:val="clear" w:color="auto" w:fill="CCEEFF"/>
          </w:tcPr>
          <w:p>
            <w:pPr>
              <w:spacing w:after="0"/>
              <w:rPr>
                <w:sz w:val="19"/>
                <w:szCs w:val="19"/>
                <w:color w:val="auto"/>
              </w:rPr>
            </w:pPr>
          </w:p>
        </w:tc>
        <w:tc>
          <w:tcPr>
            <w:tcW w:w="39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26,657,561</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EuroPacific Growth Fund-Class R6</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18,046,552</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Fidelity BrokerageLink</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Self-Directed Brokerage Option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32,713,174</w:t>
            </w:r>
          </w:p>
        </w:tc>
        <w:tc>
          <w:tcPr>
            <w:tcW w:w="0" w:type="dxa"/>
            <w:vAlign w:val="bottom"/>
          </w:tcPr>
          <w:p>
            <w:pPr>
              <w:spacing w:after="0"/>
              <w:rPr>
                <w:sz w:val="1"/>
                <w:szCs w:val="1"/>
                <w:color w:val="auto"/>
              </w:rPr>
            </w:pPr>
          </w:p>
        </w:tc>
      </w:tr>
      <w:tr>
        <w:trPr>
          <w:trHeight w:val="229"/>
        </w:trPr>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Fidelity Contrafund K</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54,889,926</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Fidelity Managed Income Portfolio II</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30,765,237</w:t>
            </w:r>
          </w:p>
        </w:tc>
        <w:tc>
          <w:tcPr>
            <w:tcW w:w="0" w:type="dxa"/>
            <w:vAlign w:val="bottom"/>
          </w:tcPr>
          <w:p>
            <w:pPr>
              <w:spacing w:after="0"/>
              <w:rPr>
                <w:sz w:val="1"/>
                <w:szCs w:val="1"/>
                <w:color w:val="auto"/>
              </w:rPr>
            </w:pPr>
          </w:p>
        </w:tc>
      </w:tr>
      <w:tr>
        <w:trPr>
          <w:trHeight w:val="230"/>
        </w:trPr>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Fidelity Puritan Fund K</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25,798,010</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Fidelity Total International Index Fund</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1,955,527</w:t>
            </w:r>
          </w:p>
        </w:tc>
        <w:tc>
          <w:tcPr>
            <w:tcW w:w="0" w:type="dxa"/>
            <w:vAlign w:val="bottom"/>
          </w:tcPr>
          <w:p>
            <w:pPr>
              <w:spacing w:after="0"/>
              <w:rPr>
                <w:sz w:val="1"/>
                <w:szCs w:val="1"/>
                <w:color w:val="auto"/>
              </w:rPr>
            </w:pPr>
          </w:p>
        </w:tc>
      </w:tr>
      <w:tr>
        <w:trPr>
          <w:trHeight w:val="229"/>
        </w:trPr>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Fidelity 500 Index Fund</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51,119,756</w:t>
            </w:r>
          </w:p>
        </w:tc>
        <w:tc>
          <w:tcPr>
            <w:tcW w:w="0" w:type="dxa"/>
            <w:vAlign w:val="bottom"/>
          </w:tcPr>
          <w:p>
            <w:pPr>
              <w:spacing w:after="0"/>
              <w:rPr>
                <w:sz w:val="1"/>
                <w:szCs w:val="1"/>
                <w:color w:val="auto"/>
              </w:rPr>
            </w:pPr>
          </w:p>
        </w:tc>
      </w:tr>
      <w:tr>
        <w:trPr>
          <w:trHeight w:val="176"/>
        </w:trPr>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JPMorgan U.S. Government Money Market Fund Institutional</w:t>
            </w:r>
          </w:p>
        </w:tc>
        <w:tc>
          <w:tcPr>
            <w:tcW w:w="3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651,683</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PIMCO Total Return Fund</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14,775,336</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Scotts Miracle-Gro Company Common Shares</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Securities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52,449,073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 Rowe Price Institutional Large Cap Growth Fund</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59,173,970</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Vanguard Extended Market Index Fund</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38,408,750</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Vanguard Target Retirement 2015 Trust II</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2,407,646</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Vanguard Target Retirement 2020 Trust II</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20,252,891</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Vanguard Target Retirement 2025 Trust II</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28,118,417</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Vanguard Target Retirement 2030 Trust II</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47,053,150</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Vanguard Target Retirement 2035 Trust II</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36,014,123</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Vanguard Target Retirement 2040 Trust II</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46,610,225</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Vanguard Target Retirement 2045 Trust II</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45,751,662</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Vanguard Target Retirement 2050 Trust II</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42,504,156</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Vanguard Target Retirement 2055 Trust II</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27,939,022</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Vanguard Target Retirement 2060 Trust II</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9,850,466</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Vanguard Target Retirement 2065 Trust II</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2,504,509</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Vanguard Target Retirement Income Trust II</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7,250,562</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Vanguard Total Bond Market Index Fund Institutional Shares</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4,478,567</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Vanguard Short Term Inflation Protected Securities</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714,230</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728,854,181</w:t>
            </w:r>
          </w:p>
        </w:tc>
        <w:tc>
          <w:tcPr>
            <w:tcW w:w="0" w:type="dxa"/>
            <w:vAlign w:val="bottom"/>
          </w:tcPr>
          <w:p>
            <w:pPr>
              <w:spacing w:after="0"/>
              <w:rPr>
                <w:sz w:val="1"/>
                <w:szCs w:val="1"/>
                <w:color w:val="auto"/>
              </w:rPr>
            </w:pPr>
          </w:p>
        </w:tc>
      </w:tr>
      <w:tr>
        <w:trPr>
          <w:trHeight w:val="175"/>
        </w:trPr>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Participant loans (interest rates ranging from 4.25%</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to 7.50% with varying maturity dates through</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1"/>
                <w:szCs w:val="21"/>
                <w:color w:val="auto"/>
              </w:rPr>
            </w:pP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Participant loans</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8, 2031)</w:t>
            </w: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9,934,750</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738,788,931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 Party-in-interest to the Plan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 Information not represented because investments are participant directed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44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500" w:type="dxa"/>
            <w:vAlign w:val="bottom"/>
          </w:tcPr>
          <w:p>
            <w:pPr>
              <w:jc w:val="center"/>
              <w:ind w:right="1821"/>
              <w:spacing w:after="0"/>
              <w:rPr>
                <w:sz w:val="20"/>
                <w:szCs w:val="20"/>
                <w:color w:val="auto"/>
              </w:rPr>
            </w:pPr>
            <w:r>
              <w:rPr>
                <w:rFonts w:ascii="Times New Roman" w:cs="Times New Roman" w:eastAsia="Times New Roman" w:hAnsi="Times New Roman"/>
                <w:sz w:val="20"/>
                <w:szCs w:val="20"/>
                <w:b w:val="1"/>
                <w:bCs w:val="1"/>
                <w:color w:val="auto"/>
                <w:w w:val="98"/>
              </w:rPr>
              <w:t>THE SCOTTS COMPANY LLC RETIREMENT SAVINGS PLAN</w:t>
            </w:r>
          </w:p>
        </w:tc>
      </w:tr>
      <w:tr>
        <w:trPr>
          <w:trHeight w:val="229"/>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500" w:type="dxa"/>
            <w:vAlign w:val="bottom"/>
          </w:tcPr>
          <w:p>
            <w:pPr>
              <w:jc w:val="center"/>
              <w:ind w:right="1841"/>
              <w:spacing w:after="0"/>
              <w:rPr>
                <w:sz w:val="20"/>
                <w:szCs w:val="20"/>
                <w:color w:val="auto"/>
              </w:rPr>
            </w:pPr>
            <w:r>
              <w:rPr>
                <w:rFonts w:ascii="Times New Roman" w:cs="Times New Roman" w:eastAsia="Times New Roman" w:hAnsi="Times New Roman"/>
                <w:sz w:val="20"/>
                <w:szCs w:val="20"/>
                <w:b w:val="1"/>
                <w:bCs w:val="1"/>
                <w:color w:val="auto"/>
                <w:w w:val="98"/>
              </w:rPr>
              <w:t>ANNUAL REPORT ON FORM 11-K</w:t>
            </w:r>
          </w:p>
        </w:tc>
      </w:t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500" w:type="dxa"/>
            <w:vAlign w:val="bottom"/>
          </w:tcPr>
          <w:p>
            <w:pPr>
              <w:jc w:val="center"/>
              <w:ind w:right="1841"/>
              <w:spacing w:after="0"/>
              <w:rPr>
                <w:sz w:val="20"/>
                <w:szCs w:val="20"/>
                <w:color w:val="auto"/>
              </w:rPr>
            </w:pPr>
            <w:r>
              <w:rPr>
                <w:rFonts w:ascii="Times New Roman" w:cs="Times New Roman" w:eastAsia="Times New Roman" w:hAnsi="Times New Roman"/>
                <w:sz w:val="20"/>
                <w:szCs w:val="20"/>
                <w:b w:val="1"/>
                <w:bCs w:val="1"/>
                <w:color w:val="auto"/>
                <w:w w:val="98"/>
              </w:rPr>
              <w:t>FOR FISCAL YEAR ENDED DECEMBER 31, 2021</w:t>
            </w:r>
          </w:p>
        </w:tc>
      </w:tr>
      <w:tr>
        <w:trPr>
          <w:trHeight w:val="262"/>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500" w:type="dxa"/>
            <w:vAlign w:val="bottom"/>
          </w:tcPr>
          <w:p>
            <w:pPr>
              <w:jc w:val="center"/>
              <w:ind w:right="1821"/>
              <w:spacing w:after="0"/>
              <w:rPr>
                <w:sz w:val="20"/>
                <w:szCs w:val="20"/>
                <w:color w:val="auto"/>
              </w:rPr>
            </w:pPr>
            <w:r>
              <w:rPr>
                <w:rFonts w:ascii="Times New Roman" w:cs="Times New Roman" w:eastAsia="Times New Roman" w:hAnsi="Times New Roman"/>
                <w:sz w:val="20"/>
                <w:szCs w:val="20"/>
                <w:b w:val="1"/>
                <w:bCs w:val="1"/>
                <w:color w:val="auto"/>
                <w:w w:val="98"/>
              </w:rPr>
              <w:t>INDEX TO EXHIBITS</w:t>
            </w:r>
          </w:p>
        </w:tc>
      </w:tr>
      <w:tr>
        <w:trPr>
          <w:trHeight w:val="760"/>
        </w:trPr>
        <w:tc>
          <w:tcPr>
            <w:tcW w:w="20" w:type="dxa"/>
            <w:vAlign w:val="bottom"/>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5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0"/>
        </w:trPr>
        <w:tc>
          <w:tcPr>
            <w:tcW w:w="360" w:type="dxa"/>
            <w:vAlign w:val="bottom"/>
            <w:tcBorders>
              <w:top w:val="single" w:sz="8" w:color="auto"/>
            </w:tcBorders>
            <w:gridSpan w:val="2"/>
          </w:tcPr>
          <w:p>
            <w:pPr>
              <w:ind w:left="20"/>
              <w:spacing w:after="0" w:line="200" w:lineRule="exact"/>
              <w:rPr>
                <w:sz w:val="20"/>
                <w:szCs w:val="20"/>
                <w:color w:val="auto"/>
              </w:rPr>
            </w:pPr>
            <w:r>
              <w:rPr>
                <w:rFonts w:ascii="Times New Roman" w:cs="Times New Roman" w:eastAsia="Times New Roman" w:hAnsi="Times New Roman"/>
                <w:sz w:val="20"/>
                <w:szCs w:val="20"/>
                <w:color w:val="0000FF"/>
                <w:w w:val="91"/>
              </w:rPr>
              <w:t>23.</w:t>
            </w:r>
            <w:r>
              <w:rPr>
                <w:rFonts w:ascii="Times New Roman" w:cs="Times New Roman" w:eastAsia="Times New Roman" w:hAnsi="Times New Roman"/>
                <w:sz w:val="20"/>
                <w:szCs w:val="20"/>
                <w:u w:val="single" w:color="auto"/>
                <w:color w:val="0000FF"/>
                <w:w w:val="91"/>
              </w:rPr>
              <w:t>1</w:t>
            </w:r>
          </w:p>
        </w:tc>
        <w:tc>
          <w:tcPr>
            <w:tcW w:w="1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500" w:type="dxa"/>
            <w:vAlign w:val="bottom"/>
            <w:tcBorders>
              <w:top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40"/>
          </w:cols>
          <w:pgMar w:left="720" w:top="1004" w:right="7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(Forms S-8 No. 033-47073 and No. 333-154364) pertaining to The Scotts Miracle-Gro Company of our report dated June 23, 2022, with respect to the financial statements of The Scotts Company LLC Retirement Savings Plan included in this Annual Report (Form 11-K) for the year ended December 31, 2021.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MEADEN &amp; MOORE, LTD.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Cleveland, Ohio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23,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2022-06-23T15:27:53Z</dcterms:created>
  <dcterms:modified xsi:type="dcterms:W3CDTF">2022-06-23T15:27:53Z</dcterms:modified>
</cp:coreProperties>
</file>