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AND EXCHANGE COMMISSION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 xml:space="preserve">SCHEDULE 14A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Proxy Statement Pursuant to Section 14(a) of the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Exchange Act of 1934 </w:t>
      </w:r>
    </w:p>
    <w:p>
      <w:pPr>
        <w:pStyle w:val="TextBody"/>
        <w:bidi w:val="0"/>
        <w:spacing w:lineRule="auto" w:line="268" w:before="0" w:after="0"/>
        <w:jc w:val="center"/>
        <w:rPr/>
      </w:pPr>
      <w:r>
        <w:rPr>
          <w:rFonts w:ascii="Times New Roman;serif" w:hAnsi="Times New Roman;serif"/>
          <w:b/>
          <w:color w:val="000000"/>
          <w:sz w:val="20"/>
        </w:rPr>
        <w:t>(Amendment No.</w:t>
      </w:r>
      <w:r>
        <w:rPr>
          <w:color w:val="000000"/>
          <w:u w:val="single"/>
        </w:rPr>
        <w:t xml:space="preserve"> </w:t>
      </w:r>
      <w:r>
        <w:rPr>
          <w:rFonts w:ascii="Times New Roman;serif" w:hAnsi="Times New Roman;serif"/>
          <w:b/>
          <w:color w:val="000000"/>
          <w:sz w:val="20"/>
        </w:rPr>
        <w:t xml:space="preserve">) </w:t>
      </w:r>
    </w:p>
    <w:p>
      <w:pPr>
        <w:pStyle w:val="TextBody"/>
        <w:bidi w:val="0"/>
        <w:spacing w:lineRule="auto" w:line="268" w:before="0" w:after="0"/>
        <w:jc w:val="both"/>
        <w:rPr/>
      </w:pPr>
      <w:r>
        <w:rPr>
          <w:rFonts w:ascii="Times New Roman;serif" w:hAnsi="Times New Roman;serif"/>
          <w:b w:val="false"/>
          <w:color w:val="000000"/>
          <w:sz w:val="20"/>
        </w:rPr>
        <w:t xml:space="preserve">Filed by the Registrant </w:t>
      </w:r>
      <w:r>
        <w:rPr>
          <w:color w:val="000000"/>
        </w:rPr>
        <w:t xml:space="preserve">☒ </w:t>
      </w:r>
      <w:r>
        <w:rPr>
          <w:rFonts w:ascii="Times New Roman;serif" w:hAnsi="Times New Roman;serif"/>
          <w:b w:val="false"/>
          <w:color w:val="000000"/>
          <w:sz w:val="20"/>
        </w:rPr>
        <w:t xml:space="preserve">Filed by a Party other than the Registrant </w:t>
      </w:r>
      <w:r>
        <w:rPr>
          <w:color w:val="000000"/>
        </w:rPr>
        <w: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268" w:before="0" w:after="0"/>
        <w:ind w:left="0" w:right="0" w:hanging="1"/>
        <w:jc w:val="both"/>
        <w:rPr/>
      </w:pPr>
      <w:r>
        <w:rPr>
          <w:color w:val="000000"/>
        </w:rPr>
        <w:t xml:space="preserve">☐ </w:t>
      </w:r>
      <w:r>
        <w:rPr>
          <w:rFonts w:ascii="Times New Roman;serif" w:hAnsi="Times New Roman;serif"/>
          <w:b w:val="false"/>
          <w:color w:val="000000"/>
          <w:sz w:val="20"/>
        </w:rPr>
        <w:t xml:space="preserve">Preliminary Proxy Statement </w:t>
      </w:r>
    </w:p>
    <w:p>
      <w:pPr>
        <w:pStyle w:val="TextBody"/>
        <w:bidi w:val="0"/>
        <w:spacing w:lineRule="auto" w:line="268" w:before="0" w:after="0"/>
        <w:ind w:left="0" w:right="0" w:hanging="1"/>
        <w:jc w:val="both"/>
        <w:rPr/>
      </w:pPr>
      <w:r>
        <w:rPr>
          <w:color w:val="000000"/>
        </w:rPr>
        <w:t xml:space="preserve">☐ </w:t>
      </w:r>
      <w:r>
        <w:rPr>
          <w:rFonts w:ascii="Times New Roman;serif" w:hAnsi="Times New Roman;serif"/>
          <w:b/>
          <w:color w:val="000000"/>
          <w:sz w:val="24"/>
        </w:rPr>
        <w:t>Confidential, for Use of the Commission Only (as permitted by Rule 14a-6(e)(2))</w:t>
      </w:r>
    </w:p>
    <w:p>
      <w:pPr>
        <w:pStyle w:val="TextBody"/>
        <w:bidi w:val="0"/>
        <w:spacing w:lineRule="auto" w:line="268" w:before="0" w:after="0"/>
        <w:ind w:left="0" w:right="0" w:hanging="1"/>
        <w:jc w:val="both"/>
        <w:rPr/>
      </w:pPr>
      <w:r>
        <w:rPr>
          <w:color w:val="000000"/>
        </w:rPr>
        <w:t xml:space="preserve">☐ </w:t>
      </w:r>
      <w:r>
        <w:rPr>
          <w:rFonts w:ascii="Times New Roman;serif" w:hAnsi="Times New Roman;serif"/>
          <w:b w:val="false"/>
          <w:color w:val="000000"/>
          <w:sz w:val="20"/>
        </w:rPr>
        <w:t xml:space="preserve">Definitive Proxy Statement </w:t>
      </w:r>
    </w:p>
    <w:p>
      <w:pPr>
        <w:pStyle w:val="TextBody"/>
        <w:bidi w:val="0"/>
        <w:spacing w:lineRule="auto" w:line="268" w:before="0" w:after="0"/>
        <w:ind w:left="0" w:right="0" w:hanging="1"/>
        <w:jc w:val="both"/>
        <w:rPr/>
      </w:pPr>
      <w:r>
        <w:rPr>
          <w:color w:val="000000"/>
        </w:rPr>
        <w:t xml:space="preserve">☒ </w:t>
      </w:r>
      <w:r>
        <w:rPr>
          <w:rFonts w:ascii="Times New Roman;serif" w:hAnsi="Times New Roman;serif"/>
          <w:b w:val="false"/>
          <w:color w:val="000000"/>
          <w:sz w:val="20"/>
        </w:rPr>
        <w:t xml:space="preserve">Definitive Additional Materials </w:t>
      </w:r>
    </w:p>
    <w:p>
      <w:pPr>
        <w:pStyle w:val="TextBody"/>
        <w:bidi w:val="0"/>
        <w:spacing w:lineRule="auto" w:line="268" w:before="0" w:after="0"/>
        <w:ind w:left="0" w:right="0" w:hanging="1"/>
        <w:jc w:val="both"/>
        <w:rPr/>
      </w:pPr>
      <w:r>
        <w:rPr>
          <w:color w:val="000000"/>
        </w:rPr>
        <w:t xml:space="preserve">☐ </w:t>
      </w:r>
      <w:r>
        <w:rPr>
          <w:rFonts w:ascii="Times New Roman;serif" w:hAnsi="Times New Roman;serif"/>
          <w:b w:val="false"/>
          <w:color w:val="000000"/>
          <w:sz w:val="20"/>
        </w:rPr>
        <w:t xml:space="preserve">Soliciting Material Pursuant to §240.14a-12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The Scotts Miracle-Gro Company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(Name of Registrant as Specified In Its Charter)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 xml:space="preserve">(Name of Person(s) Filing Proxy Statement, if other than the Registrant) </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Payment of Filing Fee (Check all boxes that apply): </w:t>
      </w:r>
    </w:p>
    <w:tbl>
      <w:tblPr>
        <w:tblW w:w="7677" w:type="dxa"/>
        <w:jc w:val="left"/>
        <w:tblInd w:w="0" w:type="dxa"/>
        <w:tblLayout w:type="fixed"/>
        <w:tblCellMar>
          <w:top w:w="28" w:type="dxa"/>
          <w:left w:w="28" w:type="dxa"/>
          <w:bottom w:w="28" w:type="dxa"/>
          <w:right w:w="28" w:type="dxa"/>
        </w:tblCellMar>
      </w:tblPr>
      <w:tblGrid>
        <w:gridCol w:w="124"/>
        <w:gridCol w:w="109"/>
        <w:gridCol w:w="109"/>
        <w:gridCol w:w="2139"/>
        <w:gridCol w:w="2139"/>
        <w:gridCol w:w="3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t>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Vote Counts! *Please check the meeting materials for any special requirements for meeting attendance. Smartphone users Point your camera here and vote without entering a control number For complete information and to vote, visit www.ProxyVote.com Control # V82165-P41545-Z91648 You invested in THE SCOTTS MIRACLE-GRO COMPANY and it’s time to vote! You have the right to vote on proposals being presented at the Annual Meeting. This is an important notice regarding the availability of proxy materials for the shareholder meeting to be held on January 26, 2026. Vote Virtually at the Meeting* January 26, 2026 9:00 a.m., Eastern Time Virtually at: www.virtualshareholdermeeting.com/SMG2026 Get informed before you vote View the Notice of Annual Meeting of Shareholders, Proxy Statement and 2025 Annual Report online OR you can receive a free paper or email copy of the material(s) by requesting prior to January 12,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THE SCOTTS MIRACLE-GRO CO. ATTN: KATHY UTTLEY — PARALEGAL 14111 SCOTTSLAWN ROAD MARYSVILLE, OH 43041 THE SCOTTS MIRACLE-GRO COMPANY 2026 Annual Meeting Vote by January 25, 2026 11:59 PM 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Vote at www.ProxyVote.com Prefer to receive an email instead? While voting on www.ProxyVote.com, be sure to click “Delivery Settings”. Voting Items Board Recommends V82166-P41545-Z91648 THIS IS NOT A VOTABLE BALLOT This is an overview of the proposals being presented at the upcoming shareholder meeting. Please follow the instructions on the reverse side to vote these important matters. 1.</w:t>
        <w:tab/>
        <w:t xml:space="preserve"> Election of four directors, each to serve for a term of three years to expire at the 2029 Annual Meeting of Shareholders: </w:t>
        <w:tab/>
        <w:t xml:space="preserve"> Nominees: 1a.</w:t>
        <w:tab/>
        <w:t xml:space="preserve"> James Hagedorn For 1b.</w:t>
        <w:tab/>
        <w:t xml:space="preserve"> Edith Avilés For 1c.</w:t>
        <w:tab/>
        <w:t xml:space="preserve"> Roberto Candelino For 1d.</w:t>
        <w:tab/>
        <w:t xml:space="preserve"> Mark D. Kingdon For 2.</w:t>
        <w:tab/>
        <w:t xml:space="preserve"> Approval, on an advisory basis, of the compensation of the Company’s named executive officers. For 3.</w:t>
        <w:tab/>
        <w:t xml:space="preserve"> Ratification of the selection of Deloitte &amp; Touche LLP as the Company’s independent registered public accounting firm for the fiscal year ending September 30, 2026. For 4.</w:t>
        <w:tab/>
        <w:t xml:space="preserve"> Approval of an amendment and restatement of The Scotts Miracle-Gro Company Long-Term Incentive Plan to, among other things, increase the maximum number of common shares available for grant to participants.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540</Words>
  <Characters>2938</Characters>
  <CharactersWithSpaces>3487</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