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FORM 10-Q/A</w:t>
      </w:r>
    </w:p>
    <w:p>
      <w:pPr>
        <w:spacing w:after="0" w:line="355"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SECURITIES AND EXCHANGE COMMISSION</w:t>
      </w:r>
    </w:p>
    <w:p>
      <w:pPr>
        <w:ind w:left="2700"/>
        <w:spacing w:after="0" w:line="236" w:lineRule="auto"/>
        <w:rPr>
          <w:sz w:val="20"/>
          <w:szCs w:val="20"/>
          <w:color w:val="auto"/>
        </w:rPr>
      </w:pPr>
      <w:r>
        <w:rPr>
          <w:rFonts w:ascii="Courier New" w:cs="Courier New" w:eastAsia="Courier New" w:hAnsi="Courier New"/>
          <w:sz w:val="16"/>
          <w:szCs w:val="16"/>
          <w:color w:val="auto"/>
        </w:rPr>
        <w:t>WASHINGTON, D. C. 20549</w:t>
      </w:r>
    </w:p>
    <w:p>
      <w:pPr>
        <w:spacing w:after="0" w:line="177" w:lineRule="exact"/>
        <w:rPr>
          <w:sz w:val="24"/>
          <w:szCs w:val="24"/>
          <w:color w:val="auto"/>
        </w:rPr>
      </w:pPr>
    </w:p>
    <w:p>
      <w:pPr>
        <w:ind w:left="1660" w:hanging="362"/>
        <w:spacing w:after="0"/>
        <w:tabs>
          <w:tab w:leader="none" w:pos="1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FOR THE QUARTERLY PERIOD ENDED JULY 1, 2000</w:t>
      </w:r>
    </w:p>
    <w:p>
      <w:pPr>
        <w:spacing w:after="0" w:line="17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OR</w:t>
      </w:r>
    </w:p>
    <w:p>
      <w:pPr>
        <w:spacing w:after="0" w:line="177" w:lineRule="exact"/>
        <w:rPr>
          <w:sz w:val="24"/>
          <w:szCs w:val="24"/>
          <w:color w:val="auto"/>
        </w:rPr>
      </w:pPr>
    </w:p>
    <w:p>
      <w:pPr>
        <w:ind w:left="1480" w:hanging="182"/>
        <w:spacing w:after="0"/>
        <w:tabs>
          <w:tab w:leader="none" w:pos="1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83"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9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COMMISSION FILE NUMBER 1-13292</w:t>
      </w:r>
    </w:p>
    <w:p>
      <w:pPr>
        <w:spacing w:after="0" w:line="17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THE SCOTTS COMPANY</w:t>
      </w:r>
    </w:p>
    <w:p>
      <w:pPr>
        <w:jc w:val="center"/>
        <w:ind w:right="2799"/>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1" w:right="1440" w:bottom="1440" w:gutter="0" w:footer="0" w:header="0"/>
        </w:sectPr>
      </w:pPr>
    </w:p>
    <w:p>
      <w:pPr>
        <w:spacing w:after="0" w:line="177"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31-1414921</w:t>
      </w:r>
    </w:p>
    <w:p>
      <w:pPr>
        <w:spacing w:after="0" w:line="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3280" w:space="720"/>
            <w:col w:w="6219"/>
          </w:cols>
          <w:pgMar w:left="240" w:top="231" w:right="1440" w:bottom="1440" w:gutter="0" w:footer="0" w:header="0"/>
          <w:type w:val="continuous"/>
        </w:sectPr>
      </w:pPr>
    </w:p>
    <w:p>
      <w:pPr>
        <w:jc w:val="center"/>
        <w:ind w:right="2779"/>
        <w:spacing w:after="0"/>
        <w:rPr>
          <w:sz w:val="20"/>
          <w:szCs w:val="20"/>
          <w:color w:val="auto"/>
        </w:rPr>
      </w:pPr>
      <w:r>
        <w:rPr>
          <w:rFonts w:ascii="Courier New" w:cs="Courier New" w:eastAsia="Courier New" w:hAnsi="Courier New"/>
          <w:sz w:val="16"/>
          <w:szCs w:val="16"/>
          <w:color w:val="auto"/>
        </w:rPr>
        <w:t>41 SOUTH HIGH STREET, SUITE 3500</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COLUMBUS, OHIO 43215</w:t>
      </w:r>
    </w:p>
    <w:p>
      <w:pPr>
        <w:jc w:val="center"/>
        <w:ind w:right="2779"/>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(Zip Code)</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(614) 719-5500</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NO CHANGE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(Former name, former address and former fiscal year, if changed since last</w:t>
      </w:r>
    </w:p>
    <w:p>
      <w:pPr>
        <w:jc w:val="center"/>
        <w:ind w:right="2779"/>
        <w:spacing w:after="0" w:line="237" w:lineRule="auto"/>
        <w:rPr>
          <w:sz w:val="20"/>
          <w:szCs w:val="20"/>
          <w:color w:val="auto"/>
        </w:rPr>
      </w:pPr>
      <w:r>
        <w:rPr>
          <w:rFonts w:ascii="Courier New" w:cs="Courier New" w:eastAsia="Courier New" w:hAnsi="Courier New"/>
          <w:sz w:val="16"/>
          <w:szCs w:val="16"/>
          <w:color w:val="auto"/>
        </w:rPr>
        <w:t>report.)</w:t>
      </w:r>
    </w:p>
    <w:p>
      <w:pPr>
        <w:spacing w:after="0" w:line="183" w:lineRule="exact"/>
        <w:rPr>
          <w:sz w:val="24"/>
          <w:szCs w:val="24"/>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Yes [X] No [ ]</w:t>
      </w:r>
    </w:p>
    <w:p>
      <w:pPr>
        <w:spacing w:after="0" w:line="183" w:lineRule="exact"/>
        <w:rPr>
          <w:sz w:val="24"/>
          <w:szCs w:val="24"/>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1" w:right="1440" w:bottom="1440" w:gutter="0" w:footer="0" w:header="0"/>
          <w:type w:val="continuous"/>
        </w:sectPr>
      </w:pPr>
    </w:p>
    <w:p>
      <w:pPr>
        <w:spacing w:after="0" w:line="177" w:lineRule="exact"/>
        <w:rPr>
          <w:sz w:val="24"/>
          <w:szCs w:val="24"/>
          <w:color w:val="auto"/>
        </w:rPr>
      </w:pPr>
    </w:p>
    <w:p>
      <w:pPr>
        <w:jc w:val="center"/>
        <w:ind w:right="580"/>
        <w:spacing w:after="0"/>
        <w:rPr>
          <w:sz w:val="20"/>
          <w:szCs w:val="20"/>
          <w:color w:val="auto"/>
        </w:rPr>
      </w:pPr>
      <w:r>
        <w:rPr>
          <w:rFonts w:ascii="Courier New" w:cs="Courier New" w:eastAsia="Courier New" w:hAnsi="Courier New"/>
          <w:sz w:val="16"/>
          <w:szCs w:val="16"/>
          <w:color w:val="auto"/>
        </w:rPr>
        <w:t>28,040,151</w:t>
      </w:r>
    </w:p>
    <w:p>
      <w:pPr>
        <w:spacing w:after="0" w:line="4" w:lineRule="exact"/>
        <w:rPr>
          <w:sz w:val="24"/>
          <w:szCs w:val="24"/>
          <w:color w:val="auto"/>
        </w:rPr>
      </w:pPr>
    </w:p>
    <w:p>
      <w:pPr>
        <w:jc w:val="center"/>
        <w:ind w:right="500"/>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August 7 , 2000</w:t>
      </w:r>
    </w:p>
    <w:p>
      <w:pPr>
        <w:sectPr>
          <w:pgSz w:w="11900" w:h="16838" w:orient="portrait"/>
          <w:cols w:equalWidth="0" w:num="2">
            <w:col w:w="3920" w:space="720"/>
            <w:col w:w="5579"/>
          </w:cols>
          <w:pgMar w:left="240" w:top="23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7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537"/>
        </w:trPr>
        <w:tc>
          <w:tcPr>
            <w:tcW w:w="1400" w:type="dxa"/>
            <w:vAlign w:val="bottom"/>
          </w:tcPr>
          <w:p>
            <w:pPr>
              <w:spacing w:after="0"/>
              <w:rPr>
                <w:sz w:val="24"/>
                <w:szCs w:val="24"/>
                <w:color w:val="auto"/>
              </w:rPr>
            </w:pPr>
          </w:p>
        </w:tc>
        <w:tc>
          <w:tcPr>
            <w:tcW w:w="7720" w:type="dxa"/>
            <w:vAlign w:val="bottom"/>
          </w:tcPr>
          <w:p>
            <w:pPr>
              <w:ind w:left="740"/>
              <w:spacing w:after="0"/>
              <w:rPr>
                <w:sz w:val="20"/>
                <w:szCs w:val="20"/>
                <w:color w:val="auto"/>
              </w:rPr>
            </w:pPr>
            <w:r>
              <w:rPr>
                <w:rFonts w:ascii="Courier New" w:cs="Courier New" w:eastAsia="Courier New" w:hAnsi="Courier New"/>
                <w:sz w:val="16"/>
                <w:szCs w:val="16"/>
                <w:color w:val="auto"/>
              </w:rPr>
              <w:t>THE SCOTTS COMPANY AND SUBSIDIARIES</w:t>
            </w:r>
          </w:p>
        </w:tc>
        <w:tc>
          <w:tcPr>
            <w:tcW w:w="740" w:type="dxa"/>
            <w:vAlign w:val="bottom"/>
          </w:tcPr>
          <w:p>
            <w:pPr>
              <w:spacing w:after="0"/>
              <w:rPr>
                <w:sz w:val="24"/>
                <w:szCs w:val="24"/>
                <w:color w:val="auto"/>
              </w:rPr>
            </w:pPr>
          </w:p>
        </w:tc>
      </w:tr>
      <w:tr>
        <w:trPr>
          <w:trHeight w:val="358"/>
        </w:trPr>
        <w:tc>
          <w:tcPr>
            <w:tcW w:w="1400" w:type="dxa"/>
            <w:vAlign w:val="bottom"/>
          </w:tcPr>
          <w:p>
            <w:pPr>
              <w:spacing w:after="0"/>
              <w:rPr>
                <w:sz w:val="24"/>
                <w:szCs w:val="24"/>
                <w:color w:val="auto"/>
              </w:rPr>
            </w:pPr>
          </w:p>
        </w:tc>
        <w:tc>
          <w:tcPr>
            <w:tcW w:w="7720" w:type="dxa"/>
            <w:vAlign w:val="bottom"/>
          </w:tcPr>
          <w:p>
            <w:pPr>
              <w:ind w:left="2140"/>
              <w:spacing w:after="0"/>
              <w:rPr>
                <w:sz w:val="20"/>
                <w:szCs w:val="20"/>
                <w:color w:val="auto"/>
              </w:rPr>
            </w:pPr>
            <w:r>
              <w:rPr>
                <w:rFonts w:ascii="Courier New" w:cs="Courier New" w:eastAsia="Courier New" w:hAnsi="Courier New"/>
                <w:sz w:val="16"/>
                <w:szCs w:val="16"/>
                <w:color w:val="auto"/>
              </w:rPr>
              <w:t>INDEX</w:t>
            </w:r>
          </w:p>
        </w:tc>
        <w:tc>
          <w:tcPr>
            <w:tcW w:w="740" w:type="dxa"/>
            <w:vAlign w:val="bottom"/>
          </w:tcPr>
          <w:p>
            <w:pPr>
              <w:spacing w:after="0"/>
              <w:rPr>
                <w:sz w:val="24"/>
                <w:szCs w:val="24"/>
                <w:color w:val="auto"/>
              </w:rPr>
            </w:pPr>
          </w:p>
        </w:tc>
      </w:tr>
      <w:tr>
        <w:trPr>
          <w:trHeight w:val="716"/>
        </w:trPr>
        <w:tc>
          <w:tcPr>
            <w:tcW w:w="14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PAGE NO.</w:t>
            </w:r>
          </w:p>
        </w:tc>
      </w:tr>
      <w:tr>
        <w:trPr>
          <w:trHeight w:val="179"/>
        </w:trPr>
        <w:tc>
          <w:tcPr>
            <w:tcW w:w="140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912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740" w:type="dxa"/>
            <w:vAlign w:val="bottom"/>
          </w:tcPr>
          <w:p>
            <w:pPr>
              <w:spacing w:after="0"/>
              <w:rPr>
                <w:sz w:val="24"/>
                <w:szCs w:val="24"/>
                <w:color w:val="auto"/>
              </w:rPr>
            </w:pP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720" w:type="dxa"/>
            <w:vAlign w:val="bottom"/>
          </w:tcPr>
          <w:p>
            <w:pPr>
              <w:ind w:left="180"/>
              <w:spacing w:after="0"/>
              <w:rPr>
                <w:sz w:val="20"/>
                <w:szCs w:val="20"/>
                <w:color w:val="auto"/>
              </w:rPr>
            </w:pPr>
            <w:r>
              <w:rPr>
                <w:rFonts w:ascii="Courier New" w:cs="Courier New" w:eastAsia="Courier New" w:hAnsi="Courier New"/>
                <w:sz w:val="16"/>
                <w:szCs w:val="16"/>
                <w:color w:val="auto"/>
              </w:rPr>
              <w:t>Financial Statements</w:t>
            </w:r>
          </w:p>
        </w:tc>
        <w:tc>
          <w:tcPr>
            <w:tcW w:w="740" w:type="dxa"/>
            <w:vAlign w:val="bottom"/>
          </w:tcPr>
          <w:p>
            <w:pPr>
              <w:spacing w:after="0"/>
              <w:rPr>
                <w:sz w:val="24"/>
                <w:szCs w:val="24"/>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Condensed, Consolidated Statements of Operations - Three and nine month</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periods ended July 1, 2000 and July 3, 1999......................................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Condensed, Consolidated Statements of Cash Flows - Nine month periods</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ended July 1, 2000 and July 3, 1999..............................................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Condensed, Consolidated Balance Sheets - July 1, 2000, July 3, 1999</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and September 30, 1999...........................................................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Notes to Condensed, Consolidated Financial Statements............................</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6-25</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2.</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Management's Discussion and Analysis of Financial Condition and</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Results of Operations............................................................</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26-39</w:t>
            </w:r>
          </w:p>
        </w:tc>
      </w:tr>
      <w:tr>
        <w:trPr>
          <w:trHeight w:val="358"/>
        </w:trPr>
        <w:tc>
          <w:tcPr>
            <w:tcW w:w="912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740" w:type="dxa"/>
            <w:vAlign w:val="bottom"/>
          </w:tcPr>
          <w:p>
            <w:pPr>
              <w:spacing w:after="0"/>
              <w:rPr>
                <w:sz w:val="24"/>
                <w:szCs w:val="24"/>
                <w:color w:val="auto"/>
              </w:rPr>
            </w:pP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720" w:type="dxa"/>
            <w:vAlign w:val="bottom"/>
          </w:tcPr>
          <w:p>
            <w:pPr>
              <w:ind w:left="180"/>
              <w:spacing w:after="0"/>
              <w:rPr>
                <w:sz w:val="20"/>
                <w:szCs w:val="20"/>
                <w:color w:val="auto"/>
              </w:rPr>
            </w:pPr>
            <w:r>
              <w:rPr>
                <w:rFonts w:ascii="Courier New" w:cs="Courier New" w:eastAsia="Courier New" w:hAnsi="Courier New"/>
                <w:sz w:val="16"/>
                <w:szCs w:val="16"/>
                <w:color w:val="auto"/>
                <w:w w:val="96"/>
              </w:rPr>
              <w:t>Legal Proceedings................................................................</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6.</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Exhibits and Reports on Form 8-K.................................................</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Signatures</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Index</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jc w:val="center"/>
        <w:ind w:right="2779"/>
        <w:spacing w:after="0" w:line="236" w:lineRule="auto"/>
        <w:rPr>
          <w:sz w:val="20"/>
          <w:szCs w:val="20"/>
          <w:color w:val="auto"/>
        </w:rPr>
      </w:pPr>
      <w:r>
        <w:rPr>
          <w:rFonts w:ascii="Courier New" w:cs="Courier New" w:eastAsia="Courier New" w:hAnsi="Courier New"/>
          <w:sz w:val="16"/>
          <w:szCs w:val="16"/>
          <w:color w:val="auto"/>
        </w:rPr>
        <w:t>PART I - FINANCIAL INFORMATION</w:t>
      </w:r>
    </w:p>
    <w:p>
      <w:pPr>
        <w:jc w:val="center"/>
        <w:ind w:right="2779"/>
        <w:spacing w:after="0" w:line="237" w:lineRule="auto"/>
        <w:rPr>
          <w:sz w:val="20"/>
          <w:szCs w:val="20"/>
          <w:color w:val="auto"/>
        </w:rPr>
      </w:pPr>
      <w:r>
        <w:rPr>
          <w:rFonts w:ascii="Courier New" w:cs="Courier New" w:eastAsia="Courier New" w:hAnsi="Courier New"/>
          <w:sz w:val="16"/>
          <w:szCs w:val="16"/>
          <w:color w:val="auto"/>
        </w:rPr>
        <w:t>ITEM 1. FINANCIAL STATEMENTS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SCOTTS COMPANY AND SUBSIDIARIES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CONDENSED, CONSOLIDATED STATEMENTS OF OPERATIONS</w:t>
      </w:r>
    </w:p>
    <w:p>
      <w:pPr>
        <w:jc w:val="center"/>
        <w:ind w:right="2679"/>
        <w:spacing w:after="0" w:line="237" w:lineRule="auto"/>
        <w:rPr>
          <w:sz w:val="20"/>
          <w:szCs w:val="20"/>
          <w:color w:val="auto"/>
        </w:rPr>
      </w:pPr>
      <w:r>
        <w:rPr>
          <w:rFonts w:ascii="Courier New" w:cs="Courier New" w:eastAsia="Courier New" w:hAnsi="Courier New"/>
          <w:sz w:val="16"/>
          <w:szCs w:val="16"/>
          <w:color w:val="auto"/>
        </w:rPr>
        <w:t>(UNAUDITED)</w:t>
      </w:r>
    </w:p>
    <w:p>
      <w:pPr>
        <w:ind w:left="1940"/>
        <w:spacing w:after="0" w:line="237" w:lineRule="auto"/>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19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THREE MONTHS ENDED</w:t>
            </w:r>
          </w:p>
        </w:tc>
        <w:tc>
          <w:tcPr>
            <w:tcW w:w="280" w:type="dxa"/>
            <w:vAlign w:val="bottom"/>
          </w:tcPr>
          <w:p>
            <w:pPr>
              <w:spacing w:after="0"/>
              <w:rPr>
                <w:sz w:val="15"/>
                <w:szCs w:val="15"/>
                <w:color w:val="auto"/>
              </w:rPr>
            </w:pPr>
          </w:p>
        </w:tc>
        <w:tc>
          <w:tcPr>
            <w:tcW w:w="186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NINE MONTHS ENDED</w:t>
            </w:r>
          </w:p>
        </w:tc>
      </w:tr>
      <w:tr>
        <w:trPr>
          <w:trHeight w:val="358"/>
        </w:trPr>
        <w:tc>
          <w:tcPr>
            <w:tcW w:w="47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JULY 1,</w:t>
            </w:r>
          </w:p>
        </w:tc>
        <w:tc>
          <w:tcPr>
            <w:tcW w:w="8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JULY 3,</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JULY 1,</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JULY 3,</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2000</w:t>
            </w:r>
          </w:p>
        </w:tc>
        <w:tc>
          <w:tcPr>
            <w:tcW w:w="8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w w:val="99"/>
              </w:rPr>
              <w:t>(restated)</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(restated)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w w:val="97"/>
              </w:rPr>
              <w:t>Net sales .........................................</w:t>
            </w:r>
          </w:p>
        </w:tc>
        <w:tc>
          <w:tcPr>
            <w:tcW w:w="10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$598.3</w:t>
            </w:r>
          </w:p>
        </w:tc>
        <w:tc>
          <w:tcPr>
            <w:tcW w:w="8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2"/>
              </w:rPr>
              <w:t>$ 586.2</w:t>
            </w:r>
          </w:p>
        </w:tc>
        <w:tc>
          <w:tcPr>
            <w:tcW w:w="11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$1,510.6</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$1,402.2</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Cost of sales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356.1</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349.8</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881.4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832.1</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Gross profit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242.2</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236.4</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629.2</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570.1</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16.9</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9.9</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26.1</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27.5</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Costs associated with agency agreement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2.0</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0.4</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Net commission earned from agency</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agreement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14.9</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9.5</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26.3</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Advertising and promotion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64.9</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63.8</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186.8</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166.6</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Selling, general and administrative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76.8</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80.8</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229.8</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209.6</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 of goodwill and other intangibles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6.4</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17.3</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Restructuring and other charges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 expense (income), net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w:t>
            </w:r>
          </w:p>
        </w:tc>
        <w:tc>
          <w:tcPr>
            <w:tcW w:w="8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w:t>
            </w:r>
          </w:p>
        </w:tc>
        <w:tc>
          <w:tcPr>
            <w:tcW w:w="28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2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from operations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108.0</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95.1</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212.4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205.3</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expense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24.8</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24.6</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59.0</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before income taxes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83.2</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70.5</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138.0</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146.3</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30.4</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28.9</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52.6</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income before extraordinary item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52.8</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41.6</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85.4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86.3</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on early extinguishment</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 debt, net of tax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income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52.8</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41.6</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85.4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Payments to preferred shareholders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available to common shareholders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$ 52.8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39.2</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79.0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73.2</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Before extraordinary item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$ 1.89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2.14</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2.83</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4.32</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Extraordinary item, net of tax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0.32</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1.89</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2.14</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2.83</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common share:</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Before extraordinary item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$ 1.77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2.83</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Extraordinary item, net of tax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1.77</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1.35</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2.64</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used in basic earnings per</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share calculation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27.9</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18.3</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27.9</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18.3</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and potential common shares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used in diluted earnings per share calculation .</w:t>
            </w: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29.7</w:t>
            </w:r>
          </w:p>
        </w:tc>
        <w:tc>
          <w:tcPr>
            <w:tcW w:w="8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30.9</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29.7</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w:t>
            </w:r>
          </w:p>
        </w:tc>
      </w:tr>
      <w:tr>
        <w:trPr>
          <w:trHeight w:val="179"/>
        </w:trPr>
        <w:tc>
          <w:tcPr>
            <w:tcW w:w="4780" w:type="dxa"/>
            <w:vAlign w:val="bottom"/>
          </w:tcPr>
          <w:p>
            <w:pPr>
              <w:spacing w:after="0"/>
              <w:rPr>
                <w:sz w:val="15"/>
                <w:szCs w:val="15"/>
                <w:color w:val="auto"/>
              </w:rPr>
            </w:pPr>
          </w:p>
        </w:tc>
        <w:tc>
          <w:tcPr>
            <w:tcW w:w="10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ind w:left="2140"/>
        <w:spacing w:after="0" w:line="236" w:lineRule="auto"/>
        <w:rPr>
          <w:sz w:val="20"/>
          <w:szCs w:val="20"/>
          <w:color w:val="auto"/>
        </w:rPr>
      </w:pPr>
      <w:r>
        <w:rPr>
          <w:rFonts w:ascii="Courier New" w:cs="Courier New" w:eastAsia="Courier New" w:hAnsi="Courier New"/>
          <w:sz w:val="16"/>
          <w:szCs w:val="16"/>
          <w:color w:val="auto"/>
        </w:rPr>
        <w:t>THE SCOTTS COMPANY AND SUBSIDIARIES</w:t>
      </w:r>
    </w:p>
    <w:p>
      <w:pPr>
        <w:jc w:val="center"/>
        <w:ind w:right="3620"/>
        <w:spacing w:after="0" w:line="237" w:lineRule="auto"/>
        <w:rPr>
          <w:sz w:val="20"/>
          <w:szCs w:val="20"/>
          <w:color w:val="auto"/>
        </w:rPr>
      </w:pPr>
      <w:r>
        <w:rPr>
          <w:rFonts w:ascii="Courier New" w:cs="Courier New" w:eastAsia="Courier New" w:hAnsi="Courier New"/>
          <w:sz w:val="16"/>
          <w:szCs w:val="16"/>
          <w:color w:val="auto"/>
        </w:rPr>
        <w:t>CONDENSED, CONSOLIDATED STATEMENTS OF CASH FLOWS</w:t>
      </w:r>
    </w:p>
    <w:p>
      <w:pPr>
        <w:jc w:val="center"/>
        <w:ind w:right="3520"/>
        <w:spacing w:after="0" w:line="237" w:lineRule="auto"/>
        <w:rPr>
          <w:sz w:val="20"/>
          <w:szCs w:val="20"/>
          <w:color w:val="auto"/>
        </w:rPr>
      </w:pPr>
      <w:r>
        <w:rPr>
          <w:rFonts w:ascii="Courier New" w:cs="Courier New" w:eastAsia="Courier New" w:hAnsi="Courier New"/>
          <w:sz w:val="16"/>
          <w:szCs w:val="16"/>
          <w:color w:val="auto"/>
        </w:rPr>
        <w:t>(UNAUDITED)</w:t>
      </w:r>
    </w:p>
    <w:p>
      <w:pPr>
        <w:ind w:left="3160"/>
        <w:spacing w:after="0" w:line="237" w:lineRule="auto"/>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8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8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JULY 1,</w:t>
            </w:r>
          </w:p>
        </w:tc>
        <w:tc>
          <w:tcPr>
            <w:tcW w:w="42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8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(restated)</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4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income ...........................................................................</w:t>
            </w:r>
          </w:p>
        </w:tc>
        <w:tc>
          <w:tcPr>
            <w:tcW w:w="3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85.4</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84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Adjustments to reconcile net income to net cash provided by operating activities: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48.9</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42.8</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Loss on sale of property.........................................................</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4.0</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change in certain components of working capital..............................</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33.7</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change in other assets and liabilities and other adjustments.................</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(7.5)</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(18.8)</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164.5</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90.5</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Investment in property, plant and equipment...........................................</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(37.2)</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(39.4)</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Investment in acquired businesses, net of cash acquired ..............................</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(533.4)</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Other, net ...........................................................................</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(38.9)</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(577.8)</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borrowings (repayments) under revolving and bank lines of credit .................</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(24.1)</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52.5</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Gross borrowings under term loans.....................................................</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525.0</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Issuance of 8 5/8% Senior Subordinated Notes..........................................</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330.0</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Extinguishment of $97.1 million 9 7/8% Senior Subordinated Notes......................</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(104.1)</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Repayment of outstanding balance on previous credit facility .........................</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(241.0)</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Settlement of interest rate locks.....................................................</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Financing and issuance fees...........................................................</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(23.9)</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Other, net ...........................................................................</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(0.8)</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cash (used in) provided by financing activities.............................</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(74.6)</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511.9</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w:t>
            </w:r>
          </w:p>
        </w:tc>
        <w:tc>
          <w:tcPr>
            <w:tcW w:w="3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20" w:type="dxa"/>
            <w:vAlign w:val="bottom"/>
          </w:tcPr>
          <w:p>
            <w:pPr>
              <w:spacing w:after="0"/>
              <w:rPr>
                <w:sz w:val="15"/>
                <w:szCs w:val="15"/>
                <w:color w:val="auto"/>
              </w:rPr>
            </w:pPr>
          </w:p>
        </w:tc>
        <w:tc>
          <w:tcPr>
            <w:tcW w:w="130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increase in cash.....................................................................</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49.1</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23.6</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period ........................................</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30.3</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Cash and cash equivalents at end of period...............................................</w:t>
            </w:r>
          </w:p>
        </w:tc>
        <w:tc>
          <w:tcPr>
            <w:tcW w:w="3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79.4</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34.2</w:t>
            </w:r>
          </w:p>
        </w:tc>
      </w:tr>
      <w:tr>
        <w:trPr>
          <w:trHeight w:val="179"/>
        </w:trPr>
        <w:tc>
          <w:tcPr>
            <w:tcW w:w="84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CASH FLOW INFORMATION:</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acquired businesses: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Fair value of assets acquired, net of cash ...........................................</w:t>
            </w:r>
          </w:p>
        </w:tc>
        <w:tc>
          <w:tcPr>
            <w:tcW w:w="3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635.2</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Liabilities assumed...................................................................</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(101.8)</w:t>
            </w:r>
          </w:p>
        </w:tc>
      </w:tr>
      <w:tr>
        <w:trPr>
          <w:trHeight w:val="179"/>
        </w:trPr>
        <w:tc>
          <w:tcPr>
            <w:tcW w:w="8420" w:type="dxa"/>
            <w:vAlign w:val="bottom"/>
          </w:tcPr>
          <w:p>
            <w:pPr>
              <w:spacing w:after="0"/>
              <w:rPr>
                <w:sz w:val="15"/>
                <w:szCs w:val="15"/>
                <w:color w:val="auto"/>
              </w:rPr>
            </w:pPr>
          </w:p>
        </w:tc>
        <w:tc>
          <w:tcPr>
            <w:tcW w:w="130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assets acquired...................................................................</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3.4</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533.4</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Notes issued to seller ...............................................................</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2.2</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37.0</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Cash paid.............................................................................</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w:t>
            </w:r>
          </w:p>
        </w:tc>
      </w:tr>
      <w:tr>
        <w:trPr>
          <w:trHeight w:val="179"/>
        </w:trPr>
        <w:tc>
          <w:tcPr>
            <w:tcW w:w="8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Debt issued...........................................................................</w:t>
            </w:r>
          </w:p>
        </w:tc>
        <w:tc>
          <w:tcPr>
            <w:tcW w:w="3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491.6</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60"/>
          </w:cols>
          <w:pgMar w:left="240" w:top="290" w:right="59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SCOTTS COMPANY AND SUBSIDIARIES</w:t>
      </w:r>
    </w:p>
    <w:p>
      <w:pPr>
        <w:ind w:left="1940"/>
        <w:spacing w:after="0" w:line="236" w:lineRule="auto"/>
        <w:rPr>
          <w:sz w:val="20"/>
          <w:szCs w:val="20"/>
          <w:color w:val="auto"/>
        </w:rPr>
      </w:pPr>
      <w:r>
        <w:rPr>
          <w:rFonts w:ascii="Courier New" w:cs="Courier New" w:eastAsia="Courier New" w:hAnsi="Courier New"/>
          <w:sz w:val="16"/>
          <w:szCs w:val="16"/>
          <w:color w:val="auto"/>
        </w:rPr>
        <w:t>CONDENSED, CONSOLIDATED BALANCE SHEETS</w:t>
      </w:r>
    </w:p>
    <w:tbl>
      <w:tblPr>
        <w:tblLayout w:type="fixed"/>
        <w:tblInd w:w="0" w:type="dxa"/>
        <w:tblCellMar>
          <w:top w:w="0" w:type="dxa"/>
          <w:left w:w="0" w:type="dxa"/>
          <w:bottom w:w="0" w:type="dxa"/>
          <w:right w:w="0" w:type="dxa"/>
        </w:tblCellMar>
      </w:tblPr>
      <w:tr>
        <w:trPr>
          <w:trHeight w:val="180"/>
        </w:trPr>
        <w:tc>
          <w:tcPr>
            <w:tcW w:w="636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(IN MILLIONS)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894"/>
        </w:trPr>
        <w:tc>
          <w:tcPr>
            <w:tcW w:w="6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JULY 1,</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JULY 3,</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6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ASSETS</w:t>
            </w:r>
          </w:p>
        </w:tc>
        <w:tc>
          <w:tcPr>
            <w:tcW w:w="420" w:type="dxa"/>
            <w:vAlign w:val="bottom"/>
          </w:tcPr>
          <w:p>
            <w:pPr>
              <w:spacing w:after="0"/>
              <w:rPr>
                <w:sz w:val="15"/>
                <w:szCs w:val="15"/>
                <w:color w:val="auto"/>
              </w:rPr>
            </w:pP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6360" w:type="dxa"/>
            <w:vAlign w:val="bottom"/>
          </w:tcPr>
          <w:p>
            <w:pPr>
              <w:spacing w:after="0"/>
              <w:rPr>
                <w:sz w:val="15"/>
                <w:szCs w:val="15"/>
                <w:color w:val="auto"/>
              </w:rPr>
            </w:pPr>
          </w:p>
        </w:tc>
        <w:tc>
          <w:tcPr>
            <w:tcW w:w="14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(restated)</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Cash and cash equivalents .....................................</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79.4</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34.2</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Accounts receivable, less allowances of $13.1, $15.5 and $16.4,</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respectively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374.2</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319.2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201.4</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Inventories, net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294.1</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281.1</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313.2</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Current deferred tax asset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24.4</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22.1</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29.3</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Prepaid and other assets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21.6</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67.5</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current assets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793.7</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692.8</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641.7</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Property, plant and equipment, net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266.6</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241.3</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259.4</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Intangible assets, net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758.9</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777.9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794.1</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Other assets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75.9</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59.8</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74.4</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assets .............................................</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1,895.1</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1,771.8</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1,769.6</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LIABILITIES AND SHAREHOLDERS' EQUITY</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3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Short-term debt ...............................................</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50.2</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41.2</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Accounts payable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195.5</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133.5</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Accrued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258.0</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222.6</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177.0</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current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503.7</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391.0</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366.9</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Long-term debt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836.0</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855.6</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893.6</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Other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60.8</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59.3</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65.8</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1,400.5</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1,305.9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1,326.3</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Class A Convertible Preferred Stock, no par value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176.7</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173.9</w:t>
            </w:r>
          </w:p>
        </w:tc>
      </w:tr>
      <w:tr>
        <w:trPr>
          <w:trHeight w:val="179"/>
        </w:trPr>
        <w:tc>
          <w:tcPr>
            <w:tcW w:w="6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shares, no par value per share,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$.01 stated value per share, issued 31.3,</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21.1 and 21.3, respectively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Capital in excess of par value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388.1</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209.2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213.9</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Retained earnings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209.1</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130.1</w:t>
            </w:r>
          </w:p>
        </w:tc>
      </w:tr>
      <w:tr>
        <w:trPr>
          <w:trHeight w:val="179"/>
        </w:trPr>
        <w:tc>
          <w:tcPr>
            <w:tcW w:w="6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Treasury stock, 3.4, 2.8, and 2.9 shares, respectively,</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at cost ....................................................</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(83.7)</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(58.9)</w:t>
            </w:r>
          </w:p>
        </w:tc>
        <w:tc>
          <w:tcPr>
            <w:tcW w:w="38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(61.9)</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Accumulated other comprehensive expense .......................</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(19.2)</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w:t>
            </w:r>
          </w:p>
        </w:tc>
        <w:tc>
          <w:tcPr>
            <w:tcW w:w="38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shareholders' equity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494.6</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465.9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443.3</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Total liabilities and shareholders' equity .......................</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1,895.1</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1,771.8</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1,769.6</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20"/>
          </w:cols>
          <w:pgMar w:left="240" w:top="290" w:right="1339" w:bottom="1440" w:gutter="0" w:footer="0" w:header="0"/>
        </w:sectPr>
      </w:pPr>
    </w:p>
    <w:bookmarkStart w:id="5" w:name="page6"/>
    <w:bookmarkEnd w:id="5"/>
    <w:p>
      <w:pPr>
        <w:ind w:left="285"/>
        <w:spacing w:after="0"/>
        <w:rPr>
          <w:sz w:val="20"/>
          <w:szCs w:val="20"/>
          <w:color w:val="auto"/>
        </w:rPr>
      </w:pPr>
      <w:r>
        <w:rPr>
          <w:rFonts w:ascii="Courier New" w:cs="Courier New" w:eastAsia="Courier New" w:hAnsi="Courier New"/>
          <w:sz w:val="16"/>
          <w:szCs w:val="16"/>
          <w:color w:val="auto"/>
        </w:rPr>
        <w:t>6</w:t>
      </w:r>
    </w:p>
    <w:p>
      <w:pPr>
        <w:spacing w:after="0" w:line="355"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183" w:lineRule="exact"/>
        <w:rPr>
          <w:sz w:val="20"/>
          <w:szCs w:val="20"/>
          <w:color w:val="auto"/>
        </w:rPr>
      </w:pPr>
    </w:p>
    <w:p>
      <w:pPr>
        <w:ind w:left="845" w:right="5479" w:hanging="845"/>
        <w:spacing w:after="0" w:line="46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13" w:lineRule="exact"/>
        <w:rPr>
          <w:rFonts w:ascii="Courier New" w:cs="Courier New" w:eastAsia="Courier New" w:hAnsi="Courier New"/>
          <w:sz w:val="16"/>
          <w:szCs w:val="16"/>
          <w:color w:val="auto"/>
        </w:rPr>
      </w:pPr>
    </w:p>
    <w:p>
      <w:pPr>
        <w:ind w:left="845" w:right="28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334"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82" w:lineRule="exact"/>
        <w:rPr>
          <w:rFonts w:ascii="Courier New" w:cs="Courier New" w:eastAsia="Courier New" w:hAnsi="Courier New"/>
          <w:sz w:val="16"/>
          <w:szCs w:val="16"/>
          <w:color w:val="auto"/>
        </w:rPr>
      </w:pPr>
    </w:p>
    <w:p>
      <w:pPr>
        <w:ind w:left="845"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financial statements include the accounts of The Scotts Company and its subsidiaries, (collectively, the "Company"). All material intercompany transactions have been eliminated.</w:t>
      </w:r>
    </w:p>
    <w:p>
      <w:pPr>
        <w:spacing w:after="0" w:line="184" w:lineRule="exact"/>
        <w:rPr>
          <w:rFonts w:ascii="Courier New" w:cs="Courier New" w:eastAsia="Courier New" w:hAnsi="Courier New"/>
          <w:sz w:val="16"/>
          <w:szCs w:val="16"/>
          <w:color w:val="auto"/>
        </w:rPr>
      </w:pPr>
    </w:p>
    <w:p>
      <w:pPr>
        <w:ind w:left="84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condensed, consolidated balance sheets as of July 1, 2000 and July 3, 1999, and the related condensed, consolidated statements of operations for the three and nine month periods ended July 1, 2000 and July 3, 1999, as well as the condensed, consolidated statement of cash flows for the nine month periods ended July 1, 2000 and July 3, 1999,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1999 Annual Report on Form 10-K.</w:t>
      </w:r>
    </w:p>
    <w:p>
      <w:pPr>
        <w:spacing w:after="0" w:line="340"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 as a percentage of sales.</w:t>
      </w:r>
    </w:p>
    <w:p>
      <w:pPr>
        <w:spacing w:after="0" w:line="178"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82"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180"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82"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w:t>
      </w:r>
    </w:p>
    <w:p>
      <w:pPr>
        <w:sectPr>
          <w:pgSz w:w="11900" w:h="16838" w:orient="portrait"/>
          <w:cols w:equalWidth="0" w:num="1">
            <w:col w:w="10224"/>
          </w:cols>
          <w:pgMar w:left="235" w:top="290" w:right="1440" w:bottom="9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290" w:right="1440" w:bottom="954" w:gutter="0" w:footer="0" w:header="0"/>
          <w:type w:val="continuous"/>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845" w:right="3159"/>
        <w:spacing w:after="0" w:line="234" w:lineRule="auto"/>
        <w:rPr>
          <w:sz w:val="20"/>
          <w:szCs w:val="20"/>
          <w:color w:val="auto"/>
        </w:rPr>
      </w:pPr>
      <w:r>
        <w:rPr>
          <w:rFonts w:ascii="Courier New" w:cs="Courier New" w:eastAsia="Courier New" w:hAnsi="Courier New"/>
          <w:sz w:val="16"/>
          <w:szCs w:val="16"/>
          <w:color w:val="auto"/>
        </w:rPr>
        <w:t>current events and actions the Company may undertake in the future, actual results ultimately may differ from the estimates.</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845" w:right="3059"/>
        <w:spacing w:after="0" w:line="234"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2000 classifications.</w:t>
      </w:r>
    </w:p>
    <w:p>
      <w:pPr>
        <w:spacing w:after="0" w:line="200" w:lineRule="exact"/>
        <w:rPr>
          <w:sz w:val="20"/>
          <w:szCs w:val="20"/>
          <w:color w:val="auto"/>
        </w:rPr>
      </w:pPr>
    </w:p>
    <w:p>
      <w:pPr>
        <w:spacing w:after="0" w:line="335" w:lineRule="exact"/>
        <w:rPr>
          <w:sz w:val="20"/>
          <w:szCs w:val="20"/>
          <w:color w:val="auto"/>
        </w:rPr>
      </w:pPr>
    </w:p>
    <w:p>
      <w:pPr>
        <w:ind w:left="845" w:hanging="845"/>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RESTATEMENT OF QUARTERLY FINANCIAL STATEMENTS</w:t>
      </w:r>
    </w:p>
    <w:p>
      <w:pPr>
        <w:spacing w:after="0" w:line="182"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has restated its financial statements as of July 1, 2000 and for the three and nine months then ended. As disclosed in Note 3 to these financial statements, the Company paid Monsanto Company ("Monsanto") a marketing fee of $32 million in connection with the Roundup Agency and marketing Agreement (the "Agreement"). The earnings originally reported for fiscal 1999 and the first three quarters of fiscal 2000 reflected amortization of the marketing fee over a period of 20 years. However, the Company believes that it is unlikely that the Agreement will continue beyond ten years. Accordingly, the financial statements as of and for the nine months ended July 1, 2000 have been restated to correct for the error in the amortization period and now reflect amortization of the marketing fee over a period of ten years.</w:t>
      </w:r>
    </w:p>
    <w:p>
      <w:pPr>
        <w:spacing w:after="0" w:line="341"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"Costs associated with agency agreement" in the Company's Statements of Operations for the three and nine months ended July 1, 2000 have been restated to reflect the additional amortization of $1.6 million that was not recognized in fiscal 1999 and the additional amortization to be recognized in fiscal 2000. The Balance Sheet as of July 1, 2000 and the Statements of Cash Flows for the nine months ended July 1, 2000 have been restated for this correction. The impact of this restatement on the Company's financial results as originally reported is summarized below: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6"/>
                <w:szCs w:val="16"/>
                <w:color w:val="auto"/>
              </w:rPr>
              <w:t>As reported</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w w:val="94"/>
              </w:rPr>
              <w:t>As restated</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Three months ended July 1, 2000</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58"/>
        </w:trPr>
        <w:tc>
          <w:tcPr>
            <w:tcW w:w="31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40" w:type="dxa"/>
            <w:vAlign w:val="bottom"/>
          </w:tcPr>
          <w:p>
            <w:pPr>
              <w:ind w:left="360"/>
              <w:spacing w:after="0"/>
              <w:rPr>
                <w:sz w:val="20"/>
                <w:szCs w:val="20"/>
                <w:color w:val="auto"/>
              </w:rPr>
            </w:pPr>
            <w:r>
              <w:rPr>
                <w:rFonts w:ascii="Courier New" w:cs="Courier New" w:eastAsia="Courier New" w:hAnsi="Courier New"/>
                <w:sz w:val="16"/>
                <w:szCs w:val="16"/>
                <w:color w:val="auto"/>
              </w:rPr>
              <w:t>$53.0</w:t>
            </w:r>
          </w:p>
        </w:tc>
        <w:tc>
          <w:tcPr>
            <w:tcW w:w="1260" w:type="dxa"/>
            <w:vAlign w:val="bottom"/>
          </w:tcPr>
          <w:p>
            <w:pPr>
              <w:ind w:left="600"/>
              <w:spacing w:after="0"/>
              <w:rPr>
                <w:sz w:val="20"/>
                <w:szCs w:val="20"/>
                <w:color w:val="auto"/>
              </w:rPr>
            </w:pPr>
            <w:r>
              <w:rPr>
                <w:rFonts w:ascii="Courier New" w:cs="Courier New" w:eastAsia="Courier New" w:hAnsi="Courier New"/>
                <w:sz w:val="16"/>
                <w:szCs w:val="16"/>
                <w:color w:val="auto"/>
              </w:rPr>
              <w:t>$52.8</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13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$1.90</w:t>
            </w:r>
          </w:p>
        </w:tc>
        <w:tc>
          <w:tcPr>
            <w:tcW w:w="12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$1.89</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Diluted earnings per common share</w:t>
            </w:r>
          </w:p>
        </w:tc>
        <w:tc>
          <w:tcPr>
            <w:tcW w:w="13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$1.78</w:t>
            </w:r>
          </w:p>
        </w:tc>
        <w:tc>
          <w:tcPr>
            <w:tcW w:w="12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$1.77</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Retained earnings, end of period</w:t>
            </w:r>
          </w:p>
        </w:tc>
        <w:tc>
          <w:tcPr>
            <w:tcW w:w="13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$210.8</w:t>
            </w:r>
          </w:p>
        </w:tc>
        <w:tc>
          <w:tcPr>
            <w:tcW w:w="12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$209.1</w:t>
            </w:r>
          </w:p>
        </w:tc>
      </w:tr>
      <w:tr>
        <w:trPr>
          <w:trHeight w:val="358"/>
        </w:trPr>
        <w:tc>
          <w:tcPr>
            <w:tcW w:w="3160" w:type="dxa"/>
            <w:vAlign w:val="bottom"/>
          </w:tcPr>
          <w:p>
            <w:pPr>
              <w:spacing w:after="0"/>
              <w:rPr>
                <w:sz w:val="20"/>
                <w:szCs w:val="20"/>
                <w:color w:val="auto"/>
              </w:rPr>
            </w:pPr>
            <w:r>
              <w:rPr>
                <w:rFonts w:ascii="Courier New" w:cs="Courier New" w:eastAsia="Courier New" w:hAnsi="Courier New"/>
                <w:sz w:val="16"/>
                <w:szCs w:val="16"/>
                <w:color w:val="auto"/>
              </w:rPr>
              <w:t>Nine months ended July 1, 2000</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3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$87.1</w:t>
            </w:r>
          </w:p>
        </w:tc>
        <w:tc>
          <w:tcPr>
            <w:tcW w:w="12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$85.4</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13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$2.89</w:t>
            </w:r>
          </w:p>
        </w:tc>
        <w:tc>
          <w:tcPr>
            <w:tcW w:w="12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$2.83</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Diluted earnings per common share</w:t>
            </w:r>
          </w:p>
        </w:tc>
        <w:tc>
          <w:tcPr>
            <w:tcW w:w="13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$2.71</w:t>
            </w:r>
          </w:p>
        </w:tc>
        <w:tc>
          <w:tcPr>
            <w:tcW w:w="12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$2.66</w:t>
            </w:r>
          </w:p>
        </w:tc>
      </w:tr>
      <w:tr>
        <w:trPr>
          <w:trHeight w:val="179"/>
        </w:trPr>
        <w:tc>
          <w:tcPr>
            <w:tcW w:w="3160" w:type="dxa"/>
            <w:vAlign w:val="bottom"/>
          </w:tcPr>
          <w:p>
            <w:pPr>
              <w:spacing w:after="0" w:line="179" w:lineRule="exact"/>
              <w:rPr>
                <w:sz w:val="20"/>
                <w:szCs w:val="20"/>
                <w:color w:val="auto"/>
              </w:rPr>
            </w:pPr>
            <w:r>
              <w:rPr>
                <w:rFonts w:ascii="Courier New" w:cs="Courier New" w:eastAsia="Courier New" w:hAnsi="Courier New"/>
                <w:sz w:val="16"/>
                <w:szCs w:val="16"/>
                <w:color w:val="auto"/>
              </w:rPr>
              <w:t>Retained earnings, end of period</w:t>
            </w:r>
          </w:p>
        </w:tc>
        <w:tc>
          <w:tcPr>
            <w:tcW w:w="13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$210.8</w:t>
            </w:r>
          </w:p>
        </w:tc>
        <w:tc>
          <w:tcPr>
            <w:tcW w:w="12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$209.1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45" w:hanging="845"/>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AGENCY AGREEMENT</w:t>
      </w:r>
    </w:p>
    <w:p>
      <w:pPr>
        <w:spacing w:after="0" w:line="361"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commission rates that vary by threshold and program year.</w:t>
      </w:r>
    </w:p>
    <w:p>
      <w:pPr>
        <w:spacing w:after="0" w:line="186"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requires the Company to make fixed annual payments to Monsanto as a contribution against the overall expenses of the Roundup business. The annual fixed payment is defined as $20 million, however portions of the annual payments for the first three years of the agreement are deferred. No payment was required for the first year (fiscal 1999), a payment of $5 million is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achieved. If all of the deferred contribution amounts are paid prior to 2018, the annual contribution payments revert to $20 million. Regardless of whether the deferred contribution amounts are paid, all contribution payments cease entirely in 2018.</w:t>
      </w:r>
    </w:p>
    <w:p>
      <w:pPr>
        <w:sectPr>
          <w:pgSz w:w="11900" w:h="16838" w:orient="portrait"/>
          <w:cols w:equalWidth="0" w:num="1">
            <w:col w:w="10224"/>
          </w:cols>
          <w:pgMar w:left="235" w:top="290" w:right="1440" w:bottom="0" w:gutter="0" w:footer="0" w:header="0"/>
        </w:sectPr>
      </w:pPr>
    </w:p>
    <w:bookmarkStart w:id="7" w:name="page8"/>
    <w:bookmarkEnd w:id="7"/>
    <w:p>
      <w:pPr>
        <w:ind w:right="2879"/>
        <w:spacing w:after="0" w:line="273" w:lineRule="auto"/>
        <w:rPr>
          <w:sz w:val="20"/>
          <w:szCs w:val="20"/>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such time that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amounts are never paid even if the agreement is not terminated prior to 2018 unless significant earnings targets are exceeded.</w:t>
      </w:r>
    </w:p>
    <w:p>
      <w:pPr>
        <w:spacing w:after="0" w:line="34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Our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200" w:lineRule="exact"/>
        <w:rPr>
          <w:sz w:val="20"/>
          <w:szCs w:val="20"/>
          <w:color w:val="auto"/>
        </w:rPr>
      </w:pPr>
    </w:p>
    <w:p>
      <w:pPr>
        <w:spacing w:after="0" w:line="32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8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July 1, 2000, contribution payments and related per annum charges of approximately $33.6 million had been deferred under the agreement. This amount is considered a contingent obligation and has not been reflected in the financial statements as of and for the nine months then ended.</w:t>
      </w:r>
    </w:p>
    <w:p>
      <w:pPr>
        <w:spacing w:after="0" w:line="16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Monsanto has disclosed that it is accruing the $20 million fixed contribution fee per year beginning in the fourth quarter of Monsanto's fiscal year 1998, plus interest on the deferred portion.</w:t>
      </w:r>
    </w:p>
    <w:p>
      <w:pPr>
        <w:spacing w:after="0" w:line="183"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 business. The agreement provides the Company with the right to terminate the agreement in certain circumstances including an event of default by Monsanto or the sale of the Roundup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200" w:lineRule="exact"/>
        <w:rPr>
          <w:sz w:val="20"/>
          <w:szCs w:val="20"/>
          <w:color w:val="auto"/>
        </w:rPr>
      </w:pPr>
    </w:p>
    <w:p>
      <w:pPr>
        <w:spacing w:after="0" w:line="324"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84"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In fiscal 1999, the Company recognized commission income under the agreement during interim periods based on the estimated percentage of EBIT that would be payable to the Company as commission for the year applied to the actual EBIT for the Roundup(R) business for the interim period. Commission income recorded for that full year is calculated by applying the threshold commission structure for that year to the actual EBIT of the Roundup business for the year. Beginning with the first quarter of fiscal 2000, the Company has adopted SEC Staff Accounting Bulletin No. 101, "Revenue Recognition in Financial Statements". Accordingly, the Company will not recognize commission</w:t>
      </w:r>
    </w:p>
    <w:p>
      <w:pPr>
        <w:sectPr>
          <w:pgSz w:w="11900" w:h="16838" w:orient="portrait"/>
          <w:cols w:equalWidth="0" w:num="1">
            <w:col w:w="9379"/>
          </w:cols>
          <w:pgMar w:left="1080" w:top="320" w:right="1440" w:bottom="0" w:gutter="0" w:footer="0" w:header="0"/>
        </w:sectPr>
      </w:pPr>
    </w:p>
    <w:bookmarkStart w:id="8" w:name="page9"/>
    <w:bookmarkEnd w:id="8"/>
    <w:p>
      <w:pPr>
        <w:ind w:right="3159"/>
        <w:spacing w:after="0" w:line="235" w:lineRule="auto"/>
        <w:rPr>
          <w:sz w:val="20"/>
          <w:szCs w:val="20"/>
          <w:color w:val="auto"/>
        </w:rPr>
      </w:pPr>
      <w:r>
        <w:rPr>
          <w:rFonts w:ascii="Courier New" w:cs="Courier New" w:eastAsia="Courier New" w:hAnsi="Courier New"/>
          <w:sz w:val="16"/>
          <w:szCs w:val="16"/>
          <w:color w:val="auto"/>
        </w:rPr>
        <w:t>income until actual Roundup EBIT reaches the first commission threshold for the year. The annual contribution payment, if any, is recognized ratably throughout the year.</w:t>
      </w: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79"/>
          </w:cols>
          <w:pgMar w:left="1080" w:top="142" w:right="1440" w:bottom="1440" w:gutter="0" w:footer="0" w:header="0"/>
        </w:sectPr>
      </w:pPr>
    </w:p>
    <w:bookmarkStart w:id="9" w:name="page10"/>
    <w:bookmarkEnd w:id="9"/>
    <w:p>
      <w:pPr>
        <w:ind w:left="285"/>
        <w:spacing w:after="0"/>
        <w:rPr>
          <w:sz w:val="20"/>
          <w:szCs w:val="20"/>
          <w:color w:val="auto"/>
        </w:rPr>
      </w:pPr>
      <w:r>
        <w:rPr>
          <w:rFonts w:ascii="Courier New" w:cs="Courier New" w:eastAsia="Courier New" w:hAnsi="Courier New"/>
          <w:sz w:val="16"/>
          <w:szCs w:val="16"/>
          <w:color w:val="auto"/>
        </w:rPr>
        <w:t>8</w:t>
      </w:r>
    </w:p>
    <w:p>
      <w:pPr>
        <w:spacing w:after="0" w:line="355" w:lineRule="exact"/>
        <w:rPr>
          <w:sz w:val="20"/>
          <w:szCs w:val="20"/>
          <w:color w:val="auto"/>
        </w:rPr>
      </w:pPr>
    </w:p>
    <w:p>
      <w:pPr>
        <w:ind w:left="845" w:hanging="845"/>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AND OTHER CHARGES</w:t>
      </w:r>
    </w:p>
    <w:p>
      <w:pPr>
        <w:spacing w:after="0" w:line="355"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1999 Charges</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nine months ended July 3,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the severance payments for approximately 60 in-house sales associates who were terminated in fiscal 1999. Approximately $1.1 million of severance payments were made to these former associates during fiscal 1999 and substantially all of the remainder has been paid in fiscal 2000.</w:t>
      </w:r>
    </w:p>
    <w:p>
      <w:pPr>
        <w:spacing w:after="0" w:line="179"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1998 Charges</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1998, the Company recorded charges of $9.3 million in connection with its decision to close nine composting sites. As of September 30, 1999, $0.9 million remained accrued in the Company's consolidated balance sheet for losses to be incurred under contractual commitments and remaining lease obligations (a detailed discussion and rollforward is included in the Company's fiscal 1999 Annual Report on Form 10-K). For the first nine months of fiscal 2000, $0.6 million of the obligations had been paid, leaving the remaining accrual at $0.3 million. The Company expects to make all significant remaining payments in fiscal 2000.</w:t>
      </w:r>
    </w:p>
    <w:p>
      <w:pPr>
        <w:spacing w:after="0" w:line="358"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DIVESTITURES</w:t>
      </w:r>
    </w:p>
    <w:p>
      <w:pPr>
        <w:spacing w:after="0" w:line="361" w:lineRule="exact"/>
        <w:rPr>
          <w:rFonts w:ascii="Courier New" w:cs="Courier New" w:eastAsia="Courier New" w:hAnsi="Courier New"/>
          <w:sz w:val="16"/>
          <w:szCs w:val="16"/>
          <w:color w:val="auto"/>
        </w:rPr>
      </w:pPr>
    </w:p>
    <w:p>
      <w:pPr>
        <w:ind w:left="84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A revised assessment of working capital provided by Monsanto indicated that an additional payment of approximately $27.0 million (for a total purchase price of approximately $366.0 million) would also have been required, however the Company disputed a significant portion of those working capital amounts. In the third quarter of fiscal 2000, the Company and Monsanto (now known as Pharmacia Corporation) resolved the disputed working capital amounts which resulted in a purchase price of approximately $355.5 million.</w:t>
      </w:r>
    </w:p>
    <w:p>
      <w:pPr>
        <w:spacing w:after="0" w:line="346"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1998, the Company acquired Rhone-Poulenc Jardin, continental Europe's largest consumer lawn and garden products company. Management's initial estimate of the purchase price for Rhone-Poulenc Jardin was $192.8 million; however, subsequent adjustments for reductions in acquired working capital have resulted in a final purchase price of approximately $147.5 million.</w:t>
      </w:r>
    </w:p>
    <w:p>
      <w:pPr>
        <w:spacing w:after="0" w:line="182"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Rhone-Poulenc Jardin acquisition, the Company entered into a Research and Development Access Rights Agreement with Rhone-Poulenc Jardin. In exchange for the rights provided under the agreement, the Company will make four annual payments of 39 million French Francs each beginning on October 1, 1999. The present value of the payments (approximately $23.2 million) is being amortized over the life of the agreement.</w:t>
      </w:r>
    </w:p>
    <w:p>
      <w:pPr>
        <w:spacing w:after="0" w:line="183"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The allocation of the final purchase price of the Ortho business to the net assets acquired should be completed during the fourth quarter of fiscal 2000. The excess of the estimated purchase price for the Ortho business over the value of tangible assets acquired is currently recorded as an intangible asset and is being amortized over a period of 35 years.</w:t>
      </w:r>
    </w:p>
    <w:p>
      <w:pPr>
        <w:sectPr>
          <w:pgSz w:w="11900" w:h="16838" w:orient="portrait"/>
          <w:cols w:equalWidth="0" w:num="1">
            <w:col w:w="10224"/>
          </w:cols>
          <w:pgMar w:left="235" w:top="290" w:right="1440"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290" w:right="1440" w:bottom="1132" w:gutter="0" w:footer="0" w:header="0"/>
          <w:type w:val="continuous"/>
        </w:sectPr>
      </w:pPr>
    </w:p>
    <w:bookmarkStart w:id="10" w:name="page11"/>
    <w:bookmarkEnd w:id="10"/>
    <w:p>
      <w:pPr>
        <w:ind w:left="285"/>
        <w:spacing w:after="0"/>
        <w:rPr>
          <w:sz w:val="20"/>
          <w:szCs w:val="20"/>
          <w:color w:val="auto"/>
        </w:rPr>
      </w:pPr>
      <w:r>
        <w:rPr>
          <w:rFonts w:ascii="Courier New" w:cs="Courier New" w:eastAsia="Courier New" w:hAnsi="Courier New"/>
          <w:sz w:val="16"/>
          <w:szCs w:val="16"/>
          <w:color w:val="auto"/>
        </w:rPr>
        <w:t>9</w:t>
      </w:r>
    </w:p>
    <w:p>
      <w:pPr>
        <w:spacing w:after="0" w:line="362" w:lineRule="exact"/>
        <w:rPr>
          <w:sz w:val="20"/>
          <w:szCs w:val="20"/>
          <w:color w:val="auto"/>
        </w:rPr>
      </w:pPr>
    </w:p>
    <w:p>
      <w:pPr>
        <w:ind w:left="845" w:right="2879"/>
        <w:spacing w:after="0" w:line="234" w:lineRule="auto"/>
        <w:rPr>
          <w:sz w:val="20"/>
          <w:szCs w:val="20"/>
          <w:color w:val="auto"/>
        </w:rPr>
      </w:pPr>
      <w:r>
        <w:rPr>
          <w:rFonts w:ascii="Courier New" w:cs="Courier New" w:eastAsia="Courier New" w:hAnsi="Courier New"/>
          <w:sz w:val="16"/>
          <w:szCs w:val="16"/>
          <w:color w:val="auto"/>
        </w:rPr>
        <w:t>The following unaudited pro forma results of operations give effect to the Ortho acquisition as if it had occurred on October 1, 1998.</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NINE MONTHS ENDED</w:t>
            </w:r>
          </w:p>
        </w:tc>
      </w:tr>
      <w:tr>
        <w:trPr>
          <w:trHeight w:val="179"/>
        </w:trPr>
        <w:tc>
          <w:tcPr>
            <w:tcW w:w="530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JULY 3, 1999</w:t>
            </w:r>
          </w:p>
        </w:tc>
      </w:tr>
      <w:tr>
        <w:trPr>
          <w:trHeight w:val="179"/>
        </w:trPr>
        <w:tc>
          <w:tcPr>
            <w:tcW w:w="5300" w:type="dxa"/>
            <w:vAlign w:val="bottom"/>
          </w:tcPr>
          <w:p>
            <w:pPr>
              <w:spacing w:after="0"/>
              <w:rPr>
                <w:sz w:val="15"/>
                <w:szCs w:val="15"/>
                <w:color w:val="auto"/>
              </w:rPr>
            </w:pP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w w:val="96"/>
              </w:rPr>
              <w:t>Net sales................................................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1,435.2</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Income before extraordinary loss.........................</w:t>
            </w:r>
          </w:p>
        </w:tc>
        <w:tc>
          <w:tcPr>
            <w:tcW w:w="560" w:type="dxa"/>
            <w:vAlign w:val="bottom"/>
          </w:tcPr>
          <w:p>
            <w:pPr>
              <w:spacing w:after="0"/>
              <w:rPr>
                <w:sz w:val="15"/>
                <w:szCs w:val="15"/>
                <w:color w:val="auto"/>
              </w:rPr>
            </w:pP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77.9</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560" w:type="dxa"/>
            <w:vAlign w:val="bottom"/>
          </w:tcPr>
          <w:p>
            <w:pPr>
              <w:spacing w:after="0"/>
              <w:rPr>
                <w:sz w:val="15"/>
                <w:szCs w:val="15"/>
                <w:color w:val="auto"/>
              </w:rPr>
            </w:pP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72.1</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share:</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Before extraordinary loss................................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3.86</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After extraordinary loss ................................</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3.54</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Before extraordinary loss................................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2.56</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After extraordinary loss ................................</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2.37</w:t>
            </w:r>
          </w:p>
        </w:tc>
      </w:tr>
    </w:tbl>
    <w:p>
      <w:pPr>
        <w:spacing w:after="0" w:line="183" w:lineRule="exact"/>
        <w:rPr>
          <w:sz w:val="20"/>
          <w:szCs w:val="20"/>
          <w:color w:val="auto"/>
        </w:rPr>
      </w:pPr>
    </w:p>
    <w:p>
      <w:pPr>
        <w:ind w:left="845" w:right="2779"/>
        <w:spacing w:after="0" w:line="235"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Ortho acquisition had occurred as of October 1, 1998 and is not intended to be indicative of future results or trends.</w:t>
      </w:r>
    </w:p>
    <w:p>
      <w:pPr>
        <w:spacing w:after="0" w:line="185"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In May 2000, the Company sold its North American Professional Turf business to two buyers. The terms of the agreement included the sale of certain inventory for approximately $16.3 million and an arrangement for the use and eventual purchase of related tradenames by the buyers. No gain or loss on the sale transaction is reflected in the Company's third quarter results of operations.</w:t>
      </w:r>
    </w:p>
    <w:p>
      <w:pPr>
        <w:spacing w:after="0" w:line="356" w:lineRule="exact"/>
        <w:rPr>
          <w:sz w:val="20"/>
          <w:szCs w:val="20"/>
          <w:color w:val="auto"/>
        </w:rPr>
      </w:pPr>
    </w:p>
    <w:p>
      <w:pPr>
        <w:ind w:left="845" w:hanging="845"/>
        <w:spacing w:after="0"/>
        <w:tabs>
          <w:tab w:leader="none" w:pos="8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362" w:lineRule="exact"/>
        <w:rPr>
          <w:sz w:val="20"/>
          <w:szCs w:val="20"/>
          <w:color w:val="auto"/>
        </w:rPr>
      </w:pPr>
    </w:p>
    <w:p>
      <w:pPr>
        <w:ind w:left="5" w:right="2959"/>
        <w:spacing w:after="0" w:line="295" w:lineRule="auto"/>
        <w:rPr>
          <w:sz w:val="20"/>
          <w:szCs w:val="20"/>
          <w:color w:val="auto"/>
        </w:rPr>
      </w:pPr>
      <w:r>
        <w:rPr>
          <w:rFonts w:ascii="Courier New" w:cs="Courier New" w:eastAsia="Courier New" w:hAnsi="Courier New"/>
          <w:sz w:val="14"/>
          <w:szCs w:val="14"/>
          <w:color w:val="auto"/>
        </w:rPr>
        <w:t>Inventories, net of provisions for slow moving and obsolete inventory of $24.9 million, $22.0 million, and $30.5 million, respectively, consisted of:</w:t>
      </w:r>
    </w:p>
    <w:p>
      <w:pPr>
        <w:spacing w:after="0" w:line="14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JULY 1,</w:t>
            </w:r>
          </w:p>
        </w:tc>
        <w:tc>
          <w:tcPr>
            <w:tcW w:w="3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JULY 3,</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46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219.1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206.6</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206.4</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Raw materials.......................</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74.0</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74.1</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106.5</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FIFO cost...........................</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293.1</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280.7</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312.9</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LIFO reserve........................</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294.1</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281.1</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313.2</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845" w:hanging="845"/>
        <w:spacing w:after="0"/>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NET</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JULY 1,</w:t>
            </w:r>
          </w:p>
        </w:tc>
        <w:tc>
          <w:tcPr>
            <w:tcW w:w="3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JULY 3,</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46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Goodwill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494.1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619.5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508.6</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Trademarks..........................</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189.2</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115.0</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207.9</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75.6</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43.4</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77.6</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758.9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777.9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794.1</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34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4"/>
          </w:cols>
          <w:pgMar w:left="235" w:top="291"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3820" w:type="dxa"/>
            <w:vAlign w:val="bottom"/>
          </w:tcPr>
          <w:p>
            <w:pPr>
              <w:jc w:val="right"/>
              <w:ind w:right="3502"/>
              <w:spacing w:after="0"/>
              <w:rPr>
                <w:sz w:val="20"/>
                <w:szCs w:val="20"/>
                <w:color w:val="auto"/>
              </w:rPr>
            </w:pPr>
            <w:r>
              <w:rPr>
                <w:rFonts w:ascii="Courier New" w:cs="Courier New" w:eastAsia="Courier New" w:hAnsi="Courier New"/>
                <w:sz w:val="16"/>
                <w:szCs w:val="16"/>
                <w:color w:val="auto"/>
              </w:rPr>
              <w:t>10</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37"/>
        </w:trPr>
        <w:tc>
          <w:tcPr>
            <w:tcW w:w="22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3820" w:type="dxa"/>
            <w:vAlign w:val="bottom"/>
          </w:tcPr>
          <w:p>
            <w:pPr>
              <w:jc w:val="right"/>
              <w:ind w:right="1822"/>
              <w:spacing w:after="0"/>
              <w:rPr>
                <w:sz w:val="20"/>
                <w:szCs w:val="20"/>
                <w:color w:val="auto"/>
              </w:rPr>
            </w:pPr>
            <w:r>
              <w:rPr>
                <w:rFonts w:ascii="Courier New" w:cs="Courier New" w:eastAsia="Courier New" w:hAnsi="Courier New"/>
                <w:sz w:val="16"/>
                <w:szCs w:val="16"/>
                <w:color w:val="auto"/>
              </w:rPr>
              <w:t>LONG-TERM DEBT</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37"/>
        </w:trPr>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JULY 1,</w:t>
            </w: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JULY 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Revolving loans under credit facility.....</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38.4</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16.8</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64.2</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Term loans under credit facility..........</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471.6</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500.6</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509.0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Senior Subordinated Notes ................</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318.9</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320.5</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318.0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Notes due to sellers .....................</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37.9</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Foreign bank borrowings and term loans....</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17.6</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Capital lease obligations and other ......</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9.9</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886.2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896.8</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950.0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Less current portions.....................</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41.2</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836.0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$ 855.6</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$ 893.6</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840" w:right="2879"/>
        <w:spacing w:after="0" w:line="236" w:lineRule="auto"/>
        <w:rPr>
          <w:sz w:val="20"/>
          <w:szCs w:val="20"/>
          <w:color w:val="auto"/>
        </w:rPr>
      </w:pPr>
      <w:r>
        <w:rPr>
          <w:rFonts w:ascii="Courier New" w:cs="Courier New" w:eastAsia="Courier New" w:hAnsi="Courier New"/>
          <w:sz w:val="16"/>
          <w:szCs w:val="16"/>
          <w:color w:val="auto"/>
        </w:rPr>
        <w:t>On December 4, 1998, the Company and certain of its subsidiaries entered into a credit facility which provides for borrowings in the aggregate principal amount of $1.025 billion and consists of term loan facilities in the aggregate amount of $525 million and a revolving credit facility in the amount of $500 million. Financial covenants included as part of the facility include, amongst others, minimum net worth, interest coverage and net leverage ratios.</w:t>
      </w:r>
    </w:p>
    <w:p>
      <w:pPr>
        <w:spacing w:after="0" w:line="184"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84"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86"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conjunction with the acquisitions of Rhone-Poulenc Jardin and Sanford Scientific, Inc., notes were issued for certain portions of the total purchase price or other consideration that are to be paid in annual installments over a four-year period. The present value of the remaining note payments at July 1, 2000 is $25.5 million and $4.1 million, respectively. The Company is imputing interest on the non-interest bearing notes using an interest rate prevalent for similar instruments at the time of acquisition (approximately 9% and 8%, respectively).</w:t>
      </w:r>
    </w:p>
    <w:p>
      <w:pPr>
        <w:spacing w:after="0" w:line="185"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March 2000, the Company acquired certain residual international intellectual property including peat marketing rights and goodwill from Bord na Mona Horticulture Limited. The purchase of the intellectual property was made through the issuance of a promissory note containing five annual payments. The present value of these payments, approximately $6.2 million at July 1, 2000, is included in Notes Due to Sellers above. The Company is imputing interest on the notes using an 8% interest rate.</w:t>
      </w:r>
    </w:p>
    <w:p>
      <w:pPr>
        <w:spacing w:after="0" w:line="184" w:lineRule="exact"/>
        <w:rPr>
          <w:sz w:val="20"/>
          <w:szCs w:val="20"/>
          <w:color w:val="auto"/>
        </w:rPr>
      </w:pPr>
    </w:p>
    <w:p>
      <w:pPr>
        <w:ind w:left="840" w:right="2879"/>
        <w:spacing w:after="0" w:line="236" w:lineRule="auto"/>
        <w:rPr>
          <w:sz w:val="20"/>
          <w:szCs w:val="20"/>
          <w:color w:val="auto"/>
        </w:rPr>
      </w:pPr>
      <w:r>
        <w:rPr>
          <w:rFonts w:ascii="Courier New" w:cs="Courier New" w:eastAsia="Courier New" w:hAnsi="Courier New"/>
          <w:sz w:val="16"/>
          <w:szCs w:val="16"/>
          <w:color w:val="auto"/>
        </w:rPr>
        <w:t>The foreign term loans of $3.2 million issued on December 12, 1997, have an 8-year term and bear interest at 1% below LIBOR. The loans are denominated in Pounds Sterling and can be redeemed, on demand, by the note holder. The foreign bank borrowings of $6.5 million at July 1, 2000 represent lines of credit for foreign operations and are denominated in French Francs and Canadian Dollars.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290" w:right="1440" w:bottom="1440" w:gutter="0" w:footer="0" w:header="0"/>
          <w:type w:val="continuous"/>
        </w:sectPr>
      </w:pPr>
    </w:p>
    <w:bookmarkStart w:id="12" w:name="page13"/>
    <w:bookmarkEnd w:id="12"/>
    <w:p>
      <w:pPr>
        <w:ind w:left="285"/>
        <w:spacing w:after="0"/>
        <w:rPr>
          <w:sz w:val="20"/>
          <w:szCs w:val="20"/>
          <w:color w:val="auto"/>
        </w:rPr>
      </w:pPr>
      <w:r>
        <w:rPr>
          <w:rFonts w:ascii="Courier New" w:cs="Courier New" w:eastAsia="Courier New" w:hAnsi="Courier New"/>
          <w:sz w:val="16"/>
          <w:szCs w:val="16"/>
          <w:color w:val="auto"/>
        </w:rPr>
        <w:t>11</w:t>
      </w:r>
    </w:p>
    <w:p>
      <w:pPr>
        <w:spacing w:after="0" w:line="355" w:lineRule="exact"/>
        <w:rPr>
          <w:sz w:val="20"/>
          <w:szCs w:val="20"/>
          <w:color w:val="auto"/>
        </w:rPr>
      </w:pPr>
    </w:p>
    <w:p>
      <w:pPr>
        <w:ind w:left="845" w:hanging="845"/>
        <w:spacing w:after="0"/>
        <w:tabs>
          <w:tab w:leader="none" w:pos="84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82" w:lineRule="exact"/>
        <w:rPr>
          <w:rFonts w:ascii="Courier New" w:cs="Courier New" w:eastAsia="Courier New" w:hAnsi="Courier New"/>
          <w:sz w:val="16"/>
          <w:szCs w:val="16"/>
          <w:color w:val="auto"/>
        </w:rPr>
      </w:pPr>
    </w:p>
    <w:p>
      <w:pPr>
        <w:ind w:left="845"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basic and diluted earnings per common share ("EPS").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w:t>
            </w:r>
          </w:p>
        </w:tc>
        <w:tc>
          <w:tcPr>
            <w:tcW w:w="28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1"/>
              </w:rPr>
              <w: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JULY 1,</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JULY 3,</w:t>
            </w:r>
          </w:p>
        </w:tc>
        <w:tc>
          <w:tcPr>
            <w:tcW w:w="28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JULY 1,</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JULY 3,</w:t>
            </w:r>
          </w:p>
        </w:tc>
      </w:tr>
      <w:tr>
        <w:trPr>
          <w:trHeight w:val="179"/>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(restated)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(restated)</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w w:val="99"/>
              </w:rPr>
              <w:t>Net income before extraordinary item ............</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41.6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85.4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86.3</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on early</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extinguishment of debt, net of taxes..........</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income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52.8</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41.6</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85.4</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Payments to preferred shareholders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6.4</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Income available to common shareholders .........</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52.8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39.2</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73.2</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Weighted-average common shares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outstanding during the period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27.9</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27.9</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18.3</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Assuming conversion of Class A</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Convertible Preferred Stock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Assuming exercise of warrants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Assuming exercise of options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0.8</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0.8</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Weighted-average number of common</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shares outstanding and potential</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common shares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29.7</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30.9</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29.7</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30.5</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Before extraordinary loss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1.89</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2.14</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2.83</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4.32</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Extraordinary loss, net of tax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0.32</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2.14</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2.83</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common share: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Before extraordinary loss and impact</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of early conversion of preferred shares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1.77</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1.35</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2.87</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2.83</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Extraordinary loss, net of tax ...............</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Impact of early conversion of preferred shares</w:t>
            </w:r>
          </w:p>
        </w:tc>
        <w:tc>
          <w:tcPr>
            <w:tcW w:w="32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2.64</w:t>
            </w:r>
          </w:p>
        </w:tc>
      </w:tr>
      <w:tr>
        <w:trPr>
          <w:trHeight w:val="179"/>
        </w:trPr>
        <w:tc>
          <w:tcPr>
            <w:tcW w:w="4700" w:type="dxa"/>
            <w:vAlign w:val="bottom"/>
          </w:tcPr>
          <w:p>
            <w:pPr>
              <w:spacing w:after="0"/>
              <w:rPr>
                <w:sz w:val="15"/>
                <w:szCs w:val="15"/>
                <w:color w:val="auto"/>
              </w:rPr>
            </w:pP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ind w:left="925" w:hanging="925"/>
        <w:spacing w:after="0"/>
        <w:tabs>
          <w:tab w:leader="none" w:pos="9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362" w:lineRule="exact"/>
        <w:rPr>
          <w:sz w:val="20"/>
          <w:szCs w:val="20"/>
          <w:color w:val="auto"/>
        </w:rPr>
      </w:pPr>
    </w:p>
    <w:p>
      <w:pPr>
        <w:ind w:left="845" w:right="2779"/>
        <w:spacing w:after="0" w:line="274" w:lineRule="auto"/>
        <w:rPr>
          <w:sz w:val="20"/>
          <w:szCs w:val="20"/>
          <w:color w:val="auto"/>
        </w:rPr>
      </w:pPr>
      <w:r>
        <w:rPr>
          <w:rFonts w:ascii="Courier New" w:cs="Courier New" w:eastAsia="Courier New" w:hAnsi="Courier New"/>
          <w:sz w:val="14"/>
          <w:szCs w:val="14"/>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three and nine months ended July 1, 2000 and July 3, 1999 are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w:t>
            </w:r>
          </w:p>
        </w:tc>
        <w:tc>
          <w:tcPr>
            <w:tcW w:w="234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c>
          <w:tcPr>
            <w:tcW w:w="234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15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JULY 1,</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JULY 3,</w:t>
            </w: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JULY 1,</w:t>
            </w:r>
          </w:p>
        </w:tc>
        <w:tc>
          <w:tcPr>
            <w:tcW w:w="98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1999</w:t>
            </w:r>
          </w:p>
        </w:tc>
      </w:tr>
      <w:tr>
        <w:trPr>
          <w:trHeight w:val="179"/>
        </w:trPr>
        <w:tc>
          <w:tcPr>
            <w:tcW w:w="4640" w:type="dxa"/>
            <w:vAlign w:val="bottom"/>
          </w:tcPr>
          <w:p>
            <w:pPr>
              <w:spacing w:after="0"/>
              <w:rPr>
                <w:sz w:val="15"/>
                <w:szCs w:val="15"/>
                <w:color w:val="auto"/>
              </w:rPr>
            </w:pPr>
          </w:p>
        </w:tc>
        <w:tc>
          <w:tcPr>
            <w:tcW w:w="15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(restated)</w:t>
            </w:r>
          </w:p>
        </w:tc>
        <w:tc>
          <w:tcPr>
            <w:tcW w:w="84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(restated)</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640" w:type="dxa"/>
            <w:vAlign w:val="bottom"/>
          </w:tcPr>
          <w:p>
            <w:pPr>
              <w:spacing w:after="0"/>
              <w:rPr>
                <w:sz w:val="15"/>
                <w:szCs w:val="15"/>
                <w:color w:val="auto"/>
              </w:rPr>
            </w:pPr>
          </w:p>
        </w:tc>
        <w:tc>
          <w:tcPr>
            <w:tcW w:w="158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w w:val="98"/>
              </w:rPr>
              <w:t>Net income ......................................</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52.8</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$ 41.6</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$ 85.4</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80.5</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comprehensive income (expense):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Foreign currency translation adjustments ........</w:t>
            </w:r>
          </w:p>
        </w:tc>
        <w:tc>
          <w:tcPr>
            <w:tcW w:w="38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(0.7)</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(6.3)</w:t>
            </w:r>
          </w:p>
        </w:tc>
        <w:tc>
          <w:tcPr>
            <w:tcW w:w="3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w:t>
            </w:r>
          </w:p>
        </w:tc>
      </w:tr>
      <w:tr>
        <w:trPr>
          <w:trHeight w:val="179"/>
        </w:trPr>
        <w:tc>
          <w:tcPr>
            <w:tcW w:w="4640" w:type="dxa"/>
            <w:vAlign w:val="bottom"/>
          </w:tcPr>
          <w:p>
            <w:pPr>
              <w:spacing w:after="0"/>
              <w:rPr>
                <w:sz w:val="15"/>
                <w:szCs w:val="15"/>
                <w:color w:val="auto"/>
              </w:rPr>
            </w:pPr>
          </w:p>
        </w:tc>
        <w:tc>
          <w:tcPr>
            <w:tcW w:w="158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Comprehensive income ............................</w:t>
            </w:r>
          </w:p>
        </w:tc>
        <w:tc>
          <w:tcPr>
            <w:tcW w:w="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52.1</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$ 38.8</w:t>
            </w: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$ 79.1</w:t>
            </w:r>
          </w:p>
        </w:tc>
        <w:tc>
          <w:tcPr>
            <w:tcW w:w="3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72.5</w:t>
            </w:r>
          </w:p>
        </w:tc>
      </w:tr>
      <w:tr>
        <w:trPr>
          <w:trHeight w:val="179"/>
        </w:trPr>
        <w:tc>
          <w:tcPr>
            <w:tcW w:w="4640" w:type="dxa"/>
            <w:vAlign w:val="bottom"/>
          </w:tcPr>
          <w:p>
            <w:pPr>
              <w:spacing w:after="0"/>
              <w:rPr>
                <w:sz w:val="15"/>
                <w:szCs w:val="15"/>
                <w:color w:val="auto"/>
              </w:rPr>
            </w:pPr>
          </w:p>
        </w:tc>
        <w:tc>
          <w:tcPr>
            <w:tcW w:w="158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0" w:right="1440" w:bottom="4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24"/>
          </w:cols>
          <w:pgMar w:left="235" w:top="290" w:right="1440" w:bottom="433" w:gutter="0" w:footer="0" w:header="0"/>
          <w:type w:val="continuous"/>
        </w:sectPr>
      </w:pPr>
    </w:p>
    <w:bookmarkStart w:id="13" w:name="page14"/>
    <w:bookmarkEnd w:id="13"/>
    <w:p>
      <w:pPr>
        <w:ind w:left="285"/>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34" w:lineRule="exact"/>
        <w:rPr>
          <w:sz w:val="20"/>
          <w:szCs w:val="20"/>
          <w:color w:val="auto"/>
        </w:rPr>
      </w:pPr>
    </w:p>
    <w:p>
      <w:pPr>
        <w:ind w:left="845" w:hanging="845"/>
        <w:spacing w:after="0"/>
        <w:tabs>
          <w:tab w:leader="none" w:pos="84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361"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9"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82" w:lineRule="exact"/>
        <w:rPr>
          <w:rFonts w:ascii="Courier New" w:cs="Courier New" w:eastAsia="Courier New" w:hAnsi="Courier New"/>
          <w:sz w:val="16"/>
          <w:szCs w:val="16"/>
          <w:color w:val="auto"/>
        </w:rPr>
      </w:pPr>
    </w:p>
    <w:p>
      <w:pPr>
        <w:ind w:left="8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61"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Company learned that the Ohio Environmental Protection Agency was referring certain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84" w:lineRule="exact"/>
        <w:rPr>
          <w:rFonts w:ascii="Courier New" w:cs="Courier New" w:eastAsia="Courier New" w:hAnsi="Courier New"/>
          <w:sz w:val="16"/>
          <w:szCs w:val="16"/>
          <w:color w:val="auto"/>
        </w:rPr>
      </w:pPr>
    </w:p>
    <w:p>
      <w:pPr>
        <w:ind w:left="845" w:right="28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Comments on that draft were received from the Ohio Attorney General in February 2000, and Scotts replied with another revised draft in March 2000. Since July 2000, the parties have been engaged in settlement discussions resulting in various revisions to the March 2000 draft, as they seek to resolve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29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13</w:t>
      </w:r>
    </w:p>
    <w:p>
      <w:pPr>
        <w:spacing w:after="0" w:line="362"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 between the Company and the Ohio Attorney General/Ohio Environmental Protection Agency, several critical issues remain the subject of ongoing discussions. The parties have tentatively agreed to a civil penalty cash payment subject to the successful completion of negotiations on the remaining provisions of a judicial consent order. The Company believes that it has viable defenses to the State's enforcement action, including that it had been proceeding under VAP to address specified environmental issues, and will assert those defenses should an amicable resolution of this State's enforcement action not be reached.</w:t>
      </w:r>
    </w:p>
    <w:p>
      <w:pPr>
        <w:spacing w:after="0" w:line="347"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200" w:lineRule="exact"/>
        <w:rPr>
          <w:sz w:val="20"/>
          <w:szCs w:val="20"/>
          <w:color w:val="auto"/>
        </w:rPr>
      </w:pPr>
    </w:p>
    <w:p>
      <w:pPr>
        <w:spacing w:after="0" w:line="322"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Management estimates that the range of possible loss that could be incurred in connection with this matter is $2 million to $10 million. The Company has accrued for the amount it considers to be 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LAFAYETTE</w:t>
      </w:r>
    </w:p>
    <w:p>
      <w:pPr>
        <w:spacing w:after="0" w:line="183"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Furthermore, management believes the Company has sufficient raw material supplies available such that service to customers will not be materially adversely affected by continued closure of this peat harvesting operation.</w:t>
      </w:r>
    </w:p>
    <w:p>
      <w:pPr>
        <w:sectPr>
          <w:pgSz w:w="11900" w:h="16838" w:orient="portrait"/>
          <w:cols w:equalWidth="0" w:num="1">
            <w:col w:w="9939"/>
          </w:cols>
          <w:pgMar w:left="520" w:top="291" w:right="1440" w:bottom="75" w:gutter="0" w:footer="0" w:header="0"/>
        </w:sectPr>
      </w:pPr>
    </w:p>
    <w:bookmarkStart w:id="15" w:name="page16"/>
    <w:bookmarkEnd w:id="15"/>
    <w:p>
      <w:pPr>
        <w:ind w:left="24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019"/>
          </w:cols>
          <w:pgMar w:left="1440" w:top="32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BRAMFORD</w:t>
      </w:r>
    </w:p>
    <w:p>
      <w:pPr>
        <w:spacing w:after="0" w:line="183"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Although The Scotts Company (UK) Ltd. has retained an environmental consulting firm to research remediation designs, The Scotts Company (UK) Ltd. and the Environment Agency have not agreed on a final plan for remediating the lagoon and the landfill. The Company has reserved for its estimate of the probable loss to be incurred in connection with this matter.</w:t>
      </w:r>
    </w:p>
    <w:p>
      <w:pPr>
        <w:spacing w:after="0" w:line="200" w:lineRule="exact"/>
        <w:rPr>
          <w:sz w:val="20"/>
          <w:szCs w:val="20"/>
          <w:color w:val="auto"/>
        </w:rPr>
      </w:pPr>
    </w:p>
    <w:p>
      <w:pPr>
        <w:spacing w:after="0" w:line="3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AGREVO ENVIRONMENTAL HEALTH</w:t>
      </w:r>
    </w:p>
    <w:p>
      <w:pPr>
        <w:spacing w:after="0" w:line="183"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On June 3, 1999, AgrEvo Environmental Health, Inc. ("AgrEvo") (which is reported to have changed its name to Aventis Environmental Health Science USA LP) filed a complaint in the federal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342"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those agreements. On October 1, 1999, the Company moved to dismiss the antitrust allegations against it on the ground that the claims fail to state claims for which relief may be granted. On October 12, 1999, AgrEvo moved to dismiss the Company's counterclaims. On May 5, 2000, AgrEvo amended its complaint to add a claim for fraud and to incorporate the Delaware Action described below. Thereafter, the Company moved to dismiss the new claims, and defendants renewed their pending motions to dismiss. On June 2, 2000, the court (i) granted the Company's motion to dismiss the fraud claim AgrEvo had added to its complaint; (ii) granted AgrEvo's motion to dismiss the Company's fraudulent-inducement counterclaim;</w:t>
      </w:r>
    </w:p>
    <w:p>
      <w:pPr>
        <w:spacing w:after="0" w:line="164" w:lineRule="exact"/>
        <w:rPr>
          <w:sz w:val="20"/>
          <w:szCs w:val="20"/>
          <w:color w:val="auto"/>
        </w:rPr>
      </w:pPr>
    </w:p>
    <w:p>
      <w:pPr>
        <w:ind w:left="560" w:right="2779" w:hanging="7"/>
        <w:spacing w:after="0" w:line="236" w:lineRule="auto"/>
        <w:tabs>
          <w:tab w:leader="none" w:pos="11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denied AgrEvo's motion to dismiss the Company's counterclaims related to breach of representations and warranties; and (iv) denied defendants' motion to dismiss the antitrust claims. On July 14, 2000, the Company served an answer to AgrEvo's amended complaint and re-pleaded its fraud counterclaim. Under the indemnification provisions of the Roundup(R) marketing agreement, Monsanto and the Company each have requested that the other indemnify against any losses arising from this lawsuit.</w:t>
      </w:r>
    </w:p>
    <w:p>
      <w:pPr>
        <w:spacing w:after="0" w:line="184"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(a) the resolution of a motion to amend the New York Action and (b) resolution of the New York Action.</w:t>
      </w:r>
    </w:p>
    <w:p>
      <w:pPr>
        <w:sectPr>
          <w:pgSz w:w="11900" w:h="16838" w:orient="portrait"/>
          <w:cols w:equalWidth="0" w:num="1">
            <w:col w:w="9939"/>
          </w:cols>
          <w:pgMar w:left="520" w:top="290" w:right="1440" w:bottom="63" w:gutter="0" w:footer="0" w:header="0"/>
        </w:sectPr>
      </w:pPr>
    </w:p>
    <w:bookmarkStart w:id="17" w:name="page18"/>
    <w:bookmarkEnd w:id="17"/>
    <w:p>
      <w:pPr>
        <w:ind w:left="24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019"/>
          </w:cols>
          <w:pgMar w:left="1440" w:top="32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15</w:t>
      </w:r>
    </w:p>
    <w:p>
      <w:pPr>
        <w:spacing w:after="0" w:line="35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CENTRAL GARDEN &amp; PET</w:t>
      </w:r>
    </w:p>
    <w:p>
      <w:pPr>
        <w:spacing w:after="0" w:line="183"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On June 30, 2000, Scotts filed suit against Central Garden &amp; Pet Company in the U.S. District Court for the Southern District of Ohio to recover approximately $17 million in outstanding accounts receivable from Central Garden &amp; Pet with respect to Scotts' 2000 fiscal year. Pharmacia Corp. (formerly Monsanto Company) also filed suit against Central Garden &amp; Pet in Missouri state court, seeking unspecified damages allegedly due Pharmacia under a four-year alliance agreement between Pharmacia and Central.</w:t>
      </w:r>
    </w:p>
    <w:p>
      <w:pPr>
        <w:spacing w:after="0" w:line="184" w:lineRule="exact"/>
        <w:rPr>
          <w:sz w:val="20"/>
          <w:szCs w:val="20"/>
          <w:color w:val="auto"/>
        </w:rPr>
      </w:pPr>
    </w:p>
    <w:p>
      <w:pPr>
        <w:ind w:left="560" w:right="2779"/>
        <w:spacing w:after="0" w:line="274" w:lineRule="auto"/>
        <w:rPr>
          <w:sz w:val="20"/>
          <w:szCs w:val="20"/>
          <w:color w:val="auto"/>
        </w:rPr>
      </w:pPr>
      <w:r>
        <w:rPr>
          <w:rFonts w:ascii="Courier New" w:cs="Courier New" w:eastAsia="Courier New" w:hAnsi="Courier New"/>
          <w:sz w:val="14"/>
          <w:szCs w:val="14"/>
          <w:color w:val="auto"/>
        </w:rPr>
        <w:t>On July 7, 2000, Central Garden &amp; Pet filed suit against Scotts and Pharmacia in the U.S. District Court for the Northern District of California (San Francisco Division) alleging various matters, including breach of contract and violations of federal antitrust laws, and seeking an unspecified amount of damages and injunctive relief. Scotts believes that Central Garden &amp; Pet's claims are entirely without merit and intends to vigorously defend against them.</w:t>
      </w:r>
    </w:p>
    <w:p>
      <w:pPr>
        <w:spacing w:after="0" w:line="15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OTHER</w:t>
      </w:r>
    </w:p>
    <w:p>
      <w:pPr>
        <w:spacing w:after="0" w:line="183" w:lineRule="exact"/>
        <w:rPr>
          <w:sz w:val="20"/>
          <w:szCs w:val="20"/>
          <w:color w:val="auto"/>
        </w:rPr>
      </w:pPr>
    </w:p>
    <w:p>
      <w:pPr>
        <w:ind w:left="560" w:right="2779"/>
        <w:spacing w:after="0" w:line="235" w:lineRule="auto"/>
        <w:rPr>
          <w:sz w:val="20"/>
          <w:szCs w:val="20"/>
          <w:color w:val="auto"/>
        </w:rPr>
      </w:pPr>
      <w:r>
        <w:rPr>
          <w:rFonts w:ascii="Courier New" w:cs="Courier New" w:eastAsia="Courier New" w:hAnsi="Courier New"/>
          <w:sz w:val="16"/>
          <w:szCs w:val="16"/>
          <w:color w:val="auto"/>
        </w:rPr>
        <w:t>The Company has determined that quantities of cement containing asbestos material at certain manufacturing facilities in the United Kingdom should be removed. The Company has reserved for the estimate of costs to be incurred for this matter.</w:t>
      </w:r>
    </w:p>
    <w:p>
      <w:pPr>
        <w:spacing w:after="0" w:line="17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The Company has accrued $10.1 million at July 1, 2000 for the legal and environmental matters described above. The significant components of the accrual are: (i) costs for site remediation of $6.8 million; (ii) costs for asbestos abatement of $2.8 million; and (iii) fines and penalties of $0.5 million. The significant portion of the costs accrued as of July 1, 2000 are expected to be paid in fiscal years 2000 through 2002; however, some payments are expected to be made through fiscal 2003 and possibly for a period thereafter.</w:t>
      </w:r>
    </w:p>
    <w:p>
      <w:pPr>
        <w:spacing w:after="0" w:line="184" w:lineRule="exact"/>
        <w:rPr>
          <w:sz w:val="20"/>
          <w:szCs w:val="20"/>
          <w:color w:val="auto"/>
        </w:rPr>
      </w:pPr>
    </w:p>
    <w:p>
      <w:pPr>
        <w:ind w:left="560" w:right="2959"/>
        <w:spacing w:after="0" w:line="279" w:lineRule="auto"/>
        <w:rPr>
          <w:sz w:val="20"/>
          <w:szCs w:val="20"/>
          <w:color w:val="auto"/>
        </w:rPr>
      </w:pPr>
      <w:r>
        <w:rPr>
          <w:rFonts w:ascii="Courier New" w:cs="Courier New" w:eastAsia="Courier New" w:hAnsi="Courier New"/>
          <w:sz w:val="14"/>
          <w:szCs w:val="14"/>
          <w:color w:val="auto"/>
        </w:rPr>
        <w:t>The Company believes that the amounts accrued as of July 1, 2000 are adequate to cover its known environmental expenses based on current facts and estimates of likely outcome. However, the adequacy of these accruals is based on several significant assumptions:</w:t>
      </w:r>
    </w:p>
    <w:p>
      <w:pPr>
        <w:spacing w:after="0" w:line="157" w:lineRule="exact"/>
        <w:rPr>
          <w:sz w:val="20"/>
          <w:szCs w:val="20"/>
          <w:color w:val="auto"/>
        </w:rPr>
      </w:pPr>
    </w:p>
    <w:p>
      <w:pPr>
        <w:ind w:left="920" w:right="2959" w:hanging="367"/>
        <w:spacing w:after="0" w:line="234" w:lineRule="auto"/>
        <w:tabs>
          <w:tab w:leader="none" w:pos="9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has identified all of the significant sites that must be remediated;</w:t>
      </w:r>
    </w:p>
    <w:p>
      <w:pPr>
        <w:spacing w:after="0" w:line="183" w:lineRule="exact"/>
        <w:rPr>
          <w:rFonts w:ascii="Courier New" w:cs="Courier New" w:eastAsia="Courier New" w:hAnsi="Courier New"/>
          <w:sz w:val="16"/>
          <w:szCs w:val="16"/>
          <w:color w:val="auto"/>
        </w:rPr>
      </w:pPr>
    </w:p>
    <w:p>
      <w:pPr>
        <w:ind w:left="1020" w:right="3999" w:hanging="467"/>
        <w:spacing w:after="0" w:line="295" w:lineRule="auto"/>
        <w:tabs>
          <w:tab w:leader="none" w:pos="10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w:t>
      </w:r>
    </w:p>
    <w:p>
      <w:pPr>
        <w:spacing w:after="0" w:line="146" w:lineRule="exact"/>
        <w:rPr>
          <w:rFonts w:ascii="Courier New" w:cs="Courier New" w:eastAsia="Courier New" w:hAnsi="Courier New"/>
          <w:sz w:val="14"/>
          <w:szCs w:val="14"/>
          <w:color w:val="auto"/>
        </w:rPr>
      </w:pPr>
    </w:p>
    <w:p>
      <w:pPr>
        <w:ind w:left="1120" w:right="3159" w:hanging="567"/>
        <w:spacing w:after="0" w:line="234" w:lineRule="auto"/>
        <w:tabs>
          <w:tab w:leader="none" w:pos="11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potentially contaminated soil can be remediated in place rather than having to be removed; and</w:t>
      </w:r>
    </w:p>
    <w:p>
      <w:pPr>
        <w:spacing w:after="0" w:line="183" w:lineRule="exact"/>
        <w:rPr>
          <w:rFonts w:ascii="Courier New" w:cs="Courier New" w:eastAsia="Courier New" w:hAnsi="Courier New"/>
          <w:sz w:val="16"/>
          <w:szCs w:val="16"/>
          <w:color w:val="auto"/>
        </w:rPr>
      </w:pPr>
    </w:p>
    <w:p>
      <w:pPr>
        <w:ind w:left="1020" w:right="3519" w:hanging="467"/>
        <w:spacing w:after="0" w:line="295" w:lineRule="auto"/>
        <w:tabs>
          <w:tab w:leader="none" w:pos="10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only specific stream sediment sites with unacceptable levels of potential contaminant will be remediated.</w:t>
      </w:r>
    </w:p>
    <w:p>
      <w:pPr>
        <w:spacing w:after="0" w:line="200" w:lineRule="exact"/>
        <w:rPr>
          <w:sz w:val="20"/>
          <w:szCs w:val="20"/>
          <w:color w:val="auto"/>
        </w:rPr>
      </w:pPr>
    </w:p>
    <w:p>
      <w:pPr>
        <w:spacing w:after="0" w:line="29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939"/>
          </w:cols>
          <w:pgMar w:left="520" w:top="29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CONVERSION OF PREFERRED STOCK</w:t>
      </w:r>
    </w:p>
    <w:p>
      <w:pPr>
        <w:spacing w:after="0" w:line="362" w:lineRule="exact"/>
        <w:rPr>
          <w:sz w:val="20"/>
          <w:szCs w:val="20"/>
          <w:color w:val="auto"/>
        </w:rPr>
      </w:pPr>
    </w:p>
    <w:p>
      <w:pPr>
        <w:ind w:left="840" w:right="2779"/>
        <w:spacing w:after="0" w:line="275" w:lineRule="auto"/>
        <w:rPr>
          <w:sz w:val="20"/>
          <w:szCs w:val="20"/>
          <w:color w:val="auto"/>
        </w:rPr>
      </w:pPr>
      <w:r>
        <w:rPr>
          <w:rFonts w:ascii="Courier New" w:cs="Courier New" w:eastAsia="Courier New" w:hAnsi="Courier New"/>
          <w:sz w:val="14"/>
          <w:szCs w:val="14"/>
          <w:color w:val="auto"/>
        </w:rPr>
        <w:t>In October 1999, all of the then outstanding shares of Class A Convertible Preferred Stock were converted into approximately 10.1 million common shares. The Company paid the holders of the Preferred Stock $6.4 million. The amount represents the dividends on the Preferred Stock that otherwise would have been payable through May 2000, the month during which the Preferred Stock could first be redeemed by the Company. In fiscal 1999, certain of the Preferred Stock was converted into 0.2 million common shares at the holder's option.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NEW ACCOUNTING STANDARDS</w:t>
      </w:r>
    </w:p>
    <w:p>
      <w:pPr>
        <w:spacing w:after="0" w:line="362" w:lineRule="exact"/>
        <w:rPr>
          <w:sz w:val="20"/>
          <w:szCs w:val="20"/>
          <w:color w:val="auto"/>
        </w:rPr>
      </w:pPr>
    </w:p>
    <w:p>
      <w:pPr>
        <w:ind w:left="840" w:right="2959"/>
        <w:spacing w:after="0" w:line="283" w:lineRule="auto"/>
        <w:rPr>
          <w:sz w:val="20"/>
          <w:szCs w:val="20"/>
          <w:color w:val="auto"/>
        </w:rPr>
      </w:pPr>
      <w:r>
        <w:rPr>
          <w:rFonts w:ascii="Courier New" w:cs="Courier New" w:eastAsia="Courier New" w:hAnsi="Courier New"/>
          <w:sz w:val="14"/>
          <w:szCs w:val="14"/>
          <w:color w:val="auto"/>
        </w:rPr>
        <w:t>In August 1998, the FASB issued SFAS No. 133, "Accounting For Derivative Instruments and Hedging Activities." SFAS No. 133 (as amended) is effective for fiscal years beginning after June 15, 2000.</w:t>
      </w:r>
    </w:p>
    <w:p>
      <w:pPr>
        <w:spacing w:after="0" w:line="155"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184" w:lineRule="exact"/>
        <w:rPr>
          <w:sz w:val="20"/>
          <w:szCs w:val="20"/>
          <w:color w:val="auto"/>
        </w:rPr>
      </w:pPr>
    </w:p>
    <w:p>
      <w:pPr>
        <w:ind w:left="840" w:right="2879"/>
        <w:spacing w:after="0" w:line="273" w:lineRule="auto"/>
        <w:rPr>
          <w:sz w:val="20"/>
          <w:szCs w:val="20"/>
          <w:color w:val="auto"/>
        </w:rPr>
      </w:pPr>
      <w:r>
        <w:rPr>
          <w:rFonts w:ascii="Courier New" w:cs="Courier New" w:eastAsia="Courier New" w:hAnsi="Courier New"/>
          <w:sz w:val="14"/>
          <w:szCs w:val="14"/>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is required, however, to conform its interim period revenue recognition policies for the commission under the Roundup(R) marketing agreement to be consistent with the staff's views and has adopted the guidance in the first quarter of fiscal 2000. Under the new guidance, the Company must defer the recognition of commission earned in interim periods until minimum earnings thresholds are achieved. There will be no impact on the commission earned on an annual basis.</w:t>
      </w:r>
    </w:p>
    <w:p>
      <w:pPr>
        <w:spacing w:after="0" w:line="340"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most of these costs as advertising, promotion, or selling expenses. The guidance is effective for the fourth quarter of fiscal years beginning after December 15, 1999. The Company plans to adopt the guidance in fiscal 2001 and does not anticipate that the new accounting policy will impact fiscal 2001 results of operations.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SEGMENT INFORMATION</w:t>
      </w:r>
    </w:p>
    <w:p>
      <w:pPr>
        <w:spacing w:after="0" w:line="362"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The Company is divided into three reportable segments--North American Consumer, Professional and International. The North American Consumer segment consists of the Lawns, Gardens, Growing Media, Ortho and Canadian business units.</w:t>
      </w:r>
    </w:p>
    <w:p>
      <w:pPr>
        <w:spacing w:after="0" w:line="185"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184"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Professional segment is focused on a full line of horticulture products including controlled-release and water-soluble fertilizers and plant protection products, grass seed, spreaders, custom application services and growing media. Products are sold to lawn and landscape service</w:t>
      </w:r>
    </w:p>
    <w:p>
      <w:pPr>
        <w:sectPr>
          <w:pgSz w:w="11900" w:h="16838" w:orient="portrait"/>
          <w:cols w:equalWidth="0" w:num="1">
            <w:col w:w="10219"/>
          </w:cols>
          <w:pgMar w:left="240" w:top="290" w:right="1440" w:bottom="255" w:gutter="0" w:footer="0" w:header="0"/>
        </w:sectPr>
      </w:pP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290" w:right="1440" w:bottom="255"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560" w:right="2879"/>
        <w:spacing w:after="0" w:line="283" w:lineRule="auto"/>
        <w:rPr>
          <w:sz w:val="20"/>
          <w:szCs w:val="20"/>
          <w:color w:val="auto"/>
        </w:rPr>
      </w:pPr>
      <w:r>
        <w:rPr>
          <w:rFonts w:ascii="Courier New" w:cs="Courier New" w:eastAsia="Courier New" w:hAnsi="Courier New"/>
          <w:sz w:val="14"/>
          <w:szCs w:val="14"/>
          <w:color w:val="auto"/>
        </w:rPr>
        <w:t>companies, commercial nurseries and greenhouses and specialty crop growers. Prior to June 2000, this segment also included the Company's North American professional turf business, which was sold in May 2000.</w:t>
      </w:r>
    </w:p>
    <w:p>
      <w:pPr>
        <w:spacing w:after="0" w:line="155" w:lineRule="exact"/>
        <w:rPr>
          <w:sz w:val="20"/>
          <w:szCs w:val="20"/>
          <w:color w:val="auto"/>
        </w:rPr>
      </w:pPr>
    </w:p>
    <w:p>
      <w:pPr>
        <w:ind w:left="560" w:right="2879"/>
        <w:spacing w:after="0" w:line="279" w:lineRule="auto"/>
        <w:rPr>
          <w:sz w:val="20"/>
          <w:szCs w:val="20"/>
          <w:color w:val="auto"/>
        </w:rPr>
      </w:pPr>
      <w:r>
        <w:rPr>
          <w:rFonts w:ascii="Courier New" w:cs="Courier New" w:eastAsia="Courier New" w:hAnsi="Courier New"/>
          <w:sz w:val="14"/>
          <w:szCs w:val="14"/>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157" w:lineRule="exact"/>
        <w:rPr>
          <w:sz w:val="20"/>
          <w:szCs w:val="20"/>
          <w:color w:val="auto"/>
        </w:rPr>
      </w:pPr>
    </w:p>
    <w:p>
      <w:pPr>
        <w:ind w:left="560" w:right="3059"/>
        <w:spacing w:after="0" w:line="274" w:lineRule="auto"/>
        <w:rPr>
          <w:sz w:val="20"/>
          <w:szCs w:val="20"/>
          <w:color w:val="auto"/>
        </w:rPr>
      </w:pPr>
      <w:r>
        <w:rPr>
          <w:rFonts w:ascii="Courier New" w:cs="Courier New" w:eastAsia="Courier New" w:hAnsi="Courier New"/>
          <w:sz w:val="14"/>
          <w:szCs w:val="14"/>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00" w:lineRule="exact"/>
        <w:rPr>
          <w:sz w:val="20"/>
          <w:szCs w:val="20"/>
          <w:color w:val="auto"/>
        </w:rPr>
      </w:pP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939"/>
          </w:cols>
          <w:pgMar w:left="520" w:top="29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N.A.</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 MILLIONS)</w:t>
            </w:r>
          </w:p>
        </w:tc>
        <w:tc>
          <w:tcPr>
            <w:tcW w:w="1960" w:type="dxa"/>
            <w:vAlign w:val="bottom"/>
            <w:gridSpan w:val="2"/>
          </w:tcPr>
          <w:p>
            <w:pPr>
              <w:ind w:left="660"/>
              <w:spacing w:after="0" w:line="179" w:lineRule="exact"/>
              <w:rPr>
                <w:sz w:val="20"/>
                <w:szCs w:val="20"/>
                <w:color w:val="auto"/>
              </w:rPr>
            </w:pPr>
            <w:r>
              <w:rPr>
                <w:rFonts w:ascii="Courier New" w:cs="Courier New" w:eastAsia="Courier New" w:hAnsi="Courier New"/>
                <w:sz w:val="16"/>
                <w:szCs w:val="16"/>
                <w:color w:val="auto"/>
              </w:rPr>
              <w:t>CONSUMER</w:t>
            </w: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PROFESSIONAL</w:t>
            </w:r>
          </w:p>
        </w:tc>
        <w:tc>
          <w:tcPr>
            <w:tcW w:w="15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INTERNATIONAL</w:t>
            </w:r>
          </w:p>
        </w:tc>
      </w:tr>
      <w:tr>
        <w:trPr>
          <w:trHeight w:val="179"/>
        </w:trPr>
        <w:tc>
          <w:tcPr>
            <w:tcW w:w="2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537"/>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SALES: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1,101.4</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96.9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312.3</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958.7</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109.2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334.3</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451.1</w:t>
            </w:r>
          </w:p>
        </w:tc>
        <w:tc>
          <w:tcPr>
            <w:tcW w:w="78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31.7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115.5</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426.9</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35.8</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123.5</w:t>
            </w:r>
          </w:p>
        </w:tc>
      </w:tr>
      <w:tr>
        <w:trPr>
          <w:trHeight w:val="358"/>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223.5</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40.3</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192.5</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12.2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52.9</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102.1</w:t>
            </w:r>
          </w:p>
        </w:tc>
        <w:tc>
          <w:tcPr>
            <w:tcW w:w="78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20.8</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88.7</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19.0</w:t>
            </w:r>
          </w:p>
        </w:tc>
      </w:tr>
      <w:tr>
        <w:trPr>
          <w:trHeight w:val="537"/>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OPERATING MARGIN:</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20.3%</w:t>
            </w:r>
          </w:p>
        </w:tc>
        <w:tc>
          <w:tcPr>
            <w:tcW w:w="78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w:t>
            </w:r>
          </w:p>
        </w:tc>
        <w:tc>
          <w:tcPr>
            <w:tcW w:w="3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18.9%</w:t>
            </w:r>
          </w:p>
        </w:tc>
        <w:tc>
          <w:tcPr>
            <w:tcW w:w="78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11.2%</w:t>
            </w:r>
          </w:p>
        </w:tc>
        <w:tc>
          <w:tcPr>
            <w:tcW w:w="3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15.8%</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Q3</w:t>
            </w:r>
          </w:p>
        </w:tc>
        <w:tc>
          <w:tcPr>
            <w:tcW w:w="780" w:type="dxa"/>
            <w:vAlign w:val="bottom"/>
          </w:tcPr>
          <w:p>
            <w:pPr>
              <w:spacing w:after="0"/>
              <w:rPr>
                <w:sz w:val="24"/>
                <w:szCs w:val="24"/>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22.6%</w:t>
            </w:r>
          </w:p>
        </w:tc>
        <w:tc>
          <w:tcPr>
            <w:tcW w:w="78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w:t>
            </w:r>
          </w:p>
        </w:tc>
        <w:tc>
          <w:tcPr>
            <w:tcW w:w="3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Q3</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20.8%</w:t>
            </w:r>
          </w:p>
        </w:tc>
        <w:tc>
          <w:tcPr>
            <w:tcW w:w="78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16.5%</w:t>
            </w:r>
          </w:p>
        </w:tc>
        <w:tc>
          <w:tcPr>
            <w:tcW w:w="3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15.4%</w:t>
            </w:r>
          </w:p>
        </w:tc>
      </w:tr>
      <w:tr>
        <w:trPr>
          <w:trHeight w:val="537"/>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1,137.0</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168.4</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500.0</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1,028.2</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179.2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500.8</w:t>
            </w:r>
          </w:p>
        </w:tc>
      </w:tr>
      <w:tr>
        <w:trPr>
          <w:trHeight w:val="716"/>
        </w:trPr>
        <w:tc>
          <w:tcPr>
            <w:tcW w:w="420" w:type="dxa"/>
            <w:vAlign w:val="bottom"/>
          </w:tcPr>
          <w:p>
            <w:pPr>
              <w:spacing w:after="0"/>
              <w:rPr>
                <w:sz w:val="20"/>
                <w:szCs w:val="20"/>
                <w:color w:val="auto"/>
              </w:rPr>
            </w:pPr>
            <w:r>
              <w:rPr>
                <w:rFonts w:ascii="Courier New" w:cs="Courier New" w:eastAsia="Courier New" w:hAnsi="Courier New"/>
                <w:sz w:val="16"/>
                <w:szCs w:val="16"/>
                <w:color w:val="auto"/>
              </w:rPr>
              <w:t>nm</w:t>
            </w:r>
          </w:p>
        </w:tc>
        <w:tc>
          <w:tcPr>
            <w:tcW w:w="2460" w:type="dxa"/>
            <w:vAlign w:val="bottom"/>
          </w:tcPr>
          <w:p>
            <w:pPr>
              <w:ind w:left="420"/>
              <w:spacing w:after="0"/>
              <w:rPr>
                <w:sz w:val="20"/>
                <w:szCs w:val="20"/>
                <w:color w:val="auto"/>
              </w:rPr>
            </w:pPr>
            <w:r>
              <w:rPr>
                <w:rFonts w:ascii="Courier New" w:cs="Courier New" w:eastAsia="Courier New" w:hAnsi="Courier New"/>
                <w:sz w:val="16"/>
                <w:szCs w:val="16"/>
                <w:color w:val="auto"/>
              </w:rPr>
              <w:t>Not meaningful.</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362" w:lineRule="exact"/>
        <w:rPr>
          <w:sz w:val="20"/>
          <w:szCs w:val="20"/>
          <w:color w:val="auto"/>
        </w:rPr>
      </w:pPr>
    </w:p>
    <w:p>
      <w:pPr>
        <w:ind w:left="840" w:right="840"/>
        <w:spacing w:after="0" w:line="272" w:lineRule="auto"/>
        <w:rPr>
          <w:sz w:val="20"/>
          <w:szCs w:val="20"/>
          <w:color w:val="auto"/>
        </w:rPr>
      </w:pPr>
      <w:r>
        <w:rPr>
          <w:rFonts w:ascii="Courier New" w:cs="Courier New" w:eastAsia="Courier New" w:hAnsi="Courier New"/>
          <w:sz w:val="14"/>
          <w:szCs w:val="14"/>
          <w:color w:val="auto"/>
        </w:rPr>
        <w:t>Operating income reported for the Company's three operating segments represents earnings before amortization of intangible assets, interest and taxes, since this is the measure of profitability used by management. Accordingly, corporate operating loss for the nine month periods ended July 1, 2000 and July 3, 1999 includes amortization of certain intangible assets, corporate general and administrative expenses, and certain "other" income/expense not allocated to the business segments. In the first quarter of fiscal 2000, management changed the measure of profitability for the business segments as compared to the method used at September 30, 1999, to include the allocation of certain costs to the business segments which historically were included in corporate costs. Such costs include research and development, administrative and certain "other" income/expense items which could be directly attributable to a business segment. The results shown above for the nine months of fiscal 1999 have been adjusted to conform to the fiscal 2000 basis of presentation.</w:t>
      </w:r>
    </w:p>
    <w:p>
      <w:pPr>
        <w:spacing w:after="0" w:line="345" w:lineRule="exact"/>
        <w:rPr>
          <w:sz w:val="20"/>
          <w:szCs w:val="20"/>
          <w:color w:val="auto"/>
        </w:rPr>
      </w:pPr>
    </w:p>
    <w:p>
      <w:pPr>
        <w:ind w:left="840" w:right="840"/>
        <w:spacing w:after="0" w:line="279" w:lineRule="auto"/>
        <w:rPr>
          <w:sz w:val="20"/>
          <w:szCs w:val="20"/>
          <w:color w:val="auto"/>
        </w:rPr>
      </w:pPr>
      <w:r>
        <w:rPr>
          <w:rFonts w:ascii="Courier New" w:cs="Courier New" w:eastAsia="Courier New" w:hAnsi="Courier New"/>
          <w:sz w:val="14"/>
          <w:szCs w:val="14"/>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10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4"/>
              </w:rPr>
              <w:t>CORPORATE</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10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1,510.6</w:t>
            </w:r>
          </w:p>
        </w:tc>
      </w:tr>
      <w:tr>
        <w:trPr>
          <w:trHeight w:val="179"/>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1,402.2</w:t>
            </w:r>
          </w:p>
        </w:tc>
      </w:tr>
      <w:tr>
        <w:trPr>
          <w:trHeight w:val="358"/>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598.3</w:t>
            </w:r>
          </w:p>
        </w:tc>
      </w:tr>
      <w:tr>
        <w:trPr>
          <w:trHeight w:val="179"/>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586.2</w:t>
            </w:r>
          </w:p>
        </w:tc>
      </w:tr>
      <w:tr>
        <w:trPr>
          <w:trHeight w:val="537"/>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(55.3)</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212.4</w:t>
            </w:r>
          </w:p>
        </w:tc>
      </w:tr>
      <w:tr>
        <w:trPr>
          <w:trHeight w:val="179"/>
        </w:trPr>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(52.3)</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205.3</w:t>
            </w:r>
          </w:p>
        </w:tc>
      </w:tr>
      <w:tr>
        <w:trPr>
          <w:trHeight w:val="358"/>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(15.3)</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108.0</w:t>
            </w:r>
          </w:p>
        </w:tc>
      </w:tr>
      <w:tr>
        <w:trPr>
          <w:trHeight w:val="179"/>
        </w:trPr>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(18.5)</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95.1</w:t>
            </w:r>
          </w:p>
        </w:tc>
      </w:tr>
      <w:tr>
        <w:trPr>
          <w:trHeight w:val="716"/>
        </w:trPr>
        <w:tc>
          <w:tcPr>
            <w:tcW w:w="100" w:type="dxa"/>
            <w:vAlign w:val="bottom"/>
          </w:tcPr>
          <w:p>
            <w:pPr>
              <w:spacing w:after="0"/>
              <w:rPr>
                <w:sz w:val="24"/>
                <w:szCs w:val="24"/>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79"/>
        </w:trPr>
        <w:tc>
          <w:tcPr>
            <w:tcW w:w="100" w:type="dxa"/>
            <w:vAlign w:val="bottom"/>
          </w:tcPr>
          <w:p>
            <w:pPr>
              <w:spacing w:after="0"/>
              <w:rPr>
                <w:sz w:val="15"/>
                <w:szCs w:val="15"/>
                <w:color w:val="auto"/>
              </w:rPr>
            </w:pPr>
          </w:p>
        </w:tc>
        <w:tc>
          <w:tcPr>
            <w:tcW w:w="12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w:t>
            </w:r>
          </w:p>
        </w:tc>
      </w:tr>
      <w:tr>
        <w:trPr>
          <w:trHeight w:val="358"/>
        </w:trPr>
        <w:tc>
          <w:tcPr>
            <w:tcW w:w="100" w:type="dxa"/>
            <w:vAlign w:val="bottom"/>
          </w:tcPr>
          <w:p>
            <w:pPr>
              <w:spacing w:after="0"/>
              <w:rPr>
                <w:sz w:val="24"/>
                <w:szCs w:val="24"/>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79"/>
        </w:trPr>
        <w:tc>
          <w:tcPr>
            <w:tcW w:w="100" w:type="dxa"/>
            <w:vAlign w:val="bottom"/>
          </w:tcPr>
          <w:p>
            <w:pPr>
              <w:spacing w:after="0"/>
              <w:rPr>
                <w:sz w:val="15"/>
                <w:szCs w:val="15"/>
                <w:color w:val="auto"/>
              </w:rPr>
            </w:pPr>
          </w:p>
        </w:tc>
        <w:tc>
          <w:tcPr>
            <w:tcW w:w="12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w:t>
            </w:r>
          </w:p>
        </w:tc>
      </w:tr>
      <w:tr>
        <w:trPr>
          <w:trHeight w:val="716"/>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89.7</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1,895.1</w:t>
            </w:r>
          </w:p>
        </w:tc>
      </w:tr>
      <w:tr>
        <w:trPr>
          <w:trHeight w:val="179"/>
        </w:trPr>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63.6</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1,771.8</w:t>
            </w:r>
          </w:p>
        </w:tc>
      </w:tr>
    </w:tbl>
    <w:p>
      <w:pPr>
        <w:spacing w:after="0" w:line="5055" w:lineRule="exact"/>
        <w:rPr>
          <w:sz w:val="20"/>
          <w:szCs w:val="20"/>
          <w:color w:val="auto"/>
        </w:rPr>
      </w:pPr>
    </w:p>
    <w:p>
      <w:pPr>
        <w:sectPr>
          <w:pgSz w:w="11900" w:h="16838" w:orient="portrait"/>
          <w:cols w:equalWidth="0" w:num="2">
            <w:col w:w="8280" w:space="360"/>
            <w:col w:w="2620"/>
          </w:cols>
          <w:pgMar w:left="240" w:top="290" w:right="3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260"/>
          </w:cols>
          <w:pgMar w:left="240" w:top="290" w:right="399"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19</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FINANCIAL INFORMATION FOR SUBSIDIARY GUARANTORS AND NON-GUARANTORS</w:t>
      </w:r>
    </w:p>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In January 1999, the Company issued $330 million of 8 5/8% Senior Subordinated Notes due 2009 to qualified institutional buyers under the provisions of Rule 144A of the Securities Act of 1933. The Company is in the process of registering an exchange offer for these Notes under the Securities Act.</w:t>
      </w:r>
    </w:p>
    <w:p>
      <w:pPr>
        <w:spacing w:after="0" w:line="186" w:lineRule="exact"/>
        <w:rPr>
          <w:sz w:val="20"/>
          <w:szCs w:val="20"/>
          <w:color w:val="auto"/>
        </w:rPr>
      </w:pPr>
    </w:p>
    <w:p>
      <w:pPr>
        <w:ind w:left="840" w:right="2779"/>
        <w:spacing w:after="0" w:line="273" w:lineRule="auto"/>
        <w:rPr>
          <w:sz w:val="20"/>
          <w:szCs w:val="20"/>
          <w:color w:val="auto"/>
        </w:rPr>
      </w:pPr>
      <w:r>
        <w:rPr>
          <w:rFonts w:ascii="Courier New" w:cs="Courier New" w:eastAsia="Courier New" w:hAnsi="Courier New"/>
          <w:sz w:val="14"/>
          <w:szCs w:val="14"/>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5"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following unaudited information presents consolidating statements of operations, statements of cash flows and balance sheets for the three and nine-month periods ended July 1, 2000 and July 3, 1999, and statements of cash flows for the nine-month periods ending July 1, 2000 and July 3, 1999.</w:t>
      </w:r>
    </w:p>
    <w:p>
      <w:pPr>
        <w:spacing w:after="0" w:line="186"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Separate 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20</w:t>
      </w:r>
    </w:p>
    <w:tbl>
      <w:tblPr>
        <w:tblLayout w:type="fixed"/>
        <w:tblInd w:w="0" w:type="dxa"/>
        <w:tblCellMar>
          <w:top w:w="0" w:type="dxa"/>
          <w:left w:w="0" w:type="dxa"/>
          <w:bottom w:w="0" w:type="dxa"/>
          <w:right w:w="0" w:type="dxa"/>
        </w:tblCellMar>
      </w:tblP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STATEMENT OF OPERATIONS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37"/>
        </w:trPr>
        <w:tc>
          <w:tcPr>
            <w:tcW w:w="5020" w:type="dxa"/>
            <w:vAlign w:val="bottom"/>
          </w:tcPr>
          <w:p>
            <w:pPr>
              <w:spacing w:after="0"/>
              <w:rPr>
                <w:sz w:val="20"/>
                <w:szCs w:val="20"/>
                <w:color w:val="auto"/>
              </w:rPr>
            </w:pPr>
            <w:r>
              <w:rPr>
                <w:rFonts w:ascii="Courier New" w:cs="Courier New" w:eastAsia="Courier New" w:hAnsi="Courier New"/>
                <w:sz w:val="16"/>
                <w:szCs w:val="16"/>
                <w:color w:val="auto"/>
                <w:w w:val="98"/>
              </w:rPr>
              <w:t>FOR THE THREE MONTHS ENDED JULY 1, 2000 (IN MILLIONS)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 AND RESTATED)</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16"/>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24"/>
                <w:szCs w:val="24"/>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NON-</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2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ELIMINATIONS</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292.3</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182.3</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123.7</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598.3</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186.0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105.9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64.2</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356.1</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106.3</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76.4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59.5</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242.2</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 agency</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agreement......................................</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15.4</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16.9</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commission.................................</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14.9</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64.9</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Selling, general and administrative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45.6</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76.8</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Amortization of goodwill and other intangibles.</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Equity income .................................</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Other expense (income), net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0.7</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0.6</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81.4</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44.3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17.5</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108.0</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Interest expense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22.1</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24.8</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 (loss) before income taxes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59.3</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47.9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11.2</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83.2</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30.4</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52.8</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28.5</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6.7</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52.8</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5020" w:type="dxa"/>
            <w:vAlign w:val="bottom"/>
          </w:tcPr>
          <w:p>
            <w:pPr>
              <w:spacing w:after="0"/>
              <w:rPr>
                <w:sz w:val="20"/>
                <w:szCs w:val="20"/>
                <w:color w:val="auto"/>
              </w:rPr>
            </w:pPr>
            <w:r>
              <w:rPr>
                <w:rFonts w:ascii="Courier New" w:cs="Courier New" w:eastAsia="Courier New" w:hAnsi="Courier New"/>
                <w:sz w:val="16"/>
                <w:szCs w:val="16"/>
                <w:color w:val="auto"/>
              </w:rPr>
              <w:t>FOR THE NINE MONTHS ENDED JULY 1, 2000 (IN MILLIONS)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 AND RESTATED)</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16"/>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24"/>
                <w:szCs w:val="24"/>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NON-</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2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ELIMINATIONS</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50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Net sales..........................................</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810.8</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374.0</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325.8</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$ 1,510.6</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490.5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213.5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177.4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881.4</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320.3</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160.5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148.4</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629.2</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26.1</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7.7</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Net commission.................................</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0.7</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18.4</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Advertising and promotion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99.9</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45.0</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41.9</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186.8</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Selling, general and administrative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136.0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71.7</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229.8</w:t>
            </w:r>
          </w:p>
        </w:tc>
      </w:tr>
      <w:tr>
        <w:trPr>
          <w:trHeight w:val="179"/>
        </w:trPr>
        <w:tc>
          <w:tcPr>
            <w:tcW w:w="502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Amortization of goodwill and other</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intangibles..................................</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19.4</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Equity income..................................</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2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(15.2)</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Other expense (income), net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(0.8)</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161.7</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84.5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24.4</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212.4</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Interest expense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63.3</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74.4</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98.4</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91.8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6.0</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138.0</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2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37.2</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52.6</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85.4</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54.6</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85.4</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520"/>
          </w:cols>
          <w:pgMar w:left="240" w:top="290" w:right="1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520"/>
          </w:cols>
          <w:pgMar w:left="240" w:top="290" w:right="139" w:bottom="1149"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21</w:t>
      </w:r>
    </w:p>
    <w:p>
      <w:pPr>
        <w:spacing w:after="0" w:line="236" w:lineRule="auto"/>
        <w:rPr>
          <w:sz w:val="20"/>
          <w:szCs w:val="20"/>
          <w:color w:val="auto"/>
        </w:rPr>
      </w:pPr>
      <w:r>
        <w:rPr>
          <w:rFonts w:ascii="Courier New" w:cs="Courier New" w:eastAsia="Courier New" w:hAnsi="Courier New"/>
          <w:sz w:val="16"/>
          <w:szCs w:val="16"/>
          <w:color w:val="auto"/>
        </w:rPr>
        <w:t>STATEMENT OF CASH FLOWS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NINE MONTH PERIOD ENDED JULY 1, 2000 (IN MILLIONS)</w:t>
      </w:r>
    </w:p>
    <w:p>
      <w:pPr>
        <w:spacing w:after="0" w:line="236" w:lineRule="auto"/>
        <w:rPr>
          <w:sz w:val="20"/>
          <w:szCs w:val="20"/>
          <w:color w:val="auto"/>
        </w:rPr>
      </w:pPr>
      <w:r>
        <w:rPr>
          <w:rFonts w:ascii="Courier New" w:cs="Courier New" w:eastAsia="Courier New" w:hAnsi="Courier New"/>
          <w:sz w:val="16"/>
          <w:szCs w:val="16"/>
          <w:color w:val="auto"/>
        </w:rPr>
        <w:t>(UNAUDITED AND RESTATED)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NON-</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GUARANTORS</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ELIMINATIONS</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4920" w:type="dxa"/>
            <w:vAlign w:val="bottom"/>
          </w:tcPr>
          <w:p>
            <w:pPr>
              <w:jc w:val="right"/>
              <w:ind w:right="1502"/>
              <w:spacing w:after="0"/>
              <w:rPr>
                <w:sz w:val="20"/>
                <w:szCs w:val="20"/>
                <w:color w:val="auto"/>
              </w:rPr>
            </w:pPr>
            <w:r>
              <w:rPr>
                <w:rFonts w:ascii="Courier New" w:cs="Courier New" w:eastAsia="Courier New" w:hAnsi="Courier New"/>
                <w:sz w:val="16"/>
                <w:szCs w:val="16"/>
                <w:color w:val="auto"/>
                <w:w w:val="96"/>
              </w:rPr>
              <w:t>CASH FLOWS FROM OPERATING ACTIVITIES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income.....................................</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85.4</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54.6</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85.4</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Adjustments to reconcile net income</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 net cash used in operating activities: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24.2</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48.9</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Loss on sale of property.......................</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Equity income .................................</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 in certain components of</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working capital..............................</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88.5</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33.7</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liabilities and other adjustments............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(7.5)</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cash provided by operating activities..........</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135.8</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20.4</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164.5</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w w:val="96"/>
              </w:rPr>
              <w:t>CASH FLOWS FROM INVESTING ACTIVITIES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Investment in property, plant and equipment....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(28.2)</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(37.2)</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Investments in acquired businesses, net of</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cash acquired...............................</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net.....................................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cash used in investing activities..............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(28.2)</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(7.8)</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(38.9)</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w w:val="96"/>
              </w:rPr>
              <w:t>CASH FLOWS FROM FINANCING ACTIVITIES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borrowings and repayments under</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revolving and bank lines of credit...........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(34.8)</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(24.1)</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(16.9)</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Financing and issuance fees....................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(23.9)</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(23.9)</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Intracompany financing.........................</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9.1</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(10.2)</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net.....................................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(0.8)</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(0.8)</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cash used in financing activities..............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(59.3)</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(7.5)</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(74.6)</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0.0</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(0.8)</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increase in cash...............................</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47.2</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49.1</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18.7</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55.7</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0.7</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23.0</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79.4</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1520"/>
          </w:cols>
          <w:pgMar w:left="240" w:top="290" w:right="139"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22</w:t>
      </w:r>
    </w:p>
    <w:tbl>
      <w:tblPr>
        <w:tblLayout w:type="fixed"/>
        <w:tblInd w:w="0" w:type="dxa"/>
        <w:tblCellMar>
          <w:top w:w="0" w:type="dxa"/>
          <w:left w:w="0" w:type="dxa"/>
          <w:bottom w:w="0" w:type="dxa"/>
          <w:right w:w="0" w:type="dxa"/>
        </w:tblCellMar>
      </w:tblP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AS OF JULY 1, 2000 (IN MILLIONS)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 AND RESTATED)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GUARANTORS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55.7</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23.0</w:t>
            </w:r>
          </w:p>
        </w:tc>
        <w:tc>
          <w:tcPr>
            <w:tcW w:w="1300" w:type="dxa"/>
            <w:vAlign w:val="bottom"/>
          </w:tcPr>
          <w:p>
            <w:pPr>
              <w:spacing w:after="0"/>
              <w:rPr>
                <w:sz w:val="15"/>
                <w:szCs w:val="15"/>
                <w:color w:val="auto"/>
              </w:rPr>
            </w:pP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79.4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164.1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97.1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113.0</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374.2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Inventories,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158.8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72.4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62.9</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294.1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0.5</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21.2</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21.6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405.6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172.2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215.9</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793.7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Property, plant and equipment,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171.8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38.7</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266.6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235.1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267.1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256.7</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758.9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54.3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13.2</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75.9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Investment in affiliates...........................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842.4</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(842.4)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380.1</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(380.1)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assets.................................</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1,709.2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883.9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524.5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(1,222.5)</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1,895.1</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SHAREHOLDERS' EQUITY</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Short-term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15.5</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50.2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31.0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72.3</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195.5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111.6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47.1</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258.0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231.8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137.0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134.9</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503.7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Long-term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556.5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274.5</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836.0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19.4</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60.8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376.1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(380.1)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1,199.6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148.2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432.8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(380.1)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1,400.5</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 from parent.........................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488.8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(548.6)</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Common shares, no par value per share,</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 stated value per share..................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388.1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388.1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246.9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(293.8)</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209.1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Accumulated other comprehensive expense........</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(15.0)</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Treasury stock, 3.4 shares at cost.............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(83.7)</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(83.7)</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509.6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735.7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91.7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(842.4)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494.6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Total liabilities and shareholders' equity.........</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1,710.2</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883.9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524.5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(1,222.5)</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1,895.1</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1520"/>
          </w:cols>
          <w:pgMar w:left="240" w:top="290" w:right="1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4920" w:type="dxa"/>
            <w:vAlign w:val="bottom"/>
          </w:tcPr>
          <w:p>
            <w:pPr>
              <w:jc w:val="right"/>
              <w:ind w:right="4382"/>
              <w:spacing w:after="0"/>
              <w:rPr>
                <w:sz w:val="20"/>
                <w:szCs w:val="20"/>
                <w:color w:val="auto"/>
              </w:rPr>
            </w:pPr>
            <w:r>
              <w:rPr>
                <w:rFonts w:ascii="Courier New" w:cs="Courier New" w:eastAsia="Courier New" w:hAnsi="Courier New"/>
                <w:sz w:val="16"/>
                <w:szCs w:val="16"/>
                <w:color w:val="auto"/>
              </w:rPr>
              <w:t>23</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92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FOR THE THREE MONTHS ENDED JULY 3, 1999 (IN MILLIONS)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NON-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8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296.8</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160.6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128.8</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586.2</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190.9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349.8</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105.9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60.1</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236.4</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 agency</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9.9</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commission.................................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9.5</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63.8</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23.1</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80.8</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Amortization of goodwill and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intangibles............................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Equity income..................................</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(income) expenses, net...................</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71.8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42.1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95.1</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21.0</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24.6</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70.5</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28.9</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41.6</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41.6</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920" w:type="dxa"/>
            <w:vAlign w:val="bottom"/>
          </w:tcPr>
          <w:p>
            <w:pPr>
              <w:spacing w:after="0"/>
              <w:rPr>
                <w:sz w:val="20"/>
                <w:szCs w:val="20"/>
                <w:color w:val="auto"/>
              </w:rPr>
            </w:pPr>
            <w:r>
              <w:rPr>
                <w:rFonts w:ascii="Courier New" w:cs="Courier New" w:eastAsia="Courier New" w:hAnsi="Courier New"/>
                <w:sz w:val="16"/>
                <w:szCs w:val="16"/>
                <w:color w:val="auto"/>
                <w:w w:val="98"/>
              </w:rPr>
              <w:t>FOR THE NINE MONTHS ENDED JULY 3, 1999 (IN MILLIONS)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NON-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537"/>
        </w:trPr>
        <w:tc>
          <w:tcPr>
            <w:tcW w:w="49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Net sales..........................................</w:t>
            </w:r>
          </w:p>
        </w:tc>
        <w:tc>
          <w:tcPr>
            <w:tcW w:w="38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680.6</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378.4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343.2</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1,402.2</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416.7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229.5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185.9</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832.1</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263.9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148.9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157.3</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570.1</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 agency</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27.5</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commission.................................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26.3</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90.3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166.6</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118.0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209.6</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Amortization of goodwill and other</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intangibles..................................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7.3</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17.3</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Restructuring and other charges................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Equity income..................................</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(income) expenses, net...................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160.1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34.0</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205.3</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52.9</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59.0</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107.2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16.8</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146.3</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32.3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before extraordinary item............</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86.3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86.3</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on early</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extinguishment of debt, net of income tax......</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5.8</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80.5</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520"/>
          </w:cols>
          <w:pgMar w:left="240" w:top="290" w:right="139" w:bottom="433" w:gutter="0" w:footer="0" w:header="0"/>
        </w:sect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20"/>
          </w:cols>
          <w:pgMar w:left="240" w:top="290" w:right="139" w:bottom="433"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24</w:t>
      </w:r>
    </w:p>
    <w:p>
      <w:pPr>
        <w:spacing w:after="0" w:line="236" w:lineRule="auto"/>
        <w:rPr>
          <w:sz w:val="20"/>
          <w:szCs w:val="20"/>
          <w:color w:val="auto"/>
        </w:rPr>
      </w:pPr>
      <w:r>
        <w:rPr>
          <w:rFonts w:ascii="Courier New" w:cs="Courier New" w:eastAsia="Courier New" w:hAnsi="Courier New"/>
          <w:sz w:val="16"/>
          <w:szCs w:val="16"/>
          <w:color w:val="auto"/>
        </w:rPr>
        <w:t>STATEMENT OF CASH FLOWS</w:t>
      </w:r>
    </w:p>
    <w:p>
      <w:pPr>
        <w:spacing w:after="0" w:line="237" w:lineRule="auto"/>
        <w:rPr>
          <w:sz w:val="20"/>
          <w:szCs w:val="20"/>
          <w:color w:val="auto"/>
        </w:rPr>
      </w:pPr>
      <w:r>
        <w:rPr>
          <w:rFonts w:ascii="Courier New" w:cs="Courier New" w:eastAsia="Courier New" w:hAnsi="Courier New"/>
          <w:sz w:val="16"/>
          <w:szCs w:val="16"/>
          <w:color w:val="auto"/>
        </w:rPr>
        <w:t>FOR THE NINE MONTH PERIOD ENDED JULY 3, 1999 (IN MILLIONS)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GUARANTORS</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537"/>
        </w:trPr>
        <w:tc>
          <w:tcPr>
            <w:tcW w:w="4840" w:type="dxa"/>
            <w:vAlign w:val="bottom"/>
          </w:tcPr>
          <w:p>
            <w:pPr>
              <w:jc w:val="right"/>
              <w:ind w:right="1422"/>
              <w:spacing w:after="0"/>
              <w:rPr>
                <w:sz w:val="20"/>
                <w:szCs w:val="20"/>
                <w:color w:val="auto"/>
              </w:rPr>
            </w:pPr>
            <w:r>
              <w:rPr>
                <w:rFonts w:ascii="Courier New" w:cs="Courier New" w:eastAsia="Courier New" w:hAnsi="Courier New"/>
                <w:sz w:val="16"/>
                <w:szCs w:val="16"/>
                <w:color w:val="auto"/>
                <w:w w:val="96"/>
              </w:rPr>
              <w:t>CASH FLOWS FROM OPERATING ACTIVITIES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80.5</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Adjustments to reconcile net income</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to net cash used in operating activities: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Depreciation and amortization..................</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12.5</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42.8</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Loss on sale of property.......................</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Equity income..................................</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 in certain components of</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working capital..............................</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56.3</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(64.7)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liabilities and other adjustments............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(20.2)</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used in operating activities..............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114.1</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(36.2)</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90.5</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1422"/>
              <w:spacing w:after="0" w:line="179" w:lineRule="exact"/>
              <w:rPr>
                <w:sz w:val="20"/>
                <w:szCs w:val="20"/>
                <w:color w:val="auto"/>
              </w:rPr>
            </w:pPr>
            <w:r>
              <w:rPr>
                <w:rFonts w:ascii="Courier New" w:cs="Courier New" w:eastAsia="Courier New" w:hAnsi="Courier New"/>
                <w:sz w:val="16"/>
                <w:szCs w:val="16"/>
                <w:color w:val="auto"/>
                <w:w w:val="96"/>
              </w:rPr>
              <w:t>CASH FLOWS FROM INVESTING ACTIVITIES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 in property, plant and equipment....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(31.7)</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(39.4)</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Investments in acquired businesses,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of cash acquired.........................</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(341.8)</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(188.1)</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(533.4)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net.....................................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(0.9)</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used in investing activities..............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(379.2)</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(193.4)</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(577.8)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1422"/>
              <w:spacing w:after="0" w:line="179" w:lineRule="exact"/>
              <w:rPr>
                <w:sz w:val="20"/>
                <w:szCs w:val="20"/>
                <w:color w:val="auto"/>
              </w:rPr>
            </w:pPr>
            <w:r>
              <w:rPr>
                <w:rFonts w:ascii="Courier New" w:cs="Courier New" w:eastAsia="Courier New" w:hAnsi="Courier New"/>
                <w:sz w:val="16"/>
                <w:szCs w:val="16"/>
                <w:color w:val="auto"/>
                <w:w w:val="96"/>
              </w:rPr>
              <w:t>CASH FLOWS FROM FINANCING ACTIVITIES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borrowings under revolving and bank</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lines of credit..............................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(148.1)</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202.3</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52.5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Gross borrowings under term loans..............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525.0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525.0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Issuance of 8 5/8% Senior</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Subordinated Notes...........................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330.0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330.0</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Extinguishment of 9 7/8% Senior</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Subordinated Notes...........................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(104.1)</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Repayment of outstanding balance on</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previous credit facility.....................</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(241.0)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(241.0)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Settlement of interest rate locks..............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Financing and issuance fees....................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(9.8)</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Intracompany financing.........................</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74.7</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provided by financing activities..........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386.0</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236.1</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511.9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increase (decrease) in cash....................</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18.9</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7.8</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23.8</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13.8</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34.2</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520"/>
          </w:cols>
          <w:pgMar w:left="240" w:top="290" w:right="1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4840" w:type="dxa"/>
            <w:vAlign w:val="bottom"/>
          </w:tcPr>
          <w:p>
            <w:pPr>
              <w:jc w:val="right"/>
              <w:ind w:right="4302"/>
              <w:spacing w:after="0"/>
              <w:rPr>
                <w:sz w:val="20"/>
                <w:szCs w:val="20"/>
                <w:color w:val="auto"/>
              </w:rPr>
            </w:pPr>
            <w:r>
              <w:rPr>
                <w:rFonts w:ascii="Courier New" w:cs="Courier New" w:eastAsia="Courier New" w:hAnsi="Courier New"/>
                <w:sz w:val="16"/>
                <w:szCs w:val="16"/>
                <w:color w:val="auto"/>
              </w:rPr>
              <w:t>25</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AS OF JULY 3, 1999 (IN MILLIONS)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GUARANTORS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CONSOLIDATED</w:t>
            </w: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23.8</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13.8</w:t>
            </w:r>
          </w:p>
        </w:tc>
        <w:tc>
          <w:tcPr>
            <w:tcW w:w="1300" w:type="dxa"/>
            <w:vAlign w:val="bottom"/>
          </w:tcPr>
          <w:p>
            <w:pPr>
              <w:spacing w:after="0"/>
              <w:rPr>
                <w:sz w:val="15"/>
                <w:szCs w:val="15"/>
                <w:color w:val="auto"/>
              </w:rPr>
            </w:pP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111.6</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319.2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Inventories,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159.8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55.0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66.3</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281.1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22.1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15.1</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36.2</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422.6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63.4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206.8</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692.8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Property, plant and equipment,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146.1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35.8</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241.3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227.3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270.9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279.7</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777.9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assets  .....................................</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59.8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Investment in affiliates...........................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709.1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(709.1)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assets................................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305.1</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1,560.9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701.2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523.9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(1,014.2)</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1,771.8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Short-term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19.4</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41.2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75.8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37.6</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127.2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99.3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76.2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47.1</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222.6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191.1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95.8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104.1</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391.0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Long-term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564.0</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294.5</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855.6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59.3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297.2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1,084.0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427.4</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1,305.9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 from parent.........................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413.6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57.4</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(471.0)</w:t>
            </w:r>
          </w:p>
        </w:tc>
        <w:tc>
          <w:tcPr>
            <w:tcW w:w="2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Common shares, no par value per</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share, $.01 stated value per share........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209.2</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Class A Convertible Preferred Stock, no</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par value.................................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176.7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188.0</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176.7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149.9</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50.1</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149.9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Accumulated other comprehensive expense........</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(11.0)</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Treasury stock, 2.8 shares at cost.............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(58.9)</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476.9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601.6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96.5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(709.1)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465.9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Total liabilities and shareholders' equity.........</w:t>
            </w:r>
          </w:p>
        </w:tc>
        <w:tc>
          <w:tcPr>
            <w:tcW w:w="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1,560.9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701.2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523.9</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(1,014.2)</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1,771.8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1520"/>
          </w:cols>
          <w:pgMar w:left="240" w:top="291" w:right="139"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26</w:t>
      </w:r>
    </w:p>
    <w:p>
      <w:pPr>
        <w:spacing w:after="0" w:line="4" w:lineRule="exact"/>
        <w:rPr>
          <w:sz w:val="20"/>
          <w:szCs w:val="20"/>
          <w:color w:val="auto"/>
        </w:rPr>
      </w:pPr>
    </w:p>
    <w:p>
      <w:pPr>
        <w:jc w:val="center"/>
        <w:ind w:left="320" w:right="280"/>
        <w:spacing w:after="0" w:line="235"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and professional horticulture businesses in the United States and Europe. Our operations are divided into three business segments: North American Consumer, Professional and International. The North American Consumer segment includes the Lawns, Gardens, Growing Media, Ortho and Canadian business groups.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As a leading consumer branded lawn and garden company, we focus on our consumer marketing efforts, including advertising and consumer research, to create demand to pull product through the retail distribution channels. During the first nine months of fiscal 2000, we spent $186.8 million on advertising and promotional activities, which is a significant increase over fiscal 1999 spending levels. We have applied this consumer marketing focus over the past several years, and we believe that Scotts continues to receive a significant return on these increased marketing expenditures. For example, sales in our domestic consumer businesses increased 14.9% for the first nine months of fiscal 2000 compared to the same period in fiscal 1999.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188"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recent acquisitions diversify both our product line risk and geographic risk to weather conditions.</w:t>
      </w:r>
    </w:p>
    <w:p>
      <w:pPr>
        <w:spacing w:after="0" w:line="162"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On September 30, 1998, Scotts entered into a long-term marketing agreement with Monsanto for its consumer Roundup(R) herbicide products. Under the marketing agreement, Scotts and Monsanto will jointly develop global consumer and trade 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$355.5 million. These transactions with Monsanto will further our strategic objective of significantly enhancing our position in the pesticides segment of the consumer lawn and garden category. These businesses make up the Ortho business group within the North American Consumer segment.</w:t>
      </w:r>
    </w:p>
    <w:p>
      <w:pPr>
        <w:spacing w:after="0" w:line="34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We believe that these transactions provide us with several strategic benefits including immediate market penetration into new categories, geographic expansion, brand leveraging opportunities, and the achievement of substantial cost savings. With the Ortho acquisition, we are currently a leader by market share in all five segments of the U.S. consumer lawn and garden category: lawn fertilizer, garden fertilizer, growing media, grass seeds and pesticides. We believe that we are now positioned as the only national company with a complete offering of consumer lawn and garden products.</w:t>
      </w:r>
    </w:p>
    <w:p>
      <w:pPr>
        <w:spacing w:after="0" w:line="338"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addition of strong pesticide brands completes our product portfolio of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selling, distribution, purchasing, research and development and corporate overhead costs. We have redirected, and expect to continue to redirect, a portion of these cost savings into increased consumer marketing spending in support of the Ortho(R) brand.</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Over the past few years, we have made several other acquisitions to strengthen our global market position in the lawn and garden category. In October 1998, we purchased Rhone-Poulenc Jardin, a leading European lawn and garden business, for approximately $147.5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ectPr>
          <w:pgSz w:w="11900" w:h="16838" w:orient="portrait"/>
          <w:cols w:equalWidth="0" w:num="1">
            <w:col w:w="10219"/>
          </w:cols>
          <w:pgMar w:left="240" w:top="290" w:right="1440" w:bottom="1440" w:gutter="0" w:footer="0" w:header="0"/>
        </w:sectPr>
      </w:pPr>
    </w:p>
    <w:p>
      <w:pPr>
        <w:spacing w:after="0" w:line="3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19"/>
          </w:cols>
          <w:pgMar w:left="240" w:top="290"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In December 1998, we acquired Asef Holding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we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34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1999 includes additional information about the Company, our operations, and our financial position, and should be read in conjunction with this Quarterly Report on Form 10-Q.</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following table sets forth sales by business segment for the three and nine months ended July 1, 2000 and July 3,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260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7"/>
              </w:rPr>
              <w:t>FOR THE THREE MONTHS ENDED</w:t>
            </w:r>
          </w:p>
        </w:tc>
        <w:tc>
          <w:tcPr>
            <w:tcW w:w="140" w:type="dxa"/>
            <w:vAlign w:val="bottom"/>
          </w:tcPr>
          <w:p>
            <w:pPr>
              <w:spacing w:after="0"/>
              <w:rPr>
                <w:sz w:val="15"/>
                <w:szCs w:val="15"/>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FOR THE NINE MONTHS ENDED</w:t>
            </w:r>
          </w:p>
        </w:tc>
      </w:tr>
      <w:tr>
        <w:trPr>
          <w:trHeight w:val="179"/>
        </w:trPr>
        <w:tc>
          <w:tcPr>
            <w:tcW w:w="460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3"/>
              </w:rPr>
              <w: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JULY 1,</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JULY 3,</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JULY 1,</w:t>
            </w:r>
          </w:p>
        </w:tc>
        <w:tc>
          <w:tcPr>
            <w:tcW w:w="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15"/>
                <w:szCs w:val="15"/>
                <w:color w:val="auto"/>
              </w:rPr>
            </w:pP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jc w:val="right"/>
              <w:ind w:right="2302"/>
              <w:spacing w:after="0"/>
              <w:rPr>
                <w:sz w:val="20"/>
                <w:szCs w:val="20"/>
                <w:color w:val="auto"/>
              </w:rPr>
            </w:pPr>
            <w:r>
              <w:rPr>
                <w:rFonts w:ascii="Courier New" w:cs="Courier New" w:eastAsia="Courier New" w:hAnsi="Courier New"/>
                <w:sz w:val="16"/>
                <w:szCs w:val="16"/>
                <w:color w:val="auto"/>
                <w:w w:val="95"/>
              </w:rPr>
              <w:t>North American Consumer:</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Lawns...........................................</w:t>
            </w:r>
          </w:p>
        </w:tc>
        <w:tc>
          <w:tcPr>
            <w:tcW w:w="52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107.6</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440.5</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390.8</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Gardens.........................................</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63.8</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57.3</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147.5</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131.8</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Growing Media...................................</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143.4</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135.8</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261.6</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235.2</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Ortho...........................................</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121.9</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116.4</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224.5</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180.3</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Canada..........................................</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9.8</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27.3</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451.1</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426.9</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1,101.4</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958.7</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Professional....................................</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31.7</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35.8</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96.9</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109.2</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International...................................</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115.5</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123.5</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312.3</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334.3</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Consolidated....................................</w:t>
            </w:r>
          </w:p>
        </w:tc>
        <w:tc>
          <w:tcPr>
            <w:tcW w:w="52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598.3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586.2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1,510.6</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1,402.2</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28</w:t>
      </w:r>
    </w:p>
    <w:p>
      <w:pPr>
        <w:spacing w:after="0" w:line="362" w:lineRule="exact"/>
        <w:rPr>
          <w:sz w:val="20"/>
          <w:szCs w:val="20"/>
          <w:color w:val="auto"/>
        </w:rPr>
      </w:pPr>
    </w:p>
    <w:p>
      <w:pPr>
        <w:ind w:right="3440"/>
        <w:spacing w:after="0" w:line="235"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sales for the three and nine months ended July 1, 2000 and July 3, 1999: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3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FOR THE THREE MONTHS ENDED</w:t>
            </w:r>
          </w:p>
        </w:tc>
        <w:tc>
          <w:tcPr>
            <w:tcW w:w="3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FOR THE NINE MONTHS ENDED</w:t>
            </w:r>
          </w:p>
        </w:tc>
      </w:tr>
      <w:tr>
        <w:trPr>
          <w:trHeight w:val="179"/>
        </w:trPr>
        <w:tc>
          <w:tcPr>
            <w:tcW w:w="4700" w:type="dxa"/>
            <w:vAlign w:val="bottom"/>
          </w:tcPr>
          <w:p>
            <w:pPr>
              <w:spacing w:after="0"/>
              <w:rPr>
                <w:sz w:val="15"/>
                <w:szCs w:val="15"/>
                <w:color w:val="auto"/>
              </w:rPr>
            </w:pPr>
          </w:p>
        </w:tc>
        <w:tc>
          <w:tcPr>
            <w:tcW w:w="3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JULY 1,</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JULY 3,</w:t>
            </w:r>
          </w:p>
        </w:tc>
        <w:tc>
          <w:tcPr>
            <w:tcW w:w="1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JULY 1,</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w:t>
            </w:r>
          </w:p>
        </w:tc>
        <w:tc>
          <w:tcPr>
            <w:tcW w:w="14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100.0%</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100.0%</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59.5</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59.7</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58.3</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40.5</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40.3</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41.7</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40.7</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agency agreement..............................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Contribution expenses under agency</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agreement.....................................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0.3</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0.1</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0.5</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commission................................</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10.9</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12.4</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13.8</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15.2</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4700" w:type="dxa"/>
            <w:vAlign w:val="bottom"/>
          </w:tcPr>
          <w:p>
            <w:pPr>
              <w:jc w:val="right"/>
              <w:ind w:right="1742"/>
              <w:spacing w:after="0" w:line="179" w:lineRule="exact"/>
              <w:rPr>
                <w:sz w:val="20"/>
                <w:szCs w:val="20"/>
                <w:color w:val="auto"/>
              </w:rPr>
            </w:pPr>
            <w:r>
              <w:rPr>
                <w:rFonts w:ascii="Courier New" w:cs="Courier New" w:eastAsia="Courier New" w:hAnsi="Courier New"/>
                <w:sz w:val="16"/>
                <w:szCs w:val="16"/>
                <w:color w:val="auto"/>
              </w:rPr>
              <w:t>Amortization of goodwill and</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intangibles.........................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Restructuring and other charges..............</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expense (income), net..................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0.2</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(0.3)</w:t>
            </w:r>
          </w:p>
        </w:tc>
        <w:tc>
          <w:tcPr>
            <w:tcW w:w="1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from operations..........................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16.2</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14.0</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4.2</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12.0</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9.1</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4.9</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income before extraordinary item............</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7.1</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5.6</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Extraordinary item, net of tax..................</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7.1</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5.6</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Payments to preferred shareholders..............</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0.4</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available to common</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shareholders..................................</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6.7%</w:t>
            </w:r>
          </w:p>
        </w:tc>
        <w:tc>
          <w:tcPr>
            <w:tcW w:w="1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5.2%</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JULY 1, 2000 VERSUS THREE MONTHS ENDED JULY 3, 1999</w:t>
      </w:r>
    </w:p>
    <w:p>
      <w:pPr>
        <w:spacing w:after="0" w:line="183" w:lineRule="exact"/>
        <w:rPr>
          <w:sz w:val="20"/>
          <w:szCs w:val="20"/>
          <w:color w:val="auto"/>
        </w:rPr>
      </w:pPr>
    </w:p>
    <w:p>
      <w:pPr>
        <w:ind w:right="3540"/>
        <w:spacing w:after="0" w:line="236" w:lineRule="auto"/>
        <w:rPr>
          <w:sz w:val="20"/>
          <w:szCs w:val="20"/>
          <w:color w:val="auto"/>
        </w:rPr>
      </w:pPr>
      <w:r>
        <w:rPr>
          <w:rFonts w:ascii="Courier New" w:cs="Courier New" w:eastAsia="Courier New" w:hAnsi="Courier New"/>
          <w:sz w:val="16"/>
          <w:szCs w:val="16"/>
          <w:color w:val="auto"/>
        </w:rPr>
        <w:t>Sales for the third quarter ended July 1, 2000 were $598.3 million, an increase of 2.1% over sales for the third quarter ended July 3, 1999 of $586.2 million. The increase in sales was driven by increases in sales across all of the North American Consumer businesses, partially offset by decreased sales in the Professional and International segments. The decrease in sales for the Professional segment was due primarily to the sale of the North American Professional Turf business in May 2000. The decrease in sales for the International segment was primarily due to continued weakening of European currencies versus the U.S. dollar. Excluding the impact of unfavorable exchange rates, sales for the International segment increased slightly compared to the prior year.</w:t>
      </w:r>
    </w:p>
    <w:p>
      <w:pPr>
        <w:spacing w:after="0" w:line="186" w:lineRule="exact"/>
        <w:rPr>
          <w:sz w:val="20"/>
          <w:szCs w:val="20"/>
          <w:color w:val="auto"/>
        </w:rPr>
      </w:pPr>
    </w:p>
    <w:p>
      <w:pPr>
        <w:ind w:right="3440"/>
        <w:spacing w:after="0" w:line="236" w:lineRule="auto"/>
        <w:rPr>
          <w:sz w:val="20"/>
          <w:szCs w:val="20"/>
          <w:color w:val="auto"/>
        </w:rPr>
      </w:pPr>
      <w:r>
        <w:rPr>
          <w:rFonts w:ascii="Courier New" w:cs="Courier New" w:eastAsia="Courier New" w:hAnsi="Courier New"/>
          <w:sz w:val="16"/>
          <w:szCs w:val="16"/>
          <w:color w:val="auto"/>
        </w:rPr>
        <w:t>North American Consumer segment sales were $451.1 million in the third quarter of fiscal 2000, an increase of $24.2 million, or 5.7%, over sales for the third quarter of fiscal 1999 of $426.9 million. Sales in the Consumer Gardens business group increased $6.5 million, or 11.3%, from fiscal 1999 to fiscal 2000, primarily driven by strong sales and market share performance in the water soluble and tree spike product lines and the successful introduction of new products such as Weed Prevent(R) in fiscal 2000.</w:t>
      </w:r>
    </w:p>
    <w:p>
      <w:pPr>
        <w:spacing w:after="0" w:line="5" w:lineRule="exact"/>
        <w:rPr>
          <w:sz w:val="20"/>
          <w:szCs w:val="20"/>
          <w:color w:val="auto"/>
        </w:rPr>
      </w:pPr>
    </w:p>
    <w:p>
      <w:pPr>
        <w:ind w:right="3440"/>
        <w:spacing w:after="0" w:line="273" w:lineRule="auto"/>
        <w:rPr>
          <w:sz w:val="20"/>
          <w:szCs w:val="20"/>
          <w:color w:val="auto"/>
        </w:rPr>
      </w:pPr>
      <w:r>
        <w:rPr>
          <w:rFonts w:ascii="Courier New" w:cs="Courier New" w:eastAsia="Courier New" w:hAnsi="Courier New"/>
          <w:sz w:val="14"/>
          <w:szCs w:val="14"/>
          <w:color w:val="auto"/>
        </w:rPr>
        <w:t>Sales in the Consumer Growing Media business increased $7.6 million, or 5.6%, due to strong category and market share growth, particularly for value-added products such as Miracle-Gro Potting Soils(R). Sales in the Ortho business group increased $5.5 million, or 4.7%, reflecting significantly improved volume with home center retailers and improved category and market share performance in the selective weed control product lines. Sales in the Consumer Lawns and Canadian businesses also improved for the third quarter of fiscal 2000 compared to the same period of the prior year, increasing 2.2% and 22.5% respectively. Selling price changes did not have a material impact on sales for the North American Consumer segment in the third quarter of fiscal 2000.</w:t>
      </w:r>
    </w:p>
    <w:p>
      <w:pPr>
        <w:sectPr>
          <w:pgSz w:w="11900" w:h="16838" w:orient="portrait"/>
          <w:cols w:equalWidth="0" w:num="1">
            <w:col w:w="10880"/>
          </w:cols>
          <w:pgMar w:left="240" w:top="290" w:right="779" w:bottom="612" w:gutter="0" w:footer="0" w:header="0"/>
        </w:sect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880"/>
          </w:cols>
          <w:pgMar w:left="240" w:top="290" w:right="779" w:bottom="612"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Professional segment sales of $31.7 million in the third quarter of fiscal 2000 were $4.1 million, or 11.5%, lower than sales for the third quarter of fiscal 1999 of $35.8 million. The decrease in sales for the Professional segment was primarily due to the sale of the North American Professional Turf business in May 2000, as mentioned above.</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International segment sales of $115.5 million in the third quarter of fiscal 2000 were $8.0 million, or 6.5%, lower than sales for the third quarter of fiscal 1999 of $123.5 million. Excluding the adverse impact of changes in exchange rates, sales for the International segment increased 1.9% compared to the prior year. The increase is primarily due to improved results in France and Germany driven by increased consumer marketing spending, as well as increased sales in the international professional business.</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Gross profit increased to $242.2 million in the third quarter of fiscal 2000, an increase of 2.4% over third quarter fiscal 1999 gross profit of $236.4 million. The increase in gross profit from the prior year was primarily due to the increase in sales mentioned above. As a percentage of sales, gross profit was 40.5% of sales for the third quarter of fiscal 2000, which was essentially unchanged from the prior year.</w:t>
      </w:r>
    </w:p>
    <w:p>
      <w:pPr>
        <w:spacing w:after="0" w:line="362"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The "gross commission from agency agreement" in the third quarter of fiscal 2000 was $16.9 million compared to $9.9 million in the third quarter of fiscal 1999. In fiscal 2000, in accordance with revenue recognition guidance put forth by the SEC, we did not record commission under the Roundup(R) agency agreement until the minimum EBIT thresholds within the agreement were achieved. In the prior year, commission was recorded each period based on the estimated overall commission rate for the year applied to that period's EBIT. The increase in the gross commission in the third quarter of fiscal 2000 compared to the prior year was due to an increase in the quarterly EBIT for the Roundup(R) business as well as the change in the methodology for calculating the commission. The "contribution expenses under agency agreement" increased to $2.0 million in the third quarter of fiscal 2000 from $0.4 million in the prior year due to an additional $0.4 million of amortization of the marketing fee paid to Monsanto and $1.2 million related to the additional contribution payment due under the agreement in fiscal 2000.</w:t>
      </w:r>
    </w:p>
    <w:p>
      <w:pPr>
        <w:spacing w:after="0" w:line="34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have restated our financial statements as of and for the three months ended July 1, 2000. In connection with the Agency and Marketing Agreement with Monsanto for consumer Roundup products, we were required to pay a marketing fee of $32 million. The earnings originally reported for the three months ended July 1, 2000 reflected amortization of the marketing fee over a period of 20 years. However, we believe that it is unlikely that this agreement will continue beyond ten years. Accordingly, the financial statements as of and for the three months ended July 1, 2000 have been restated to correct for the error in the amortization period and now reflect amortization of the marketing fee over a period of ten years. A more detailed discussion of the restatement and the Roundup agreement is presented in Notes 2 and 3 to the quarterly financial statements.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 and promotion expenses for the third quarter of fiscal 2000 were</w:t>
      </w:r>
    </w:p>
    <w:p>
      <w:pPr>
        <w:spacing w:after="0" w:line="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$64.9 million, an increase of $1.1 million over the prior year. As a percentage of sales, advertising and promotion expenses did not change significantly from the third quarter of fiscal 1999 to the third quarter of fiscal 2000.</w:t>
      </w:r>
    </w:p>
    <w:p>
      <w:pPr>
        <w:spacing w:after="0" w:line="155"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Selling, general and administrative expenses in the third quarter of fiscal 2000 were $76.8 million, a decrease of $4.0 million, or 5.0% over similar expenses in the third quarter of fiscal 1999 of $80.8 million. As a percentage of sales, selling, general and administrative expenses were 12.8% for the third quarter of fiscal 2000 compared to 13.8% for fiscal 1999. The decrease in selling, general and administrative expenses was primarily related to reduced provisions for bad debts due to charges related to the Hechinger bankruptcy in the prior year, and decreased acquisition integration costs.</w:t>
      </w:r>
    </w:p>
    <w:p>
      <w:pPr>
        <w:spacing w:after="0" w:line="338"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Amortization of goodwill and other intangibles decreased to $6.4 million in the third quarter of fiscal 2000, compared to $7.9 million in the prior year, due to reduced goodwill and other intangibles resulting from finalizing the purchase price for the Ortho acquisition.</w:t>
      </w:r>
    </w:p>
    <w:p>
      <w:pPr>
        <w:spacing w:after="0" w:line="185"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Other expense for the third quarter of fiscal 2000 was $1.0 million compared to other income of $1.7 million in the prior year. The increase in expense was primarily due to costs incurred in connection with the Company's voluntary return program for Ortho Pull `n Spray products and a gain of $0.6 million in the third quarter of fiscal 1999 resulting from the sale of the Company's interest in a small resins business.</w:t>
      </w:r>
    </w:p>
    <w:p>
      <w:pPr>
        <w:spacing w:after="0" w:line="362"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Income from operations for the third quarter of fiscal 2000 was $108.0 million compared to $95.1 million for the third quarter of fiscal 1999. The increase was primarily due to the increased sales and gross margin dollars and an increase in gross commissions recognized under the Roundup(R) agreement as described above.</w:t>
      </w:r>
    </w:p>
    <w:p>
      <w:pPr>
        <w:spacing w:after="0" w:line="336"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Interest expense for the third quarter of fiscal 2000 was $24.8 million, an increase of $0.2 million over fiscal 1999 interest expense of $24.6 million. For the quarter, significantly higher interest rates on our credit facility were substantially offset by reduced borrowing levels reflecting reductions in</w:t>
      </w:r>
    </w:p>
    <w:p>
      <w:pPr>
        <w:sectPr>
          <w:pgSz w:w="11900" w:h="16838" w:orient="portrait"/>
          <w:cols w:equalWidth="0" w:num="1">
            <w:col w:w="10219"/>
          </w:cols>
          <w:pgMar w:left="240" w:top="290"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working capital requirements.</w:t>
      </w:r>
    </w:p>
    <w:p>
      <w:pPr>
        <w:spacing w:after="0" w:line="362"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Income tax expense was $30.4 million for the third quarter of fiscal 2000 compared to a $28.9 million in the prior year. The Company's effective tax rate decreased to 36.6% in the current quarter from 41.0% in the prior year. The decrease in the tax rate in fiscal 2000 was due to a reversal of $3.2 million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135"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30</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tax reserves upon resolution of certain outstanding tax matters during the quarter and a reduction in the estimated rate for the year, before adjustment, to 40.5%.</w:t>
      </w:r>
    </w:p>
    <w:p>
      <w:pPr>
        <w:spacing w:after="0" w:line="3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Scotts reported net income of $52.8 million for the third quarter of fiscal 2000 (as restated), or $1.77 per common share on a diluted basis, compared to net income of $41.6 million for the third quarter of fiscal 1999, or $1.35 per common share on a diluted basis.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JULY 1, 2000 VERSUS NINE MONTHS ENDED JULY 3, 1999</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Net sales for the nine months ended July 1, 2000 were $1,510.6 million, an increase of 7.7% over the nine months ended July 3, 1999 of $1,402.2 million. On a pro forma basis, assuming that the Ortho acquisition had occurred on October 1, 1998, sales for the nine months of fiscal 2000 were 5.3% higher than pro forma sales for the nine months of fiscal 1999 of $1,435.2 million. The increase in pro forma sales was driven primarily by significant increases in sales across all businesses in the North American Consumer segment, partially offset by decreases in sales in the Professional and International segments as discussed below.</w:t>
      </w:r>
    </w:p>
    <w:p>
      <w:pPr>
        <w:spacing w:after="0" w:line="18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North American Consumer segment sales were $1,101.4 million for the nine months of fiscal 2000, an increase of $142.7 million, or 14.9%, over sales for the nine months of fiscal 1999 of $958.7 million. Sales in the Consumer Lawns business group within this segment increased $49.7 million, or 12.7%, from fiscal 1999 to fiscal 2000, primarily due to a significant increase in sales to and consumer takeaway from national home centers. Sales in the Consumer Gardens business group increased $15.7 million, or 11.9%, primarily driven by strong sales and market share performance in the water soluble and tree spikes product lines and the successful introduction of new products such as Weed Prevent(R) in fiscal 2000. Sales in the Consumer Growing Media business increased $26.4 million, or 11.2%, due to strong category and market share growth, particularly for value-added products such as Miracle-Gro Potting Soils(R). Sales in the Ortho business group increased $44.2 million, or 24.5%, on an actual basis and $11.2 million, or 5.3%, on a pro forma basis, reflecting significantly improved volume with home center retailers and improved category and market share performance in the selective weed control product lines. Selling price changes did not have a material impact on sales in the North American Consumer segment in the nine months of fiscal 2000.</w:t>
      </w:r>
    </w:p>
    <w:p>
      <w:pPr>
        <w:spacing w:after="0" w:line="200" w:lineRule="exact"/>
        <w:rPr>
          <w:sz w:val="20"/>
          <w:szCs w:val="20"/>
          <w:color w:val="auto"/>
        </w:rPr>
      </w:pPr>
    </w:p>
    <w:p>
      <w:pPr>
        <w:spacing w:after="0" w:line="32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Professional segment sales of $96.9 million in the nine months of fiscal 2000 were $12.3 million lower than the nine months of fiscal 1999 sales of $109.2 million. The decrease in sales for the Professional segment was primarily due to lower sales of ProTurf(R) products and the sale of the Pro Turf(R) business during the third quarter of fiscal 2000. In the second quarter of fiscal 1999, we changed from selling direct to customers to selling through distributors. The timing of this change and performance issues with one of our largest ProTurf(R) distributors caused sales to decrease when compared to the prior year. Sales of horticulture products within this segment were slightly improved in comparison to the prior year period.</w:t>
      </w:r>
    </w:p>
    <w:p>
      <w:pPr>
        <w:spacing w:after="0" w:line="186"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International segment sales of $312.3 million in the nine months of fiscal 2000 were $22.0 million lower than sales for the nine months of fiscal 1999 of $334.3 million. Excluding the adverse impact of changes in exchange rates, sales for the International segment increased 1.6% compared to the prior year period. The slight increase is primarily due to improved results in the segment's continental European consumer businesses and the international professional business, partially offset by decreases in the segment's U.K. consumer business.</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Gross profit increased to $629.2 million for the nine months of fiscal 2000, an increase of 10.4% over fiscal 1999 gross profit of $570.1 million, driven by the 7.7% increase in year-to-date sales discussed above. As a percentage of sales, gross profit was 41.7% of sales for fiscal 2000 compared to 40.7% of sales for the nine months of fiscal 1999. This increase in profitability on sales was driven by a successful shift to direct distribution to certain retail accounts and improved efficiencies in the Company's production plants, offsetting higher costs for certain raw materials such as urea, and a shift in sales mix toward higher margin products, particularly within the Consumer Lawns and Consumer Growing Media business groups.</w:t>
      </w:r>
    </w:p>
    <w:p>
      <w:pPr>
        <w:spacing w:after="0" w:line="3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"gross commission from agency agreement" in the nine months of fiscal 2000 was $26.1 million, compared to $27.5 million in the nine months of fiscal 1999. The decrease in the gross commission from year to year was due to lower EBIT for the Roundup(R) business in fiscal 2000 for purposes of calculating our commission. "Contribution expenses under agency agreement" were $7.7 million for the nine months of fiscal 2000, compared to $1.2 million for fiscal 1999, due to an additional $2.8 million of amortization of the marketing fee paid to Monsanto and $3.7 million related to the increased contribution payment due in fiscal 2000 under the agreement.</w:t>
      </w:r>
    </w:p>
    <w:p>
      <w:pPr>
        <w:spacing w:after="0" w:line="185"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have restated our financial statements as of and for the nine months ended July 1, 2000. In connection with the Agency and Marketing Agreement with Monsanto for consumer Roundup products, we were required to pay a marketing fee of $32 million. The earnings originally reported for the nine months ended July 1, 2000 reflected amortization of the marketing fee over a period of 20 years. However, we believe that it is unlikely that this agreement will continue beyond ten years. Accordingly, the financial statements as of and for the nine months</w:t>
      </w:r>
    </w:p>
    <w:p>
      <w:pPr>
        <w:sectPr>
          <w:pgSz w:w="11900" w:h="16838" w:orient="portrait"/>
          <w:cols w:equalWidth="0" w:num="1">
            <w:col w:w="10219"/>
          </w:cols>
          <w:pgMar w:left="240" w:top="290" w:right="1440" w:bottom="0" w:gutter="0" w:footer="0" w:header="0"/>
        </w:sectPr>
      </w:pPr>
    </w:p>
    <w:bookmarkStart w:id="35" w:name="page36"/>
    <w:bookmarkEnd w:id="35"/>
    <w:p>
      <w:pPr>
        <w:ind w:right="3159"/>
        <w:spacing w:after="0" w:line="235" w:lineRule="auto"/>
        <w:rPr>
          <w:sz w:val="20"/>
          <w:szCs w:val="20"/>
          <w:color w:val="auto"/>
        </w:rPr>
      </w:pPr>
      <w:r>
        <w:rPr>
          <w:rFonts w:ascii="Courier New" w:cs="Courier New" w:eastAsia="Courier New" w:hAnsi="Courier New"/>
          <w:sz w:val="16"/>
          <w:szCs w:val="16"/>
          <w:color w:val="auto"/>
        </w:rPr>
        <w:t>ended July 1, 2000 have been restated to correct for the error in the amortization period and now reflect amortization of the marketing fee over a period of ten years. A more detailed discussion of the restatement and the Roundup agreement is presented in Notes 2 and 3 to the quarterly financial statements.</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142"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31</w:t>
      </w:r>
    </w:p>
    <w:p>
      <w:pPr>
        <w:spacing w:after="0" w:line="36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6"/>
          <w:szCs w:val="16"/>
          <w:color w:val="auto"/>
        </w:rPr>
        <w:t>Advertising and promotion expenses for the nine months of fiscal 2000 were $186.8 million, an increase of $20.2 million, or 12.1%, over fiscal 1999 advertising and promotion expenses of $166.6 million. This increase was primarily due to advertising and promotion expenses for the Ortho business, costs to support the increase in sales within the North American Consumer segment and investments in advertising and promotion to drive future sales growth in the International segment.</w:t>
      </w:r>
    </w:p>
    <w:p>
      <w:pPr>
        <w:spacing w:after="0" w:line="18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Selling, general and administrative expenses in the nine months of fiscal 2000 were $229.8 million, an increase of $20.2 million, or 9.6%, over similar expenses in the nine months of fiscal 1999 of $209.6 million. As a percentage of sales, selling, general and administrative expenses were 15.2% for the nine months of fiscal 2000 compared to 14.9% for fiscal 1999. The increase in selling, general and administrative expenses was primarily related to additional selling and administrative costs needed to support the increased sales levels in the Consumer Lawns business group, infrastructure expenses within the International segment, selling, general and administrative expenses for the Ortho business group which were not incurred in the first quarter of fiscal 1999 due to the timing of the acquisition in January 1999, and increased legal costs as a result of the various legal matters discussed in Item 1.</w:t>
      </w:r>
    </w:p>
    <w:p>
      <w:pPr>
        <w:spacing w:after="0" w:line="341"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Amortization of goodwill and other intangibles increased to $19.4 million in the nine months of fiscal 2000, compared to $17.3 million in the prior year, due to additional intangibles resulting from the Ortho acquisition.</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Restructuring and other charges were $1.4 million in the nine months of fiscal 1999. These charges represent severance costs associated with the reorganization of North American Professional Business Group to strengthen distribution and technical sales support, integrate brand management across market segments and reduce annual operating expenses. To date, substantially all payments have been made.</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Other income for the nine months of fiscal 2000 was $0.8 million compared to other income of $3.8 million in the prior year. The decrease in other income, on a net basis, was primarily due to costs incurred in connection with the Company's voluntary return program for Ortho Pull `n Spray products and additional losses on disposals of miscellaneous fixed assets, partially offset by increase in royalty income compared to the prior year arising from additional royalty arrangements in fiscal 2000.</w:t>
      </w:r>
    </w:p>
    <w:p>
      <w:pPr>
        <w:spacing w:after="0" w:line="362"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Income from operations for the nine months of fiscal 2000 was $212.4 million compared to $205.3 million for the nine months of fiscal 1999. The increase in income from operations was due primarily to the increase in sales across the North American consumer businesses as noted above, partially offset by the decrease in sales in the Professional segment and a decline in the net commission earned under the Roundup(R) agreement as described above.</w:t>
      </w:r>
    </w:p>
    <w:p>
      <w:pPr>
        <w:spacing w:after="0" w:line="341" w:lineRule="exact"/>
        <w:rPr>
          <w:sz w:val="20"/>
          <w:szCs w:val="20"/>
          <w:color w:val="auto"/>
        </w:rPr>
      </w:pPr>
    </w:p>
    <w:p>
      <w:pPr>
        <w:ind w:right="3059"/>
        <w:spacing w:after="0" w:line="276" w:lineRule="auto"/>
        <w:rPr>
          <w:sz w:val="20"/>
          <w:szCs w:val="20"/>
          <w:color w:val="auto"/>
        </w:rPr>
      </w:pPr>
      <w:r>
        <w:rPr>
          <w:rFonts w:ascii="Courier New" w:cs="Courier New" w:eastAsia="Courier New" w:hAnsi="Courier New"/>
          <w:sz w:val="14"/>
          <w:szCs w:val="14"/>
          <w:color w:val="auto"/>
        </w:rPr>
        <w:t>Interest expense for the nine months of fiscal 2000 was $74.4 million, an increase of $15.4 million over fiscal 1999 interest expense of $59.0 million. The increase in interest expense was due to increased borrowings to fund the Ortho acquisition and an increase in average borrowing rates under our credit facility, partially offset by reduced working capital requirements.</w:t>
      </w:r>
    </w:p>
    <w:p>
      <w:pPr>
        <w:spacing w:after="0" w:line="34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Income tax expense was $52.6 million for fiscal 2000 compared to $60.0 million in the prior year. The Company's effective tax rate decreased to 38.1% for the first nine months of fiscal 2000 compared to 41.0% for the previous year. The decrease in the tax rate for fiscal 2000 is due to a reversal of $3.2 million of tax reserves upon resolution of certain outstanding tax matters during the third quarter of fiscal 2000 and a reduction in the estimated rate for the year, before adjustment, to 40.5%.</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the then outstanding $100 million 9 7/8% Senior Subordinated Notes due August 2004. Scotts recorded an extraordinary loss on the extinguishment of the 9 7/8% notes of $9.3 million, including a call premium of $7.2 million and the write-off of unamortized issuance costs and discounts of $2.1 million.</w:t>
      </w:r>
    </w:p>
    <w:p>
      <w:pPr>
        <w:spacing w:after="0" w:line="363"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Scotts reported net income of $79.0 million for the nine months of fiscal 2000 (as restated), or $2.66 per common share on a diluted basis, compared to net income of $73.2 million for fiscal 1999, or $2.83 per common share on a diluted basis before the impact of extraordinary items. The diluted earnings per share for the nine months of fiscal 2000 is net of a one-time reduction of $0.21</w:t>
      </w:r>
    </w:p>
    <w:p>
      <w:pPr>
        <w:spacing w:after="0" w:line="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per share resulting from the early conversion of preferred stock in October 1999.</w:t>
      </w:r>
    </w:p>
    <w:p>
      <w:pPr>
        <w:sectPr>
          <w:pgSz w:w="11900" w:h="16838" w:orient="portrait"/>
          <w:cols w:equalWidth="0" w:num="1">
            <w:col w:w="10219"/>
          </w:cols>
          <w:pgMar w:left="240" w:top="29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19"/>
          </w:cols>
          <w:pgMar w:left="240" w:top="291" w:right="1440" w:bottom="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Cash provided by operating activities totaled $162.1 million for the nine months ended July 1, 2000 compared to providing $90.5 million for the nine months ended July 3, 1999.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increase in cash provided by operating activities for the nine months of fiscal 2000 compared to the prior year is attributable to a significant decrease in the amount of working capital used during the period as well as the payment of the Roundup(R) marketing fee made in the first quarter of fiscal 1999.</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Cash used in investing activities was $36.7 million for the nine months of fiscal 2000 compared to $540.8 million in the prior year. In the first quarter of fiscal 1999, we purchased the Rhone-Poulenc Jardin and Asef businesses for approximately $170 million (excluding consideration for rights acquired under an access rights agreement with Rhone-Poulenc Jardin). In the second quarter of fiscal 1999, we purchased from Monsanto the assets of its worldwide consumer lawn and garden businesses, exclusive of the Roundup(R) business, for $300 million plus an amount for normalized working capital (requiring a total initial payment of $339.9 million). Additionally, capital investments decreased slightly to $37.2 million in the nine months of fiscal 2000 compared to $39.4 million in the nine months of fiscal 1999.</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Financing activities required cash of $76.8 million for the nine months ended July 1, 2000 compared to providing $474.9 million in the prior year. In the first quarter of fiscal 1999, Scotts borrowed funds under its credit facility in order to purchase the Rhone-Poulenc Jardin and Asef businesses, to pay marketing fees associated with the Roundup(R) agency agreement, to pay financing fees associated with the new credit facility and to settle the then outstanding interest rate locks (as described below). In the second quarter of fiscal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9 7/8% Senior Subordinated Notes due August 2004. Due to the increase in cash provided by operating activities for the first nine months of fiscal 2000 compared to the prior year as noted above, the Company was able to make additional repayments to its credit facility.</w:t>
      </w:r>
    </w:p>
    <w:p>
      <w:pPr>
        <w:spacing w:after="0" w:line="189"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Total debt was $886.2 million as of July 1, 2000, a decrease of $63.8 million compared with debt at September 30, 1999 and a decrease of $10.6 compared with debt levels at July 3, 1999. The decrease in debt as of July 1, 2000 was primarily due to scheduled quarterly debt repayments on the Company's term loans during fiscal 2000.</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facility. The credit facility provides for borrowings in the aggregate principal amount of $1.025 billion and consists of term loan facilities in the aggregate amount of $525 million and a revolving credit facility in the amount of $500 million.</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funded the acquisition of the Rhone-Poulenc Jardin and Asef businesses with borrowings under our credit facility. Additional borrowings under the credit facility, along with proceeds from the January 1999 offering of $330 million of 10-year 8 5/8% Senior Subordinated Notes due 2009, were used to fund the Ortho acquisition and to repurchase approximately 97% of Scotts' then outstanding $100.0 million 9 7/8% Senior Subordinated Notes.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Coincidental with the notes offering, Scotts settled its then outstanding interest rate lock for approximately $3.6 million. We entered into two interest rate locks in fiscal 1998 to hedge the anticipated interest rate exposure on the $330 million note offering. In October 1998, we terminated one of the interest rate locks for $9.3 million and entered into a new interest rate lock instrument. The total amount paid under the interest rate locks of $12.9 million has been deferred and is being amortized over the life of the notes.</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July 1998, our Board of Directors authorized the repurchase of up to $100 million of our common shares on the open market or in privately negotiated transactions on or prior to September 30, 2001. As of July 1, 2000, 1,106,295 common shares (or $40.6 million) have been repurchased under this repurchase program limit. The timing and amount of any purchases under the repurchase program will be at our discretion and will depend upon market conditions and our operating performance and liquidity.</w:t>
      </w:r>
    </w:p>
    <w:p>
      <w:pPr>
        <w:sectPr>
          <w:pgSz w:w="11900" w:h="16838" w:orient="portrait"/>
          <w:cols w:equalWidth="0" w:num="1">
            <w:col w:w="10219"/>
          </w:cols>
          <w:pgMar w:left="240" w:top="290" w:right="1440"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19"/>
          </w:cols>
          <w:pgMar w:left="240" w:top="290" w:right="1440" w:bottom="1149" w:gutter="0" w:footer="0" w:header="0"/>
          <w:type w:val="continuous"/>
        </w:sectPr>
      </w:pPr>
    </w:p>
    <w:bookmarkStart w:id="38" w:name="page39"/>
    <w:bookmarkEnd w:id="38"/>
    <w:p>
      <w:pPr>
        <w:ind w:left="285"/>
        <w:spacing w:after="0"/>
        <w:rPr>
          <w:sz w:val="20"/>
          <w:szCs w:val="20"/>
          <w:color w:val="auto"/>
        </w:rPr>
      </w:pPr>
      <w:r>
        <w:rPr>
          <w:rFonts w:ascii="Courier New" w:cs="Courier New" w:eastAsia="Courier New" w:hAnsi="Courier New"/>
          <w:sz w:val="16"/>
          <w:szCs w:val="16"/>
          <w:color w:val="auto"/>
        </w:rPr>
        <w:t>33</w:t>
      </w:r>
    </w:p>
    <w:p>
      <w:pPr>
        <w:spacing w:after="0" w:line="362"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 We anticipate that any repurchases will be made in the open market or in privately negotiated transactions, and that Hagedorn Partnership, L.P. will sell its pro rata share (approximately 42%) of such repurchased shares in the open market.</w:t>
      </w:r>
    </w:p>
    <w:p>
      <w:pPr>
        <w:spacing w:after="0" w:line="184" w:lineRule="exact"/>
        <w:rPr>
          <w:sz w:val="20"/>
          <w:szCs w:val="20"/>
          <w:color w:val="auto"/>
        </w:rPr>
      </w:pPr>
    </w:p>
    <w:p>
      <w:pPr>
        <w:ind w:left="5" w:right="2959"/>
        <w:spacing w:after="0" w:line="273"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33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10 to the Company's unaudited Condensed, Consolidated Financial Statements as of and for the three and nine months ended July 1, 2000 and in the 1999 Annual Report on Form 10-K under "ITEM 1. BUSINESS</w:t>
      </w:r>
    </w:p>
    <w:p>
      <w:pPr>
        <w:spacing w:after="0" w:line="166" w:lineRule="exact"/>
        <w:rPr>
          <w:sz w:val="20"/>
          <w:szCs w:val="20"/>
          <w:color w:val="auto"/>
        </w:rPr>
      </w:pPr>
    </w:p>
    <w:p>
      <w:pPr>
        <w:ind w:left="5" w:right="2679" w:hanging="5"/>
        <w:spacing w:after="0" w:line="234" w:lineRule="auto"/>
        <w:tabs>
          <w:tab w:leader="none" w:pos="19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ENVIRONMENTAL AND REGULATORY CONSIDERATIONS" and "ITEM 3. LEGAL PROCEEDINGS" sections.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YEAR 2000 READINESS</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Through July 2000, we have not experienced any significant issues related to the ability of our information technology and business systems to recognize the year 2000. In addition, we have not experienced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4"/>
          </w:cols>
          <w:pgMar w:left="235" w:top="29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34</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 ("ERP")</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July 1998, we announced a project designed to bring our information system resources in line with our current strategic objectives. The project includes the redesign of certain key business processes in connection with the installation of new software on a world-wide basis over the course of the next several fiscal years. We estimate that the project will cost in the range of $70 to $75 million, of which we expect 75% will be capitalized and depreciated over a period of four to eight years. SAP has been selected as the primary software provider for this project.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Results for the first nine months of fiscal 2000 are in line with management's expectations and position us to continue our trend of significant sales and earnings growth. We are coming off a very strong fiscal 1999 as we reported record sales of $1.65 billion, achieved market share growth in every one of our major U. S. categories and established a number one market share position in most of the significant lawn and garden categories across the world. The performance in 1999 reflected the successful continuation of our primary growth drivers: to emphasize consumer-oriented marketing efforts to pull demand through distribution channels, and to make strategic acquisitions to increase market share in global markets and within segments of the lawn and garden category.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Looking forward, we maintain the following broad tenets to our strategic plan:</w:t>
      </w:r>
    </w:p>
    <w:p>
      <w:pPr>
        <w:spacing w:after="0" w:line="199" w:lineRule="exact"/>
        <w:rPr>
          <w:sz w:val="20"/>
          <w:szCs w:val="20"/>
          <w:color w:val="auto"/>
        </w:rPr>
      </w:pPr>
    </w:p>
    <w:p>
      <w:pPr>
        <w:ind w:left="1580" w:right="2879" w:hanging="747"/>
        <w:spacing w:after="0" w:line="274" w:lineRule="auto"/>
        <w:tabs>
          <w:tab w:leader="none" w:pos="15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340" w:lineRule="exact"/>
        <w:rPr>
          <w:rFonts w:ascii="Courier New" w:cs="Courier New" w:eastAsia="Courier New" w:hAnsi="Courier New"/>
          <w:sz w:val="14"/>
          <w:szCs w:val="14"/>
          <w:color w:val="auto"/>
        </w:rPr>
      </w:pPr>
    </w:p>
    <w:p>
      <w:pPr>
        <w:ind w:left="1580" w:right="3339" w:hanging="747"/>
        <w:spacing w:after="0" w:line="234"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83" w:lineRule="exact"/>
        <w:rPr>
          <w:rFonts w:ascii="Courier New" w:cs="Courier New" w:eastAsia="Courier New" w:hAnsi="Courier New"/>
          <w:sz w:val="16"/>
          <w:szCs w:val="16"/>
          <w:color w:val="auto"/>
        </w:rPr>
      </w:pPr>
    </w:p>
    <w:p>
      <w:pPr>
        <w:ind w:left="1580" w:right="2879" w:hanging="747"/>
        <w:spacing w:after="0" w:line="235"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183" w:lineRule="exact"/>
        <w:rPr>
          <w:rFonts w:ascii="Courier New" w:cs="Courier New" w:eastAsia="Courier New" w:hAnsi="Courier New"/>
          <w:sz w:val="16"/>
          <w:szCs w:val="16"/>
          <w:color w:val="auto"/>
        </w:rPr>
      </w:pPr>
    </w:p>
    <w:p>
      <w:pPr>
        <w:ind w:left="1580" w:right="2959" w:hanging="747"/>
        <w:spacing w:after="0" w:line="235"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As part of our ongoing strategic plans, management has established challenging, but realistic, financial goals, including:</w:t>
      </w:r>
    </w:p>
    <w:p>
      <w:pPr>
        <w:spacing w:after="0" w:line="177" w:lineRule="exact"/>
        <w:rPr>
          <w:sz w:val="20"/>
          <w:szCs w:val="20"/>
          <w:color w:val="auto"/>
        </w:rPr>
      </w:pPr>
    </w:p>
    <w:p>
      <w:pPr>
        <w:ind w:left="1580" w:hanging="747"/>
        <w:spacing w:after="0"/>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growth of 8% to 10% per year;</w:t>
      </w:r>
    </w:p>
    <w:p>
      <w:pPr>
        <w:spacing w:after="0" w:line="182" w:lineRule="exact"/>
        <w:rPr>
          <w:rFonts w:ascii="Courier New" w:cs="Courier New" w:eastAsia="Courier New" w:hAnsi="Courier New"/>
          <w:sz w:val="16"/>
          <w:szCs w:val="16"/>
          <w:color w:val="auto"/>
        </w:rPr>
      </w:pPr>
    </w:p>
    <w:p>
      <w:pPr>
        <w:ind w:left="1580" w:right="3059" w:hanging="747"/>
        <w:spacing w:after="0" w:line="234"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minimum aggregate operating margin improvement of 50 basis points per year;</w:t>
      </w:r>
    </w:p>
    <w:p>
      <w:pPr>
        <w:spacing w:after="0" w:line="183" w:lineRule="exact"/>
        <w:rPr>
          <w:rFonts w:ascii="Courier New" w:cs="Courier New" w:eastAsia="Courier New" w:hAnsi="Courier New"/>
          <w:sz w:val="16"/>
          <w:szCs w:val="16"/>
          <w:color w:val="auto"/>
        </w:rPr>
      </w:pPr>
    </w:p>
    <w:p>
      <w:pPr>
        <w:ind w:left="1580" w:right="2959" w:hanging="747"/>
        <w:spacing w:after="0" w:line="234"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earnings per share growth of 15% to 20%; and</w:t>
      </w:r>
    </w:p>
    <w:p>
      <w:pPr>
        <w:spacing w:after="0" w:line="177" w:lineRule="exact"/>
        <w:rPr>
          <w:rFonts w:ascii="Courier New" w:cs="Courier New" w:eastAsia="Courier New" w:hAnsi="Courier New"/>
          <w:sz w:val="16"/>
          <w:szCs w:val="16"/>
          <w:color w:val="auto"/>
        </w:rPr>
      </w:pPr>
    </w:p>
    <w:p>
      <w:pPr>
        <w:ind w:left="1580" w:hanging="747"/>
        <w:spacing w:after="0"/>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return on equity from 15% to 18%.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35</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84" w:lineRule="exact"/>
        <w:rPr>
          <w:sz w:val="20"/>
          <w:szCs w:val="20"/>
          <w:color w:val="auto"/>
        </w:rPr>
      </w:pPr>
    </w:p>
    <w:p>
      <w:pPr>
        <w:ind w:left="1580" w:right="2779" w:hanging="747"/>
        <w:spacing w:after="0" w:line="234"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WEATHER CONDITIONS COULD ADVERSELY IMPACT OUR FINANCIAL RESULTS.</w:t>
      </w:r>
    </w:p>
    <w:p>
      <w:pPr>
        <w:spacing w:after="0" w:line="183" w:lineRule="exact"/>
        <w:rPr>
          <w:rFonts w:ascii="Courier New" w:cs="Courier New" w:eastAsia="Courier New" w:hAnsi="Courier New"/>
          <w:sz w:val="16"/>
          <w:szCs w:val="16"/>
          <w:color w:val="auto"/>
        </w:rPr>
      </w:pPr>
    </w:p>
    <w:p>
      <w:pPr>
        <w:ind w:left="158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84" w:lineRule="exact"/>
        <w:rPr>
          <w:rFonts w:ascii="Courier New" w:cs="Courier New" w:eastAsia="Courier New" w:hAnsi="Courier New"/>
          <w:sz w:val="16"/>
          <w:szCs w:val="16"/>
          <w:color w:val="auto"/>
        </w:rPr>
      </w:pPr>
    </w:p>
    <w:p>
      <w:pPr>
        <w:ind w:left="1580" w:right="3159" w:hanging="747"/>
        <w:spacing w:after="0" w:line="234"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MAKE INTEREST PAYMENTS ON INDEBTEDNESS.</w:t>
      </w:r>
    </w:p>
    <w:p>
      <w:pPr>
        <w:spacing w:after="0" w:line="183" w:lineRule="exact"/>
        <w:rPr>
          <w:rFonts w:ascii="Courier New" w:cs="Courier New" w:eastAsia="Courier New" w:hAnsi="Courier New"/>
          <w:sz w:val="16"/>
          <w:szCs w:val="16"/>
          <w:color w:val="auto"/>
        </w:rPr>
      </w:pPr>
    </w:p>
    <w:p>
      <w:pPr>
        <w:ind w:left="158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facility, this seasonality could adversely affect our ability to make interest payments as required by our indebtedness. Adverse weather conditions could heighten this risk.</w:t>
      </w:r>
    </w:p>
    <w:p>
      <w:pPr>
        <w:spacing w:after="0" w:line="187" w:lineRule="exact"/>
        <w:rPr>
          <w:rFonts w:ascii="Courier New" w:cs="Courier New" w:eastAsia="Courier New" w:hAnsi="Courier New"/>
          <w:sz w:val="16"/>
          <w:szCs w:val="16"/>
          <w:color w:val="auto"/>
        </w:rPr>
      </w:pPr>
    </w:p>
    <w:p>
      <w:pPr>
        <w:ind w:left="1580" w:right="2879" w:hanging="747"/>
        <w:spacing w:after="0" w:line="234"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THAT THE PRODUCTS WE PRODUCE AND MARKET ARE NOT SAFE COULD ADVERSELY AFFECT US.</w:t>
      </w:r>
    </w:p>
    <w:p>
      <w:pPr>
        <w:spacing w:after="0" w:line="183" w:lineRule="exact"/>
        <w:rPr>
          <w:rFonts w:ascii="Courier New" w:cs="Courier New" w:eastAsia="Courier New" w:hAnsi="Courier New"/>
          <w:sz w:val="16"/>
          <w:szCs w:val="16"/>
          <w:color w:val="auto"/>
        </w:rPr>
      </w:pPr>
    </w:p>
    <w:p>
      <w:pPr>
        <w:ind w:left="158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84" w:lineRule="exact"/>
        <w:rPr>
          <w:rFonts w:ascii="Courier New" w:cs="Courier New" w:eastAsia="Courier New" w:hAnsi="Courier New"/>
          <w:sz w:val="16"/>
          <w:szCs w:val="16"/>
          <w:color w:val="auto"/>
        </w:rPr>
      </w:pPr>
    </w:p>
    <w:p>
      <w:pPr>
        <w:ind w:left="1580" w:right="3519" w:hanging="747"/>
        <w:spacing w:after="0" w:line="235"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Our substantial indebtedness could:</w:t>
      </w:r>
    </w:p>
    <w:p>
      <w:pPr>
        <w:spacing w:after="0" w:line="183" w:lineRule="exact"/>
        <w:rPr>
          <w:sz w:val="20"/>
          <w:szCs w:val="20"/>
          <w:color w:val="auto"/>
        </w:rPr>
      </w:pPr>
    </w:p>
    <w:p>
      <w:pPr>
        <w:ind w:left="3260" w:right="2879" w:hanging="846"/>
        <w:spacing w:after="0" w:line="234" w:lineRule="auto"/>
        <w:tabs>
          <w:tab w:leader="none" w:pos="32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w:t>
      </w:r>
    </w:p>
    <w:p>
      <w:pPr>
        <w:spacing w:after="0" w:line="183" w:lineRule="exact"/>
        <w:rPr>
          <w:rFonts w:ascii="Courier New" w:cs="Courier New" w:eastAsia="Courier New" w:hAnsi="Courier New"/>
          <w:sz w:val="16"/>
          <w:szCs w:val="16"/>
          <w:color w:val="auto"/>
        </w:rPr>
      </w:pPr>
    </w:p>
    <w:p>
      <w:pPr>
        <w:ind w:left="3260" w:right="2779" w:hanging="846"/>
        <w:spacing w:after="0" w:line="234" w:lineRule="auto"/>
        <w:tabs>
          <w:tab w:leader="none" w:pos="32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ectPr>
          <w:pgSz w:w="11900" w:h="16838" w:orient="portrait"/>
          <w:cols w:equalWidth="0" w:num="1">
            <w:col w:w="10219"/>
          </w:cols>
          <w:pgMar w:left="240" w:top="291" w:right="1440" w:bottom="791"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19"/>
          </w:cols>
          <w:pgMar w:left="240" w:top="291" w:right="1440" w:bottom="791"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ind w:left="2980" w:right="2779" w:hanging="846"/>
        <w:spacing w:after="0" w:line="235" w:lineRule="auto"/>
        <w:tabs>
          <w:tab w:leader="none" w:pos="2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fund future working capital, capital expenditures, research and development costs and other general corporate requirements;</w:t>
      </w:r>
    </w:p>
    <w:p>
      <w:pPr>
        <w:spacing w:after="0" w:line="184" w:lineRule="exact"/>
        <w:rPr>
          <w:rFonts w:ascii="Courier New" w:cs="Courier New" w:eastAsia="Courier New" w:hAnsi="Courier New"/>
          <w:sz w:val="16"/>
          <w:szCs w:val="16"/>
          <w:color w:val="auto"/>
        </w:rPr>
      </w:pPr>
    </w:p>
    <w:p>
      <w:pPr>
        <w:ind w:left="2980" w:right="2779" w:hanging="846"/>
        <w:spacing w:after="0" w:line="236" w:lineRule="auto"/>
        <w:tabs>
          <w:tab w:leader="none" w:pos="2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83" w:lineRule="exact"/>
        <w:rPr>
          <w:rFonts w:ascii="Courier New" w:cs="Courier New" w:eastAsia="Courier New" w:hAnsi="Courier New"/>
          <w:sz w:val="16"/>
          <w:szCs w:val="16"/>
          <w:color w:val="auto"/>
        </w:rPr>
      </w:pPr>
    </w:p>
    <w:p>
      <w:pPr>
        <w:ind w:left="2980" w:right="2879" w:hanging="846"/>
        <w:spacing w:after="0" w:line="235" w:lineRule="auto"/>
        <w:tabs>
          <w:tab w:leader="none" w:pos="2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3" w:lineRule="exact"/>
        <w:rPr>
          <w:rFonts w:ascii="Courier New" w:cs="Courier New" w:eastAsia="Courier New" w:hAnsi="Courier New"/>
          <w:sz w:val="16"/>
          <w:szCs w:val="16"/>
          <w:color w:val="auto"/>
        </w:rPr>
      </w:pPr>
    </w:p>
    <w:p>
      <w:pPr>
        <w:ind w:left="2980" w:right="3059" w:hanging="846"/>
        <w:spacing w:after="0" w:line="235" w:lineRule="auto"/>
        <w:tabs>
          <w:tab w:leader="none" w:pos="2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83" w:lineRule="exact"/>
        <w:rPr>
          <w:rFonts w:ascii="Courier New" w:cs="Courier New" w:eastAsia="Courier New" w:hAnsi="Courier New"/>
          <w:sz w:val="16"/>
          <w:szCs w:val="16"/>
          <w:color w:val="auto"/>
        </w:rPr>
      </w:pPr>
    </w:p>
    <w:p>
      <w:pPr>
        <w:ind w:left="2980" w:hanging="846"/>
        <w:spacing w:after="0"/>
        <w:tabs>
          <w:tab w:leader="none" w:pos="29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ability to borrow additional funds.</w:t>
      </w:r>
    </w:p>
    <w:p>
      <w:pPr>
        <w:spacing w:after="0" w:line="199" w:lineRule="exact"/>
        <w:rPr>
          <w:sz w:val="20"/>
          <w:szCs w:val="20"/>
          <w:color w:val="auto"/>
        </w:rPr>
      </w:pPr>
    </w:p>
    <w:p>
      <w:pPr>
        <w:ind w:left="2140" w:right="2779"/>
        <w:spacing w:after="0" w:line="236"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83" w:lineRule="exact"/>
        <w:rPr>
          <w:sz w:val="20"/>
          <w:szCs w:val="20"/>
          <w:color w:val="auto"/>
        </w:rPr>
      </w:pPr>
    </w:p>
    <w:p>
      <w:pPr>
        <w:ind w:left="1300" w:right="3239" w:hanging="747"/>
        <w:spacing w:after="0" w:line="295" w:lineRule="auto"/>
        <w:tabs>
          <w:tab w:leader="none" w:pos="13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SERVICE OUR INDEBTEDNESS, WE WILL REQUIRE A SIGNIFICANT AMOUNT OF CASH, WHICH WE MAY NOT BE ABLE TO GENERATE.</w:t>
      </w:r>
    </w:p>
    <w:p>
      <w:pPr>
        <w:spacing w:after="0" w:line="146" w:lineRule="exact"/>
        <w:rPr>
          <w:rFonts w:ascii="Courier New" w:cs="Courier New" w:eastAsia="Courier New" w:hAnsi="Courier New"/>
          <w:sz w:val="14"/>
          <w:szCs w:val="14"/>
          <w:color w:val="auto"/>
        </w:rPr>
      </w:pPr>
    </w:p>
    <w:p>
      <w:pPr>
        <w:ind w:left="1300" w:right="277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1300" w:right="2879" w:hanging="747"/>
        <w:spacing w:after="0" w:line="234"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3" w:lineRule="exact"/>
        <w:rPr>
          <w:rFonts w:ascii="Courier New" w:cs="Courier New" w:eastAsia="Courier New" w:hAnsi="Courier New"/>
          <w:sz w:val="16"/>
          <w:szCs w:val="16"/>
          <w:color w:val="auto"/>
        </w:rPr>
      </w:pPr>
    </w:p>
    <w:p>
      <w:pPr>
        <w:ind w:left="1300" w:right="28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200" w:lineRule="exact"/>
        <w:rPr>
          <w:rFonts w:ascii="Courier New" w:cs="Courier New" w:eastAsia="Courier New" w:hAnsi="Courier New"/>
          <w:sz w:val="16"/>
          <w:szCs w:val="16"/>
          <w:color w:val="auto"/>
        </w:rPr>
      </w:pPr>
    </w:p>
    <w:p>
      <w:pPr>
        <w:spacing w:after="0" w:line="324" w:lineRule="exact"/>
        <w:rPr>
          <w:rFonts w:ascii="Courier New" w:cs="Courier New" w:eastAsia="Courier New" w:hAnsi="Courier New"/>
          <w:sz w:val="16"/>
          <w:szCs w:val="16"/>
          <w:color w:val="auto"/>
        </w:rPr>
      </w:pPr>
    </w:p>
    <w:p>
      <w:pPr>
        <w:jc w:val="both"/>
        <w:ind w:left="1300" w:right="2879" w:hanging="747"/>
        <w:spacing w:after="0" w:line="235"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w:t>
      </w:r>
    </w:p>
    <w:p>
      <w:pPr>
        <w:sectPr>
          <w:pgSz w:w="11900" w:h="16838" w:orient="portrait"/>
          <w:cols w:equalWidth="0" w:num="1">
            <w:col w:w="9939"/>
          </w:cols>
          <w:pgMar w:left="520" w:top="291" w:right="1440" w:bottom="76" w:gutter="0" w:footer="0" w:header="0"/>
        </w:sectPr>
      </w:pP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939"/>
          </w:cols>
          <w:pgMar w:left="520" w:top="291" w:right="1440" w:bottom="76"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37</w:t>
      </w:r>
    </w:p>
    <w:p>
      <w:pPr>
        <w:spacing w:after="0" w:line="362" w:lineRule="exact"/>
        <w:rPr>
          <w:sz w:val="20"/>
          <w:szCs w:val="20"/>
          <w:color w:val="auto"/>
        </w:rPr>
      </w:pPr>
    </w:p>
    <w:p>
      <w:pPr>
        <w:ind w:left="1300" w:right="2779"/>
        <w:spacing w:after="0" w:line="235" w:lineRule="auto"/>
        <w:rPr>
          <w:sz w:val="20"/>
          <w:szCs w:val="20"/>
          <w:color w:val="auto"/>
        </w:rPr>
      </w:pPr>
      <w:r>
        <w:rPr>
          <w:rFonts w:ascii="Courier New" w:cs="Courier New" w:eastAsia="Courier New" w:hAnsi="Courier New"/>
          <w:sz w:val="16"/>
          <w:szCs w:val="16"/>
          <w:color w:val="auto"/>
        </w:rPr>
        <w:t>condition or related matters. Our inability to collect accounts receivable from any of these customers could also have a material adverse affect.</w:t>
      </w:r>
    </w:p>
    <w:p>
      <w:pPr>
        <w:spacing w:after="0" w:line="183" w:lineRule="exact"/>
        <w:rPr>
          <w:sz w:val="20"/>
          <w:szCs w:val="20"/>
          <w:color w:val="auto"/>
        </w:rPr>
      </w:pPr>
    </w:p>
    <w:p>
      <w:pPr>
        <w:ind w:left="1300" w:right="2779" w:hanging="747"/>
        <w:spacing w:after="0" w:line="235"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OR WE WERE TO TERMINATE THE MARKETING AGREEMENT FOR CONSUMER ROUNDUP(R) PRODUCTS, WE WOULD LOSE A SUBSTANTIAL SOURCE OF FUTURE EARNINGS.</w:t>
      </w:r>
    </w:p>
    <w:p>
      <w:pPr>
        <w:spacing w:after="0" w:line="183" w:lineRule="exact"/>
        <w:rPr>
          <w:rFonts w:ascii="Courier New" w:cs="Courier New" w:eastAsia="Courier New" w:hAnsi="Courier New"/>
          <w:sz w:val="16"/>
          <w:szCs w:val="16"/>
          <w:color w:val="auto"/>
        </w:rPr>
      </w:pPr>
    </w:p>
    <w:p>
      <w:pPr>
        <w:ind w:left="1300"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or if we were to terminate the agreement without appropriate cause,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336" w:lineRule="exact"/>
        <w:rPr>
          <w:rFonts w:ascii="Courier New" w:cs="Courier New" w:eastAsia="Courier New" w:hAnsi="Courier New"/>
          <w:sz w:val="16"/>
          <w:szCs w:val="16"/>
          <w:color w:val="auto"/>
        </w:rPr>
      </w:pPr>
    </w:p>
    <w:p>
      <w:pPr>
        <w:ind w:left="2140" w:hanging="843"/>
        <w:spacing w:after="0"/>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period of three fiscal years; or</w:t>
      </w:r>
    </w:p>
    <w:p>
      <w:pPr>
        <w:spacing w:after="0" w:line="182" w:lineRule="exact"/>
        <w:rPr>
          <w:rFonts w:ascii="Courier New" w:cs="Courier New" w:eastAsia="Courier New" w:hAnsi="Courier New"/>
          <w:sz w:val="16"/>
          <w:szCs w:val="16"/>
          <w:color w:val="auto"/>
        </w:rPr>
      </w:pPr>
    </w:p>
    <w:p>
      <w:pPr>
        <w:ind w:left="2140" w:right="3159" w:hanging="843"/>
        <w:spacing w:after="0" w:line="234" w:lineRule="auto"/>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3" w:lineRule="exact"/>
        <w:rPr>
          <w:rFonts w:ascii="Courier New" w:cs="Courier New" w:eastAsia="Courier New" w:hAnsi="Courier New"/>
          <w:sz w:val="16"/>
          <w:szCs w:val="16"/>
          <w:color w:val="auto"/>
        </w:rPr>
      </w:pPr>
    </w:p>
    <w:p>
      <w:pPr>
        <w:ind w:left="214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82" w:lineRule="exact"/>
        <w:rPr>
          <w:rFonts w:ascii="Courier New" w:cs="Courier New" w:eastAsia="Courier New" w:hAnsi="Courier New"/>
          <w:sz w:val="16"/>
          <w:szCs w:val="16"/>
          <w:color w:val="auto"/>
        </w:rPr>
      </w:pPr>
    </w:p>
    <w:p>
      <w:pPr>
        <w:ind w:left="1300" w:right="2779" w:hanging="747"/>
        <w:spacing w:after="0" w:line="235"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taxes.</w:t>
      </w:r>
    </w:p>
    <w:p>
      <w:pPr>
        <w:spacing w:after="0" w:line="186" w:lineRule="exact"/>
        <w:rPr>
          <w:rFonts w:ascii="Courier New" w:cs="Courier New" w:eastAsia="Courier New" w:hAnsi="Courier New"/>
          <w:sz w:val="16"/>
          <w:szCs w:val="16"/>
          <w:color w:val="auto"/>
        </w:rPr>
      </w:pPr>
    </w:p>
    <w:p>
      <w:pPr>
        <w:ind w:left="1300"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methylene-urea product composition patent, which covers Scotts Turf Builder(R), Scotts Turf Builder(R) with Plus 2(TM) Weed Control and Scotts Turf Builder(R) with Halts(R)</w:t>
      </w:r>
    </w:p>
    <w:p>
      <w:pPr>
        <w:spacing w:after="0" w:line="4"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Crabgrass Preventer, is due to expire in July 2001, which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183" w:lineRule="exact"/>
        <w:rPr>
          <w:rFonts w:ascii="Courier New" w:cs="Courier New" w:eastAsia="Courier New" w:hAnsi="Courier New"/>
          <w:sz w:val="16"/>
          <w:szCs w:val="16"/>
          <w:color w:val="auto"/>
        </w:rPr>
      </w:pPr>
    </w:p>
    <w:p>
      <w:pPr>
        <w:ind w:left="1300" w:right="3239" w:hanging="747"/>
        <w:spacing w:after="0" w:line="234"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THE FORMER MIRACLE-GRO SHAREHOLDERS COULD CONFLICT WITH THOSE OF OUR OTHER SHAREHOLDERS.</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84" w:lineRule="exact"/>
        <w:rPr>
          <w:rFonts w:ascii="Courier New" w:cs="Courier New" w:eastAsia="Courier New" w:hAnsi="Courier New"/>
          <w:sz w:val="16"/>
          <w:szCs w:val="16"/>
          <w:color w:val="auto"/>
        </w:rPr>
      </w:pPr>
    </w:p>
    <w:p>
      <w:pPr>
        <w:ind w:left="1300" w:right="3619" w:hanging="747"/>
        <w:spacing w:after="0" w:line="295" w:lineRule="auto"/>
        <w:tabs>
          <w:tab w:leader="none" w:pos="13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46" w:lineRule="exact"/>
        <w:rPr>
          <w:rFonts w:ascii="Courier New" w:cs="Courier New" w:eastAsia="Courier New" w:hAnsi="Courier New"/>
          <w:sz w:val="14"/>
          <w:szCs w:val="14"/>
          <w:color w:val="auto"/>
        </w:rPr>
      </w:pPr>
    </w:p>
    <w:p>
      <w:pPr>
        <w:ind w:left="130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w:t>
      </w:r>
    </w:p>
    <w:p>
      <w:pPr>
        <w:sectPr>
          <w:pgSz w:w="11900" w:h="16838" w:orient="portrait"/>
          <w:cols w:equalWidth="0" w:num="1">
            <w:col w:w="9939"/>
          </w:cols>
          <w:pgMar w:left="520" w:top="290" w:right="1440" w:bottom="433" w:gutter="0" w:footer="0" w:header="0"/>
        </w:sectPr>
      </w:pPr>
    </w:p>
    <w:p>
      <w:pPr>
        <w:spacing w:after="0" w:line="3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939"/>
          </w:cols>
          <w:pgMar w:left="520" w:top="290" w:right="1440" w:bottom="433"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left="1300" w:right="2779"/>
        <w:spacing w:after="0" w:line="274" w:lineRule="auto"/>
        <w:rPr>
          <w:sz w:val="20"/>
          <w:szCs w:val="20"/>
          <w:color w:val="auto"/>
        </w:rPr>
      </w:pPr>
      <w:r>
        <w:rPr>
          <w:rFonts w:ascii="Courier New" w:cs="Courier New" w:eastAsia="Courier New" w:hAnsi="Courier New"/>
          <w:sz w:val="14"/>
          <w:szCs w:val="14"/>
          <w:color w:val="auto"/>
        </w:rPr>
        <w:t>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64"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344"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346" w:lineRule="exact"/>
        <w:rPr>
          <w:sz w:val="20"/>
          <w:szCs w:val="20"/>
          <w:color w:val="auto"/>
        </w:rPr>
      </w:pPr>
    </w:p>
    <w:p>
      <w:pPr>
        <w:ind w:left="1300" w:right="2779"/>
        <w:spacing w:after="0" w:line="236"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materially impact our results of operations, financial position or cash flows.</w:t>
      </w:r>
    </w:p>
    <w:p>
      <w:pPr>
        <w:spacing w:after="0" w:line="191"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 See Item 1. "Legal Proceedings" for a more complete summary of current legal and environmental matters.</w:t>
      </w:r>
    </w:p>
    <w:p>
      <w:pPr>
        <w:spacing w:after="0" w:line="344" w:lineRule="exact"/>
        <w:rPr>
          <w:sz w:val="20"/>
          <w:szCs w:val="20"/>
          <w:color w:val="auto"/>
        </w:rPr>
      </w:pPr>
    </w:p>
    <w:p>
      <w:pPr>
        <w:ind w:left="1300" w:right="2879"/>
        <w:spacing w:after="0" w:line="273" w:lineRule="auto"/>
        <w:rPr>
          <w:sz w:val="20"/>
          <w:szCs w:val="20"/>
          <w:color w:val="auto"/>
        </w:rPr>
      </w:pPr>
      <w:r>
        <w:rPr>
          <w:rFonts w:ascii="Courier New" w:cs="Courier New" w:eastAsia="Courier New" w:hAnsi="Courier New"/>
          <w:sz w:val="14"/>
          <w:szCs w:val="14"/>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w:t>
      </w:r>
    </w:p>
    <w:p>
      <w:pPr>
        <w:sectPr>
          <w:pgSz w:w="11900" w:h="16838" w:orient="portrait"/>
          <w:cols w:equalWidth="0" w:num="1">
            <w:col w:w="9939"/>
          </w:cols>
          <w:pgMar w:left="520" w:top="291" w:right="1440" w:bottom="0" w:gutter="0" w:footer="0" w:header="0"/>
        </w:sectPr>
      </w:pPr>
    </w:p>
    <w:bookmarkStart w:id="44" w:name="page45"/>
    <w:bookmarkEnd w:id="44"/>
    <w:p>
      <w:pPr>
        <w:ind w:left="380" w:right="2779"/>
        <w:spacing w:after="0" w:line="234" w:lineRule="auto"/>
        <w:rPr>
          <w:sz w:val="20"/>
          <w:szCs w:val="20"/>
          <w:color w:val="auto"/>
        </w:rPr>
      </w:pPr>
      <w:r>
        <w:rPr>
          <w:rFonts w:ascii="Courier New" w:cs="Courier New" w:eastAsia="Courier New" w:hAnsi="Courier New"/>
          <w:sz w:val="16"/>
          <w:szCs w:val="16"/>
          <w:color w:val="auto"/>
        </w:rPr>
        <w:t>capital expenditures and other environmental expenses, it could adversely affect our financial results.</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019"/>
          </w:cols>
          <w:pgMar w:left="1440" w:top="14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39</w:t>
      </w:r>
    </w:p>
    <w:p>
      <w:pPr>
        <w:spacing w:after="0" w:line="4" w:lineRule="exact"/>
        <w:rPr>
          <w:sz w:val="20"/>
          <w:szCs w:val="20"/>
          <w:color w:val="auto"/>
        </w:rPr>
      </w:pPr>
    </w:p>
    <w:p>
      <w:pPr>
        <w:ind w:left="1300" w:right="2959" w:hanging="747"/>
        <w:spacing w:after="0" w:line="235" w:lineRule="auto"/>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178" w:lineRule="exact"/>
        <w:rPr>
          <w:rFonts w:ascii="Courier New" w:cs="Courier New" w:eastAsia="Courier New" w:hAnsi="Courier New"/>
          <w:sz w:val="16"/>
          <w:szCs w:val="16"/>
          <w:color w:val="auto"/>
        </w:rPr>
      </w:pPr>
    </w:p>
    <w:p>
      <w:pPr>
        <w:ind w:left="2140" w:hanging="750"/>
        <w:spacing w:after="0"/>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82" w:lineRule="exact"/>
        <w:rPr>
          <w:rFonts w:ascii="Courier New" w:cs="Courier New" w:eastAsia="Courier New" w:hAnsi="Courier New"/>
          <w:sz w:val="16"/>
          <w:szCs w:val="16"/>
          <w:color w:val="auto"/>
        </w:rPr>
      </w:pPr>
    </w:p>
    <w:p>
      <w:pPr>
        <w:ind w:left="2140" w:right="3059" w:hanging="750"/>
        <w:spacing w:after="0" w:line="234" w:lineRule="auto"/>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3" w:lineRule="exact"/>
        <w:rPr>
          <w:rFonts w:ascii="Courier New" w:cs="Courier New" w:eastAsia="Courier New" w:hAnsi="Courier New"/>
          <w:sz w:val="16"/>
          <w:szCs w:val="16"/>
          <w:color w:val="auto"/>
        </w:rPr>
      </w:pPr>
    </w:p>
    <w:p>
      <w:pPr>
        <w:ind w:left="2140" w:right="2959" w:hanging="750"/>
        <w:spacing w:after="0" w:line="234" w:lineRule="auto"/>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83" w:lineRule="exact"/>
        <w:rPr>
          <w:rFonts w:ascii="Courier New" w:cs="Courier New" w:eastAsia="Courier New" w:hAnsi="Courier New"/>
          <w:sz w:val="16"/>
          <w:szCs w:val="16"/>
          <w:color w:val="auto"/>
        </w:rPr>
      </w:pPr>
    </w:p>
    <w:p>
      <w:pPr>
        <w:ind w:left="2140" w:right="2779" w:hanging="750"/>
        <w:spacing w:after="0" w:line="234" w:lineRule="auto"/>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83" w:lineRule="exact"/>
        <w:rPr>
          <w:rFonts w:ascii="Courier New" w:cs="Courier New" w:eastAsia="Courier New" w:hAnsi="Courier New"/>
          <w:sz w:val="16"/>
          <w:szCs w:val="16"/>
          <w:color w:val="auto"/>
        </w:rPr>
      </w:pPr>
    </w:p>
    <w:p>
      <w:pPr>
        <w:ind w:left="2140" w:right="3059" w:hanging="750"/>
        <w:spacing w:after="0" w:line="234" w:lineRule="auto"/>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3" w:lineRule="exact"/>
        <w:rPr>
          <w:sz w:val="20"/>
          <w:szCs w:val="20"/>
          <w:color w:val="auto"/>
        </w:rPr>
      </w:pPr>
    </w:p>
    <w:p>
      <w:pPr>
        <w:ind w:left="1300" w:right="3059"/>
        <w:spacing w:after="0" w:line="235"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183" w:lineRule="exact"/>
        <w:rPr>
          <w:sz w:val="20"/>
          <w:szCs w:val="20"/>
          <w:color w:val="auto"/>
        </w:rPr>
      </w:pPr>
    </w:p>
    <w:p>
      <w:pPr>
        <w:ind w:left="1300" w:right="2779" w:hanging="747"/>
        <w:spacing w:after="0" w:line="234" w:lineRule="auto"/>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EXPERIENCE DIFFICULTIES WITH OUR IMPLEMENTATION OF SAP THAT COULD ADVERSELY AFFECT OUR OPERATIONS.</w:t>
      </w:r>
    </w:p>
    <w:p>
      <w:pPr>
        <w:spacing w:after="0" w:line="183" w:lineRule="exact"/>
        <w:rPr>
          <w:rFonts w:ascii="Courier New" w:cs="Courier New" w:eastAsia="Courier New" w:hAnsi="Courier New"/>
          <w:sz w:val="16"/>
          <w:szCs w:val="16"/>
          <w:color w:val="auto"/>
        </w:rPr>
      </w:pPr>
    </w:p>
    <w:p>
      <w:pPr>
        <w:ind w:left="1300"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Our implementation of SAP is in progress and is currently being utilized to provide information to three of our North American business groups. While the implementation has not created business interruption to this point, there can be no assurance that we will not experience difficulties in the remainder of the implementation process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939"/>
          </w:cols>
          <w:pgMar w:left="520" w:top="29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40</w:t>
      </w:r>
    </w:p>
    <w:p>
      <w:pPr>
        <w:ind w:left="2500"/>
        <w:spacing w:after="0" w:line="236" w:lineRule="auto"/>
        <w:rPr>
          <w:sz w:val="20"/>
          <w:szCs w:val="20"/>
          <w:color w:val="auto"/>
        </w:rPr>
      </w:pPr>
      <w:r>
        <w:rPr>
          <w:rFonts w:ascii="Courier New" w:cs="Courier New" w:eastAsia="Courier New" w:hAnsi="Courier New"/>
          <w:sz w:val="16"/>
          <w:szCs w:val="16"/>
          <w:color w:val="auto"/>
        </w:rPr>
        <w:t>PART II - OTHER INFORMATION</w:t>
      </w:r>
    </w:p>
    <w:p>
      <w:pPr>
        <w:spacing w:after="0" w:line="17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362" w:lineRule="exact"/>
        <w:rPr>
          <w:sz w:val="20"/>
          <w:szCs w:val="20"/>
          <w:color w:val="auto"/>
        </w:rPr>
      </w:pPr>
    </w:p>
    <w:p>
      <w:pPr>
        <w:ind w:left="1660" w:right="2779"/>
        <w:spacing w:after="0" w:line="235" w:lineRule="auto"/>
        <w:rPr>
          <w:sz w:val="20"/>
          <w:szCs w:val="20"/>
          <w:color w:val="auto"/>
        </w:rPr>
      </w:pPr>
      <w:r>
        <w:rPr>
          <w:rFonts w:ascii="Courier New" w:cs="Courier New" w:eastAsia="Courier New" w:hAnsi="Courier New"/>
          <w:sz w:val="16"/>
          <w:szCs w:val="16"/>
          <w:color w:val="auto"/>
        </w:rPr>
        <w:t>As noted in Note 10 to the Company's unaudited Condensed, Consolidated Financial Statements as of and for the period ended July 1, 2000, the Company is involved in several pending legal and environmental matters. Pending other material legal proceedings are as follows:</w:t>
      </w:r>
    </w:p>
    <w:p>
      <w:pPr>
        <w:spacing w:after="0" w:line="186"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Rhone-Poulenc, S.A., Rhone-Poulenc Agro S.A. and Hoechst, A.G.</w:t>
      </w:r>
    </w:p>
    <w:p>
      <w:pPr>
        <w:spacing w:after="0" w:line="199" w:lineRule="exact"/>
        <w:rPr>
          <w:sz w:val="20"/>
          <w:szCs w:val="20"/>
          <w:color w:val="auto"/>
        </w:rPr>
      </w:pPr>
    </w:p>
    <w:p>
      <w:pPr>
        <w:ind w:left="1660" w:right="2779"/>
        <w:spacing w:after="0" w:line="236" w:lineRule="auto"/>
        <w:rPr>
          <w:sz w:val="20"/>
          <w:szCs w:val="20"/>
          <w:color w:val="auto"/>
        </w:rPr>
      </w:pPr>
      <w:r>
        <w:rPr>
          <w:rFonts w:ascii="Courier New" w:cs="Courier New" w:eastAsia="Courier New" w:hAnsi="Courier New"/>
          <w:sz w:val="16"/>
          <w:szCs w:val="16"/>
          <w:color w:val="auto"/>
        </w:rPr>
        <w:t>On October 15, 1999, Scotts began arbitration proceedings before the International Chamber of Commerce against Rhone-Poulenc S.A. and Rhone-Poulenc Agro S.A. (collectively, "Rhone-Poulenc") under arbitration provisions contained in contracts relating to the purchase by Scotts of Rhone-Poulenc's European lawn and garden business, Rhone-Poulenc Jardin, in 1998. Scotts alleges that the combination of Rhone-Poulenc and Hoechst Schering AgrEvo GmbH into a new entity, Aventis S.A., will result in the violation of non-compete and other provisions in the contracts mentioned above. In the arbitration proceedings, Scotts is seeking injunctive relief as well as an award of damages.</w:t>
      </w:r>
    </w:p>
    <w:p>
      <w:pPr>
        <w:spacing w:after="0" w:line="187" w:lineRule="exact"/>
        <w:rPr>
          <w:sz w:val="20"/>
          <w:szCs w:val="20"/>
          <w:color w:val="auto"/>
        </w:rPr>
      </w:pPr>
    </w:p>
    <w:p>
      <w:pPr>
        <w:ind w:left="1660" w:right="2879"/>
        <w:spacing w:after="0" w:line="235" w:lineRule="auto"/>
        <w:rPr>
          <w:sz w:val="20"/>
          <w:szCs w:val="20"/>
          <w:color w:val="auto"/>
        </w:rPr>
      </w:pPr>
      <w:r>
        <w:rPr>
          <w:rFonts w:ascii="Courier New" w:cs="Courier New" w:eastAsia="Courier New" w:hAnsi="Courier New"/>
          <w:sz w:val="16"/>
          <w:szCs w:val="16"/>
          <w:color w:val="auto"/>
        </w:rPr>
        <w:t>On January 7, 2000, the tribunal issued a segregated Record Agreement and Order requiring Aventis S.A., Rhone-Poulenc and any affiliate or entity controlled by Aventis S.A. or Rhone-Poulenc to maintain a segregated record of select sales of certain products.</w:t>
      </w:r>
    </w:p>
    <w:p>
      <w:pPr>
        <w:spacing w:after="0" w:line="186" w:lineRule="exact"/>
        <w:rPr>
          <w:sz w:val="20"/>
          <w:szCs w:val="20"/>
          <w:color w:val="auto"/>
        </w:rPr>
      </w:pPr>
    </w:p>
    <w:p>
      <w:pPr>
        <w:ind w:left="1660" w:right="2779"/>
        <w:spacing w:after="0" w:line="273" w:lineRule="auto"/>
        <w:rPr>
          <w:sz w:val="20"/>
          <w:szCs w:val="20"/>
          <w:color w:val="auto"/>
        </w:rPr>
      </w:pPr>
      <w:r>
        <w:rPr>
          <w:rFonts w:ascii="Courier New" w:cs="Courier New" w:eastAsia="Courier New" w:hAnsi="Courier New"/>
          <w:sz w:val="14"/>
          <w:szCs w:val="14"/>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United States District Court for the Southern District of Ohio. On December 8, 1999, Scotts requested that this action be stayed pending the outcome of the arbitration proceedings.</w:t>
      </w:r>
    </w:p>
    <w:p>
      <w:pPr>
        <w:spacing w:after="0" w:line="33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Scotts v. AgrEvo USA Company</w:t>
      </w:r>
    </w:p>
    <w:p>
      <w:pPr>
        <w:spacing w:after="0" w:line="183" w:lineRule="exact"/>
        <w:rPr>
          <w:sz w:val="20"/>
          <w:szCs w:val="20"/>
          <w:color w:val="auto"/>
        </w:rPr>
      </w:pPr>
    </w:p>
    <w:p>
      <w:pPr>
        <w:ind w:left="1660" w:right="2879"/>
        <w:spacing w:after="0" w:line="270" w:lineRule="auto"/>
        <w:rPr>
          <w:sz w:val="20"/>
          <w:szCs w:val="20"/>
          <w:color w:val="auto"/>
        </w:rPr>
      </w:pPr>
      <w:r>
        <w:rPr>
          <w:rFonts w:ascii="Courier New" w:cs="Courier New" w:eastAsia="Courier New" w:hAnsi="Courier New"/>
          <w:sz w:val="14"/>
          <w:szCs w:val="14"/>
          <w:color w:val="auto"/>
        </w:rPr>
        <w:t>The Scotts Company filed suit against AgrEvo USA Company on August 8, 2000 in the Court of Common Pleas for Union County, Ohio, alleging breach of contract relating to an Agreement dated June 22, 1998 entitled "Exclusive Distributor Agreement</w:t>
      </w:r>
    </w:p>
    <w:p>
      <w:pPr>
        <w:spacing w:after="0" w:line="2" w:lineRule="exact"/>
        <w:rPr>
          <w:sz w:val="20"/>
          <w:szCs w:val="20"/>
          <w:color w:val="auto"/>
        </w:rPr>
      </w:pPr>
    </w:p>
    <w:p>
      <w:pPr>
        <w:ind w:left="1660" w:right="2879" w:firstLine="10"/>
        <w:spacing w:after="0" w:line="274" w:lineRule="auto"/>
        <w:tabs>
          <w:tab w:leader="none" w:pos="1846"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Horticulture". The action seeks an unspecified amount of damages resulting from AgrEvo's breaches of the Agreement, an order of specific performance directing AgrEvo to comply with its obligations under the Agreement, a declaratory judgment that Scotts' future performance under the Agreement is waived as a result of AgrEvo's failure to perform, and such other relief to which Scotts might be entitled.</w:t>
      </w:r>
    </w:p>
    <w:p>
      <w:pPr>
        <w:spacing w:after="0" w:line="164" w:lineRule="exact"/>
        <w:rPr>
          <w:sz w:val="20"/>
          <w:szCs w:val="20"/>
          <w:color w:val="auto"/>
        </w:rPr>
      </w:pPr>
    </w:p>
    <w:p>
      <w:pPr>
        <w:ind w:left="1660" w:right="2779"/>
        <w:spacing w:after="0" w:line="235" w:lineRule="auto"/>
        <w:rPr>
          <w:sz w:val="20"/>
          <w:szCs w:val="20"/>
          <w:color w:val="auto"/>
        </w:rPr>
      </w:pPr>
      <w:r>
        <w:rPr>
          <w:rFonts w:ascii="Courier New" w:cs="Courier New" w:eastAsia="Courier New" w:hAnsi="Courier New"/>
          <w:sz w:val="16"/>
          <w:szCs w:val="16"/>
          <w:color w:val="auto"/>
        </w:rPr>
        <w:t>Scotts is involved in other lawsuits and claims which arise in the normal course of its business. In the opinion of management, these claims individually and in the aggregate are not expected to result in a material adverse effect on Scotts' financial position or operations.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41</w:t>
      </w:r>
    </w:p>
    <w:p>
      <w:pPr>
        <w:spacing w:after="0"/>
        <w:tabs>
          <w:tab w:leader="none" w:pos="15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83" w:lineRule="exact"/>
        <w:rPr>
          <w:sz w:val="20"/>
          <w:szCs w:val="20"/>
          <w:color w:val="auto"/>
        </w:rPr>
      </w:pPr>
    </w:p>
    <w:p>
      <w:pPr>
        <w:ind w:left="1940" w:right="3159" w:hanging="363"/>
        <w:spacing w:after="0" w:line="234" w:lineRule="auto"/>
        <w:tabs>
          <w:tab w:leader="none" w:pos="19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43 for a list of the exhibits included herewith.</w:t>
      </w:r>
    </w:p>
    <w:p>
      <w:pPr>
        <w:spacing w:after="0" w:line="183" w:lineRule="exact"/>
        <w:rPr>
          <w:rFonts w:ascii="Courier New" w:cs="Courier New" w:eastAsia="Courier New" w:hAnsi="Courier New"/>
          <w:sz w:val="16"/>
          <w:szCs w:val="16"/>
          <w:color w:val="auto"/>
        </w:rPr>
      </w:pPr>
    </w:p>
    <w:p>
      <w:pPr>
        <w:ind w:left="1940" w:right="2779" w:hanging="363"/>
        <w:spacing w:after="0" w:line="234" w:lineRule="auto"/>
        <w:tabs>
          <w:tab w:leader="none" w:pos="19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no Current Reports on Form 8-K for the quarter covered by this Report.</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42</w:t>
      </w:r>
    </w:p>
    <w:p>
      <w:pPr>
        <w:spacing w:after="0" w:line="35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SIGNATURES</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351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29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August 15, 2000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L. NAGEL</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Corporate</w:t>
      </w:r>
    </w:p>
    <w:p>
      <w:pPr>
        <w:spacing w:after="0" w:line="236" w:lineRule="auto"/>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3360" w:space="720"/>
            <w:col w:w="6139"/>
          </w:cols>
          <w:pgMar w:left="240" w:top="291" w:right="1440" w:bottom="1440" w:gutter="0" w:footer="0" w:header="0"/>
          <w:type w:val="continuous"/>
        </w:sect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19"/>
          </w:cols>
          <w:pgMar w:left="240" w:top="291"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43</w:t>
      </w:r>
    </w:p>
    <w:p>
      <w:pPr>
        <w:ind w:left="2880"/>
        <w:spacing w:after="0" w:line="236" w:lineRule="auto"/>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QUARTERLY REPORT ON FORM 10-Q FOR</w:t>
      </w:r>
    </w:p>
    <w:p>
      <w:pPr>
        <w:spacing w:after="0" w:line="2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FISCAL QUARTER ENDED JULY 1, 2000</w:t>
      </w:r>
    </w:p>
    <w:p>
      <w:pPr>
        <w:spacing w:after="0" w:line="19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780"/>
          </w:cols>
          <w:pgMar w:left="240" w:top="291" w:right="8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PAGE</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280" w:space="720"/>
            <w:col w:w="5320" w:space="720"/>
            <w:col w:w="740"/>
          </w:cols>
          <w:pgMar w:left="240" w:top="291" w:right="87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2(e)(i)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2340"/>
        <w:spacing w:after="0" w:line="235" w:lineRule="auto"/>
        <w:rPr>
          <w:sz w:val="20"/>
          <w:szCs w:val="20"/>
          <w:color w:val="auto"/>
        </w:rPr>
      </w:pPr>
      <w:r>
        <w:rPr>
          <w:rFonts w:ascii="Courier New" w:cs="Courier New" w:eastAsia="Courier New" w:hAnsi="Courier New"/>
          <w:sz w:val="16"/>
          <w:szCs w:val="16"/>
          <w:color w:val="auto"/>
        </w:rPr>
        <w:t>U.S. Asset Purchase Agreement dated as of March 29, 2000 by and among The Andersons, Inc. and The Andersons Agriservices, Inc., as buyers, and The Scotts Company and OMS Investments, Inc., as sellers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12" w:lineRule="exact"/>
        <w:rPr>
          <w:sz w:val="20"/>
          <w:szCs w:val="20"/>
          <w:color w:val="auto"/>
        </w:rPr>
      </w:pPr>
    </w:p>
    <w:p>
      <w:pPr>
        <w:sectPr>
          <w:pgSz w:w="11900" w:h="16838" w:orient="portrait"/>
          <w:cols w:equalWidth="0" w:num="3">
            <w:col w:w="860" w:space="720"/>
            <w:col w:w="8200" w:space="720"/>
            <w:col w:w="280"/>
          </w:cols>
          <w:pgMar w:left="240" w:top="291" w:right="8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2(e)(ii)</w:t>
      </w:r>
    </w:p>
    <w:p>
      <w:pPr>
        <w:spacing w:after="0" w:line="20" w:lineRule="exact"/>
        <w:rPr>
          <w:sz w:val="20"/>
          <w:szCs w:val="20"/>
          <w:color w:val="auto"/>
        </w:rPr>
      </w:pPr>
      <w:r>
        <w:rPr>
          <w:sz w:val="20"/>
          <w:szCs w:val="20"/>
          <w:color w:val="auto"/>
        </w:rPr>
        <w:br w:type="column"/>
      </w:r>
    </w:p>
    <w:p>
      <w:pPr>
        <w:ind w:right="2340"/>
        <w:spacing w:after="0" w:line="235" w:lineRule="auto"/>
        <w:rPr>
          <w:sz w:val="20"/>
          <w:szCs w:val="20"/>
          <w:color w:val="auto"/>
        </w:rPr>
      </w:pPr>
      <w:r>
        <w:rPr>
          <w:rFonts w:ascii="Courier New" w:cs="Courier New" w:eastAsia="Courier New" w:hAnsi="Courier New"/>
          <w:sz w:val="16"/>
          <w:szCs w:val="16"/>
          <w:color w:val="auto"/>
        </w:rPr>
        <w:t>Canadian Asset Purchase Agreement dated as of March 29, 2000 by and among The Nu-Gro Corporation, as buyer, and The Scotts Company and OMS Investments, Inc., as sellers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34" w:lineRule="exact"/>
        <w:rPr>
          <w:sz w:val="20"/>
          <w:szCs w:val="20"/>
          <w:color w:val="auto"/>
        </w:rPr>
      </w:pPr>
    </w:p>
    <w:p>
      <w:pPr>
        <w:sectPr>
          <w:pgSz w:w="11900" w:h="16838" w:orient="portrait"/>
          <w:cols w:equalWidth="0" w:num="3">
            <w:col w:w="860" w:space="720"/>
            <w:col w:w="8200" w:space="720"/>
            <w:col w:w="280"/>
          </w:cols>
          <w:pgMar w:left="240" w:top="291" w:right="8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4(i)</w:t>
      </w:r>
    </w:p>
    <w:p>
      <w:pPr>
        <w:spacing w:after="0" w:line="20" w:lineRule="exact"/>
        <w:rPr>
          <w:sz w:val="20"/>
          <w:szCs w:val="20"/>
          <w:color w:val="auto"/>
        </w:rPr>
      </w:pPr>
      <w:r>
        <w:rPr>
          <w:sz w:val="20"/>
          <w:szCs w:val="20"/>
          <w:color w:val="auto"/>
        </w:rPr>
        <w:br w:type="column"/>
      </w:r>
    </w:p>
    <w:p>
      <w:pPr>
        <w:ind w:right="2340"/>
        <w:spacing w:after="0" w:line="272" w:lineRule="auto"/>
        <w:rPr>
          <w:sz w:val="20"/>
          <w:szCs w:val="20"/>
          <w:color w:val="auto"/>
        </w:rPr>
      </w:pPr>
      <w:r>
        <w:rPr>
          <w:rFonts w:ascii="Courier New" w:cs="Courier New" w:eastAsia="Courier New" w:hAnsi="Courier New"/>
          <w:sz w:val="14"/>
          <w:szCs w:val="14"/>
          <w:color w:val="auto"/>
        </w:rPr>
        <w:t>Amendment No. 2, dated as of June 9, 2000, to the Credit Agreement, dated as of December 4, 1998, as amended by the Waiver, dated as of January 19, 1999, the Amendment No. 1 and Consent, dated as of October 13, 1999, and the Waiver No. 2, dated as of February 14, 2000,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Chicago Branch and Bank One, Michigan, as successor to NBD Bank, as Co-Documentation Agents; and Chase Securities Inc., as Lead Arranger and Book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260" w:lineRule="exact"/>
        <w:rPr>
          <w:sz w:val="20"/>
          <w:szCs w:val="20"/>
          <w:color w:val="auto"/>
        </w:rPr>
      </w:pPr>
    </w:p>
    <w:p>
      <w:pPr>
        <w:sectPr>
          <w:pgSz w:w="11900" w:h="16838" w:orient="portrait"/>
          <w:cols w:equalWidth="0" w:num="3">
            <w:col w:w="860" w:space="720"/>
            <w:col w:w="8200" w:space="720"/>
            <w:col w:w="280"/>
          </w:cols>
          <w:pgMar w:left="240" w:top="291" w:right="87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780"/>
          </w:cols>
          <w:pgMar w:left="240" w:top="291" w:right="879"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780"/>
          </w:cols>
          <w:pgMar w:left="240" w:top="297" w:right="879"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PAGE</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280" w:space="720"/>
            <w:col w:w="5320" w:space="720"/>
            <w:col w:w="740"/>
          </w:cols>
          <w:pgMar w:left="240" w:top="297" w:right="87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6"/>
          <w:szCs w:val="16"/>
          <w:color w:val="auto"/>
        </w:rPr>
        <w:t>Specimen form of Stock Option Agreement for Non-Qualified Stock Options granted to employees under The Scotts Company 1996 Stock Option Plan (as amended through August 1, 2000)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4" w:lineRule="exact"/>
        <w:rPr>
          <w:sz w:val="20"/>
          <w:szCs w:val="20"/>
          <w:color w:val="auto"/>
        </w:rPr>
      </w:pPr>
    </w:p>
    <w:p>
      <w:pPr>
        <w:sectPr>
          <w:pgSz w:w="11900" w:h="16838" w:orient="portrait"/>
          <w:cols w:equalWidth="0" w:num="3">
            <w:col w:w="860" w:space="720"/>
            <w:col w:w="8200" w:space="720"/>
            <w:col w:w="280"/>
          </w:cols>
          <w:pgMar w:left="240" w:top="297" w:right="8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860" w:space="720"/>
            <w:col w:w="8200" w:space="720"/>
            <w:col w:w="280"/>
          </w:cols>
          <w:pgMar w:left="240" w:top="297" w:right="87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Previously filed</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w:t>
      </w:r>
    </w:p>
    <w:sectPr>
      <w:pgSz w:w="11900" w:h="16838" w:orient="portrait"/>
      <w:cols w:equalWidth="0" w:num="1">
        <w:col w:w="10780"/>
      </w:cols>
      <w:pgMar w:left="240" w:top="297"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lowerRoman"/>
      <w:start w:val="3"/>
    </w:lvl>
  </w:abstractNum>
  <w:abstractNum w:abstractNumId="12">
    <w:nsid w:val="7C83E458"/>
    <w:multiLevelType w:val="hybridMultilevel"/>
    <w:lvl w:ilvl="0">
      <w:lvlJc w:val="left"/>
      <w:lvlText w:val="(%1)"/>
      <w:numFmt w:val="lowerRoman"/>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lvl w:ilvl="1">
      <w:lvlJc w:val="left"/>
      <w:lvlText w:val="-"/>
      <w:numFmt w:val="bullet"/>
      <w:start w:val="1"/>
    </w:lvl>
  </w:abstractNum>
  <w:abstractNum w:abstractNumId="21">
    <w:nsid w:val="6763845E"/>
    <w:multiLevelType w:val="hybridMultilevel"/>
    <w:lvl w:ilvl="0">
      <w:lvlJc w:val="left"/>
      <w:lvlText w:val="-"/>
      <w:numFmt w:val="bullet"/>
      <w:start w:val="1"/>
    </w:lvl>
    <w:lvl w:ilvl="1">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2019-12-20T06:13:04Z</dcterms:created>
  <dcterms:modified xsi:type="dcterms:W3CDTF">2019-12-20T06:13:04Z</dcterms:modified>
</cp:coreProperties>
</file>