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81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SCOTTS MIRACLE-GRO CO</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w:t>
      </w: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COMMON STOCK</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w:t>
      </w: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810186106</w:t>
      </w:r>
    </w:p>
    <w:p>
      <w:pPr>
        <w:ind w:left="200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ind w:left="28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December 31, 2007</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w:t>
      </w:r>
    </w:p>
    <w:p>
      <w:pPr>
        <w:ind w:left="74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2640" w:right="5579" w:firstLine="2"/>
        <w:spacing w:after="0" w:line="279" w:lineRule="auto"/>
        <w:tabs>
          <w:tab w:leader="none" w:pos="30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 ] Rule 13d - 1(c) [ ] Rule 13d - 1(d)</w:t>
      </w:r>
    </w:p>
    <w:p>
      <w:pPr>
        <w:spacing w:after="0" w:line="178" w:lineRule="exact"/>
        <w:rPr>
          <w:rFonts w:ascii="Courier New" w:cs="Courier New" w:eastAsia="Courier New" w:hAnsi="Courier New"/>
          <w:sz w:val="16"/>
          <w:szCs w:val="16"/>
          <w:color w:val="auto"/>
        </w:rPr>
      </w:pPr>
    </w:p>
    <w:p>
      <w:pPr>
        <w:jc w:val="both"/>
        <w:ind w:right="29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w w:val="99"/>
              </w:rPr>
              <w:t>-----------------</w:t>
            </w:r>
          </w:p>
        </w:tc>
        <w:tc>
          <w:tcPr>
            <w:tcW w:w="148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w:t>
            </w:r>
          </w:p>
        </w:tc>
        <w:tc>
          <w:tcPr>
            <w:tcW w:w="1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No</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13G</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Page 2 of 5</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810186106</w:t>
            </w: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spacing w:after="0"/>
              <w:rPr>
                <w:sz w:val="17"/>
                <w:szCs w:val="17"/>
                <w:color w:val="auto"/>
              </w:rPr>
            </w:pP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8"/>
          <w:szCs w:val="18"/>
          <w:color w:val="auto"/>
        </w:rPr>
      </w:pPr>
    </w:p>
    <w:p>
      <w:pPr>
        <w:ind w:left="740" w:right="4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Columbia Wanger Asset Management, L.P.</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04-3519872</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1160" w:hanging="415"/>
        <w:spacing w:after="0" w:line="238" w:lineRule="auto"/>
        <w:tabs>
          <w:tab w:leader="none" w:pos="11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55" w:orient="portrait"/>
          <w:cols w:equalWidth="0" w:num="1">
            <w:col w:w="10219"/>
          </w:cols>
          <w:pgMar w:left="240" w:top="244" w:right="1440" w:bottom="0" w:gutter="0" w:footer="0" w:header="0"/>
        </w:sectPr>
      </w:pPr>
    </w:p>
    <w:bookmarkStart w:id="1" w:name="page2"/>
    <w:bookmarkEnd w:id="1"/>
    <w:p>
      <w:pPr>
        <w:jc w:val="center"/>
        <w:ind w:right="399"/>
        <w:spacing w:after="0"/>
        <w:rPr>
          <w:sz w:val="20"/>
          <w:szCs w:val="20"/>
          <w:color w:val="auto"/>
        </w:rPr>
      </w:pPr>
      <w:r>
        <w:rPr>
          <w:rFonts w:ascii="Courier New" w:cs="Courier New" w:eastAsia="Courier New" w:hAnsi="Courier New"/>
          <w:sz w:val="18"/>
          <w:szCs w:val="18"/>
          <w:color w:val="auto"/>
        </w:rPr>
        <w:t>(b) [ ]</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Delaware</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3,421,800</w:t>
      </w:r>
    </w:p>
    <w:p>
      <w:pPr>
        <w:ind w:left="1900" w:hanging="312"/>
        <w:spacing w:after="0" w:line="237"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 OF</w:t>
      </w:r>
    </w:p>
    <w:p>
      <w:pPr>
        <w:jc w:val="center"/>
        <w:ind w:right="8739"/>
        <w:spacing w:after="0"/>
        <w:rPr>
          <w:sz w:val="20"/>
          <w:szCs w:val="20"/>
          <w:color w:val="auto"/>
        </w:rPr>
      </w:pPr>
      <w:r>
        <w:rPr>
          <w:rFonts w:ascii="Courier New" w:cs="Courier New" w:eastAsia="Courier New" w:hAnsi="Courier New"/>
          <w:sz w:val="18"/>
          <w:szCs w:val="18"/>
          <w:color w:val="auto"/>
        </w:rPr>
        <w:t>SHARES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BENEFICIALLY</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OWNED BY EACH</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REPORTING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2"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220,000</w:t>
      </w:r>
    </w:p>
    <w:p>
      <w:pPr>
        <w:ind w:left="1900" w:hanging="312"/>
        <w:spacing w:after="0"/>
        <w:tabs>
          <w:tab w:leader="none" w:pos="19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7  SOLE DISPOSITIVE</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3,641,800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620" w:type="dxa"/>
            <w:vAlign w:val="bottom"/>
          </w:tcPr>
          <w:p>
            <w:pPr>
              <w:spacing w:after="0"/>
              <w:rPr>
                <w:sz w:val="17"/>
                <w:szCs w:val="17"/>
                <w:color w:val="auto"/>
              </w:rPr>
            </w:pPr>
          </w:p>
        </w:tc>
      </w:tr>
    </w:tbl>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580" w:right="6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740" w:right="43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9AGGREGATE AMOUNT BENEFICIALLY OWNED BY EACH REPORTING PERSON</w:t>
      </w:r>
    </w:p>
    <w:p>
      <w:pPr>
        <w:ind w:left="4960"/>
        <w:spacing w:after="0"/>
        <w:rPr>
          <w:sz w:val="20"/>
          <w:szCs w:val="20"/>
          <w:color w:val="auto"/>
        </w:rPr>
      </w:pPr>
      <w:r>
        <w:rPr>
          <w:rFonts w:ascii="Courier New" w:cs="Courier New" w:eastAsia="Courier New" w:hAnsi="Courier New"/>
          <w:sz w:val="18"/>
          <w:szCs w:val="18"/>
          <w:color w:val="auto"/>
        </w:rPr>
        <w:t>3,641,800</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740" w:right="43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IF THE AGGREGATE AMOUNT IN ROW (9) EXCLUDES CERTAIN SHARES*</w:t>
      </w:r>
    </w:p>
    <w:p>
      <w:pPr>
        <w:spacing w:after="0" w:line="203" w:lineRule="exact"/>
        <w:rPr>
          <w:sz w:val="20"/>
          <w:szCs w:val="20"/>
          <w:color w:val="auto"/>
        </w:rPr>
      </w:pPr>
    </w:p>
    <w:p>
      <w:pPr>
        <w:ind w:left="548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5.67%</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SCOTTS MIRACLE-GRO CO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14111 Scottslawn Road</w:t>
      </w:r>
    </w:p>
    <w:p>
      <w:pPr>
        <w:ind w:left="960"/>
        <w:spacing w:after="0" w:line="238" w:lineRule="auto"/>
        <w:rPr>
          <w:sz w:val="20"/>
          <w:szCs w:val="20"/>
          <w:color w:val="auto"/>
        </w:rPr>
      </w:pPr>
      <w:r>
        <w:rPr>
          <w:rFonts w:ascii="Courier New" w:cs="Courier New" w:eastAsia="Courier New" w:hAnsi="Courier New"/>
          <w:sz w:val="18"/>
          <w:szCs w:val="18"/>
          <w:color w:val="auto"/>
        </w:rPr>
        <w:t>Marysville, OH 43041</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Columbia Wanger Asset Management, L.P.</w:t>
      </w:r>
    </w:p>
    <w:p>
      <w:pPr>
        <w:spacing w:after="0" w:line="201" w:lineRule="exact"/>
        <w:rPr>
          <w:sz w:val="20"/>
          <w:szCs w:val="20"/>
          <w:color w:val="auto"/>
        </w:rPr>
      </w:pPr>
    </w:p>
    <w:p>
      <w:pPr>
        <w:spacing w:after="0"/>
        <w:tabs>
          <w:tab w:leader="none" w:pos="1460" w:val="left"/>
          <w:tab w:leader="none" w:pos="2420" w:val="left"/>
          <w:tab w:leader="none" w:pos="2840" w:val="left"/>
          <w:tab w:leader="none" w:pos="4000" w:val="left"/>
          <w:tab w:leader="none" w:pos="5040" w:val="left"/>
          <w:tab w:leader="none" w:pos="5880" w:val="left"/>
          <w:tab w:leader="none" w:pos="642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w:t>
        <w:tab/>
        <w:t>of</w:t>
        <w:tab/>
        <w:t>Principal</w:t>
        <w:tab/>
        <w:t>Business</w:t>
        <w:tab/>
        <w:t>Office</w:t>
        <w:tab/>
        <w:t>or,</w:t>
      </w:r>
      <w:r>
        <w:rPr>
          <w:sz w:val="20"/>
          <w:szCs w:val="20"/>
          <w:color w:val="auto"/>
        </w:rPr>
        <w:tab/>
      </w:r>
      <w:r>
        <w:rPr>
          <w:rFonts w:ascii="Courier New" w:cs="Courier New" w:eastAsia="Courier New" w:hAnsi="Courier New"/>
          <w:sz w:val="16"/>
          <w:szCs w:val="16"/>
          <w:color w:val="auto"/>
        </w:rPr>
        <w:t>if None,</w:t>
      </w:r>
    </w:p>
    <w:p>
      <w:pPr>
        <w:sectPr>
          <w:pgSz w:w="11900" w:h="16838" w:orient="portrait"/>
          <w:cols w:equalWidth="0" w:num="1">
            <w:col w:w="10219"/>
          </w:cols>
          <w:pgMar w:left="240" w:top="136" w:right="1440" w:bottom="0" w:gutter="0" w:footer="0" w:header="0"/>
        </w:sectPr>
      </w:pPr>
    </w:p>
    <w:bookmarkStart w:id="2" w:name="page3"/>
    <w:bookmarkEnd w:id="2"/>
    <w:p>
      <w:pPr>
        <w:ind w:left="960"/>
        <w:spacing w:after="0"/>
        <w:rPr>
          <w:sz w:val="20"/>
          <w:szCs w:val="20"/>
          <w:color w:val="auto"/>
        </w:rPr>
      </w:pPr>
      <w:r>
        <w:rPr>
          <w:rFonts w:ascii="Courier New" w:cs="Courier New" w:eastAsia="Courier New" w:hAnsi="Courier New"/>
          <w:sz w:val="18"/>
          <w:szCs w:val="18"/>
          <w:color w:val="auto"/>
        </w:rPr>
        <w:t>Residence:</w:t>
      </w:r>
    </w:p>
    <w:p>
      <w:pPr>
        <w:spacing w:after="0" w:line="201" w:lineRule="exact"/>
        <w:rPr>
          <w:sz w:val="20"/>
          <w:szCs w:val="20"/>
          <w:color w:val="auto"/>
        </w:rPr>
      </w:pPr>
    </w:p>
    <w:p>
      <w:pPr>
        <w:ind w:left="960"/>
        <w:spacing w:after="0"/>
        <w:tabs>
          <w:tab w:leader="none" w:pos="6100" w:val="left"/>
        </w:tabs>
        <w:rPr>
          <w:sz w:val="20"/>
          <w:szCs w:val="20"/>
          <w:color w:val="auto"/>
        </w:rPr>
      </w:pPr>
      <w:r>
        <w:rPr>
          <w:rFonts w:ascii="Courier New" w:cs="Courier New" w:eastAsia="Courier New" w:hAnsi="Courier New"/>
          <w:sz w:val="18"/>
          <w:szCs w:val="18"/>
          <w:color w:val="auto"/>
        </w:rPr>
        <w:t>227 West Monroe Street, Suite 3000, Chicago, IL</w:t>
      </w:r>
      <w:r>
        <w:rPr>
          <w:sz w:val="20"/>
          <w:szCs w:val="20"/>
          <w:color w:val="auto"/>
        </w:rPr>
        <w:tab/>
      </w:r>
      <w:r>
        <w:rPr>
          <w:rFonts w:ascii="Courier New" w:cs="Courier New" w:eastAsia="Courier New" w:hAnsi="Courier New"/>
          <w:sz w:val="16"/>
          <w:szCs w:val="16"/>
          <w:color w:val="auto"/>
        </w:rPr>
        <w:t>60606.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810186106</w:t>
      </w:r>
    </w:p>
    <w:p>
      <w:pPr>
        <w:spacing w:after="0" w:line="201" w:lineRule="exact"/>
        <w:rPr>
          <w:sz w:val="20"/>
          <w:szCs w:val="20"/>
          <w:color w:val="auto"/>
        </w:rPr>
      </w:pPr>
    </w:p>
    <w:p>
      <w:pPr>
        <w:spacing w:after="0"/>
        <w:tabs>
          <w:tab w:leader="none" w:pos="940" w:val="left"/>
          <w:tab w:leader="none" w:pos="1880" w:val="left"/>
          <w:tab w:leader="none" w:pos="4000" w:val="left"/>
          <w:tab w:leader="none" w:pos="5880" w:val="left"/>
          <w:tab w:leader="none" w:pos="7040" w:val="left"/>
        </w:tabs>
        <w:rPr>
          <w:sz w:val="20"/>
          <w:szCs w:val="20"/>
          <w:color w:val="auto"/>
        </w:rPr>
      </w:pPr>
      <w:r>
        <w:rPr>
          <w:rFonts w:ascii="Courier New" w:cs="Courier New" w:eastAsia="Courier New" w:hAnsi="Courier New"/>
          <w:sz w:val="18"/>
          <w:szCs w:val="18"/>
          <w:color w:val="auto"/>
        </w:rPr>
        <w:t>Item 3.</w:t>
        <w:tab/>
        <w:t>If This</w:t>
        <w:tab/>
        <w:t>Statement is Filed</w:t>
        <w:tab/>
        <w:t>Pursuant to Rule</w:t>
        <w:tab/>
        <w:t>13d-1(b),</w:t>
        <w:tab/>
        <w:t>or</w:t>
      </w:r>
    </w:p>
    <w:p>
      <w:pPr>
        <w:ind w:left="96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960" w:right="2939" w:hanging="4"/>
        <w:spacing w:after="0" w:line="235" w:lineRule="auto"/>
        <w:tabs>
          <w:tab w:leader="none" w:pos="148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5" w:lineRule="exact"/>
        <w:rPr>
          <w:rFonts w:ascii="Courier New" w:cs="Courier New" w:eastAsia="Courier New" w:hAnsi="Courier New"/>
          <w:sz w:val="18"/>
          <w:szCs w:val="18"/>
          <w:color w:val="auto"/>
        </w:rPr>
      </w:pPr>
    </w:p>
    <w:p>
      <w:pPr>
        <w:ind w:left="960" w:right="2939" w:hanging="4"/>
        <w:spacing w:after="0" w:line="235" w:lineRule="auto"/>
        <w:tabs>
          <w:tab w:leader="none" w:pos="148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5" w:lineRule="exact"/>
        <w:rPr>
          <w:rFonts w:ascii="Courier New" w:cs="Courier New" w:eastAsia="Courier New" w:hAnsi="Courier New"/>
          <w:sz w:val="18"/>
          <w:szCs w:val="18"/>
          <w:color w:val="auto"/>
        </w:rPr>
      </w:pPr>
    </w:p>
    <w:p>
      <w:pPr>
        <w:ind w:left="1480" w:right="2939" w:hanging="524"/>
        <w:spacing w:after="0" w:line="235"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5" w:lineRule="exact"/>
        <w:rPr>
          <w:rFonts w:ascii="Courier New" w:cs="Courier New" w:eastAsia="Courier New" w:hAnsi="Courier New"/>
          <w:sz w:val="18"/>
          <w:szCs w:val="18"/>
          <w:color w:val="auto"/>
        </w:rPr>
      </w:pPr>
    </w:p>
    <w:p>
      <w:pPr>
        <w:ind w:left="1480" w:right="2939" w:hanging="524"/>
        <w:spacing w:after="0" w:line="235"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ind w:left="960"/>
        <w:spacing w:after="0"/>
        <w:tabs>
          <w:tab w:leader="none" w:pos="1460" w:val="left"/>
          <w:tab w:leader="none" w:pos="1980" w:val="left"/>
          <w:tab w:leader="none" w:pos="2520" w:val="left"/>
          <w:tab w:leader="none" w:pos="3880" w:val="left"/>
          <w:tab w:leader="none" w:pos="4940" w:val="left"/>
          <w:tab w:leader="none" w:pos="5460" w:val="left"/>
          <w:tab w:leader="none" w:pos="6840" w:val="left"/>
        </w:tabs>
        <w:rPr>
          <w:sz w:val="20"/>
          <w:szCs w:val="20"/>
          <w:color w:val="auto"/>
        </w:rPr>
      </w:pPr>
      <w:r>
        <w:rPr>
          <w:rFonts w:ascii="Courier New" w:cs="Courier New" w:eastAsia="Courier New" w:hAnsi="Courier New"/>
          <w:sz w:val="18"/>
          <w:szCs w:val="18"/>
          <w:color w:val="auto"/>
        </w:rPr>
        <w:t>(e)</w:t>
        <w:tab/>
        <w:t>[X]</w:t>
        <w:tab/>
        <w:t>An</w:t>
      </w:r>
      <w:r>
        <w:rPr>
          <w:sz w:val="20"/>
          <w:szCs w:val="20"/>
          <w:color w:val="auto"/>
        </w:rPr>
        <w:tab/>
      </w:r>
      <w:r>
        <w:rPr>
          <w:rFonts w:ascii="Courier New" w:cs="Courier New" w:eastAsia="Courier New" w:hAnsi="Courier New"/>
          <w:sz w:val="18"/>
          <w:szCs w:val="18"/>
          <w:color w:val="auto"/>
        </w:rPr>
        <w:t>investment</w:t>
      </w:r>
      <w:r>
        <w:rPr>
          <w:sz w:val="20"/>
          <w:szCs w:val="20"/>
          <w:color w:val="auto"/>
        </w:rPr>
        <w:tab/>
      </w:r>
      <w:r>
        <w:rPr>
          <w:rFonts w:ascii="Courier New" w:cs="Courier New" w:eastAsia="Courier New" w:hAnsi="Courier New"/>
          <w:sz w:val="18"/>
          <w:szCs w:val="18"/>
          <w:color w:val="auto"/>
        </w:rPr>
        <w:t>adviser</w:t>
      </w:r>
      <w:r>
        <w:rPr>
          <w:sz w:val="20"/>
          <w:szCs w:val="20"/>
          <w:color w:val="auto"/>
        </w:rPr>
        <w:tab/>
      </w:r>
      <w:r>
        <w:rPr>
          <w:rFonts w:ascii="Courier New" w:cs="Courier New" w:eastAsia="Courier New" w:hAnsi="Courier New"/>
          <w:sz w:val="18"/>
          <w:szCs w:val="18"/>
          <w:color w:val="auto"/>
        </w:rPr>
        <w:t>in</w:t>
      </w:r>
      <w:r>
        <w:rPr>
          <w:sz w:val="20"/>
          <w:szCs w:val="20"/>
          <w:color w:val="auto"/>
        </w:rPr>
        <w:tab/>
      </w:r>
      <w:r>
        <w:rPr>
          <w:rFonts w:ascii="Courier New" w:cs="Courier New" w:eastAsia="Courier New" w:hAnsi="Courier New"/>
          <w:sz w:val="18"/>
          <w:szCs w:val="18"/>
          <w:color w:val="auto"/>
        </w:rPr>
        <w:t>accordance</w:t>
      </w:r>
      <w:r>
        <w:rPr>
          <w:sz w:val="20"/>
          <w:szCs w:val="20"/>
          <w:color w:val="auto"/>
        </w:rPr>
        <w:tab/>
      </w:r>
      <w:r>
        <w:rPr>
          <w:rFonts w:ascii="Courier New" w:cs="Courier New" w:eastAsia="Courier New" w:hAnsi="Courier New"/>
          <w:sz w:val="16"/>
          <w:szCs w:val="16"/>
          <w:color w:val="auto"/>
        </w:rPr>
        <w:t>with</w:t>
      </w:r>
    </w:p>
    <w:p>
      <w:pPr>
        <w:ind w:left="96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5" w:lineRule="exact"/>
        <w:rPr>
          <w:sz w:val="20"/>
          <w:szCs w:val="20"/>
          <w:color w:val="auto"/>
        </w:rPr>
      </w:pPr>
    </w:p>
    <w:p>
      <w:pPr>
        <w:ind w:left="1480" w:right="2939" w:hanging="524"/>
        <w:spacing w:after="0" w:line="235"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480" w:right="2939" w:hanging="524"/>
        <w:spacing w:after="0" w:line="235"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480" w:right="2939" w:hanging="524"/>
        <w:spacing w:after="0" w:line="235"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5" w:lineRule="exact"/>
        <w:rPr>
          <w:rFonts w:ascii="Courier New" w:cs="Courier New" w:eastAsia="Courier New" w:hAnsi="Courier New"/>
          <w:sz w:val="18"/>
          <w:szCs w:val="18"/>
          <w:color w:val="auto"/>
        </w:rPr>
      </w:pPr>
    </w:p>
    <w:p>
      <w:pPr>
        <w:jc w:val="both"/>
        <w:ind w:left="1480" w:right="2939" w:hanging="524"/>
        <w:spacing w:after="0" w:line="236"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6"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Rule 13d-1(b)(1)(ii)(J).</w:t>
      </w:r>
    </w:p>
    <w:p>
      <w:pPr>
        <w:spacing w:after="0" w:line="224" w:lineRule="exact"/>
        <w:rPr>
          <w:sz w:val="20"/>
          <w:szCs w:val="20"/>
          <w:color w:val="auto"/>
        </w:rPr>
      </w:pPr>
    </w:p>
    <w:p>
      <w:pPr>
        <w:jc w:val="both"/>
        <w:ind w:left="1480" w:right="2939" w:hanging="526"/>
        <w:spacing w:after="0"/>
        <w:rPr>
          <w:sz w:val="20"/>
          <w:szCs w:val="20"/>
          <w:color w:val="auto"/>
        </w:rPr>
      </w:pPr>
      <w:r>
        <w:rPr>
          <w:rFonts w:ascii="Courier New" w:cs="Courier New" w:eastAsia="Courier New" w:hAnsi="Courier New"/>
          <w:sz w:val="18"/>
          <w:szCs w:val="18"/>
          <w:color w:val="auto"/>
        </w:rPr>
        <w:t>If this statement is filed pursuant to Rule 13d-1(c),</w:t>
      </w:r>
      <w:r>
        <w:rPr>
          <w:sz w:val="20"/>
          <w:szCs w:val="20"/>
          <w:color w:val="auto"/>
        </w:rPr>
        <w:t xml:space="preserve"> </w:t>
      </w:r>
      <w:r>
        <w:rPr>
          <w:rFonts w:ascii="Courier New" w:cs="Courier New" w:eastAsia="Courier New" w:hAnsi="Courier New"/>
          <w:sz w:val="18"/>
          <w:szCs w:val="18"/>
          <w:color w:val="auto"/>
        </w:rPr>
        <w:t>check this box. [ ]</w:t>
      </w:r>
    </w:p>
    <w:p>
      <w:pPr>
        <w:spacing w:after="0" w:line="39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left="960" w:right="2939"/>
        <w:spacing w:after="0" w:line="236" w:lineRule="auto"/>
        <w:rPr>
          <w:sz w:val="20"/>
          <w:szCs w:val="20"/>
          <w:color w:val="auto"/>
        </w:rPr>
      </w:pPr>
      <w:r>
        <w:rPr>
          <w:rFonts w:ascii="Courier New" w:cs="Courier New" w:eastAsia="Courier New" w:hAnsi="Courier New"/>
          <w:sz w:val="18"/>
          <w:szCs w:val="18"/>
          <w:color w:val="auto"/>
        </w:rPr>
        <w:t>With respect to the beneficial ownership of the reporting person, see Items 5 through 11 of the cover pages to this Schedule 13G, which are incorporated herein by reference.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4000" w:type="dxa"/>
            <w:vAlign w:val="bottom"/>
            <w:gridSpan w:val="4"/>
          </w:tcPr>
          <w:p>
            <w:pPr>
              <w:ind w:left="100"/>
              <w:spacing w:after="0"/>
              <w:rPr>
                <w:sz w:val="20"/>
                <w:szCs w:val="20"/>
                <w:color w:val="auto"/>
              </w:rPr>
            </w:pPr>
            <w:r>
              <w:rPr>
                <w:rFonts w:ascii="Courier New" w:cs="Courier New" w:eastAsia="Courier New" w:hAnsi="Courier New"/>
                <w:sz w:val="18"/>
                <w:szCs w:val="18"/>
                <w:color w:val="auto"/>
                <w:w w:val="99"/>
              </w:rPr>
              <w:t>If this  statement is being filed to</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2"/>
              </w:rPr>
              <w:t>report</w:t>
            </w:r>
          </w:p>
        </w:tc>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the fact that as</w:t>
            </w:r>
          </w:p>
        </w:tc>
      </w:tr>
      <w:tr>
        <w:trPr>
          <w:trHeight w:val="203"/>
        </w:trPr>
        <w:tc>
          <w:tcPr>
            <w:tcW w:w="86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of the date</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hereof</w:t>
            </w: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reporting</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person</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has ceased to be</w:t>
            </w:r>
          </w:p>
        </w:tc>
      </w:tr>
      <w:tr>
        <w:trPr>
          <w:trHeight w:val="203"/>
        </w:trPr>
        <w:tc>
          <w:tcPr>
            <w:tcW w:w="860" w:type="dxa"/>
            <w:vAlign w:val="bottom"/>
          </w:tcPr>
          <w:p>
            <w:pPr>
              <w:spacing w:after="0"/>
              <w:rPr>
                <w:sz w:val="17"/>
                <w:szCs w:val="17"/>
                <w:color w:val="auto"/>
              </w:rPr>
            </w:pPr>
          </w:p>
        </w:tc>
        <w:tc>
          <w:tcPr>
            <w:tcW w:w="17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beneficial</w:t>
            </w:r>
          </w:p>
        </w:tc>
        <w:tc>
          <w:tcPr>
            <w:tcW w:w="4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owner of more than five percent of the class</w:t>
            </w:r>
          </w:p>
        </w:tc>
      </w:tr>
      <w:tr>
        <w:trPr>
          <w:trHeight w:val="203"/>
        </w:trPr>
        <w:tc>
          <w:tcPr>
            <w:tcW w:w="860" w:type="dxa"/>
            <w:vAlign w:val="bottom"/>
          </w:tcPr>
          <w:p>
            <w:pPr>
              <w:spacing w:after="0"/>
              <w:rPr>
                <w:sz w:val="17"/>
                <w:szCs w:val="17"/>
                <w:color w:val="auto"/>
              </w:rPr>
            </w:pPr>
          </w:p>
        </w:tc>
        <w:tc>
          <w:tcPr>
            <w:tcW w:w="40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of securities, check the following  [</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2740" w:type="dxa"/>
            <w:vAlign w:val="bottom"/>
            <w:gridSpan w:val="3"/>
          </w:tcPr>
          <w:p>
            <w:pPr>
              <w:spacing w:after="0"/>
              <w:rPr>
                <w:sz w:val="20"/>
                <w:szCs w:val="20"/>
                <w:color w:val="auto"/>
              </w:rPr>
            </w:pPr>
            <w:r>
              <w:rPr>
                <w:rFonts w:ascii="Courier New" w:cs="Courier New" w:eastAsia="Courier New" w:hAnsi="Courier New"/>
                <w:sz w:val="18"/>
                <w:szCs w:val="18"/>
                <w:color w:val="auto"/>
                <w:w w:val="96"/>
              </w:rPr>
              <w:t>of More than Five  Percent</w:t>
            </w:r>
          </w:p>
        </w:tc>
        <w:tc>
          <w:tcPr>
            <w:tcW w:w="16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on Behalf of</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Another</w:t>
            </w:r>
          </w:p>
        </w:tc>
      </w:tr>
      <w:tr>
        <w:trPr>
          <w:trHeight w:val="203"/>
        </w:trPr>
        <w:tc>
          <w:tcPr>
            <w:tcW w:w="86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172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8"/>
              </w:rPr>
              <w:t>Not applicable.</w:t>
            </w: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17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Identification</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and</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rPr>
              <w:t>Classification</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2"/>
              </w:rPr>
              <w:t>of the</w:t>
            </w:r>
          </w:p>
        </w:tc>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Subsidiary Which</w:t>
            </w:r>
          </w:p>
        </w:tc>
      </w:tr>
      <w:tr>
        <w:trPr>
          <w:trHeight w:val="203"/>
        </w:trPr>
        <w:tc>
          <w:tcPr>
            <w:tcW w:w="860" w:type="dxa"/>
            <w:vAlign w:val="bottom"/>
          </w:tcPr>
          <w:p>
            <w:pPr>
              <w:spacing w:after="0"/>
              <w:rPr>
                <w:sz w:val="17"/>
                <w:szCs w:val="17"/>
                <w:color w:val="auto"/>
              </w:rPr>
            </w:pPr>
          </w:p>
        </w:tc>
        <w:tc>
          <w:tcPr>
            <w:tcW w:w="562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w w:val="97"/>
              </w:rPr>
              <w:t>Acquired  the  Security  Being  Reported  on by  the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Parent</w:t>
            </w:r>
          </w:p>
        </w:tc>
      </w:tr>
      <w:tr>
        <w:trPr>
          <w:trHeight w:val="203"/>
        </w:trPr>
        <w:tc>
          <w:tcPr>
            <w:tcW w:w="860" w:type="dxa"/>
            <w:vAlign w:val="bottom"/>
          </w:tcPr>
          <w:p>
            <w:pPr>
              <w:spacing w:after="0"/>
              <w:rPr>
                <w:sz w:val="17"/>
                <w:szCs w:val="17"/>
                <w:color w:val="auto"/>
              </w:rPr>
            </w:pPr>
          </w:p>
        </w:tc>
        <w:tc>
          <w:tcPr>
            <w:tcW w:w="40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Holding Company or Control Person:</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6" w:right="1440" w:bottom="1145"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jc w:val="both"/>
        <w:ind w:left="960" w:right="2939"/>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9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January 29, 2008</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Columbia Wanger Asset Management, L.P.</w:t>
      </w:r>
    </w:p>
    <w:p>
      <w:pPr>
        <w:spacing w:after="0" w:line="201"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Bruce H. Lauer</w:t>
      </w:r>
    </w:p>
    <w:p>
      <w:pPr>
        <w:ind w:left="338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3160"/>
        <w:spacing w:after="0"/>
        <w:rPr>
          <w:sz w:val="20"/>
          <w:szCs w:val="20"/>
          <w:color w:val="auto"/>
        </w:rPr>
      </w:pPr>
      <w:r>
        <w:rPr>
          <w:rFonts w:ascii="Courier New" w:cs="Courier New" w:eastAsia="Courier New" w:hAnsi="Courier New"/>
          <w:sz w:val="18"/>
          <w:szCs w:val="18"/>
          <w:color w:val="auto"/>
        </w:rPr>
        <w:t>Bruce H. Lauer,</w:t>
      </w:r>
    </w:p>
    <w:p>
      <w:pPr>
        <w:ind w:left="3160"/>
        <w:spacing w:after="0" w:line="237" w:lineRule="auto"/>
        <w:rPr>
          <w:sz w:val="20"/>
          <w:szCs w:val="20"/>
          <w:color w:val="auto"/>
        </w:rPr>
      </w:pPr>
      <w:r>
        <w:rPr>
          <w:rFonts w:ascii="Courier New" w:cs="Courier New" w:eastAsia="Courier New" w:hAnsi="Courier New"/>
          <w:sz w:val="18"/>
          <w:szCs w:val="18"/>
          <w:color w:val="auto"/>
        </w:rPr>
        <w:t>Senior Vice President and Secretary,</w:t>
      </w:r>
    </w:p>
    <w:p>
      <w:pPr>
        <w:ind w:left="3160"/>
        <w:spacing w:after="0"/>
        <w:tabs>
          <w:tab w:leader="none" w:pos="3680" w:val="left"/>
          <w:tab w:leader="none" w:pos="5140" w:val="left"/>
          <w:tab w:leader="none" w:pos="5680" w:val="left"/>
          <w:tab w:leader="none" w:pos="6520" w:val="left"/>
        </w:tabs>
        <w:rPr>
          <w:sz w:val="20"/>
          <w:szCs w:val="20"/>
          <w:color w:val="auto"/>
        </w:rPr>
      </w:pPr>
      <w:r>
        <w:rPr>
          <w:rFonts w:ascii="Courier New" w:cs="Courier New" w:eastAsia="Courier New" w:hAnsi="Courier New"/>
          <w:sz w:val="18"/>
          <w:szCs w:val="18"/>
          <w:color w:val="auto"/>
        </w:rPr>
        <w:t>WAM</w:t>
        <w:tab/>
        <w:t>Acquisition</w:t>
        <w:tab/>
        <w:t>GP,</w:t>
        <w:tab/>
        <w:t>Inc.,</w:t>
      </w:r>
      <w:r>
        <w:rPr>
          <w:sz w:val="20"/>
          <w:szCs w:val="20"/>
          <w:color w:val="auto"/>
        </w:rPr>
        <w:tab/>
      </w:r>
      <w:r>
        <w:rPr>
          <w:rFonts w:ascii="Courier New" w:cs="Courier New" w:eastAsia="Courier New" w:hAnsi="Courier New"/>
          <w:sz w:val="16"/>
          <w:szCs w:val="16"/>
          <w:color w:val="auto"/>
        </w:rPr>
        <w:t>General</w:t>
      </w:r>
    </w:p>
    <w:p>
      <w:pPr>
        <w:ind w:left="3160"/>
        <w:spacing w:after="0"/>
        <w:rPr>
          <w:sz w:val="20"/>
          <w:szCs w:val="20"/>
          <w:color w:val="auto"/>
        </w:rPr>
      </w:pPr>
      <w:r>
        <w:rPr>
          <w:rFonts w:ascii="Courier New" w:cs="Courier New" w:eastAsia="Courier New" w:hAnsi="Courier New"/>
          <w:sz w:val="18"/>
          <w:szCs w:val="18"/>
          <w:color w:val="auto"/>
        </w:rPr>
        <w:t>Partner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2]"/>
      <w:numFmt w:val="upperLetter"/>
      <w:start w:val="24"/>
    </w:lvl>
  </w:abstractNum>
  <w:abstractNum w:abstractNumId="1">
    <w:nsid w:val="79E2A9E3"/>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5"/>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6"/>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2019-12-11T14:42:58Z</dcterms:created>
  <dcterms:modified xsi:type="dcterms:W3CDTF">2019-12-11T14:42:58Z</dcterms:modified>
</cp:coreProperties>
</file>