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4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2014</w:t>
      </w:r>
    </w:p>
    <w:p>
      <w:pPr>
        <w:spacing w:after="0" w:line="117"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628" w:right="239" w:bottom="1440" w:gutter="0" w:footer="0" w:header="0"/>
        </w:sectPr>
      </w:pPr>
    </w:p>
    <w:p>
      <w:pPr>
        <w:spacing w:after="0" w:line="22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11" w:lineRule="exact"/>
        <w:rPr>
          <w:sz w:val="24"/>
          <w:szCs w:val="24"/>
          <w:color w:val="auto"/>
        </w:rPr>
      </w:pPr>
    </w:p>
    <w:p>
      <w:pPr>
        <w:sectPr>
          <w:pgSz w:w="11900" w:h="16838" w:orient="portrait"/>
          <w:cols w:equalWidth="0" w:num="2">
            <w:col w:w="6480" w:space="720"/>
            <w:col w:w="4220"/>
          </w:cols>
          <w:pgMar w:left="240" w:top="628" w:right="239" w:bottom="1440" w:gutter="0" w:footer="0" w:header="0"/>
          <w:type w:val="continuous"/>
        </w:sectPr>
      </w:pP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001-11593</w:t>
      </w:r>
    </w:p>
    <w:p>
      <w:pPr>
        <w:sectPr>
          <w:pgSz w:w="11900" w:h="16838" w:orient="portrait"/>
          <w:cols w:equalWidth="0" w:num="1">
            <w:col w:w="11420"/>
          </w:cols>
          <w:pgMar w:left="240" w:top="628" w:right="239" w:bottom="1440" w:gutter="0" w:footer="0" w:header="0"/>
          <w:type w:val="continuous"/>
        </w:sectPr>
      </w:pPr>
    </w:p>
    <w:p>
      <w:pPr>
        <w:spacing w:after="0" w:line="43"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The Scotts Miracle-Gro Company</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w:t>
      </w:r>
    </w:p>
    <w:p>
      <w:pPr>
        <w:spacing w:after="0" w:line="149"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6380" w:type="dxa"/>
            <w:vAlign w:val="bottom"/>
          </w:tcPr>
          <w:p>
            <w:pPr>
              <w:jc w:val="center"/>
              <w:ind w:right="3938"/>
              <w:spacing w:after="0"/>
              <w:rPr>
                <w:sz w:val="20"/>
                <w:szCs w:val="20"/>
                <w:color w:val="auto"/>
              </w:rPr>
            </w:pPr>
            <w:r>
              <w:rPr>
                <w:rFonts w:ascii="Times New Roman" w:cs="Times New Roman" w:eastAsia="Times New Roman" w:hAnsi="Times New Roman"/>
                <w:sz w:val="18"/>
                <w:szCs w:val="18"/>
                <w:b w:val="1"/>
                <w:bCs w:val="1"/>
                <w:color w:val="auto"/>
                <w:w w:val="97"/>
              </w:rPr>
              <w:t>OHIO</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178"/>
        </w:trPr>
        <w:tc>
          <w:tcPr>
            <w:tcW w:w="6380" w:type="dxa"/>
            <w:vAlign w:val="bottom"/>
          </w:tcPr>
          <w:p>
            <w:pPr>
              <w:jc w:val="center"/>
              <w:ind w:right="393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80" w:type="dxa"/>
            <w:vAlign w:val="bottom"/>
          </w:tcPr>
          <w:p>
            <w:pPr>
              <w:jc w:val="center"/>
              <w:ind w:right="39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380" w:type="dxa"/>
            <w:vAlign w:val="bottom"/>
          </w:tcPr>
          <w:p>
            <w:pPr>
              <w:jc w:val="center"/>
              <w:ind w:right="3918"/>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1280" w:type="dxa"/>
            <w:vAlign w:val="bottom"/>
          </w:tcPr>
          <w:p>
            <w:pPr>
              <w:spacing w:after="0"/>
              <w:rPr>
                <w:sz w:val="24"/>
                <w:szCs w:val="24"/>
                <w:color w:val="auto"/>
              </w:rPr>
            </w:pPr>
          </w:p>
        </w:tc>
      </w:tr>
      <w:tr>
        <w:trPr>
          <w:trHeight w:val="238"/>
        </w:trPr>
        <w:tc>
          <w:tcPr>
            <w:tcW w:w="6380" w:type="dxa"/>
            <w:vAlign w:val="bottom"/>
          </w:tcPr>
          <w:p>
            <w:pPr>
              <w:jc w:val="center"/>
              <w:ind w:right="3938"/>
              <w:spacing w:after="0"/>
              <w:rPr>
                <w:sz w:val="20"/>
                <w:szCs w:val="20"/>
                <w:color w:val="auto"/>
              </w:rPr>
            </w:pPr>
            <w:r>
              <w:rPr>
                <w:rFonts w:ascii="Times New Roman" w:cs="Times New Roman" w:eastAsia="Times New Roman" w:hAnsi="Times New Roman"/>
                <w:sz w:val="18"/>
                <w:szCs w:val="18"/>
                <w:b w:val="1"/>
                <w:bCs w:val="1"/>
                <w:color w:val="auto"/>
                <w:w w:val="99"/>
              </w:rPr>
              <w:t>MARYSVILLE, OHIO</w:t>
            </w:r>
          </w:p>
        </w:tc>
        <w:tc>
          <w:tcPr>
            <w:tcW w:w="128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20"/>
        </w:trPr>
        <w:tc>
          <w:tcPr>
            <w:tcW w:w="6380" w:type="dxa"/>
            <w:vAlign w:val="bottom"/>
          </w:tcPr>
          <w:p>
            <w:pPr>
              <w:jc w:val="center"/>
              <w:ind w:right="39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9"/>
        </w:trPr>
        <w:tc>
          <w:tcPr>
            <w:tcW w:w="6380" w:type="dxa"/>
            <w:vAlign w:val="bottom"/>
          </w:tcPr>
          <w:p>
            <w:pPr>
              <w:jc w:val="center"/>
              <w:ind w:left="1858"/>
              <w:spacing w:after="0"/>
              <w:rPr>
                <w:sz w:val="20"/>
                <w:szCs w:val="20"/>
                <w:color w:val="auto"/>
              </w:rPr>
            </w:pPr>
            <w:r>
              <w:rPr>
                <w:rFonts w:ascii="Times New Roman" w:cs="Times New Roman" w:eastAsia="Times New Roman" w:hAnsi="Times New Roman"/>
                <w:sz w:val="18"/>
                <w:szCs w:val="18"/>
                <w:b w:val="1"/>
                <w:bCs w:val="1"/>
                <w:color w:val="auto"/>
                <w:w w:val="99"/>
              </w:rPr>
              <w:t>(937) 644-0011</w:t>
            </w:r>
          </w:p>
        </w:tc>
        <w:tc>
          <w:tcPr>
            <w:tcW w:w="1280" w:type="dxa"/>
            <w:vAlign w:val="bottom"/>
          </w:tcPr>
          <w:p>
            <w:pPr>
              <w:spacing w:after="0"/>
              <w:rPr>
                <w:sz w:val="24"/>
                <w:szCs w:val="24"/>
                <w:color w:val="auto"/>
              </w:rPr>
            </w:pPr>
          </w:p>
        </w:tc>
      </w:tr>
      <w:tr>
        <w:trPr>
          <w:trHeight w:val="168"/>
        </w:trPr>
        <w:tc>
          <w:tcPr>
            <w:tcW w:w="6380" w:type="dxa"/>
            <w:vAlign w:val="bottom"/>
          </w:tcPr>
          <w:p>
            <w:pPr>
              <w:jc w:val="center"/>
              <w:ind w:left="18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280" w:type="dxa"/>
            <w:vAlign w:val="bottom"/>
          </w:tcPr>
          <w:p>
            <w:pPr>
              <w:spacing w:after="0"/>
              <w:rPr>
                <w:sz w:val="14"/>
                <w:szCs w:val="14"/>
                <w:color w:val="auto"/>
              </w:rPr>
            </w:pPr>
          </w:p>
        </w:tc>
      </w:tr>
      <w:tr>
        <w:trPr>
          <w:trHeight w:val="234"/>
        </w:trPr>
        <w:tc>
          <w:tcPr>
            <w:tcW w:w="6380" w:type="dxa"/>
            <w:vAlign w:val="bottom"/>
          </w:tcPr>
          <w:p>
            <w:pPr>
              <w:jc w:val="center"/>
              <w:ind w:left="179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7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28" w:right="239" w:bottom="1440" w:gutter="0" w:footer="0" w:header="0"/>
          <w:type w:val="continuous"/>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720" w:space="720"/>
            <w:col w:w="5080" w:space="720"/>
            <w:col w:w="2120" w:space="720"/>
            <w:col w:w="340"/>
          </w:cols>
          <w:pgMar w:left="240" w:top="628" w:right="2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628"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91" w:lineRule="exact"/>
        <w:rPr>
          <w:sz w:val="24"/>
          <w:szCs w:val="24"/>
          <w:color w:val="auto"/>
        </w:rPr>
      </w:pPr>
    </w:p>
    <w:p>
      <w:pPr>
        <w:sectPr>
          <w:pgSz w:w="11900" w:h="16838" w:orient="portrait"/>
          <w:cols w:equalWidth="0" w:num="4">
            <w:col w:w="8180" w:space="180"/>
            <w:col w:w="260" w:space="100"/>
            <w:col w:w="160" w:space="180"/>
            <w:col w:w="2360"/>
          </w:cols>
          <w:pgMar w:left="240" w:top="6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2860" w:type="dxa"/>
            <w:vAlign w:val="bottom"/>
          </w:tcPr>
          <w:p>
            <w:pPr>
              <w:spacing w:after="0"/>
              <w:rPr>
                <w:sz w:val="20"/>
                <w:szCs w:val="20"/>
                <w:color w:val="auto"/>
              </w:rPr>
            </w:pP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Outstanding at May 6, 2014</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 $0.01 stated value, no par value</w:t>
            </w:r>
          </w:p>
        </w:tc>
        <w:tc>
          <w:tcPr>
            <w:tcW w:w="2860" w:type="dxa"/>
            <w:vAlign w:val="bottom"/>
          </w:tcPr>
          <w:p>
            <w:pPr>
              <w:spacing w:after="0"/>
              <w:rPr>
                <w:sz w:val="20"/>
                <w:szCs w:val="20"/>
                <w:color w:val="auto"/>
              </w:rPr>
            </w:pPr>
          </w:p>
        </w:tc>
        <w:tc>
          <w:tcPr>
            <w:tcW w:w="36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61,283,532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628"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9"/>
        </w:trPr>
        <w:tc>
          <w:tcPr>
            <w:tcW w:w="10360" w:type="dxa"/>
            <w:vAlign w:val="bottom"/>
            <w:gridSpan w:val="21"/>
          </w:tcPr>
          <w:p>
            <w:pPr>
              <w:spacing w:after="0" w:line="189"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9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20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74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 Three months and six months ended March 29, 2014 and March 30, 2013</w:t>
              </w:r>
            </w:hyperlink>
          </w:p>
        </w:tc>
        <w:tc>
          <w:tcPr>
            <w:tcW w:w="2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Comprehensive Income (Loss) — Three months and six months ended March 29, 2014</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and March 30, 2013</w:t>
              </w:r>
            </w:hyperlink>
          </w:p>
        </w:tc>
        <w:tc>
          <w:tcPr>
            <w:tcW w:w="300" w:type="dxa"/>
            <w:vAlign w:val="bottom"/>
            <w:gridSpan w:val="2"/>
          </w:tcPr>
          <w:p>
            <w:pPr>
              <w:spacing w:after="0"/>
              <w:rPr>
                <w:sz w:val="17"/>
                <w:szCs w:val="17"/>
                <w:color w:val="auto"/>
              </w:rPr>
            </w:pPr>
          </w:p>
        </w:tc>
        <w:tc>
          <w:tcPr>
            <w:tcW w:w="102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Cash Flows — Six months ended March 29, 2014 and March 30, 2013</w:t>
              </w:r>
            </w:hyperlink>
          </w:p>
        </w:tc>
        <w:tc>
          <w:tcPr>
            <w:tcW w:w="148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Balance Sheets — March 29, 2014, March 30, 2013 and September 30, 2013</w:t>
              </w:r>
            </w:hyperlink>
          </w:p>
        </w:tc>
        <w:tc>
          <w:tcPr>
            <w:tcW w:w="206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2.</w:t>
              </w:r>
            </w:hyperlink>
          </w:p>
        </w:tc>
        <w:tc>
          <w:tcPr>
            <w:tcW w:w="9440" w:type="dxa"/>
            <w:vAlign w:val="bottom"/>
            <w:gridSpan w:val="1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3.</w:t>
              </w:r>
            </w:hyperlink>
          </w:p>
        </w:tc>
        <w:tc>
          <w:tcPr>
            <w:tcW w:w="9440" w:type="dxa"/>
            <w:vAlign w:val="bottom"/>
            <w:gridSpan w:val="17"/>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Quantitative and Qualitative Disclosures about Market Risk</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4.</w:t>
              </w:r>
            </w:hyperlink>
          </w:p>
        </w:tc>
        <w:tc>
          <w:tcPr>
            <w:tcW w:w="9440" w:type="dxa"/>
            <w:vAlign w:val="bottom"/>
            <w:gridSpan w:val="17"/>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Controls and Procedures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46">
              <w:r>
                <w:rPr>
                  <w:rFonts w:ascii="Times New Roman" w:cs="Times New Roman" w:eastAsia="Times New Roman" w:hAnsi="Times New Roman"/>
                  <w:sz w:val="18"/>
                  <w:szCs w:val="18"/>
                  <w:color w:val="0000EE"/>
                  <w:w w:val="98"/>
                </w:rPr>
                <w:t>PART II. OTHER INFORMATION:</w:t>
              </w:r>
            </w:hyperlink>
          </w:p>
        </w:tc>
        <w:tc>
          <w:tcPr>
            <w:tcW w:w="76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920" w:type="dxa"/>
            <w:vAlign w:val="bottom"/>
            <w:gridSpan w:val="4"/>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1.</w:t>
              </w:r>
            </w:hyperlink>
          </w:p>
        </w:tc>
        <w:tc>
          <w:tcPr>
            <w:tcW w:w="9440" w:type="dxa"/>
            <w:vAlign w:val="bottom"/>
            <w:gridSpan w:val="17"/>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Legal Proceedings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47">
              <w:r>
                <w:rPr>
                  <w:rFonts w:ascii="Times New Roman" w:cs="Times New Roman" w:eastAsia="Times New Roman" w:hAnsi="Times New Roman"/>
                  <w:sz w:val="18"/>
                  <w:szCs w:val="18"/>
                  <w:color w:val="0000EE"/>
                  <w:w w:val="96"/>
                </w:rPr>
                <w:t>Item 1A.</w:t>
              </w:r>
            </w:hyperlink>
          </w:p>
        </w:tc>
        <w:tc>
          <w:tcPr>
            <w:tcW w:w="280" w:type="dxa"/>
            <w:vAlign w:val="bottom"/>
            <w:gridSpan w:val="2"/>
          </w:tcPr>
          <w:p>
            <w:pPr>
              <w:spacing w:after="0"/>
              <w:rPr>
                <w:sz w:val="21"/>
                <w:szCs w:val="21"/>
                <w:color w:val="auto"/>
              </w:rPr>
            </w:pPr>
          </w:p>
        </w:tc>
        <w:tc>
          <w:tcPr>
            <w:tcW w:w="9440" w:type="dxa"/>
            <w:vAlign w:val="bottom"/>
            <w:gridSpan w:val="17"/>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Risk Factors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2.</w:t>
              </w:r>
            </w:hyperlink>
          </w:p>
        </w:tc>
        <w:tc>
          <w:tcPr>
            <w:tcW w:w="280" w:type="dxa"/>
            <w:vAlign w:val="bottom"/>
            <w:gridSpan w:val="2"/>
          </w:tcPr>
          <w:p>
            <w:pPr>
              <w:spacing w:after="0"/>
              <w:rPr>
                <w:sz w:val="21"/>
                <w:szCs w:val="21"/>
                <w:color w:val="auto"/>
              </w:rPr>
            </w:pPr>
          </w:p>
        </w:tc>
        <w:tc>
          <w:tcPr>
            <w:tcW w:w="9440" w:type="dxa"/>
            <w:vAlign w:val="bottom"/>
            <w:gridSpan w:val="17"/>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Unregistered Sales of Equity Securities and Use of Proceeds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Item 6.</w:t>
              </w:r>
            </w:hyperlink>
          </w:p>
        </w:tc>
        <w:tc>
          <w:tcPr>
            <w:tcW w:w="9440" w:type="dxa"/>
            <w:vAlign w:val="bottom"/>
            <w:gridSpan w:val="17"/>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Exhibits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Signatures</w:t>
              </w:r>
            </w:hyperlink>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50</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12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Index to Exhibits</w:t>
              </w:r>
            </w:hyperlink>
          </w:p>
        </w:tc>
        <w:tc>
          <w:tcPr>
            <w:tcW w:w="91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51</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gridSpan w:val="2"/>
          </w:tcPr>
          <w:p>
            <w:pPr>
              <w:spacing w:after="0"/>
              <w:rPr>
                <w:sz w:val="24"/>
                <w:szCs w:val="24"/>
                <w:color w:val="auto"/>
              </w:rPr>
            </w:pPr>
          </w:p>
        </w:tc>
        <w:tc>
          <w:tcPr>
            <w:tcW w:w="6140" w:type="dxa"/>
            <w:vAlign w:val="bottom"/>
            <w:gridSpan w:val="10"/>
          </w:tcPr>
          <w:p>
            <w:pPr>
              <w:jc w:val="right"/>
              <w:ind w:right="166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4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4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40" w:type="dxa"/>
            <w:vAlign w:val="bottom"/>
          </w:tcPr>
          <w:p>
            <w:pPr>
              <w:spacing w:after="0"/>
              <w:rPr>
                <w:sz w:val="12"/>
                <w:szCs w:val="12"/>
                <w:color w:val="auto"/>
              </w:rPr>
            </w:pPr>
          </w:p>
        </w:tc>
        <w:tc>
          <w:tcPr>
            <w:tcW w:w="1000" w:type="dxa"/>
            <w:vAlign w:val="bottom"/>
          </w:tcPr>
          <w:p>
            <w:pPr>
              <w:jc w:val="right"/>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1,203.0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income per common share:</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income per common share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 plus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81"/>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40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Dividends declared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0.650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4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4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40" w:type="dxa"/>
            <w:vAlign w:val="bottom"/>
          </w:tcPr>
          <w:p>
            <w:pPr>
              <w:spacing w:after="0"/>
              <w:rPr>
                <w:sz w:val="12"/>
                <w:szCs w:val="12"/>
                <w:color w:val="auto"/>
              </w:rPr>
            </w:pPr>
          </w:p>
        </w:tc>
        <w:tc>
          <w:tcPr>
            <w:tcW w:w="100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loss on derivative instruments, net of tax of $2.0, $0.6, $1.8 and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$1.8, respectively</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6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of net unrealized loss on derivatives to net income, net of tax of</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6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 $2.1, $4.3 and $2.8,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loss in pension and other post-retirement benefits, net of tax of $0,</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 $0.2 and $0, respectively</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6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of net pension and post-retirement benefit loss to net income,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1"/>
        </w:trPr>
        <w:tc>
          <w:tcPr>
            <w:tcW w:w="6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of tax of $0.5, $1.9, $1.0 and $2.6, 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2"/>
                <w:szCs w:val="12"/>
                <w:color w:val="auto"/>
              </w:rPr>
            </w:pPr>
          </w:p>
        </w:tc>
        <w:tc>
          <w:tcPr>
            <w:tcW w:w="1340" w:type="dxa"/>
            <w:vAlign w:val="bottom"/>
          </w:tcPr>
          <w:p>
            <w:pPr>
              <w:jc w:val="right"/>
              <w:ind w:right="33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sale of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 in net loss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 net of acquired businesses: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r>
      <w:tr>
        <w:trPr>
          <w:trHeight w:val="243"/>
        </w:trPr>
        <w:tc>
          <w:tcPr>
            <w:tcW w:w="8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8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78.0</w:t>
            </w:r>
          </w:p>
        </w:tc>
      </w:tr>
      <w:tr>
        <w:trPr>
          <w:trHeight w:val="243"/>
        </w:trPr>
        <w:tc>
          <w:tcPr>
            <w:tcW w:w="8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Restructuring reserves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Other non-current items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8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129"/>
        </w:trPr>
        <w:tc>
          <w:tcPr>
            <w:tcW w:w="8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long-lived assets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business, net of transaction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 in acquired business, net of cash acquired</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81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9"/>
        </w:trPr>
        <w:tc>
          <w:tcPr>
            <w:tcW w:w="8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under revolving and bank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1,166.8</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Repayments under revolving and bank lines of credit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on seller notes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benefits from share-based payment arrangements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81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555.9</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99.1</w:t>
            </w: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143"/>
        </w:trPr>
        <w:tc>
          <w:tcPr>
            <w:tcW w:w="8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Call premium on 7.25% Senior Notes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refunded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121" w:right="239" w:bottom="522"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522"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stated value per share) (Unaudited)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Pr>
          <w:p>
            <w:pPr>
              <w:spacing w:after="0"/>
              <w:rPr>
                <w:sz w:val="13"/>
                <w:szCs w:val="13"/>
                <w:color w:val="auto"/>
              </w:rPr>
            </w:pPr>
          </w:p>
        </w:tc>
        <w:tc>
          <w:tcPr>
            <w:tcW w:w="14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4"/>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30"/>
        </w:trPr>
        <w:tc>
          <w:tcPr>
            <w:tcW w:w="6400" w:type="dxa"/>
            <w:vAlign w:val="bottom"/>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129.8</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allowances of $17.7, $13.3 and $9.5,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206.6</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106.7</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324.9</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113.0</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881.0</w:t>
            </w:r>
          </w:p>
        </w:tc>
      </w:tr>
      <w:tr>
        <w:trPr>
          <w:trHeight w:val="225"/>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$593.8, $565.9 and</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$573.4, respectively</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422.3</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284.4</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w:t>
            </w: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3,071.2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1,937.2</w:t>
            </w:r>
          </w:p>
        </w:tc>
      </w:tr>
      <w:tr>
        <w:trPr>
          <w:trHeight w:val="67"/>
        </w:trPr>
        <w:tc>
          <w:tcPr>
            <w:tcW w:w="6400" w:type="dxa"/>
            <w:vAlign w:val="bottom"/>
            <w:tcBorders>
              <w:bottom w:val="single" w:sz="8" w:color="CCEEFF"/>
            </w:tcBorders>
          </w:tcPr>
          <w:p>
            <w:pPr>
              <w:spacing w:after="0"/>
              <w:rPr>
                <w:sz w:val="5"/>
                <w:szCs w:val="5"/>
                <w:color w:val="auto"/>
              </w:rPr>
            </w:pPr>
          </w:p>
        </w:tc>
        <w:tc>
          <w:tcPr>
            <w:tcW w:w="16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170"/>
        </w:trPr>
        <w:tc>
          <w:tcPr>
            <w:tcW w:w="6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43"/>
        </w:trPr>
        <w:tc>
          <w:tcPr>
            <w:tcW w:w="8120" w:type="dxa"/>
            <w:vAlign w:val="bottom"/>
            <w:gridSpan w:val="4"/>
          </w:tcPr>
          <w:p>
            <w:pPr>
              <w:ind w:left="37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92.4</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137.7</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279.7</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478.1</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238.8</w:t>
            </w: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2,395.5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1,226.7</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Contingencies (note 11)</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 and capital in excess of $.01 stated value per share, 61.5, 61.7 and</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1"/>
        </w:trPr>
        <w:tc>
          <w:tcPr>
            <w:tcW w:w="6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62.0 shares issued and outstanding,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397.5</w:t>
            </w:r>
          </w:p>
        </w:tc>
      </w:tr>
      <w:tr>
        <w:trPr>
          <w:trHeight w:val="243"/>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703.4</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shares, at cost: 6.7, 6.5 and 6.1 shares,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43"/>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710.5</w:t>
            </w: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3,071.2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1,937.2</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Operations</w:t>
      </w:r>
    </w:p>
    <w:p>
      <w:pPr>
        <w:spacing w:after="0" w:line="148"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8"/>
          <w:szCs w:val="18"/>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which provides residential and commercial lawn care, tree and shrub care and limited pest control services 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Organization and Basis of Presentation</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for the three and six months ended March 29, 2014 and March 30, 2013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 the opinion of management, interim results reflect all normal and recurring adjustments and are not necessarily indicative of results for a full year.</w:t>
      </w:r>
    </w:p>
    <w:p>
      <w:pPr>
        <w:spacing w:after="0" w:line="1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2013, which includes a complete set of footnote disclosures, including the Company’s significant accounting policies.</w:t>
      </w:r>
    </w:p>
    <w:p>
      <w:pPr>
        <w:spacing w:after="0" w:line="45"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Balance Sheet at September 30, 2013 has been derived from the Company’s audited Consolidated Balance Sheet at that date, but does not include all of the information and footnotes required by GAAP for complete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1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Discontinued Operations Reporting</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April 2014, the FASB issued an accounting standard update that amends the accounting guidance related to discontinued operations. This amendment defines discontinued operations as a component or group of components that is disposed of or is classified as held for sale and represents a strategic shift that has or will have a major effect on an entity’s operations and financial results. This amendment also introduces new disclosures for disposals that do not meet the criteria of discontinued operations. The provisions are effective for fiscal years beginning after December 15, 2014 and applies to new disposals and new classifications of disposal groups as held for sale after the effective date. The adoption of the amended guidance impacts presentation and disclosure and will not have a significant impact on the Company's consolidated financial position, results of operations or cash flows.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Balance Sheet Offsetting</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December 2011, the FASB issued an amendment to accounting guidance on the presentation of offsetting of derivatives, and financial assets and liabilities. The amended guidance requires quantitative disclosures regarding the gross amounts and their location within the statement of financial position. The provisions are effective for the Company's financial statements for the fiscal year beginning October 1, 2013. The adoption of the amended guidance did not have a significant impact on the Company's financial statements and related disclosures.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2014, the Company completed the sale of its U.S. and Canadian wild bird food business, including intangible assets, certain on-hand inventory and fixed assets, for $4.1 million in cash and an estimated $1.0 million in future earn-out payments. As a result, effective in the second quarter of fiscal 2014, the Company classified its results of operations for all periods presented to reflect the wild bird food business as a discontinued operation.</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results of the wild bird food business within discontinued operations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80" w:type="dxa"/>
            <w:vAlign w:val="bottom"/>
          </w:tcPr>
          <w:p>
            <w:pPr>
              <w:spacing w:after="0"/>
              <w:rPr>
                <w:sz w:val="12"/>
                <w:szCs w:val="12"/>
                <w:color w:val="auto"/>
              </w:rPr>
            </w:pPr>
          </w:p>
        </w:tc>
        <w:tc>
          <w:tcPr>
            <w:tcW w:w="108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0"/>
        </w:trPr>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w:t>
            </w: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r>
      <w:tr>
        <w:trPr>
          <w:trHeight w:val="237"/>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94"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8"/>
          <w:szCs w:val="18"/>
          <w:color w:val="auto"/>
        </w:rPr>
        <w:t>During the first quarter of fiscal 2014, the Company completed the $60.0 million all-cash acquisition of the Tomcat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consumer rodent control business from Bell Laboratories, Inc. located in Madison, Wisconsin. Tomcat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consumer products are sold at home centers, mass retailers, grocery, drug and general merchandise stores across the U.S., Canada, Europe and Australia. The assessment of fair value is preliminary and is based on information that was available at the time the consolidated financial statements were prepared. During the second quarter of fiscal 2014, the valuation of acquired assets was updated based on actual results, which resulted in a reallocation of approximately $1.7 million to finite-lived intangibles from goodwill. The revised valuation of acquired assets included finite-lived identifiable intangible assets of $39.8 million, goodwill of $18.2 million. Also, the Company received a $2.0 million credit toward the purchase of finished goods in the months subsequent to acquisition date. Identifiable intangible assets included tradename, technology, customer relationships, product registrations and non-compete agreements with useful lives ranging between 10 - 30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Net sales for the Tomcat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rodent control business for the three and six months ended March 29, 2014 were $6.6 million and $12.2 million, respectively.</w:t>
      </w:r>
    </w:p>
    <w:p>
      <w:pPr>
        <w:spacing w:after="0" w:line="66"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8"/>
          <w:szCs w:val="18"/>
          <w:color w:val="auto"/>
        </w:rPr>
        <w:t>During the first quarter of fiscal 2013,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completed the acquisition of two franchisee businesses that individually and in the aggregate were not significant. The aggregate purchase price of these acquisitions was $7.2 million.</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results of operations from these business combinations from the date of each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IMPAIRMENT, RESTRUCTURING AND OTHER</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Activity described herein is classified within the “Impairment, restructuring and other” line in the Condensed Consolidated Statements of Operations.</w:t>
      </w:r>
    </w:p>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29, 2014, the Company recognized $3.9 million in restructuring costs related to termination benefits provided to U.S. marketing personnel as part of the Company's restructuring of its U.S. marketing group. In addition, for the three months ended March 29, 2014, the Company recognized $2.0 million in additional ongoing monitoring and remediation costs for the Company's turfgrass biotechnology program.</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also recognized $0.2 million and $0.5 million of international restructuring costs during the three and six months ended March 29, 2014 and $0.2 million during the three months ended March 30, 2013, respectively. The restructuring costs related to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2013, the Company recognized income of $4.7 million related to the reimbursement by a vendor of a portion of the costs incurred for the development and commercialization of products including the active ingredient MAT 28 for the Global Consumer segment. During the first quarter of fiscal 2013, the Company also recognized a $4.3 million asset impairment charge as a result of issues with the commercialization of an insect repellent technology for the Global Consumer segment.</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liabilities associated with the restructuring and other charges during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2014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reserved for restructuring and other charges at September 30, 2013</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9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and other</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reserved for restructuring and other charges at March 29, 2014</w:t>
            </w:r>
          </w:p>
        </w:tc>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9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Payments and other for the three months ended March 29, 2014 were $3.1 million. Included in the restructuring reserves as of March 29, 2014 is $3.1 million that is classified as long-term. Payments against the long-term reserves will be incurred as the employees covered by the 2012 restructuring plan retire. The remaining amounts reserved will continue to be paid out over the course of the remainder of fiscal 2014.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consisted of the following for each of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3"/>
                <w:szCs w:val="13"/>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Pr>
          <w:p>
            <w:pPr>
              <w:spacing w:after="0"/>
              <w:rPr>
                <w:sz w:val="13"/>
                <w:szCs w:val="13"/>
                <w:color w:val="auto"/>
              </w:rPr>
            </w:pPr>
          </w:p>
        </w:tc>
        <w:tc>
          <w:tcPr>
            <w:tcW w:w="14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182.6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42.7</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99.6</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324.9</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Adjustments to reflect inventories at net realizable values were $20.4 million at March 29, 2014, $18.5 million at March 30, 2013 and $19.7 million at September 30, 2013.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MARKETING AGREEMENT</w:t>
      </w:r>
    </w:p>
    <w:p>
      <w:pPr>
        <w:spacing w:after="0" w:line="148"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The Company is Monsanto’s exclusive agent for the marketing and distribution of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The annual contribution payment is defined in the Marketing Agreement as $20 million.</w:t>
      </w:r>
    </w:p>
    <w:p>
      <w:pPr>
        <w:spacing w:after="0" w:line="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five years as of March 29, 2014.</w:t>
      </w:r>
    </w:p>
    <w:p>
      <w:pPr>
        <w:spacing w:after="0" w:line="99"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2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spacing w:after="0"/>
              <w:rPr>
                <w:sz w:val="12"/>
                <w:szCs w:val="12"/>
                <w:color w:val="auto"/>
              </w:rPr>
            </w:pPr>
          </w:p>
        </w:tc>
        <w:tc>
          <w:tcPr>
            <w:tcW w:w="124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commission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 expenses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marketing fee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commission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Reimbursements associated with Marketing Agreement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w:t>
            </w:r>
          </w:p>
        </w:tc>
      </w:tr>
      <w:tr>
        <w:trPr>
          <w:trHeight w:val="237"/>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sales associated with Marketing Agreement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51.6</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Marketing Agreement has no definite term except as it relates to the European Union countries (the “EU term”). The EU term extends through September 30, 2015. Thereafter, the Marketing Agreement provides that the parties may agree to renew the EU term for an additional three years.</w:t>
      </w:r>
    </w:p>
    <w:p>
      <w:pPr>
        <w:spacing w:after="0" w:line="81"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8"/>
          <w:szCs w:val="18"/>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The Marketing Agreement provides the Company with the right to terminate the Marketing Agreement in certain circumstances, including an event of default by Monsanto or the sale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19"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8"/>
          <w:szCs w:val="18"/>
          <w:color w:val="auto"/>
        </w:rPr>
        <w:t>Under the Marketing Agreement, Monsanto must provide the Company with notice of any proposed sale of the consumer Roundup business, allow the Company to participate in the sale process and negotiate in good faith with the Company with respect to any such proposed sale. In the event the Company acquires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to another party, the Company must let Monsanto know whether the Company intends to terminate the Marketing Agreement and forfeit any right to a termination fee.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long-term debt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2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Pr>
          <w:p>
            <w:pPr>
              <w:spacing w:after="0"/>
              <w:rPr>
                <w:sz w:val="13"/>
                <w:szCs w:val="13"/>
                <w:color w:val="auto"/>
              </w:rPr>
            </w:pPr>
          </w:p>
        </w:tc>
        <w:tc>
          <w:tcPr>
            <w:tcW w:w="16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0"/>
        </w:trPr>
        <w:tc>
          <w:tcPr>
            <w:tcW w:w="4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5"/>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 – Revolving loans</w:t>
            </w:r>
          </w:p>
        </w:tc>
        <w:tc>
          <w:tcPr>
            <w:tcW w:w="1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73.0</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 7.25%</w:t>
            </w: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 6.625%</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Master Accounts Receivable Purchase Agreement</w:t>
            </w: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4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1,371.0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570.5</w:t>
            </w:r>
          </w:p>
        </w:tc>
      </w:tr>
      <w:tr>
        <w:trPr>
          <w:trHeight w:val="27"/>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portions</w:t>
            </w:r>
          </w:p>
        </w:tc>
        <w:tc>
          <w:tcPr>
            <w:tcW w:w="1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92.4</w:t>
            </w:r>
          </w:p>
        </w:tc>
      </w:tr>
      <w:tr>
        <w:trPr>
          <w:trHeight w:val="237"/>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10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1,145.3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1,163.0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478.1</w:t>
            </w:r>
          </w:p>
        </w:tc>
      </w:tr>
      <w:tr>
        <w:trPr>
          <w:trHeight w:val="27"/>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656"/>
        </w:trPr>
        <w:tc>
          <w:tcPr>
            <w:tcW w:w="4640" w:type="dxa"/>
            <w:vAlign w:val="bottom"/>
          </w:tcPr>
          <w:p>
            <w:pPr>
              <w:spacing w:after="0"/>
              <w:rPr>
                <w:sz w:val="24"/>
                <w:szCs w:val="24"/>
                <w:color w:val="auto"/>
              </w:rPr>
            </w:pP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January 15, 2014, the Company redeemed all of its outstanding $200.0 million aggregate principal amount of 7.25% senior notes due 2018 (the “7.25% Senior Notes”)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Condensed Consolidated Statement of Operations in the Company's second quarter of fiscal 2014. Additionally, the Company had $3.5 million in unamortized bond discount and issuance costs associated with the 7.25% senior notes that were written-off and recognized in the “Costs related to refinancing” line on the Condensed Consolidated Statement of Operations in the Company's second quarter of fiscal 2014.</w:t>
      </w:r>
    </w:p>
    <w:p>
      <w:pPr>
        <w:spacing w:after="0" w:line="1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December 20, 2013, the Company entered into a third amended and restated senior secured credit agreement (“credit facility”), providing the Company and certain of its subsidiaries with a five-year senior secured revolving loan facility in the aggregate principal amount of up to $1.7 billion. The third amended and restated senior secured credit agreement also provides the Company with the right to seek to increase the credit facility by an aggregate amount of up to $450.0 million, subject to certain specified conditions. The credit agreement replaces the Company’s second amended and restated senior secured credit agreement, which was entered into on June 30, 2011, and would have terminated on June 30, 2016 if it had not been terminated early pursuant to the credit facility.</w:t>
      </w:r>
    </w:p>
    <w:p>
      <w:pPr>
        <w:spacing w:after="0" w:line="10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terms of the third amended and restated credit agreement include customary representations and warranties, customary affirmative and negative covenants, customary financial covenants and customary events of default. The proceeds of borrowings on the credit facility may be used: (i) to finance working capital requirements and other general corporate purposes of the Company and its subsidiaries; and (ii) to refinance the amounts outstanding under the previous credit agreement. The Company may use the credit facility for issuance of up to $75 million of letters of credit and for borrowings under swing line loans of up to $100 million. The credit facility will terminate on December 20, 2018.</w:t>
      </w:r>
    </w:p>
    <w:p>
      <w:pPr>
        <w:spacing w:after="0" w:line="10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Under the terms of the third amended and restated credit agreement, loans made under the credit facility bear interest, at the Company’s election, at a rate per annum equal to either the ABR or LIBOR (both as defined in the credit agreement) plus the applicable margin. The credit facility is guaranteed by substantially all of the Company's domestic subsidiaries. The credit facility is secured by (1) a perfected first priority security interest in all of the accounts receivable, inventory and equipment of the Company and those of the Company’s domestic subsidiaries that are parties to the third amended and restated guarantee and collateral agreement and (2) the pledge of all of the capital stock of the Company’s domestic subsidiaries that are parties to the third amended and restated guarantee and collateral agreement.</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March 29, 2014, there was $735.4 million of availability under the Company’s credit facility, including availability under letters of credit. Under the credit facility, the Company has the ability to obtain letters of credit up to $75 million outstanding. At March 29, 2014, the Company had letters of credit in the aggregate face amount of $23.3 million outstanding on the credit facility.</w:t>
      </w:r>
    </w:p>
    <w:p>
      <w:pPr>
        <w:spacing w:after="0" w:line="9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third amended and restated credit agreement contains, among other obligations, an affirmative covenant regarding the Company’s leverage ratio, calculated as average total indebtedness, as described in the Company’s credit facility, relative to the Company’s earnings before interest, taxes, depreciation and amortization (“EBITDA”), as adjusted pursuant to the terms of the credit facility (“Adjusted EBITDA”). Under the terms of the credit facility, the maximum leverage ratio was 4.00 as of March 29, 2014. The Company’s leverage ratio was 1.83 at March 29, 2014. The Company’s credit facility also includes an affirmative covenant regarding its interest coverage ratio. The interest coverage ratio is calculated as Adjusted EBITDA divided by interest expense, as described in the credit facility, and excludes costs related to refinancings. Under the terms of the credit facility, the minimum interest coverage ratio was 3.50 for the twelve months ended March 29, 2014. The Company’s interest coverage ratio was 7.18 for the twelve months ended March 29, 2014. The Company may make restricted payments (as defined in the third amended and restated credit agreement); provided that if after giving effect to any such restricted payment the leverage ratio is not greater than 3.00. Otherwise the Company may only make restricted payments in an aggregate amount for each fiscal year not to exceed the amount set forth for such fiscal year ($150.0 million for 2014 and 2015 and $175.0 million for 2016 and in each fiscal year thereafter).</w:t>
      </w:r>
    </w:p>
    <w:p>
      <w:pPr>
        <w:spacing w:after="0" w:line="11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the sale of receivables under the Master Accounts Receivable Purchase Agreement (“MARP Agreement”) as short-term debt and continues to carry the receivables on its Consolidated Balance Sheet, primarily as a result of the Company’s right to repurchase receivables sold. Refer to “NOTE 10. DEBT” in the Company's Form 10-K for the year ended September 30, 2013 for more information regarding the MARP Agreement. There were $273.5 million in borrowings under the MARP Agreement as of March 29, 2014 and $202.1 million in borrowings as of March 30, 2013. The carrying value of the receivables pledged as collateral was $341.9 million as of March 29, 2014 and $252.7 million as of March 30, 2013. As of March 29, 2014, there was $126.5 million of availability under the MARP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Estimated Fair Values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description of the methods and assumptions used to estimate the fair values of the Company’s debt instruments is as follows:</w:t>
      </w:r>
    </w:p>
    <w:p>
      <w:pPr>
        <w:spacing w:after="0" w:line="1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6.625% Senior Notes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March 29, 2014, March 30, 2013 and September 30, 2013, the fair value of the 6.625% Senior Notes was approximately $217.2 million, $219.1 million and $213.5 million, respectively. The fair value measurement for the 6.625% Senior Notes was classified in Level 1 of the fair value hierarchy.</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Pledged</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At March 29, 2014, March 30, 2013 and September 30, 2013, the Company had outstanding interest rate swap agreements with major financial institutions that effectively converted a portion of the Company’s variable-rate debt to a fixed rate. The swap agreements had a total U.S. dollar equivalent notional amount of $1,300.0 million at March 29, 2014, and $1,100.0 million at March 30, 2013 and September 30, 2013.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20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60" w:type="dxa"/>
            <w:vAlign w:val="bottom"/>
          </w:tcPr>
          <w:p>
            <w:pPr>
              <w:spacing w:after="0"/>
              <w:rPr>
                <w:sz w:val="13"/>
                <w:szCs w:val="13"/>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5"/>
        </w:trPr>
        <w:tc>
          <w:tcPr>
            <w:tcW w:w="460" w:type="dxa"/>
            <w:vAlign w:val="bottom"/>
          </w:tcPr>
          <w:p>
            <w:pPr>
              <w:spacing w:after="0"/>
              <w:rPr>
                <w:sz w:val="16"/>
                <w:szCs w:val="16"/>
                <w:color w:val="auto"/>
              </w:rPr>
            </w:pPr>
          </w:p>
        </w:tc>
        <w:tc>
          <w:tcPr>
            <w:tcW w:w="220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49"/>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3.78%</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2/7/2014</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2.42%</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11/16/2009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5/16/2016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2/16/2010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3.05%</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5/23/2016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2.40%</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12/20/2011</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6/20/2016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2.61%</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2.96%</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6/20/2019</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w:t>
            </w:r>
          </w:p>
        </w:tc>
      </w:tr>
      <w:tr>
        <w:trPr>
          <w:trHeight w:val="27"/>
        </w:trPr>
        <w:tc>
          <w:tcPr>
            <w:tcW w:w="4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refers to the date on which interest payments were, or will be, first hedged by the applicable swap agreement.</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made during the three-month period of each year that begins with the month and day of the effective date are hedged by the swap agreement.</w:t>
      </w:r>
    </w:p>
    <w:p>
      <w:pPr>
        <w:spacing w:after="0" w:line="8" w:lineRule="exact"/>
        <w:rPr>
          <w:rFonts w:ascii="Times New Roman" w:cs="Times New Roman" w:eastAsia="Times New Roman" w:hAnsi="Times New Roman"/>
          <w:sz w:val="16"/>
          <w:szCs w:val="16"/>
          <w:color w:val="auto"/>
        </w:rPr>
      </w:pPr>
    </w:p>
    <w:p>
      <w:pPr>
        <w:ind w:left="660" w:hanging="652"/>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Interest payments made during the six-month period of each year that begins with the month and day of the effective date are hedged by the swap agreement.</w:t>
      </w:r>
    </w:p>
    <w:p>
      <w:pPr>
        <w:spacing w:after="0" w:line="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Interest payments made during the nine-month period of each year that begins with the month and day of the effective date are hedged by the swap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Weighted Average Interest Rate</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interest rates on average debt were 5.7% and 6.0% for the six months ended March 29, 2014 and March 30, 2013,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RETIREMENT AND RETIREE MEDICAL PLANS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the components of net periodic benefit cost for the retirement and retiree medical plans sponsored by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30, 2013</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149"/>
        </w:trPr>
        <w:tc>
          <w:tcPr>
            <w:tcW w:w="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2"/>
                <w:szCs w:val="12"/>
                <w:color w:val="auto"/>
              </w:rPr>
            </w:pPr>
          </w:p>
        </w:tc>
        <w:tc>
          <w:tcPr>
            <w:tcW w:w="122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36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w:t>
            </w:r>
          </w:p>
        </w:tc>
      </w:tr>
      <w:tr>
        <w:trPr>
          <w:trHeight w:val="195"/>
        </w:trPr>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Medical</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Medical</w:t>
            </w:r>
          </w:p>
        </w:tc>
      </w:tr>
      <w:tr>
        <w:trPr>
          <w:trHeight w:val="250"/>
        </w:trPr>
        <w:tc>
          <w:tcPr>
            <w:tcW w:w="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5"/>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amortization</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29"/>
        </w:trPr>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2013</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49"/>
        </w:trPr>
        <w:tc>
          <w:tcPr>
            <w:tcW w:w="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2"/>
                <w:szCs w:val="12"/>
                <w:color w:val="auto"/>
              </w:rPr>
            </w:pPr>
          </w:p>
        </w:tc>
        <w:tc>
          <w:tcPr>
            <w:tcW w:w="122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95"/>
        </w:trPr>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60" w:type="dxa"/>
            <w:vAlign w:val="bottom"/>
          </w:tcPr>
          <w:p>
            <w:pPr>
              <w:spacing w:after="0"/>
              <w:rPr>
                <w:sz w:val="16"/>
                <w:szCs w:val="16"/>
                <w:color w:val="auto"/>
              </w:rPr>
            </w:pPr>
          </w:p>
        </w:tc>
        <w:tc>
          <w:tcPr>
            <w:tcW w:w="12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Medical</w:t>
            </w:r>
          </w:p>
        </w:tc>
        <w:tc>
          <w:tcPr>
            <w:tcW w:w="360" w:type="dxa"/>
            <w:vAlign w:val="bottom"/>
          </w:tcPr>
          <w:p>
            <w:pPr>
              <w:spacing w:after="0"/>
              <w:rPr>
                <w:sz w:val="16"/>
                <w:szCs w:val="16"/>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6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Medical</w:t>
            </w:r>
          </w:p>
        </w:tc>
      </w:tr>
      <w:tr>
        <w:trPr>
          <w:trHeight w:val="250"/>
        </w:trPr>
        <w:tc>
          <w:tcPr>
            <w:tcW w:w="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5"/>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40" w:type="dxa"/>
            <w:vAlign w:val="bottom"/>
          </w:tcPr>
          <w:p>
            <w:pPr>
              <w:spacing w:after="0"/>
              <w:rPr>
                <w:sz w:val="22"/>
                <w:szCs w:val="22"/>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29, 2014, Scotts Miracle-Gro repurchased 1.1 million of its common shares (the “Common Shares”) for $59.6 million. These repurchases were made pursuant to the $700 million share repurchase program approved by the Scotts Miracle-Gro Board of Directors. Since the inception of the program in the fourth quarter of fiscal 2010 through March 29, 2014, Scotts Miracle-Gro has repurchased approximately 8.9 million Common Shares for $460.8 million to be held in treasury.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Awards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share-based awards granted during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45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280" w:type="dxa"/>
            <w:vAlign w:val="bottom"/>
          </w:tcPr>
          <w:p>
            <w:pPr>
              <w:spacing w:after="0"/>
              <w:rPr>
                <w:sz w:val="22"/>
                <w:szCs w:val="22"/>
                <w:color w:val="auto"/>
              </w:rPr>
            </w:pPr>
          </w:p>
        </w:tc>
        <w:tc>
          <w:tcPr>
            <w:tcW w:w="16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30, 2013</w:t>
            </w:r>
          </w:p>
        </w:tc>
      </w:tr>
      <w:tr>
        <w:trPr>
          <w:trHeight w:val="23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Employees</w:t>
            </w:r>
          </w:p>
        </w:tc>
        <w:tc>
          <w:tcPr>
            <w:tcW w:w="29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r>
      <w:tr>
        <w:trPr>
          <w:trHeight w:val="41"/>
        </w:trPr>
        <w:tc>
          <w:tcPr>
            <w:tcW w:w="45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stock units</w:t>
            </w:r>
          </w:p>
        </w:tc>
        <w:tc>
          <w:tcPr>
            <w:tcW w:w="2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129,069</w:t>
            </w:r>
          </w:p>
        </w:tc>
      </w:tr>
      <w:tr>
        <w:trPr>
          <w:trHeight w:val="243"/>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Performance units</w:t>
            </w:r>
          </w:p>
        </w:tc>
        <w:tc>
          <w:tcPr>
            <w:tcW w:w="2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161,229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178,321</w:t>
            </w: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Board of Directors</w:t>
            </w:r>
          </w:p>
        </w:tc>
        <w:tc>
          <w:tcPr>
            <w:tcW w:w="2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stock units</w:t>
            </w:r>
          </w:p>
        </w:tc>
        <w:tc>
          <w:tcPr>
            <w:tcW w:w="2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29,443</w:t>
            </w:r>
          </w:p>
        </w:tc>
      </w:tr>
      <w:tr>
        <w:trPr>
          <w:trHeight w:val="27"/>
        </w:trPr>
        <w:tc>
          <w:tcPr>
            <w:tcW w:w="45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share-based awards</w:t>
            </w:r>
          </w:p>
        </w:tc>
        <w:tc>
          <w:tcPr>
            <w:tcW w:w="2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287,488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336,833</w:t>
            </w:r>
          </w:p>
        </w:tc>
      </w:tr>
      <w:tr>
        <w:trPr>
          <w:trHeight w:val="297"/>
        </w:trPr>
        <w:tc>
          <w:tcPr>
            <w:tcW w:w="4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Aggregate fair value at grant dates (in millions)</w:t>
            </w:r>
          </w:p>
        </w:tc>
        <w:tc>
          <w:tcPr>
            <w:tcW w:w="3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w:t>
            </w:r>
          </w:p>
        </w:tc>
      </w:tr>
      <w:tr>
        <w:trPr>
          <w:trHeight w:val="459"/>
        </w:trPr>
        <w:tc>
          <w:tcPr>
            <w:tcW w:w="4540" w:type="dxa"/>
            <w:vAlign w:val="bottom"/>
          </w:tcPr>
          <w:p>
            <w:pPr>
              <w:spacing w:after="0"/>
              <w:rPr>
                <w:sz w:val="24"/>
                <w:szCs w:val="24"/>
                <w:color w:val="auto"/>
              </w:rPr>
            </w:pPr>
          </w:p>
        </w:tc>
        <w:tc>
          <w:tcPr>
            <w:tcW w:w="29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recognized was as follows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362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334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2013</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MARCH 30, 2013</w:t>
            </w:r>
          </w:p>
        </w:tc>
      </w:tr>
      <w:tr>
        <w:trPr>
          <w:trHeight w:val="250"/>
        </w:trPr>
        <w:tc>
          <w:tcPr>
            <w:tcW w:w="3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660" w:type="dxa"/>
            <w:vAlign w:val="bottom"/>
            <w:tcBorders>
              <w:bottom w:val="single" w:sz="8" w:color="CCEEFF"/>
            </w:tcBorders>
            <w:shd w:val="clear" w:color="auto" w:fill="CCEEFF"/>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 recognized</w:t>
            </w:r>
          </w:p>
        </w:tc>
        <w:tc>
          <w:tcPr>
            <w:tcW w:w="15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6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w:t>
            </w:r>
          </w:p>
        </w:tc>
      </w:tr>
    </w:tbl>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March 29, 2014, total unrecognized compensation cost related to non-vested share-based awards amounted to $17.4 million. This cost is expected to be recognized over a weighted-average period of 2.2 years. The tax benefit realized from the tax deductions associated with the exercise of share-based awards and the vesting of restricted stock totaled $3.8 million for the first six months of fiscal 2014.</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 Options/SARs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stock option and SARs activity consisted of the following (options/SARs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WTD.</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No.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Options/SARs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September 30, 2013</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March 29, 2014</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March 29, 2014, the Company expects 0.3 million stock options (after forfeitures), with a weighted-average exercise price of $47.66, intrinsic value of $4.2 million and average remaining term of 7.8 years, to vest in the future. The following summarizes certain information pertaining to stock option and SAR awards outstanding and exercisable at March 29, 2014 (options/SARs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220" w:type="dxa"/>
            <w:vAlign w:val="bottom"/>
          </w:tcPr>
          <w:p>
            <w:pPr>
              <w:spacing w:after="0"/>
              <w:rPr>
                <w:sz w:val="12"/>
                <w:szCs w:val="12"/>
                <w:color w:val="auto"/>
              </w:rPr>
            </w:pPr>
          </w:p>
        </w:tc>
        <w:tc>
          <w:tcPr>
            <w:tcW w:w="9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220" w:type="dxa"/>
            <w:vAlign w:val="bottom"/>
          </w:tcPr>
          <w:p>
            <w:pPr>
              <w:spacing w:after="0"/>
              <w:rPr>
                <w:sz w:val="12"/>
                <w:szCs w:val="12"/>
                <w:color w:val="auto"/>
              </w:rPr>
            </w:pPr>
          </w:p>
        </w:tc>
        <w:tc>
          <w:tcPr>
            <w:tcW w:w="9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0" w:type="dxa"/>
            <w:vAlign w:val="bottom"/>
          </w:tcPr>
          <w:p>
            <w:pPr>
              <w:spacing w:after="0"/>
              <w:rPr>
                <w:sz w:val="1"/>
                <w:szCs w:val="1"/>
                <w:color w:val="auto"/>
              </w:rPr>
            </w:pPr>
          </w:p>
        </w:tc>
      </w:tr>
      <w:tr>
        <w:trPr>
          <w:trHeight w:val="149"/>
        </w:trPr>
        <w:tc>
          <w:tcPr>
            <w:tcW w:w="40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9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SARs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SARS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$20.12 – $28.72</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$29.01 – $31.62</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$33.25 – $37.48</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35.74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$37.89 – $38.90</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$40.81 – $51.73</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47.21</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gridSpan w:val="2"/>
            <w:vMerge w:val="restart"/>
          </w:tcPr>
          <w:p>
            <w:pPr>
              <w:jc w:val="right"/>
              <w:ind w:right="548"/>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intrinsic value of the stock option and SAR awards outstanding and exercisable at March 29, 2014 were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9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color w:val="auto"/>
              </w:rPr>
              <w:t>(In millions)</w:t>
            </w:r>
          </w:p>
        </w:tc>
      </w:tr>
      <w:tr>
        <w:trPr>
          <w:trHeight w:val="249"/>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47.5</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w:t>
            </w:r>
          </w:p>
        </w:tc>
        <w:tc>
          <w:tcPr>
            <w:tcW w:w="440" w:type="dxa"/>
            <w:vAlign w:val="bottom"/>
          </w:tcPr>
          <w:p>
            <w:pPr>
              <w:spacing w:after="0"/>
              <w:rPr>
                <w:sz w:val="21"/>
                <w:szCs w:val="21"/>
                <w:color w:val="auto"/>
              </w:rPr>
            </w:pPr>
          </w:p>
        </w:tc>
        <w:tc>
          <w:tcPr>
            <w:tcW w:w="1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43.3</w:t>
            </w:r>
          </w:p>
        </w:tc>
      </w:tr>
    </w:tbl>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share-based awards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share-based award activity (including restricted stock, restricted stock units and deferred stock units)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WTD. Avg.</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No. of</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80" w:type="dxa"/>
            <w:vAlign w:val="bottom"/>
            <w:tcBorders>
              <w:bottom w:val="single" w:sz="8" w:color="CCEEFF"/>
            </w:tcBorders>
          </w:tcPr>
          <w:p>
            <w:pPr>
              <w:spacing w:after="0"/>
              <w:rPr>
                <w:sz w:val="16"/>
                <w:szCs w:val="16"/>
                <w:color w:val="auto"/>
              </w:rPr>
            </w:pPr>
          </w:p>
        </w:tc>
        <w:tc>
          <w:tcPr>
            <w:tcW w:w="7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September 30, 2013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409,651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126,259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March 29, 2014</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427,557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0" w:type="dxa"/>
            <w:vAlign w:val="bottom"/>
          </w:tcPr>
          <w:p>
            <w:pPr>
              <w:spacing w:after="0"/>
              <w:rPr>
                <w:sz w:val="24"/>
                <w:szCs w:val="24"/>
                <w:color w:val="auto"/>
              </w:rPr>
            </w:pPr>
          </w:p>
        </w:tc>
        <w:tc>
          <w:tcPr>
            <w:tcW w:w="84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 the six months ended March 29, 2014, the total fair value of restricted stock units vested was $3.3 million.</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8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84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Performance-based award activity was as follows: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WTD. Avg.</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2013</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59.39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50.88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March 29, 2014</w:t>
            </w:r>
          </w:p>
        </w:tc>
        <w:tc>
          <w:tcPr>
            <w:tcW w:w="1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367,368</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51.71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effective tax rate related to continuing operations for the six months ended March 29, 2014 was 34.0%, compared to 36.9% for the six months ended March 30, 2013. The Company recognized discrete tax benefits of $1.6 million for the three months ended March 29, 2014.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13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2010. The Company is currently under examination by the Internal Revenue Service and certain foreign and U.S. state and local tax authorities. The U.S. federal examination is limited to fiscal year 2011. Regarding the foreign jurisdictions, an audit is currently underway in France covering fiscal years 2010 through 2012. In regard to the multiple U.S., state and local audits, the tax periods under examination are limited to fiscal years 2007 through 2012. In addition to the aforementioned audits, certain other tax deficiency notices and refund claims for previous years remain unresolved.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CONTINGENCIES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At March 29, 2014, $6.1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8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Times New Roman" w:cs="Times New Roman" w:eastAsia="Times New Roman" w:hAnsi="Times New Roman"/>
          <w:sz w:val="18"/>
          <w:szCs w:val="18"/>
          <w:i w:val="1"/>
          <w:iCs w:val="1"/>
          <w:color w:val="auto"/>
        </w:rPr>
        <w:t>In re Morning Song Bird Food Litigation</w:t>
      </w:r>
      <w:r>
        <w:rPr>
          <w:rFonts w:ascii="Times New Roman" w:cs="Times New Roman" w:eastAsia="Times New Roman" w:hAnsi="Times New Roman"/>
          <w:sz w:val="18"/>
          <w:szCs w:val="18"/>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seek monetary damages (actual, compensatory, consequential, punitive, and treble); reimbursement, restitution, and disgorgement for benefits unjustly conferred; injunctive and declaratory relief; pre-judgment and post-judgment interest; and costs and attorneys' fees. The Company intends to vigorously defend the consolidated action. Given the early stages of the action, the Company cannot make a determination as to whether it could have a material effect on the Company's financial condition, results of operations or cash flows and the Company has not recorded any accruals with respect thereto.</w:t>
      </w:r>
    </w:p>
    <w:p>
      <w:pPr>
        <w:spacing w:after="0" w:line="13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DERIVATIVE INSTRUMENTS AND HEDGING ACTIVITIES</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 Risk Management</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periodically uses foreign currency forward contracts to manage the exchange rate risk associated with intercompany loans with foreign subsidiaries that are denominated in local currencies. At March 29, 2014, the notional amount of outstanding foreign currency forward contracts was $197.8 million, with a negative fair value of $0.2 million. At March 30, 2013, the notional amount of outstanding foreign currency forward contracts was $266.8 million, with a fair value of $7.1 million. At September 30, 2013, the notional amount of outstanding foreign currency forward contracts was $80.4 million, with a negative fair value of $2.1 million. The fair value of foreign currency forward contracts is determined based on changes in spot rates. The outstanding contracts will mature over the next fiscal year.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 Management</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 On December 20, 2013, in conjunction with entering into the third amended and restated senior secured credit facility, the Company recognized hedge ineffectiveness of $2.0 million which was recorded to interest expense.</w:t>
      </w:r>
    </w:p>
    <w:p>
      <w:pPr>
        <w:spacing w:after="0" w:line="10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At March 29, 2014, March 30, 2013 and September 30, 2013, the Company had outstanding interest rate swap agreements with major financial institutions that effectively converted a portion of the Company’s variable-rate debt to a fixed rate. The swap agreements had a total U.S. dollar equivalent notional amount of $1,300.0 million at March 29, 2014 and $1,100.0 million at March 30, 2013 and September 30, 2013, respectively. Included in the AOCI balance at March 29, 2014 was a loss of $5.3 million related to interest rate swap agreements that is expected to be reclassified to earnings during the next 12 months, consistent with the timing of the underlying hedged transactions.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 Management</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had outstanding hedging arrangements at March 29, 2014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within the Condensed Consolidated Balance Sheets. Realized gains or losses remain as a component of AOCI until the related inventory is sold. Upon sale of the underlying inventory, the gain or loss is reclassified to cost of sales. Included in the AOCI balance at March 29, 2014 was a gain of $0.4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March 29, 2014 was a gain of $0.1 million related to fuel derivatives that is expected to be reclassified to earnings during the next 12 months, consistent with the timing of the underlying hedged transactions.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had the following outstanding commodity contracts that were entered into to hedge forecasted purchases: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30, 2013</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Urea</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15,000 tons</w:t>
            </w:r>
          </w:p>
        </w:tc>
        <w:tc>
          <w:tcPr>
            <w:tcW w:w="2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22,500 tons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49,500 tons</w:t>
            </w:r>
          </w:p>
        </w:tc>
      </w:tr>
      <w:tr>
        <w:trPr>
          <w:trHeight w:val="243"/>
        </w:trPr>
        <w:tc>
          <w:tcPr>
            <w:tcW w:w="5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Diesel</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2,940,000 gallons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3,738,000 gallons</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3,528,000 gallons</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Gasoline</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756,000 gallons</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644,000 gallons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630,000 gallons</w:t>
            </w:r>
          </w:p>
        </w:tc>
      </w:tr>
      <w:tr>
        <w:trPr>
          <w:trHeight w:val="243"/>
        </w:trPr>
        <w:tc>
          <w:tcPr>
            <w:tcW w:w="5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Heating Oil</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2,730,000 gallons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2,856,000 gallons</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2,940,000 gallons</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Values of Derivative Instruments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the Company’s derivative instruments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 (LIABILITIES)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40" w:type="dxa"/>
            <w:vAlign w:val="bottom"/>
          </w:tcPr>
          <w:p>
            <w:pPr>
              <w:spacing w:after="0"/>
              <w:rPr>
                <w:sz w:val="12"/>
                <w:szCs w:val="12"/>
                <w:color w:val="auto"/>
              </w:rPr>
            </w:pPr>
          </w:p>
        </w:tc>
        <w:tc>
          <w:tcPr>
            <w:tcW w:w="134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w:t>
            </w: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55"/>
        </w:trPr>
        <w:tc>
          <w:tcPr>
            <w:tcW w:w="3900" w:type="dxa"/>
            <w:vAlign w:val="bottom"/>
            <w:gridSpan w:val="2"/>
            <w:vMerge w:val="continue"/>
          </w:tcPr>
          <w:p>
            <w:pPr>
              <w:spacing w:after="0"/>
              <w:rPr>
                <w:sz w:val="4"/>
                <w:szCs w:val="4"/>
                <w:color w:val="auto"/>
              </w:rPr>
            </w:pPr>
          </w:p>
        </w:tc>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3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continue"/>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900" w:type="dxa"/>
            <w:vAlign w:val="bottom"/>
            <w:gridSpan w:val="2"/>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derivatives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effect of derivative instruments on AOCI and the Condensed Consolidated Statements of Operations was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817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0" w:type="dxa"/>
            <w:vAlign w:val="bottom"/>
          </w:tcPr>
          <w:p>
            <w:pPr>
              <w:spacing w:after="0"/>
              <w:rPr>
                <w:sz w:val="1"/>
                <w:szCs w:val="1"/>
                <w:color w:val="auto"/>
              </w:rPr>
            </w:pPr>
          </w:p>
        </w:tc>
      </w:tr>
      <w:tr>
        <w:trPr>
          <w:trHeight w:val="149"/>
        </w:trPr>
        <w:tc>
          <w:tcPr>
            <w:tcW w:w="35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AOCI INTO STATEMENT</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0" w:type="dxa"/>
            <w:vAlign w:val="bottom"/>
          </w:tcPr>
          <w:p>
            <w:pPr>
              <w:spacing w:after="0"/>
              <w:rPr>
                <w:sz w:val="1"/>
                <w:szCs w:val="1"/>
                <w:color w:val="auto"/>
              </w:rPr>
            </w:pPr>
          </w:p>
        </w:tc>
      </w:tr>
      <w:tr>
        <w:trPr>
          <w:trHeight w:val="512"/>
        </w:trPr>
        <w:tc>
          <w:tcPr>
            <w:tcW w:w="3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70"/>
        </w:trPr>
        <w:tc>
          <w:tcPr>
            <w:tcW w:w="3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0"/>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AMOUNT OF GAIN / (LOSS) RECOGNIZED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687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2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2"/>
                <w:szCs w:val="12"/>
                <w:color w:val="auto"/>
              </w:rPr>
            </w:pPr>
          </w:p>
        </w:tc>
        <w:tc>
          <w:tcPr>
            <w:tcW w:w="11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59"/>
        </w:trPr>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3"/>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9"/>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20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2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2"/>
                <w:szCs w:val="12"/>
                <w:color w:val="auto"/>
              </w:rPr>
            </w:pPr>
          </w:p>
        </w:tc>
        <w:tc>
          <w:tcPr>
            <w:tcW w:w="11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59"/>
        </w:trPr>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3"/>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-2040255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-1697355</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-548005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-205105</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120"/>
            <w:col w:w="5800"/>
          </w:cols>
          <w:pgMar w:left="240" w:top="12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2"/>
        </w:trPr>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20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51"/>
        </w:trPr>
        <w:tc>
          <w:tcPr>
            <w:tcW w:w="356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206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200" w:type="dxa"/>
            <w:vAlign w:val="bottom"/>
          </w:tcPr>
          <w:p>
            <w:pPr>
              <w:spacing w:after="0"/>
              <w:rPr>
                <w:sz w:val="13"/>
                <w:szCs w:val="13"/>
                <w:color w:val="auto"/>
              </w:rPr>
            </w:pPr>
          </w:p>
        </w:tc>
        <w:tc>
          <w:tcPr>
            <w:tcW w:w="130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80" w:type="dxa"/>
            <w:vAlign w:val="bottom"/>
          </w:tcPr>
          <w:p>
            <w:pPr>
              <w:spacing w:after="0"/>
              <w:rPr>
                <w:sz w:val="13"/>
                <w:szCs w:val="13"/>
                <w:color w:val="auto"/>
              </w:rPr>
            </w:pPr>
          </w:p>
        </w:tc>
        <w:tc>
          <w:tcPr>
            <w:tcW w:w="128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0" w:type="dxa"/>
            <w:vAlign w:val="bottom"/>
          </w:tcPr>
          <w:p>
            <w:pPr>
              <w:spacing w:after="0"/>
              <w:rPr>
                <w:sz w:val="13"/>
                <w:szCs w:val="13"/>
                <w:color w:val="auto"/>
              </w:rPr>
            </w:pPr>
          </w:p>
        </w:tc>
        <w:tc>
          <w:tcPr>
            <w:tcW w:w="128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3"/>
                <w:szCs w:val="13"/>
                <w:color w:val="auto"/>
              </w:rPr>
            </w:pPr>
          </w:p>
        </w:tc>
        <w:tc>
          <w:tcPr>
            <w:tcW w:w="1160" w:type="dxa"/>
            <w:vAlign w:val="bottom"/>
          </w:tcPr>
          <w:p>
            <w:pPr>
              <w:jc w:val="right"/>
              <w:ind w:right="237"/>
              <w:spacing w:after="0" w:line="151"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76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55"/>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3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included in Level 1, such as quoted prices for similar assets and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similar assets and liabilities in markets that are not active; or other inputs that are observable or can be corroborated by observable market data.</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pricing models, discounted cash flow methodologies and similar techniques that use significant unobservable inputs.</w:t>
      </w:r>
    </w:p>
    <w:p>
      <w:pPr>
        <w:spacing w:after="0" w:line="12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Derivatives</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Derivatives consist of foreign currency, interest rate and commodity derivative instruments. Foreign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9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Equivalents</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financial assets consist of investment securities in non-qualified retirement plan assets. These securities are valued using observable market prices in active markets.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measured at fair value on a recurring basis at March 29,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6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measured at fair value on a recurring basis at March 30,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6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measured at fair value on a recurring basis at September 30, 2013: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6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148" w:lineRule="exact"/>
        <w:rPr>
          <w:sz w:val="20"/>
          <w:szCs w:val="20"/>
          <w:color w:val="auto"/>
        </w:rPr>
      </w:pPr>
    </w:p>
    <w:p>
      <w:pPr>
        <w:jc w:val="both"/>
        <w:ind w:right="20" w:firstLine="432"/>
        <w:spacing w:after="0" w:line="218" w:lineRule="auto"/>
        <w:rPr>
          <w:sz w:val="20"/>
          <w:szCs w:val="20"/>
          <w:color w:val="auto"/>
        </w:rPr>
      </w:pPr>
      <w:r>
        <w:rPr>
          <w:rFonts w:ascii="Times New Roman" w:cs="Times New Roman" w:eastAsia="Times New Roman" w:hAnsi="Times New Roman"/>
          <w:sz w:val="18"/>
          <w:szCs w:val="18"/>
          <w:color w:val="auto"/>
        </w:rPr>
        <w:t>The Company divides its business into the following segments — Global Consumer and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This division of reportable segments is consistent with how the segments report to and are managed by the chief operating decision maker of the Company.</w:t>
      </w:r>
    </w:p>
    <w:p>
      <w:pPr>
        <w:spacing w:after="0" w:line="11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several factors, including income from continuing operations before amortization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w:t>
      </w:r>
    </w:p>
    <w:p>
      <w:pPr>
        <w:spacing w:after="0" w:line="95"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Corporate &amp; Other consists of revenues and expenses associated with the Company’s supply agreements with Israel Chemicals, Ltd. (“ICL”) and the amortization related to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summarized financial information concerning the Company’s reportable segments for the periods indicated: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right"/>
              <w:ind w:right="413"/>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8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2"/>
                <w:szCs w:val="12"/>
                <w:color w:val="auto"/>
              </w:rPr>
            </w:pPr>
          </w:p>
        </w:tc>
        <w:tc>
          <w:tcPr>
            <w:tcW w:w="150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Global Consumer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1,046.0</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total</w:t>
            </w:r>
          </w:p>
        </w:tc>
        <w:tc>
          <w:tcPr>
            <w:tcW w:w="28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1,074.9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&amp; Other</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1,081.0</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1,270.6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1,203.0</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240" w:type="dxa"/>
            <w:vAlign w:val="bottom"/>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Global Consumer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269.5</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total</w:t>
            </w:r>
          </w:p>
        </w:tc>
        <w:tc>
          <w:tcPr>
            <w:tcW w:w="28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&amp; Other</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24"/>
                <w:szCs w:val="24"/>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00" w:type="dxa"/>
            <w:vAlign w:val="bottom"/>
          </w:tcPr>
          <w:p>
            <w:pPr>
              <w:spacing w:after="0"/>
              <w:rPr>
                <w:sz w:val="24"/>
                <w:szCs w:val="24"/>
                <w:color w:val="auto"/>
              </w:rPr>
            </w:pPr>
          </w:p>
        </w:tc>
        <w:tc>
          <w:tcPr>
            <w:tcW w:w="150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Global Consumer</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2,721.6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2,517.1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1,564.2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25"/>
                <w:szCs w:val="25"/>
                <w:color w:val="auto"/>
                <w:vertAlign w:val="superscript"/>
              </w:rPr>
              <w:t>®</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&amp; Other</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3,071.2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2,896.9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1,937.2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6.625% Senior Notes (the “Senior Notes”) issued by Scotts Miracle-Gro on December 16, 2010 are guaranteed at March 29, 2014 by certain of its domestic subsidiaries and, therefore, the Company has disclosed condensed consolidating financial information in accordance with SEC Regulation S-X Rule 3-10, </w:t>
      </w:r>
      <w:r>
        <w:rPr>
          <w:rFonts w:ascii="Times New Roman" w:cs="Times New Roman" w:eastAsia="Times New Roman" w:hAnsi="Times New Roman"/>
          <w:sz w:val="18"/>
          <w:szCs w:val="18"/>
          <w:i w:val="1"/>
          <w:iCs w:val="1"/>
          <w:color w:val="auto"/>
        </w:rPr>
        <w:t>Financial Statements of Guarantors and Issuers of Guaranteed Securities Registered or Being Registered.</w:t>
      </w:r>
      <w:r>
        <w:rPr>
          <w:rFonts w:ascii="Times New Roman" w:cs="Times New Roman" w:eastAsia="Times New Roman" w:hAnsi="Times New Roman"/>
          <w:sz w:val="18"/>
          <w:szCs w:val="18"/>
          <w:color w:val="auto"/>
        </w:rPr>
        <w:t xml:space="preserve"> On January 15, 2014, the Company redeemed all of its outstanding $200 million aggregate principal amount of the 7.25% Senior Notes which were previously guaranteed by certain of its domestic subsidiaries. The guarantees are “full and unconditional,” as those terms are used in Regulation S-X Rule 3-10, except that a subsidiary’s guarantee will be automatically released in certain customary circumstances, such as (1) upon any sale or other disposition of all or substantially all of the assets of the subsidiary (including by way of merger or consolidation) to any person other than Scotts Miracle-Gro or any “restricted subsidiary” under the applicable indenture; (2) if the subsidiary merges with and into Scotts Miracle-Gro, with Scotts Miracle-Gro surviving such merger; (3) if the subsidiary is designated an “unrestricted subsidiary” in accordance with the applicable indenture or otherwise ceases to be a “restricted subsidiary” (including by way of liquidation or dissolution) in a transaction permitted by such indenture; (4) upon legal or covenant defeasance; (5) upon satisfaction and discharge of the Senior Notes; or</w:t>
      </w:r>
    </w:p>
    <w:p>
      <w:pPr>
        <w:spacing w:after="0" w:line="6" w:lineRule="exact"/>
        <w:rPr>
          <w:sz w:val="20"/>
          <w:szCs w:val="20"/>
          <w:color w:val="auto"/>
        </w:rPr>
      </w:pPr>
    </w:p>
    <w:p>
      <w:pPr>
        <w:jc w:val="both"/>
        <w:ind w:firstLine="8"/>
        <w:spacing w:after="0" w:line="238" w:lineRule="auto"/>
        <w:tabs>
          <w:tab w:leader="none" w:pos="2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subsidiary ceases to be a “wholly owned restricted subsidiary” and the subsidiary is not otherwise required to provide a guarantee of the Senior Notes pursuant to the applicable indenture. The following 100% directly or indirectly owned subsidiaries fully and unconditionally guarantee at March 29, 2014 the Senior Notes on a joint and several basis: EG Systems, Inc., dba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SLS Franchise Systems, LLC; and The Scotts Company LLC (collectively, the “Guarantors”). SLS Franchise Systems, LLC was added as a guarantor to The Scotts Miracle-Gro Company indenture governing its 6.625% Notes on February 25, 2014. Accordingly, SLS Franchise Systems, LLC has been added as a Guarantor for the three month period ending March 29, 2014.</w:t>
      </w:r>
    </w:p>
    <w:p>
      <w:pPr>
        <w:spacing w:after="0" w:line="123"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The following information presents Condensed Consolidating Statements of Operations for the three and six months ended March 29, 2014 and March 30, 2013, Condensed Consolidating Statements of Comprehensive Income (Loss) for the three and six months ended March 29, 2014 and March 30, 2013, Condensed Consolidating Statements of Cash Flows for the six months ended March 29, 2014 and March 30, 2013, and Condensed Consolidating Balance Sheets as of March 29, 2014, March 30, 2013 and September 30, 2013.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 for March 29, 2014 and March 30, 2013, respectively are $128.6 million and $40.6 million of dividends paid by the Guarantors to the Parent.</w:t>
      </w:r>
    </w:p>
    <w:p>
      <w:pPr>
        <w:spacing w:after="0" w:line="1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Condensed Consolidating Statement of Cash Flows for the six months ended March 30, 2013 (which was previously presented in our Form 10-Q dated May 7, 2013 and is presented herein), the Company reclassified intercompany dividends received by Parent from Guarantors from “Net Cash (Used In) Provided By Financing Activities” to “Net Cash (Used In) Provided By Operating Activities.” In the Condensed Consolidating Balance Sheet as of September 30, 2013 (which was previously presented in our Form 10-K dated November 20, 2013 and is presented herein), the Company made a correction to properly reflect the Senior Notes and the credit agreement as Parent debt and the Company made related correcting adjustments to Parent intercompany assets and the elimination entries. The Company believes these changes are immaterial.</w:t>
      </w:r>
    </w:p>
    <w:p>
      <w:pPr>
        <w:spacing w:after="0" w:line="188"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Similarly, the Company has identified adjustments in the classification of intercompany dividends received by Parent from Guarantors between “Net Cash (Used In) Provided By Financing Activities” and “Net Cash (Used In) Provided By Operating Activities” in the Condensed Consolidating Statements of Cash Flows for the each of the three years ended September 30, 2013. The amounts of such dividends for the fiscal years ended September 30, 2013, 2012, and 2011 were $87.8 million, $75.4 million and $67.9 million, respectively. As the Company believes these amounts are immaterial, the disclosures will be corrected in future filings.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29, 2014</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0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647.2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March 29, 2014</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0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29, 2014</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0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March 29, 2014</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six months ended March 29, 2014</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0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business, net of transaction costs</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acquired business, net of cash acquired</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Borrowings under revolving and bank lines of credit</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1,715.5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on seller notes</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benefits from share-based payment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2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Intercompany financing</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6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29, 2014</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746.9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1,937.6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2,439.9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3,071.2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1,018.1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1,145.3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2,294.1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2,395.5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675.7</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2,439.9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3,071.2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30, 2013</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0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income in subsidiaries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March 30, 2013</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0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1,203.0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795.1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 charges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income in subsidiaries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30, 2013</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0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March 30, 2013</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0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March 30, 2013</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91"/>
        </w:trPr>
        <w:tc>
          <w:tcPr>
            <w:tcW w:w="5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long-lived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acquired business, net of cash acquired</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97"/>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Borrowings under revolving and bank lines of credit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1,166.8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under revolving and bank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on seller notes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benefits from share-based payment arrangements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financing</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30, 2013</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1,836.7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2,896.9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888.2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2,896.9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2013</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1,937.2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60" w:type="dxa"/>
            <w:vAlign w:val="bottom"/>
            <w:gridSpan w:val="3"/>
          </w:tcPr>
          <w:p>
            <w:pPr>
              <w:spacing w:after="0"/>
              <w:rPr>
                <w:sz w:val="2"/>
                <w:szCs w:val="2"/>
                <w:color w:val="auto"/>
              </w:rPr>
            </w:pPr>
          </w:p>
        </w:tc>
        <w:tc>
          <w:tcPr>
            <w:tcW w:w="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1,226.7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1,937.2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6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14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48"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second largest lawn care service business in the United States. Our operations are divided into the following reportable segments: Global Consumer and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a leading consumer branded lawn and garden company, our product development and marketing efforts are largely focused on providing innovative and differentiated products and on continually increasing brand and product awareness to inspire consumers and to create retail demand. We have successfully applied this model for a number of years by focusing on research and development and investing approximately 5 - 6%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Due to the seasonal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78"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Percent of Net Sales from</w:t>
      </w:r>
    </w:p>
    <w:p>
      <w:pPr>
        <w:spacing w:after="0" w:line="6"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284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gridSpan w:val="2"/>
          </w:tcPr>
          <w:p>
            <w:pPr>
              <w:ind w:left="74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August 2010, the Scotts Miracle-Gro Board of Directors authorized the repurchase of up to $500 million of Scotts Miracle-Gro’s common shares (the “Common Shares”) over a four-year period through September 30, 2014. In May 2011, the Scotts Miracle-Gro Board of Directors authorized the repurchase of up to an additional $200 million of the Common Shares, resulting in authority to repurchase up to a total of $700 million of the Common Shares through September 30, 2014. Since inception of the program in the fourth quarter of fiscal 2010 through March 29, 2014, Scotts Miracle-Gro has repurchased 8.9 million Common Shares for $460.8 million to be held in treasury, leaving $239.2 million authorized for repurchases through September 30, 2014.</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Further, on August 6, 2013, we announced that the Scotts Miracle-Gro Board of Directors had approved an increase in our quarterly dividend from $0.325 to $0.4375 per Common Share. The decision to increase the amount of cash we intend to return to our shareholders reflects our continued confidence in the business and our desire to maintain a consistent capital structure.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classified our wild bird food business as discontinued operations, for all periods presented, beginning in our second quarter of fiscal 2014. As a result, and unless specifically stated, all discussions regarding results for the three and six months ended March 29, 2014 and March 30, 2013, reflect results from our continuing operations.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income and expense as a percentage of net sales: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460" w:type="dxa"/>
            <w:vAlign w:val="bottom"/>
          </w:tcPr>
          <w:p>
            <w:pPr>
              <w:spacing w:after="0"/>
              <w:rPr>
                <w:sz w:val="22"/>
                <w:szCs w:val="22"/>
                <w:color w:val="auto"/>
              </w:rPr>
            </w:pP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30, 2013</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MARCH 30, 2013</w:t>
            </w: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66.1</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w:t>
            </w:r>
          </w:p>
        </w:tc>
      </w:tr>
      <w:tr>
        <w:trPr>
          <w:trHeight w:val="243"/>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6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1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March 29, 2014 were $1,081.0 million, an increase of 7.3% from net sales of $1,007.9 million for the three months ended March 30, 2013. Net sales for the six months ended March 29, 2014 were $1,270.6 million, an increase of 5.6% from net sales of $1,203.0 million for the three months ended March 30, 2013. The change in net sales was attributable to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38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75"/>
        </w:trPr>
        <w:tc>
          <w:tcPr>
            <w:tcW w:w="5540" w:type="dxa"/>
            <w:vAlign w:val="bottom"/>
            <w:tcBorders>
              <w:bottom w:val="single" w:sz="8" w:color="CCEEFF"/>
            </w:tcBorders>
          </w:tcPr>
          <w:p>
            <w:pPr>
              <w:spacing w:after="0"/>
              <w:rPr>
                <w:sz w:val="23"/>
                <w:szCs w:val="23"/>
                <w:color w:val="auto"/>
              </w:rPr>
            </w:pPr>
          </w:p>
        </w:tc>
        <w:tc>
          <w:tcPr>
            <w:tcW w:w="238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9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MARCH 29, 2014</w:t>
            </w:r>
          </w:p>
        </w:tc>
      </w:tr>
      <w:tr>
        <w:trPr>
          <w:trHeight w:val="249"/>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w:t>
            </w:r>
          </w:p>
        </w:tc>
        <w:tc>
          <w:tcPr>
            <w:tcW w:w="2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Pricing</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9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rates</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9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5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net sales</w:t>
            </w:r>
          </w:p>
        </w:tc>
        <w:tc>
          <w:tcPr>
            <w:tcW w:w="2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net sales for the three and six months ended March 29, 2014, was primarily driven by:</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volume in our Global Consumer segment, driven by the timing of shipments to retailers;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impact of increased pricing in the Global Consumer segment, primarily in the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from the Tomcat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acquisition within our Global Consumer segment and acquisitions within our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segment;</w:t>
      </w:r>
    </w:p>
    <w:p>
      <w:pPr>
        <w:spacing w:after="0" w:line="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impact of foreign exchange rates as a result of the slight weakening of the U.S. dollar relative to other currencies;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sales attributable to our marketing agreement with Monsanto;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in net sales related to ICL supply agreements, which were entered into in connection with the sale of Global Pro in February 2011.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major components of cost of sales: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MARCH 30, 2013</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481.0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labor and overhead</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135.6</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 and warehousing</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143.9</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reimbursements</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34.6</w:t>
            </w: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795.1</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795.2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Factors contributing to the change in cost of sales are outlined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0"/>
        </w:trPr>
        <w:tc>
          <w:tcPr>
            <w:tcW w:w="5620" w:type="dxa"/>
            <w:vAlign w:val="bottom"/>
          </w:tcPr>
          <w:p>
            <w:pPr>
              <w:spacing w:after="0"/>
              <w:rPr>
                <w:sz w:val="21"/>
                <w:szCs w:val="21"/>
                <w:color w:val="auto"/>
              </w:rPr>
            </w:pPr>
          </w:p>
        </w:tc>
        <w:tc>
          <w:tcPr>
            <w:tcW w:w="23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MARCH 29, 2014</w:t>
            </w:r>
          </w:p>
        </w:tc>
      </w:tr>
      <w:tr>
        <w:trPr>
          <w:trHeight w:val="250"/>
        </w:trPr>
        <w:tc>
          <w:tcPr>
            <w:tcW w:w="56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40" w:type="dxa"/>
            <w:vAlign w:val="bottom"/>
          </w:tcPr>
          <w:p>
            <w:pPr>
              <w:spacing w:after="0"/>
              <w:rPr>
                <w:sz w:val="21"/>
                <w:szCs w:val="2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Material costs</w:t>
            </w:r>
          </w:p>
        </w:tc>
        <w:tc>
          <w:tcPr>
            <w:tcW w:w="2320" w:type="dxa"/>
            <w:vAlign w:val="bottom"/>
            <w:tcBorders>
              <w:bottom w:val="single" w:sz="8" w:color="CCEEFF"/>
            </w:tcBorders>
            <w:shd w:val="clear" w:color="auto" w:fill="CCEEFF"/>
          </w:tcPr>
          <w:p>
            <w:pPr>
              <w:jc w:val="right"/>
              <w:ind w:right="21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Volume and product mix</w:t>
            </w:r>
          </w:p>
        </w:tc>
        <w:tc>
          <w:tcPr>
            <w:tcW w:w="232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5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reimbursements</w:t>
            </w:r>
          </w:p>
        </w:tc>
        <w:tc>
          <w:tcPr>
            <w:tcW w:w="23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rates</w:t>
            </w:r>
          </w:p>
        </w:tc>
        <w:tc>
          <w:tcPr>
            <w:tcW w:w="232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6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cost of sales</w:t>
            </w:r>
          </w:p>
        </w:tc>
        <w:tc>
          <w:tcPr>
            <w:tcW w:w="2320" w:type="dxa"/>
            <w:vAlign w:val="bottom"/>
            <w:tcBorders>
              <w:bottom w:val="single" w:sz="8" w:color="CCEEFF"/>
            </w:tcBorders>
            <w:shd w:val="clear" w:color="auto" w:fill="CCEEFF"/>
          </w:tcPr>
          <w:p>
            <w:pPr>
              <w:jc w:val="right"/>
              <w:ind w:right="21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3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6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cost of sales</w:t>
            </w:r>
          </w:p>
        </w:tc>
        <w:tc>
          <w:tcPr>
            <w:tcW w:w="2320" w:type="dxa"/>
            <w:vAlign w:val="bottom"/>
            <w:tcBorders>
              <w:bottom w:val="single" w:sz="8" w:color="CCEEFF"/>
            </w:tcBorders>
            <w:shd w:val="clear" w:color="auto" w:fill="CCEEFF"/>
          </w:tcPr>
          <w:p>
            <w:pPr>
              <w:jc w:val="right"/>
              <w:ind w:right="21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cost of sales, for the three and six months ended March 29, 2014, was primarily driven by:</w:t>
      </w:r>
    </w:p>
    <w:p>
      <w:pPr>
        <w:spacing w:after="0" w:line="13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volume in our Global Consumer segment, driven by the timing of shipments to retailers;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impact of foreign exchange rates as a result of a slight weakening of the U.S. dollar relative to other currencies;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decline in material costs in our Global Consumer and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segments; and</w:t>
      </w:r>
    </w:p>
    <w:p>
      <w:pPr>
        <w:spacing w:after="0" w:line="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reimbursements attributable to our Marketing Agreement with Monsanto.</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a percentage of net sales, our gross profit rate was 40.1% and 37.4% for the three months ended March 29, 2014 and March 30, 2013, respectively. As a percentage of net sales, our gross profit rate was 36.8% and 33.9% for the six months ended March 29, 2014 and March 30, 2013, respectively. Factors contributing to the change in gross profit rate are outlined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3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0"/>
        </w:trPr>
        <w:tc>
          <w:tcPr>
            <w:tcW w:w="550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9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MARCH 29, 2014</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Pricing</w:t>
            </w:r>
          </w:p>
        </w:tc>
        <w:tc>
          <w:tcPr>
            <w:tcW w:w="2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3"/>
        </w:trPr>
        <w:tc>
          <w:tcPr>
            <w:tcW w:w="7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Material costs</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mix and volume:</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r>
      <w:tr>
        <w:trPr>
          <w:trHeight w:val="270"/>
        </w:trPr>
        <w:tc>
          <w:tcPr>
            <w:tcW w:w="7840" w:type="dxa"/>
            <w:vAlign w:val="bottom"/>
            <w:gridSpan w:val="2"/>
          </w:tcPr>
          <w:p>
            <w:pPr>
              <w:ind w:left="360"/>
              <w:spacing w:after="0" w:line="27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commissions and reimbursements</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3"/>
                <w:szCs w:val="23"/>
                <w:color w:val="auto"/>
              </w:rPr>
            </w:pPr>
          </w:p>
        </w:tc>
        <w:tc>
          <w:tcPr>
            <w:tcW w:w="2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r>
      <w:tr>
        <w:trPr>
          <w:trHeight w:val="250"/>
        </w:trPr>
        <w:tc>
          <w:tcPr>
            <w:tcW w:w="78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Corporate &amp; Other</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5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70"/>
        </w:trPr>
        <w:tc>
          <w:tcPr>
            <w:tcW w:w="7840" w:type="dxa"/>
            <w:vAlign w:val="bottom"/>
            <w:gridSpan w:val="2"/>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25"/>
                <w:szCs w:val="25"/>
                <w:color w:val="auto"/>
                <w:vertAlign w:val="superscript"/>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 Consumer mix and volume</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55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gross profit rate</w:t>
            </w:r>
          </w:p>
        </w:tc>
        <w:tc>
          <w:tcPr>
            <w:tcW w:w="2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the gross profit rate, for the three and six months ended March 29, 2014, was primarily driven by:</w:t>
      </w:r>
    </w:p>
    <w:p>
      <w:pPr>
        <w:spacing w:after="0" w:line="131" w:lineRule="exact"/>
        <w:rPr>
          <w:sz w:val="20"/>
          <w:szCs w:val="20"/>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fixed cost leverage and product mix resulting from increased volume in our Global Consumer segment driven by the early season sell-in to retailers;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material costs within our Global Consumer segment due to product cost-out initiatives including growing media material costs and packaging and decreased prices of fertilizer inputs;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impact of increased pricing for the Global Consumer segment, primarily in the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commission income related to our marketing agreement with Monsanto due to increased volume.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selling, general and administrative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30, 2013</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230.7</w:t>
            </w:r>
          </w:p>
        </w:tc>
      </w:tr>
      <w:tr>
        <w:trPr>
          <w:trHeight w:val="237"/>
        </w:trPr>
        <w:tc>
          <w:tcPr>
            <w:tcW w:w="4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330.8</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$5.5 million, or 2.7%, to $212.2 million for the second quarter of fiscal 2014 compared to the same period of fiscal 2013. The increase in advertising of $6.7 million was driven primarily by an expected increase in Global Consumer annual media and marketing investments.</w:t>
      </w:r>
    </w:p>
    <w:p>
      <w:pPr>
        <w:spacing w:after="0" w:line="176"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8"/>
          <w:szCs w:val="18"/>
          <w:color w:val="auto"/>
        </w:rPr>
        <w:t>SG&amp;A expenses increased $5.8 million, or 1.8%, to $336.6 million for the first six months of fiscal 2014 compared to the same period of fiscal 2013. The increase in advertising of $4.7 million was driven primarily by an expected increase in Global Consumer annual media and marketing investments partially offset by delayed timing of media and marketing purchases within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Amortization of intangibles increased by $1.0 million due to the acquisition of the Tomcat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within the Global Consumer segment.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29, 2014, we recognized expense for employee severance charges of $0.5 million related to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 The Company also recognized $3.9 million for restructuring and other charges related to termination benefits provided to U.S. marketing personnel as part of the Company's restructuring of its U.S. marketing group. In addition, for the three months ended March 29, 2014, the Company recognized $2.0 million in additional ongoing monitoring and remediation costs for the Company's turfgrass biotechnology program.</w:t>
      </w:r>
    </w:p>
    <w:p>
      <w:pPr>
        <w:spacing w:after="0" w:line="1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the six months ended March 30, 2013, we recognized expense of $0.2 million related to international employee severance within the Global Consumer segment. For the six months ended March 30, 2013, we recognized income of $4.7 million related to the reimbursement by a vendor of a portion of the costs incurred for the development and commercialization of products including the active ingredient MAT 28 for the Global Consumer segment. We also recognized a $4.3 million asset impairment charge as a result of issues with the commercialization of an insect repellent technology for the Global Consumer segment.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48"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Other income is comprised of activities outside our normal business operations, such as royalty income from the licensing of certain of our brand names, franchise fee income from our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foreign exchange gains/losses and gains/losses from the sale of non-inventory assets. Other income was $1.6 million for the three months ended March 29, 2014 compared to $1.5 million for the three months ended March 30, 2013. Other income was $2.7 million for the six months ended March 29, 2014 compared to $2.6 million for the six months ended March 30, 2013.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Related to Refinancing</w:t>
      </w:r>
    </w:p>
    <w:p>
      <w:pPr>
        <w:spacing w:after="0" w:line="14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Costs related to refinancing were $10.7 million for the three and six months ended March 29, 2014. The costs incurred were associated with the redemption of 7.25% Senior Notes.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Interest expense was $12.0 million for the three months ended March 29, 2014 compared to $17.9 million for the three months ended March 30, 2013. The decrease in interest expense of $5.9 million was driven by a decline in our weighted average interest rate during the three months ended March 29, 2014, as compared to the same prior year period. The decrease in our weighted average interest rate of 172 basis points was due to the reduced rates under our third amended and restated credit agreement and the redemption of the 7.25% Senior Notes. Also, interest expense of $2.0 million was accelerated into the first quarter of fiscal year 2014 for the ineffective portion of our interest rate hedges impacted by entering into our third amended and restated credit agreement in December 2013.</w:t>
      </w:r>
    </w:p>
    <w:p>
      <w:pPr>
        <w:spacing w:after="0" w:line="10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Interest expense was $25.9 million for the six months ended March 29, 2014 compared to $31.1 million for the six months ended March 30, 2013. The decrease in interest expense of $5.2 million was driven by a decline in average borrowings of $115.9 million, excluding the impact of foreign exchange rates, during the six months ended March 29, 2014, as compared to the same prior year period. The decline in average borrowings was driven by the carryover impact of a reduction in inventories in fiscal year 2013. Additionally, there was a decrease in our weighted average interest rate of 37 basis points primarily due to the reduced rates under our third amended and restated credit agreement and the redemption of the 7.25% Senior Notes.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effective tax rate related to continuing operations for the three months ended March 29, 2014 was 35.3% compared to 35.6% for the three months ended March 30, 2013. The effective tax rate related to continuing operations for the six months ended March 29, 2014 was 34.0% compared to 36.9% for the six months ended March 30, 2013. The Company recognized discrete tax benefits of $1.6 million for the three months ended March 29, 2014.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Continuing Operations</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reported income from continuing operations of $125.7 million, or $2.00 per diluted share, for the second quarter of fiscal 2014 compared to $99.1 million, or $1.59 per diluted share, for the second quarter of fiscal 2013 and $59.9 million or $0.95 per diluted share for the first six months of fiscal 2014 compared to $30.8 million or $0.49 per diluted share for the first six months of fiscal 2013. The increase in our income from continuing operations for the first three and six months ended March 29, 2014 was driven primarily by the favorable results in our Global Consumer segment and lower interest expense, partially offset by an increase in SG&amp;A expenses. Diluted average common shares used in the diluted net income per common share calculation were 62.9 million for the second quarter of fiscal 2014 compared to 62.4 million for the same period a year ago. Diluted average common shares used in the diluted net income per common share calculation were 63.1 million for the first six months quarter of ended March 29, 2014 compared to 62.3 million for the first six months ended March 30, 2013. The increase in dilutive average common shares for the three and six months ended March 29, 2014 was a result of the exercise and issuance of share-based compensation awards partially offset by share repurchases.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48" w:lineRule="exact"/>
        <w:rPr>
          <w:sz w:val="20"/>
          <w:szCs w:val="20"/>
          <w:color w:val="auto"/>
        </w:rPr>
      </w:pPr>
    </w:p>
    <w:p>
      <w:pPr>
        <w:jc w:val="both"/>
        <w:ind w:right="20" w:firstLine="432"/>
        <w:spacing w:after="0" w:line="214" w:lineRule="auto"/>
        <w:rPr>
          <w:sz w:val="20"/>
          <w:szCs w:val="20"/>
          <w:color w:val="auto"/>
        </w:rPr>
      </w:pPr>
      <w:r>
        <w:rPr>
          <w:rFonts w:ascii="Times New Roman" w:cs="Times New Roman" w:eastAsia="Times New Roman" w:hAnsi="Times New Roman"/>
          <w:sz w:val="18"/>
          <w:szCs w:val="18"/>
          <w:color w:val="auto"/>
        </w:rPr>
        <w:t>Our continuing operations are divided into the following reportable segments: Global Consumer and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This division of reportable segments is consistent with how the segments report to, and are managed by, the chief operating decision maker of the Company. Corporate &amp; Other consists of revenues and expenses associated with our supply agreements with ICL and amortization related to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 as well as corporate, general and administrative expenses and certain other income/expense items not allocated to the business segments.</w:t>
      </w:r>
    </w:p>
    <w:p>
      <w:pPr>
        <w:spacing w:after="0" w:line="11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several factors, including income from continuing operations before amortization and impairment, restructuring and other charges, which is not a measure recognized under GAAP. Senior management uses this measure of operating profit to gauge segment performance because we believe this measure is most indicative of performance trends and the overall earnings potential of each segment.</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30, 2013</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Consumer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962.8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1,105.4</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25"/>
                <w:szCs w:val="25"/>
                <w:color w:val="auto"/>
                <w:vertAlign w:val="superscript"/>
              </w:rPr>
              <w:t>®</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77.7</w:t>
            </w: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Segment total</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1,183.1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&amp; Other</w:t>
            </w:r>
          </w:p>
        </w:tc>
        <w:tc>
          <w:tcPr>
            <w:tcW w:w="1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1,270.6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1,203.0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segment income (loss) from continuing operations before income taxes: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MARCH 30, 2013</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Consumer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150.2</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25"/>
                <w:szCs w:val="25"/>
                <w:color w:val="auto"/>
                <w:vertAlign w:val="superscript"/>
              </w:rPr>
              <w:t>®</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Segment total</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&amp; Other</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Consumer</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Global Consumer segment net sales were $1,046.0 million in the second quarter of fiscal 2014, an increase of 8.6%, from the second quarter of fiscal 2013 sales of $962.8 million and were $1,184.4 million for the first six months of fiscal 2014, an increase of 7.1%, from the first six months of fiscal 2013 sales of $1,105.4 million. For the three months ended March 29, 2014, volume, pricing, acquisitions and foreign exchange rates favorably impacted net sales by 6.1%, 1.5%, 0.7% and 0.3%, respectively. For the six months ended March 29, 2014, volume, pricing, acquisitions and foreign exchange rates favorably impacted net sales by 4.4%, 1.4%, 1.1% and 0.2%, respectively.</w:t>
      </w:r>
    </w:p>
    <w:p>
      <w:pPr>
        <w:spacing w:after="0" w:line="10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Net sales in the U.S. increased $74.5 million, or 9.4%, and $72.8 million, or 8.2%, for the second quarter and the first six months of fiscal 2014, respectively, as compared to the same periods in fiscal 2013. The increase in U.S. net sales for the second quarter and the first six months was driven by timing of shipments to our retailers.</w:t>
      </w:r>
    </w:p>
    <w:p>
      <w:pPr>
        <w:spacing w:after="0" w:line="9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Excluding the impact of changes in foreign exchange rates, net sales internationally increased by $5.7 million, or 3.4%, and $4.0 million, or 1.9%, respectively, for the second quarter and the first six months of fiscal 2014. The increase in sales internationally was primarily driven by higher sales within Europe.</w:t>
      </w:r>
    </w:p>
    <w:p>
      <w:pPr>
        <w:spacing w:after="0" w:line="9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Global Consumer segment operating income increased by $50.6 million, or 23.1%, and $51.9 million, or 34.6%, in the second quarter and the first six months of fiscal 2014, respectively, as compared to the same periods of fiscal 2013. Excluding the impact of changes in foreign exchange rates, the increases were 23.0% and 34.8%, for the second quarter and the first six months of fiscal 2014, respectively. The increase was primarily driven by the favorable impact of volume, pricing and product mix.</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Scotts LawnService</w:t>
      </w:r>
      <w:r>
        <w:rPr>
          <w:rFonts w:ascii="Times New Roman" w:cs="Times New Roman" w:eastAsia="Times New Roman" w:hAnsi="Times New Roman"/>
          <w:sz w:val="25"/>
          <w:szCs w:val="25"/>
          <w:b w:val="1"/>
          <w:bCs w:val="1"/>
          <w:i w:val="1"/>
          <w:iCs w:val="1"/>
          <w:color w:val="auto"/>
          <w:vertAlign w:val="superscript"/>
        </w:rPr>
        <w:t>®</w:t>
      </w:r>
    </w:p>
    <w:p>
      <w:pPr>
        <w:spacing w:after="0" w:line="68"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sales decreased by $4.0 million, or 12.2%, and $2.5 million, or 3.2% in the second quarter and the first six months of fiscal 2014, respectively, as compared to the same periods of fiscal 2013. The decreases in net sales in the second quarter and the first six months of fiscal 2014 were driven by unfavorable weather conditions which delayed sales during the second quarter of fiscal 2014.</w:t>
      </w:r>
    </w:p>
    <w:p>
      <w:pPr>
        <w:spacing w:after="0" w:line="117" w:lineRule="exact"/>
        <w:rPr>
          <w:sz w:val="20"/>
          <w:szCs w:val="20"/>
          <w:color w:val="auto"/>
        </w:rPr>
      </w:pPr>
    </w:p>
    <w:p>
      <w:pPr>
        <w:jc w:val="both"/>
        <w:ind w:firstLine="432"/>
        <w:spacing w:after="0" w:line="214" w:lineRule="auto"/>
        <w:rPr>
          <w:sz w:val="20"/>
          <w:szCs w:val="20"/>
          <w:color w:val="auto"/>
        </w:rPr>
      </w:pPr>
      <w:r>
        <w:rPr>
          <w:rFonts w:ascii="Times New Roman" w:cs="Times New Roman" w:eastAsia="Times New Roman" w:hAnsi="Times New Roman"/>
          <w:sz w:val="18"/>
          <w:szCs w:val="18"/>
          <w:color w:val="auto"/>
        </w:rPr>
        <w:t>The operating loss for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increased by $3.3 million, or 19.4%, to $20.3 million in the second quarter of fiscal 2014, as compared to the same period of fiscal 2013. The increased loss was primarily driven by a decline in margins due to lower net sales and higher SG&amp;A costs. The operating loss for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decreased by $0.2 million, or 1.1%, to $17.7 million in the first six months of fiscal 2014, as compared to the same period of fiscal 2013.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net operating loss for Corporate &amp; Other was $23.0 million and $44.7 million for the three and six months ended March 29, 2014, respectively, compared to $27.3 million and $47.6 million for the three and six months ended March 30, 2013, respectively. The decreases for the three and six months ended March 29, 2014 were primarily related to lower employee related expenses, including compensation and benefits.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totaled $614.6 million and $545.3 million for the six months ended March 29, 2014 and March 30, 2013, respectively. Cash used by operating activities increased $69.3 million primarily due to an increase in cash used for working capital of $100.5 million, partially offset by an increase in net income of $27.7 million. The increase in cash used for working capital was primarily due to an increase in accounts receivable due to higher net sales in fiscal 2014 compared to prior year.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8"/>
          <w:szCs w:val="18"/>
          <w:color w:val="auto"/>
        </w:rPr>
        <w:t>Cash used in investing activities totaled $108.9 million and $37.7 million for the six months ended March 29, 2014 and March 30, 2013, respectively. Cash used for investments in property, plant and equipment during the first six months of fiscal 2014 and fiscal 2013 was $53.0 million and $34.6 million, respectively. The increase was primarily related to a $30.0 million down payment on a purchase order to acquire a new corporate aircraft and investments to increase efficiencies at existing production facilities. We anticipate entering into a lease arrangement once we take title to the new corporate aircraft, which is expected to be completed in late fiscal 2014. Additionally, during the six months ended March 29, 2014, within our Global Consumer segment, we completed the $60.0 million all-cash acquisition of the Tomcat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consumer rodent control business from Bell Laboratories, Inc. In the second quarter of fiscal 2014, we completed the sale of the U.S. and Canada wild bird food business for $4.1 million in cash. For the six months ended March 30, 2013, we completed acquisitions of two franchisee businesses within our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segment for $3.2 million in cash.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Financing activities provided cash of $744.9 million and $555.9 million for the six months ended March 29, 2014 and March 30, 2013, respectively. The increase of $189.0 million in cash provided by financing activities was the result of higher net borrowings under our credit facility of $460.3 million during the first six months of fiscal 2014 as compared to fiscal 2013 and an increase in net cash received from stock option activity of $8.3 million, partially offset by the repayment of our 7.25% Senior Notes of $200.0 million, an increase in repurchases of our Common Shares in fiscal 2014 of $59.6 million, additional dividends paid of $13.9 million and financing fees associated with our new credit facility of $6.1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cash and cash equivalents were held in cash depository accounts with major financial institutions around the world or invested in high quality, short-term liquid investments, with a balance of $152.7 million as of March 29, 2014, compared to $99.1 million as of March 30, 2013. The cash and cash equivalents balance at March 29, 2014 included $116.2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Agreements</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credit agreement, which is guaranteed by substantially all of Scotts Miracle-Gro’s domestic subsidiaries. On December 20, 2013, the Company entered into a third amended and restated senior secured credit facility, providing the Company and certain of its subsidiaries with a five-year senior secured revolving loan facility in the aggregate principal amount of up to $1.7 billion. The third amended and restated senior secured credit facility also provides the Company with the right to seek to increase the credit facility by an aggregate amount of up to $450 million, subject to certain specified conditions. Borrowings may be made in various currencies, including U.S. dollars, Euros, British Pounds, Australian dollars, and Canadian dollars. The credit facility replaces the Company’s second amended and restated senior secured credit agreement, which was entered into on June 30, 2011. The credit facility will terminate on December 20, 2018. The second amended and restated senior secured credit agreement would have terminated on June 30, 2016, if it had not been terminated early pursuant to the credit facility.</w:t>
      </w:r>
    </w:p>
    <w:p>
      <w:pPr>
        <w:spacing w:after="0" w:line="10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Under our credit facility, we have the ability to obtain letters of credit up to $75 million. At March 29, 2014, we had letters of credit in the aggregate face amount of $23.3 million outstanding and $735.4 million of availability under our credit facility, subject to our continued compliance with covenants discussed below.</w:t>
      </w:r>
    </w:p>
    <w:p>
      <w:pPr>
        <w:spacing w:after="0" w:line="12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maintains a Master Accounts Receivable Purchase Agreement (“MARP Agreement”), which is uncommitted and provides for the discretionary sale by the Company, and the discretionary purchase by the banks, on a revolving basis, of accounts receivable generated by sales to three specified account debtors in an aggregate amount not to exceed $400 million. On October 25, 2013, the Company signed an amendment to the existing MARP Agreement which extended the termination date to August 29, 2014, or such later date as may be mutually agreed by the Company and the banks party thereto. Under the amended terms of the MARP Agreement, the banks have the opportunity to purchase those accounts receivable offered by the Company at a discount (from the agreed base value thereof) effectively equal to the one-week LIBOR plus 0.75%. There were $273.5 million of short-term borrowings as of March 29, 2014 and $202.1 million of short-term borrowings as of March 30, 2013 under the MARP Agreement. The carrying value of the receivables pledged as collateral was $341.9 million as of March 29, 2014. As of March 29, 2014, there was $126.5 million of availability under the MARP Agreement.</w:t>
      </w:r>
    </w:p>
    <w:p>
      <w:pPr>
        <w:spacing w:after="0" w:line="18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January 15, 2014, the Company used a portion of its available credit facility borrowings to redeem all of its outstanding $200 million aggregate principal amount of 7.25% Senior Notes, paying a redemption price of $214.5 million to extinguish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7.25% Senior Notes, which included $7.25 million of accrued and unpaid interest, $7.25 million of call premium, and $200 million for outstanding principal amount.</w:t>
      </w:r>
    </w:p>
    <w:p>
      <w:pPr>
        <w:spacing w:after="0" w:line="8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March 29, 2014,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4.00 as of March 29, 2014. Our leverage ratio was 1.83 at March 29, 2014. Our credit facility also includes an affirmative covenant regarding our interest coverage. Under the terms of the credit facility, the minimum interest coverage ratio was 3.50 for the twelve months ended March 29, 2014. Our interest coverage ratio was 7.18 for the twelve months ended March 29, 2014.</w:t>
      </w:r>
    </w:p>
    <w:p>
      <w:pPr>
        <w:spacing w:after="0" w:line="10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2014.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1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our opinion, cash flows from operations and borrowings under our credit agreement will be sufficient to meet debt service and working capital needs, capital expenditures, cash dividends and purchases of our Common Shares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Judicial and Administrative Proceedings</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4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in our outstanding contractual obligations since the end of fiscal 2013 and through March 29, 2014.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2013, under “ITEM 1. BUSINESS — Regulatory Considerations” and “ITEM 3. LEGAL PROCEEDINGS.”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2013 includes additional information about us, our operations, our financial condition, our critical accounting policies and accounting estimates, and should be read in conjunction with this Quarterly Report on 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Market risks have not changed significantly from those disclosed in Scotts Miracle-Gro’s Annual Report on Form 10-K for the fiscal year ended September 30, 2013.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0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there were no changes in the Registrant’s internal control over financial reporting (as defined in Rule 13a-15(f) under the Exchange Act) that occurred during the Registrant’s fiscal quarter ended March 29, 2014 that have materially affected, or are reasonably likely to materially affect, the Registrant’s internal control over financial reporting.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than as discussed in “NOTE 11. CONTINGENCIES” of the Notes to Condensed Consolidated Financial Statements, pending material legal proceedings have not changed significantly since those disclosed in Scotts Miracle-Gro's Annual Report on Form 10-K for the fiscal year ended September 30, 2013.</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Company's risk factors as of March 29, 2014 have not changed materially from those described in “ITEM IA. RISK FACTORS” in Scotts Miracle-Gro's Annual Report on Form 10-K for the fiscal year ended September 30, 2013.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8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2013. All forward-looking statements attributable to us or persons working on our behalf are expressly qualified in their entirety by such risk factors.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third amended and restated credit agreement restricts future dividend payments to an aggregate of $150 million annually through fiscal 2014 and 2015 and $175 million annually beginning in fiscal 2016 if our leverage ratio, after giving effect to any such annual dividend payment, exceeds 3.0. Our leverage ratio was 1.83 at March 29, 2014.</w:t>
      </w:r>
    </w:p>
    <w:p>
      <w:pPr>
        <w:spacing w:after="0" w:line="184"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March 29,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Plans or Programs(3)</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29, 2013 through January 25, 2014</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144,404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62.17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144,404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281,359,304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January 26, 2014 through February 22, 2014</w:t>
            </w:r>
          </w:p>
        </w:tc>
        <w:tc>
          <w:tcPr>
            <w:tcW w:w="1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361,224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57.25</w:t>
            </w:r>
          </w:p>
        </w:tc>
        <w:tc>
          <w:tcPr>
            <w:tcW w:w="100" w:type="dxa"/>
            <w:vAlign w:val="bottom"/>
          </w:tcPr>
          <w:p>
            <w:pPr>
              <w:spacing w:after="0"/>
              <w:rPr>
                <w:sz w:val="20"/>
                <w:szCs w:val="20"/>
                <w:color w:val="auto"/>
              </w:rPr>
            </w:pPr>
          </w:p>
        </w:tc>
        <w:tc>
          <w:tcPr>
            <w:tcW w:w="17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361,178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260,680,737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February 23, 2014 through March 29, 2014</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373,442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57.86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371,539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239,186,973</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879,070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58.32</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877,121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500" w:right="20" w:hanging="465"/>
        <w:spacing w:after="0" w:line="25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Shares purchased during the quarter were purchased in open market transactions. The total number of Common Shares purchased during the quarter includes 1,949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23"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Share is calculated on a settlement basis and includes commissions.</w:t>
      </w:r>
    </w:p>
    <w:p>
      <w:pPr>
        <w:spacing w:after="0" w:line="252" w:lineRule="exact"/>
        <w:rPr>
          <w:rFonts w:ascii="Times New Roman" w:cs="Times New Roman" w:eastAsia="Times New Roman" w:hAnsi="Times New Roman"/>
          <w:sz w:val="18"/>
          <w:szCs w:val="18"/>
          <w:color w:val="auto"/>
        </w:rPr>
      </w:pPr>
    </w:p>
    <w:p>
      <w:pPr>
        <w:jc w:val="both"/>
        <w:ind w:left="500" w:right="40" w:hanging="465"/>
        <w:spacing w:after="0" w:line="261"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See Index to Exhibits at page 51 for a list of the exhibits included herewith.</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219"/>
          </w:cols>
          <w:pgMar w:left="240" w:top="121" w:right="1440"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Date: May 8, 2014</w:t>
      </w:r>
      <w:r>
        <w:rPr>
          <w:sz w:val="20"/>
          <w:szCs w:val="20"/>
          <w:color w:val="auto"/>
        </w:rPr>
        <w:tab/>
      </w:r>
      <w:r>
        <w:rPr>
          <w:rFonts w:ascii="Times New Roman" w:cs="Times New Roman" w:eastAsia="Times New Roman" w:hAnsi="Times New Roman"/>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MARCH 29, 2014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20" w:type="dxa"/>
            <w:vAlign w:val="bottom"/>
            <w:vMerge w:val="restart"/>
          </w:tcPr>
          <w:p>
            <w:pPr>
              <w:ind w:left="3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3"/>
                <w:szCs w:val="13"/>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120" w:type="dxa"/>
            <w:vAlign w:val="bottom"/>
          </w:tcPr>
          <w:p>
            <w:pPr>
              <w:spacing w:after="0"/>
              <w:rPr>
                <w:sz w:val="16"/>
                <w:szCs w:val="16"/>
                <w:color w:val="auto"/>
              </w:rPr>
            </w:pPr>
          </w:p>
        </w:tc>
        <w:tc>
          <w:tcPr>
            <w:tcW w:w="7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Supplemental Indenture, dated as of February 25, 2014, among The Scotts Miracle-Gro Company,</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Guarantors named therein, and U.S. Bank National Association, as trustee</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Specimen form of Restricted Stock Unit Award Agreement for Employees (with Related Dividend</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Equivalents) used to evidence grants of Restricted Stock Units made on April 1, 2013 to Lawrence A.</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Hilsheimer under The Scotts Miracle-Gro Company Long-Term Incentive Plan (corrected)</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Retention Award Agreement evidencing the payment of a cash bonus paid on April 12, 2013 and the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 of Restricted Stock Units made on May 8, 2013 under The Scotts Miracle-Gro Company Amended</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Restated 2006 Long-Term Incentive Plan to Thomas Coleman (executed by The Scotts Company</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LLC on May 14, 2013 and by Thomas Coleman on May 16, 2013)</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400"/>
          </w:cols>
          <w:pgMar w:left="240" w:top="121" w:right="259" w:bottom="1440" w:gutter="0" w:footer="0" w:header="0"/>
        </w:sectPr>
      </w:pPr>
    </w:p>
    <w:p>
      <w:pPr>
        <w:ind w:left="1300" w:hanging="87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Separation Agreement and Release of All Claims, dated as of January 22, 2014, by and between The Scotts Company LLC and James R. Lyski</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Incorporated herein by reference to the Current Report on Form 8-K of the Registrant filed January 23, 2014 (File No. 1-11593) [Exhibit 10.1]</w:t>
      </w:r>
    </w:p>
    <w:p>
      <w:pPr>
        <w:spacing w:after="0" w:line="143" w:lineRule="exact"/>
        <w:rPr>
          <w:sz w:val="20"/>
          <w:szCs w:val="20"/>
          <w:color w:val="auto"/>
        </w:rPr>
      </w:pPr>
    </w:p>
    <w:p>
      <w:pPr>
        <w:sectPr>
          <w:pgSz w:w="11900" w:h="16838" w:orient="portrait"/>
          <w:cols w:equalWidth="0" w:num="2">
            <w:col w:w="8880" w:space="160"/>
            <w:col w:w="2360"/>
          </w:cols>
          <w:pgMar w:left="240" w:top="121" w:right="259" w:bottom="1440" w:gutter="0" w:footer="0" w:header="0"/>
          <w:type w:val="continuous"/>
        </w:sectPr>
      </w:pPr>
    </w:p>
    <w:p>
      <w:pPr>
        <w:ind w:left="42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Scotts Company LLC Amended and Restated Executive Incentive Plan (effective as of January 30,</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Incorporated herein by reference to the Current Report on Form 8-K of the Registrant filed February 5, 2014 (File No. 1-11593) [Exhibit 10.1]</w:t>
      </w:r>
    </w:p>
    <w:p>
      <w:pPr>
        <w:spacing w:after="0" w:line="143" w:lineRule="exact"/>
        <w:rPr>
          <w:sz w:val="20"/>
          <w:szCs w:val="20"/>
          <w:color w:val="auto"/>
        </w:rPr>
      </w:pPr>
    </w:p>
    <w:p>
      <w:pPr>
        <w:sectPr>
          <w:pgSz w:w="11900" w:h="16838" w:orient="portrait"/>
          <w:cols w:equalWidth="0" w:num="2">
            <w:col w:w="8880" w:space="160"/>
            <w:col w:w="2360"/>
          </w:cols>
          <w:pgMar w:left="240" w:top="121" w:right="259" w:bottom="1440" w:gutter="0" w:footer="0" w:header="0"/>
          <w:type w:val="continuous"/>
        </w:sectPr>
      </w:pPr>
    </w:p>
    <w:p>
      <w:pPr>
        <w:jc w:val="both"/>
        <w:ind w:left="1300" w:hanging="879"/>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Specimen form of Deferred Stock Unit Award Agreement for Nonemployee Directors (with Related Dividend Equivalents) used to evidence grants of Deferred Stock Units which may be made under The Scotts Miracle-Gro Company Long-Term Incentive Plan (post-January 30, 2014)</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Incorporated herein by reference to the Registrant's Quarterly Report on Form 10-Q for the quarterly period ended December 28, 2013 (File No. 1-11593) [Exhibit 10.8]</w:t>
      </w:r>
    </w:p>
    <w:p>
      <w:pPr>
        <w:spacing w:after="0" w:line="147" w:lineRule="exact"/>
        <w:rPr>
          <w:sz w:val="20"/>
          <w:szCs w:val="20"/>
          <w:color w:val="auto"/>
        </w:rPr>
      </w:pPr>
    </w:p>
    <w:p>
      <w:pPr>
        <w:sectPr>
          <w:pgSz w:w="11900" w:h="16838" w:orient="portrait"/>
          <w:cols w:equalWidth="0" w:num="2">
            <w:col w:w="8880" w:space="160"/>
            <w:col w:w="2360"/>
          </w:cols>
          <w:pgMar w:left="240" w:top="121" w:right="259" w:bottom="1440" w:gutter="0" w:footer="0" w:header="0"/>
          <w:type w:val="continuous"/>
        </w:sectPr>
      </w:pPr>
    </w:p>
    <w:p>
      <w:pPr>
        <w:jc w:val="both"/>
        <w:ind w:left="1300" w:hanging="879"/>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Specimen form of Deferred Stock Unit Award Agreement for Nonemployee Directors (with Related Dividend Equivalents) used to evidence grants of Deferred Stock Units which may be made under The Scotts Miracle-Gro Company Long-Term Incentive Plan (Deferral of Cash Retainer — post-January 30, 2014)</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Incorporated herein by reference to the Registrant's Quarterly Report on Form 10-Q for the quarterly period ended December 28, 2013 (File No. 1-11593) [Exhibit 10.9]</w:t>
      </w:r>
    </w:p>
    <w:p>
      <w:pPr>
        <w:spacing w:after="0" w:line="147" w:lineRule="exact"/>
        <w:rPr>
          <w:sz w:val="20"/>
          <w:szCs w:val="20"/>
          <w:color w:val="auto"/>
        </w:rPr>
      </w:pPr>
    </w:p>
    <w:p>
      <w:pPr>
        <w:sectPr>
          <w:pgSz w:w="11900" w:h="16838" w:orient="portrait"/>
          <w:cols w:equalWidth="0" w:num="2">
            <w:col w:w="8880" w:space="160"/>
            <w:col w:w="2360"/>
          </w:cols>
          <w:pgMar w:left="240" w:top="121" w:right="259" w:bottom="1440" w:gutter="0" w:footer="0" w:header="0"/>
          <w:type w:val="continuous"/>
        </w:sectPr>
      </w:pPr>
    </w:p>
    <w:p>
      <w:pPr>
        <w:jc w:val="both"/>
        <w:ind w:left="1300" w:hanging="879"/>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Specimen form of Restricted Stock Unit Award Agreement for Employees (with Related Dividend Equivalents) used to evidence grants of Restricted Stock Units made on January 31, 2014 to Barry W. Sanders and Denise S. Stump under The Scotts Miracle-Gro Company Long-Term Incentive Plan</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Incorporated herein by reference to the Registrant's Quarterly Report on Form 10-Q for the quarterly period ended December 28, 2013 (File No. 1-11593) [Exhibit 10.11]</w:t>
      </w:r>
    </w:p>
    <w:p>
      <w:pPr>
        <w:spacing w:after="0" w:line="147" w:lineRule="exact"/>
        <w:rPr>
          <w:sz w:val="20"/>
          <w:szCs w:val="20"/>
          <w:color w:val="auto"/>
        </w:rPr>
      </w:pPr>
    </w:p>
    <w:p>
      <w:pPr>
        <w:sectPr>
          <w:pgSz w:w="11900" w:h="16838" w:orient="portrait"/>
          <w:cols w:equalWidth="0" w:num="2">
            <w:col w:w="8860" w:space="180"/>
            <w:col w:w="2360"/>
          </w:cols>
          <w:pgMar w:left="240" w:top="121" w:right="259" w:bottom="1440" w:gutter="0" w:footer="0" w:header="0"/>
          <w:type w:val="continuous"/>
        </w:sectPr>
      </w:pPr>
    </w:p>
    <w:tbl>
      <w:tblPr>
        <w:tblLayout w:type="fixed"/>
        <w:tblInd w:w="420" w:type="dxa"/>
        <w:tblCellMar>
          <w:top w:w="0" w:type="dxa"/>
          <w:left w:w="0" w:type="dxa"/>
          <w:bottom w:w="0" w:type="dxa"/>
          <w:right w:w="0" w:type="dxa"/>
        </w:tblCellMar>
      </w:tblPr>
      <w:tr>
        <w:trPr>
          <w:trHeight w:val="216"/>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10.8</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Consulting Agreement, dated as of February 7, 2014, between The Scotts Miracle-Gro Company and Dr.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00" w:type="dxa"/>
            <w:vAlign w:val="bottom"/>
          </w:tcPr>
          <w:p>
            <w:pPr>
              <w:spacing w:after="0"/>
              <w:rPr>
                <w:sz w:val="20"/>
                <w:szCs w:val="20"/>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Michael Porter</w:t>
            </w:r>
          </w:p>
        </w:tc>
        <w:tc>
          <w:tcPr>
            <w:tcW w:w="760" w:type="dxa"/>
            <w:vAlign w:val="bottom"/>
          </w:tcPr>
          <w:p>
            <w:pPr>
              <w:spacing w:after="0"/>
              <w:rPr>
                <w:sz w:val="20"/>
                <w:szCs w:val="20"/>
                <w:color w:val="auto"/>
              </w:rPr>
            </w:pPr>
          </w:p>
        </w:tc>
      </w:tr>
      <w:tr>
        <w:trPr>
          <w:trHeight w:val="373"/>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10.9</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Consulting Agreement, dated as of February 7, 2014, between The Scotts Miracle-Gro Company and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00" w:type="dxa"/>
            <w:vAlign w:val="bottom"/>
          </w:tcPr>
          <w:p>
            <w:pPr>
              <w:spacing w:after="0"/>
              <w:rPr>
                <w:sz w:val="20"/>
                <w:szCs w:val="20"/>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Adam Hanft</w:t>
            </w:r>
          </w:p>
        </w:tc>
        <w:tc>
          <w:tcPr>
            <w:tcW w:w="760" w:type="dxa"/>
            <w:vAlign w:val="bottom"/>
          </w:tcPr>
          <w:p>
            <w:pPr>
              <w:spacing w:after="0"/>
              <w:rPr>
                <w:sz w:val="20"/>
                <w:szCs w:val="20"/>
                <w:color w:val="auto"/>
              </w:rPr>
            </w:pPr>
          </w:p>
        </w:tc>
      </w:tr>
      <w:tr>
        <w:trPr>
          <w:trHeight w:val="608"/>
        </w:trPr>
        <w:tc>
          <w:tcPr>
            <w:tcW w:w="600" w:type="dxa"/>
            <w:vAlign w:val="bottom"/>
          </w:tcPr>
          <w:p>
            <w:pPr>
              <w:spacing w:after="0"/>
              <w:rPr>
                <w:sz w:val="24"/>
                <w:szCs w:val="24"/>
                <w:color w:val="auto"/>
              </w:rPr>
            </w:pPr>
          </w:p>
        </w:tc>
        <w:tc>
          <w:tcPr>
            <w:tcW w:w="848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51</w:t>
            </w:r>
          </w:p>
        </w:tc>
        <w:tc>
          <w:tcPr>
            <w:tcW w:w="7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type w:val="continuous"/>
        </w:sectPr>
      </w:pPr>
    </w:p>
    <w:bookmarkStart w:id="51" w:name="page52"/>
    <w:bookmarkEnd w:id="51"/>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300" w:hanging="924"/>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Separation Agreement and Release of All Claims, entered into and effective as of April 17, 2014, by and between The Scotts Company LLC and Lawrence A. Hilsheimer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Incorporated herein by reference to the Current Report on Form 8-K of the Registrant filed April 17, 2014 (File No. 1-11593) [Exhibit 10.1]</w:t>
      </w:r>
    </w:p>
    <w:p>
      <w:pPr>
        <w:spacing w:after="0" w:line="143" w:lineRule="exact"/>
        <w:rPr>
          <w:sz w:val="20"/>
          <w:szCs w:val="20"/>
          <w:color w:val="auto"/>
        </w:rPr>
      </w:pPr>
    </w:p>
    <w:p>
      <w:pPr>
        <w:sectPr>
          <w:pgSz w:w="11900" w:h="16838" w:orient="portrait"/>
          <w:cols w:equalWidth="0" w:num="2">
            <w:col w:w="8840" w:space="200"/>
            <w:col w:w="2340"/>
          </w:cols>
          <w:pgMar w:left="240" w:top="121" w:right="27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Special form of Deferred Stock Unit Award Agreement for Nonemployee Directors (with Related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Equivalents) used to evidence grants of Deferred Stock Units made on May 1, 2014 under The</w:t>
            </w:r>
          </w:p>
        </w:tc>
        <w:tc>
          <w:tcPr>
            <w:tcW w:w="76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Miracle-Gro Company Long-Term Incentive Plan</w:t>
            </w:r>
          </w:p>
        </w:tc>
        <w:tc>
          <w:tcPr>
            <w:tcW w:w="760" w:type="dxa"/>
            <w:vAlign w:val="bottom"/>
          </w:tcPr>
          <w:p>
            <w:pPr>
              <w:spacing w:after="0"/>
              <w:rPr>
                <w:sz w:val="20"/>
                <w:szCs w:val="20"/>
                <w:color w:val="auto"/>
              </w:rPr>
            </w:pPr>
          </w:p>
        </w:tc>
      </w:tr>
      <w:tr>
        <w:trPr>
          <w:trHeight w:val="39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13a-14(a)/15d-14(a) Certifications (Principal Executive Officer)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13a-14(a)/15d-14(a) Certifications (Principal Financial Officer)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32</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1350 Certifications (Principal Executive Officer and Principal Financial Officer)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87" w:lineRule="exact"/>
        <w:rPr>
          <w:sz w:val="20"/>
          <w:szCs w:val="20"/>
          <w:color w:val="auto"/>
        </w:rPr>
      </w:pPr>
    </w:p>
    <w:p>
      <w:pPr>
        <w:ind w:left="680" w:hanging="64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herewith</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121" w:right="27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734060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536575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THE SCOTTS MIRACLE-GRO COMPANY, as Issuer</w:t>
      </w:r>
    </w:p>
    <w:p>
      <w:pPr>
        <w:spacing w:after="0" w:line="2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6.625% Senior Notes due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color w:val="auto"/>
        </w:rPr>
        <w:t>THIRD SUPPLEMENTAL INDENTURE DATED AS OF</w:t>
      </w:r>
    </w:p>
    <w:p>
      <w:pPr>
        <w:spacing w:after="0" w:line="2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February 25, 2014</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TO THE INDENTURE DATED AS OF</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December 16, 2010</w:t>
      </w:r>
    </w:p>
    <w:p>
      <w:pPr>
        <w:spacing w:after="0" w:line="2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1331595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1134745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82"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THIRD SUPPLEMENTAL INDENTURE</w:t>
      </w:r>
    </w:p>
    <w:p>
      <w:pPr>
        <w:spacing w:after="0" w:line="2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THIRD SUPPLEMENTAL INDENTURE, dated as of February 25, 2014 (this “</w:t>
      </w:r>
      <w:r>
        <w:rPr>
          <w:rFonts w:ascii="Times New Roman" w:cs="Times New Roman" w:eastAsia="Times New Roman" w:hAnsi="Times New Roman"/>
          <w:sz w:val="22"/>
          <w:szCs w:val="22"/>
          <w:b w:val="1"/>
          <w:bCs w:val="1"/>
          <w:i w:val="1"/>
          <w:iCs w:val="1"/>
          <w:color w:val="auto"/>
        </w:rPr>
        <w:t>Third Supplemental Indenture</w:t>
      </w:r>
      <w:r>
        <w:rPr>
          <w:rFonts w:ascii="Times New Roman" w:cs="Times New Roman" w:eastAsia="Times New Roman" w:hAnsi="Times New Roman"/>
          <w:sz w:val="22"/>
          <w:szCs w:val="22"/>
          <w:color w:val="auto"/>
        </w:rPr>
        <w:t>”), is by and among The Scotts Miracle-Gro Company, an Ohio corporation (such corporation and any successor,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the existing Guarantors (as defined in the Indenture referred to herein) (the “</w:t>
      </w:r>
      <w:r>
        <w:rPr>
          <w:rFonts w:ascii="Times New Roman" w:cs="Times New Roman" w:eastAsia="Times New Roman" w:hAnsi="Times New Roman"/>
          <w:sz w:val="22"/>
          <w:szCs w:val="22"/>
          <w:b w:val="1"/>
          <w:bCs w:val="1"/>
          <w:i w:val="1"/>
          <w:iCs w:val="1"/>
          <w:color w:val="auto"/>
        </w:rPr>
        <w:t>Existing Guarantors</w:t>
      </w:r>
      <w:r>
        <w:rPr>
          <w:rFonts w:ascii="Times New Roman" w:cs="Times New Roman" w:eastAsia="Times New Roman" w:hAnsi="Times New Roman"/>
          <w:sz w:val="22"/>
          <w:szCs w:val="22"/>
          <w:color w:val="auto"/>
        </w:rPr>
        <w:t>”), SLS Franchise Systems LLC, a Delaware limited liability company (the “</w:t>
      </w:r>
      <w:r>
        <w:rPr>
          <w:rFonts w:ascii="Times New Roman" w:cs="Times New Roman" w:eastAsia="Times New Roman" w:hAnsi="Times New Roman"/>
          <w:sz w:val="22"/>
          <w:szCs w:val="22"/>
          <w:b w:val="1"/>
          <w:bCs w:val="1"/>
          <w:i w:val="1"/>
          <w:iCs w:val="1"/>
          <w:color w:val="auto"/>
        </w:rPr>
        <w:t>New Guarantor</w:t>
      </w:r>
      <w:r>
        <w:rPr>
          <w:rFonts w:ascii="Times New Roman" w:cs="Times New Roman" w:eastAsia="Times New Roman" w:hAnsi="Times New Roman"/>
          <w:sz w:val="22"/>
          <w:szCs w:val="22"/>
          <w:color w:val="auto"/>
        </w:rPr>
        <w:t>”), and U.S. Bank National Association, a national banking association, as trustee under the Indenture referred to herein (such corporation and any successor, the “</w:t>
      </w:r>
      <w:r>
        <w:rPr>
          <w:rFonts w:ascii="Times New Roman" w:cs="Times New Roman" w:eastAsia="Times New Roman" w:hAnsi="Times New Roman"/>
          <w:sz w:val="22"/>
          <w:szCs w:val="22"/>
          <w:b w:val="1"/>
          <w:bCs w:val="1"/>
          <w:i w:val="1"/>
          <w:iCs w:val="1"/>
          <w:color w:val="auto"/>
        </w:rPr>
        <w:t>Trustee</w:t>
      </w:r>
      <w:r>
        <w:rPr>
          <w:rFonts w:ascii="Times New Roman" w:cs="Times New Roman" w:eastAsia="Times New Roman" w:hAnsi="Times New Roman"/>
          <w:sz w:val="22"/>
          <w:szCs w:val="22"/>
          <w:color w:val="auto"/>
        </w:rPr>
        <w:t>”). The New Guarantor and the Existing Guarantors are sometimes referred to collectively herein as the “</w:t>
      </w:r>
      <w:r>
        <w:rPr>
          <w:rFonts w:ascii="Times New Roman" w:cs="Times New Roman" w:eastAsia="Times New Roman" w:hAnsi="Times New Roman"/>
          <w:sz w:val="22"/>
          <w:szCs w:val="22"/>
          <w:b w:val="1"/>
          <w:bCs w:val="1"/>
          <w:i w:val="1"/>
          <w:iCs w:val="1"/>
          <w:color w:val="auto"/>
        </w:rPr>
        <w:t>Guarantors</w:t>
      </w:r>
      <w:r>
        <w:rPr>
          <w:rFonts w:ascii="Times New Roman" w:cs="Times New Roman" w:eastAsia="Times New Roman" w:hAnsi="Times New Roman"/>
          <w:sz w:val="22"/>
          <w:szCs w:val="22"/>
          <w:color w:val="auto"/>
        </w:rPr>
        <w:t>,” or individually as a “</w:t>
      </w:r>
      <w:r>
        <w:rPr>
          <w:rFonts w:ascii="Times New Roman" w:cs="Times New Roman" w:eastAsia="Times New Roman" w:hAnsi="Times New Roman"/>
          <w:sz w:val="22"/>
          <w:szCs w:val="22"/>
          <w:b w:val="1"/>
          <w:bCs w:val="1"/>
          <w:i w:val="1"/>
          <w:iCs w:val="1"/>
          <w:color w:val="auto"/>
        </w:rPr>
        <w:t>Guarantor</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the Company, the Existing Guarantors and the Trustee are parties to an indenture, dated as of December 16, 2010, as supplemented by the First Supplemental Indenture dated as of September 28, 2011, by and among the Company, the subsidiary guarantors named therein and the Trustee, as further supplemented by the Second Supplemental Indenture, dated as of September 30, 2013, by and among the Company, the subsidiary guarantors named therein and the Trustee (as so supplemented, the “</w:t>
      </w:r>
      <w:r>
        <w:rPr>
          <w:rFonts w:ascii="Times New Roman" w:cs="Times New Roman" w:eastAsia="Times New Roman" w:hAnsi="Times New Roman"/>
          <w:sz w:val="22"/>
          <w:szCs w:val="22"/>
          <w:b w:val="1"/>
          <w:bCs w:val="1"/>
          <w:i w:val="1"/>
          <w:iCs w:val="1"/>
          <w:color w:val="auto"/>
        </w:rPr>
        <w:t>Indenture</w:t>
      </w:r>
      <w:r>
        <w:rPr>
          <w:rFonts w:ascii="Times New Roman" w:cs="Times New Roman" w:eastAsia="Times New Roman" w:hAnsi="Times New Roman"/>
          <w:sz w:val="22"/>
          <w:szCs w:val="22"/>
          <w:color w:val="auto"/>
        </w:rPr>
        <w:t>”), relating to the Company’s 6.625% Senior Notes due 2020 (the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this Third Supplemental Indenture have been complied with.</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73" w:lineRule="exact"/>
        <w:rPr>
          <w:sz w:val="20"/>
          <w:szCs w:val="20"/>
          <w:color w:val="auto"/>
        </w:rPr>
      </w:pPr>
    </w:p>
    <w:p>
      <w:pPr>
        <w:ind w:left="1460" w:hanging="804"/>
        <w:spacing w:after="0"/>
        <w:tabs>
          <w:tab w:leader="none" w:pos="14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herein without definition shall have the meanings assigned to them in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w:t>
      </w:r>
    </w:p>
    <w:p>
      <w:pPr>
        <w:spacing w:after="0" w:line="195" w:lineRule="exact"/>
        <w:rPr>
          <w:rFonts w:ascii="Times New Roman" w:cs="Times New Roman" w:eastAsia="Times New Roman" w:hAnsi="Times New Roman"/>
          <w:sz w:val="22"/>
          <w:szCs w:val="22"/>
          <w:color w:val="auto"/>
        </w:rPr>
      </w:pPr>
    </w:p>
    <w:p>
      <w:pPr>
        <w:jc w:val="both"/>
        <w:ind w:firstLine="656"/>
        <w:spacing w:after="0" w:line="251" w:lineRule="auto"/>
        <w:tabs>
          <w:tab w:leader="none" w:pos="105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Joinder of New Guarantor</w:t>
      </w:r>
      <w:r>
        <w:rPr>
          <w:rFonts w:ascii="Times New Roman" w:cs="Times New Roman" w:eastAsia="Times New Roman" w:hAnsi="Times New Roman"/>
          <w:sz w:val="22"/>
          <w:szCs w:val="22"/>
          <w:color w:val="auto"/>
        </w:rPr>
        <w:t>. The New Guarantor hereby joins in the Indenture as a “Guarantor” thereunder. The New Guarantor hereby assumes the duties and obligations of a Guarantor under the Indenture. The New Guarantor agrees to keep and perform all of the covenants, obligations and conditions of a Guarantor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ectPr>
          <w:pgSz w:w="11900" w:h="16838" w:orient="portrait"/>
          <w:cols w:equalWidth="0" w:num="1">
            <w:col w:w="11420"/>
          </w:cols>
          <w:pgMar w:left="240" w:top="365" w:right="239" w:bottom="1440" w:gutter="0" w:footer="0" w:header="0"/>
        </w:sectPr>
      </w:pPr>
    </w:p>
    <w:bookmarkStart w:id="54" w:name="page55"/>
    <w:bookmarkEnd w:id="54"/>
    <w:p>
      <w:pPr>
        <w:ind w:firstLine="656"/>
        <w:spacing w:after="0" w:line="284" w:lineRule="auto"/>
        <w:tabs>
          <w:tab w:leader="none" w:pos="112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Third Supplemental Indenture</w:t>
      </w:r>
      <w:r>
        <w:rPr>
          <w:rFonts w:ascii="Times New Roman" w:cs="Times New Roman" w:eastAsia="Times New Roman" w:hAnsi="Times New Roman"/>
          <w:sz w:val="22"/>
          <w:szCs w:val="22"/>
          <w:color w:val="auto"/>
        </w:rPr>
        <w:t>. Except as amended by this Third Supplemental Indenture, the terms and provisions of the Indenture shall remain in full force and effect.</w:t>
      </w:r>
    </w:p>
    <w:p>
      <w:pPr>
        <w:spacing w:after="0" w:line="144" w:lineRule="exact"/>
        <w:rPr>
          <w:rFonts w:ascii="Times New Roman" w:cs="Times New Roman" w:eastAsia="Times New Roman" w:hAnsi="Times New Roman"/>
          <w:sz w:val="22"/>
          <w:szCs w:val="22"/>
          <w:color w:val="auto"/>
        </w:rPr>
      </w:pPr>
    </w:p>
    <w:p>
      <w:pPr>
        <w:jc w:val="both"/>
        <w:ind w:firstLine="656"/>
        <w:spacing w:after="0" w:line="257" w:lineRule="auto"/>
        <w:tabs>
          <w:tab w:leader="none" w:pos="10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INTERNAL LAW OF THE STATE OF NEW YORK SHALL GOVERN AND BE USED TO CONSTRUE THIS THIRD SUPPLEMENTAL INDENTURE WITHOUT GIVING EFFECT TO APPLICABLE PRINCIPLES OF CONFLICTS OF LAW TO THE EXTENT THAT THE APPLICATION OF THE LAWS OF ANOTHER JURISDICTION WOULD BE REQUIRED THEREBY.</w:t>
      </w:r>
    </w:p>
    <w:p>
      <w:pPr>
        <w:spacing w:after="0" w:line="172"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00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Third Supplemental Indenture. Each signed copy shall be an original, but all of them together represent the same agreement. This Third Supplemental Indenture may be executed in multiple counterparts which, when taken together, shall constitute one instrument.</w:t>
      </w:r>
    </w:p>
    <w:p>
      <w:pPr>
        <w:spacing w:after="0" w:line="16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 hereof.</w:t>
      </w:r>
    </w:p>
    <w:p>
      <w:pPr>
        <w:spacing w:after="0" w:line="233" w:lineRule="exact"/>
        <w:rPr>
          <w:rFonts w:ascii="Times New Roman" w:cs="Times New Roman" w:eastAsia="Times New Roman" w:hAnsi="Times New Roman"/>
          <w:sz w:val="22"/>
          <w:szCs w:val="22"/>
          <w:color w:val="auto"/>
        </w:rPr>
      </w:pPr>
    </w:p>
    <w:p>
      <w:pPr>
        <w:jc w:val="both"/>
        <w:ind w:firstLine="656"/>
        <w:spacing w:after="0" w:line="263" w:lineRule="auto"/>
        <w:tabs>
          <w:tab w:leader="none" w:pos="100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Except as otherwise expressly provided herein, no duties, responsibilities or liabilities are assumed, or shall be construed to be assumed, by the Trustee by reason of this Third Supplemental Indenture. This Third Supplemental Indenture is executed and accepted by the Trustee subject to all the terms and conditions set forth in the Indenture.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55" w:name="page56"/>
    <w:bookmarkEnd w:id="5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Third Supplemental Indenture to be duly executed and delivered all as of the day and year first above written.</w:t>
      </w:r>
    </w:p>
    <w:p>
      <w:pPr>
        <w:spacing w:after="0" w:line="15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THE SCOTTS MIRACLE-GRO COMPANY</w:t>
      </w:r>
    </w:p>
    <w:p>
      <w:pPr>
        <w:spacing w:after="0" w:line="200" w:lineRule="exact"/>
        <w:rPr>
          <w:sz w:val="20"/>
          <w:szCs w:val="20"/>
          <w:color w:val="auto"/>
        </w:rPr>
      </w:pPr>
    </w:p>
    <w:p>
      <w:pPr>
        <w:spacing w:after="0" w:line="294" w:lineRule="exact"/>
        <w:rPr>
          <w:sz w:val="20"/>
          <w:szCs w:val="20"/>
          <w:color w:val="auto"/>
        </w:rPr>
      </w:pPr>
    </w:p>
    <w:tbl>
      <w:tblPr>
        <w:tblLayout w:type="fixed"/>
        <w:tblInd w:w="35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LAWRENCE A. HILSHEIMER</w:t>
            </w:r>
          </w:p>
        </w:tc>
        <w:tc>
          <w:tcPr>
            <w:tcW w:w="1240" w:type="dxa"/>
            <w:vAlign w:val="bottom"/>
          </w:tcPr>
          <w:p>
            <w:pPr>
              <w:spacing w:after="0"/>
              <w:rPr>
                <w:sz w:val="22"/>
                <w:szCs w:val="22"/>
                <w:color w:val="auto"/>
              </w:rPr>
            </w:pPr>
          </w:p>
        </w:tc>
      </w:tr>
      <w:tr>
        <w:trPr>
          <w:trHeight w:val="263"/>
        </w:trPr>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48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Lawrence A. Hilsheimer</w:t>
            </w:r>
          </w:p>
        </w:tc>
      </w:tr>
      <w:tr>
        <w:trPr>
          <w:trHeight w:val="283"/>
        </w:trPr>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4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Executive Vice President and Chief Financial   Officer</w:t>
            </w:r>
          </w:p>
        </w:tc>
      </w:tr>
    </w:tbl>
    <w:p>
      <w:pPr>
        <w:spacing w:after="0" w:line="200" w:lineRule="exact"/>
        <w:rPr>
          <w:sz w:val="20"/>
          <w:szCs w:val="20"/>
          <w:color w:val="auto"/>
        </w:rPr>
      </w:pPr>
    </w:p>
    <w:p>
      <w:pPr>
        <w:spacing w:after="0" w:line="28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6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SLS FRANCHISE SYSTEMS LLC</w:t>
      </w:r>
    </w:p>
    <w:p>
      <w:pPr>
        <w:spacing w:after="0" w:line="200" w:lineRule="exact"/>
        <w:rPr>
          <w:sz w:val="20"/>
          <w:szCs w:val="20"/>
          <w:color w:val="auto"/>
        </w:rPr>
      </w:pPr>
    </w:p>
    <w:p>
      <w:pPr>
        <w:spacing w:after="0" w:line="294" w:lineRule="exact"/>
        <w:rPr>
          <w:sz w:val="20"/>
          <w:szCs w:val="20"/>
          <w:color w:val="auto"/>
        </w:rPr>
      </w:pPr>
    </w:p>
    <w:tbl>
      <w:tblPr>
        <w:tblLayout w:type="fixed"/>
        <w:tblInd w:w="35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MICHAEL GOODRICH</w:t>
            </w:r>
          </w:p>
        </w:tc>
      </w:tr>
      <w:tr>
        <w:trPr>
          <w:trHeight w:val="287"/>
        </w:trPr>
        <w:tc>
          <w:tcPr>
            <w:tcW w:w="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Michael Goodrich</w:t>
            </w:r>
          </w:p>
        </w:tc>
      </w:tr>
    </w:tbl>
    <w:p>
      <w:pPr>
        <w:ind w:left="3500"/>
        <w:spacing w:after="0"/>
        <w:tabs>
          <w:tab w:leader="none" w:pos="4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Treasurer</w:t>
      </w:r>
    </w:p>
    <w:p>
      <w:pPr>
        <w:spacing w:after="0" w:line="200" w:lineRule="exact"/>
        <w:rPr>
          <w:sz w:val="20"/>
          <w:szCs w:val="20"/>
          <w:color w:val="auto"/>
        </w:rPr>
      </w:pPr>
    </w:p>
    <w:p>
      <w:pPr>
        <w:spacing w:after="0" w:line="28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EXISTING GUARANTORS:</w:t>
      </w:r>
    </w:p>
    <w:p>
      <w:pPr>
        <w:spacing w:after="0" w:line="26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EG SYSTEMS, INC., DBA SCOTTS LAWNSERVICE</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GUTWEIN &amp; CO., INC.</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HYPONEX CORPORATION</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MIRACLE-GRO LAWN PRODUCTS, INC.</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ROD MCLELLAN COMPANY</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SANFORD SCIENTIFIC, INC.</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SCOTTS TEMECULA OPERATIONS, LLC</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SCOTTS MANUFACTURING COMPANY</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SCOTTS PRODUCTS CO.</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SCOTTS PROFESSIONAL PRODUCTS CO.</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SMG GROWING MEDIA, INC.</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00" w:lineRule="exact"/>
        <w:rPr>
          <w:sz w:val="20"/>
          <w:szCs w:val="20"/>
          <w:color w:val="auto"/>
        </w:rPr>
      </w:pPr>
    </w:p>
    <w:p>
      <w:pPr>
        <w:spacing w:after="0" w:line="270" w:lineRule="exact"/>
        <w:rPr>
          <w:sz w:val="20"/>
          <w:szCs w:val="20"/>
          <w:color w:val="auto"/>
        </w:rPr>
      </w:pPr>
    </w:p>
    <w:tbl>
      <w:tblPr>
        <w:tblLayout w:type="fixed"/>
        <w:tblInd w:w="35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4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LAWRENCE A. HILSHEIMER</w:t>
            </w:r>
          </w:p>
        </w:tc>
      </w:tr>
      <w:tr>
        <w:trPr>
          <w:trHeight w:val="287"/>
        </w:trPr>
        <w:tc>
          <w:tcPr>
            <w:tcW w:w="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Lawrence A. Hilsheimer</w:t>
            </w:r>
          </w:p>
        </w:tc>
      </w:tr>
    </w:tbl>
    <w:p>
      <w:pPr>
        <w:ind w:left="3480"/>
        <w:spacing w:after="0"/>
        <w:tabs>
          <w:tab w:leader="none" w:pos="4140" w:val="left"/>
        </w:tabs>
        <w:rPr>
          <w:sz w:val="20"/>
          <w:szCs w:val="20"/>
          <w:color w:val="auto"/>
        </w:rPr>
      </w:pPr>
      <w:r>
        <w:rPr>
          <w:rFonts w:ascii="Times New Roman" w:cs="Times New Roman" w:eastAsia="Times New Roman" w:hAnsi="Times New Roman"/>
          <w:sz w:val="22"/>
          <w:szCs w:val="22"/>
          <w:color w:val="auto"/>
        </w:rPr>
        <w:t>Title:</w:t>
        <w:tab/>
        <w:t>Executive Vice President and Chief Financial Officer</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w:t>
      </w:r>
    </w:p>
    <w:p>
      <w:pPr>
        <w:sectPr>
          <w:pgSz w:w="11900" w:h="16838" w:orient="portrait"/>
          <w:cols w:equalWidth="0" w:num="1">
            <w:col w:w="11400"/>
          </w:cols>
          <w:pgMar w:left="240" w:top="369" w:right="259" w:bottom="1440" w:gutter="0" w:footer="0" w:header="0"/>
        </w:sectPr>
      </w:pPr>
    </w:p>
    <w:bookmarkStart w:id="56" w:name="page57"/>
    <w:bookmarkEnd w:id="56"/>
    <w:p>
      <w:pPr>
        <w:ind w:left="2300"/>
        <w:spacing w:after="0"/>
        <w:rPr>
          <w:sz w:val="20"/>
          <w:szCs w:val="20"/>
          <w:color w:val="auto"/>
        </w:rPr>
      </w:pPr>
      <w:r>
        <w:rPr>
          <w:rFonts w:ascii="Times New Roman" w:cs="Times New Roman" w:eastAsia="Times New Roman" w:hAnsi="Times New Roman"/>
          <w:sz w:val="22"/>
          <w:szCs w:val="22"/>
          <w:color w:val="auto"/>
        </w:rPr>
        <w:t>OMS INVESTMENTS, INC.</w:t>
      </w:r>
    </w:p>
    <w:p>
      <w:pPr>
        <w:spacing w:after="0" w:line="2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SWISS FARMS PRODUCTS, INC.</w:t>
      </w:r>
    </w:p>
    <w:p>
      <w:pPr>
        <w:spacing w:after="0" w:line="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SCOTTS-SIERRA INVESTMENTS, LLC</w:t>
      </w:r>
    </w:p>
    <w:p>
      <w:pPr>
        <w:spacing w:after="0" w:line="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SMGM LLC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3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AIMEE M. DELUCA</w:t>
            </w:r>
          </w:p>
        </w:tc>
        <w:tc>
          <w:tcPr>
            <w:tcW w:w="640" w:type="dxa"/>
            <w:vAlign w:val="bottom"/>
          </w:tcPr>
          <w:p>
            <w:pPr>
              <w:spacing w:after="0"/>
              <w:rPr>
                <w:sz w:val="22"/>
                <w:szCs w:val="22"/>
                <w:color w:val="auto"/>
              </w:rPr>
            </w:pPr>
          </w:p>
        </w:tc>
      </w:tr>
      <w:tr>
        <w:trPr>
          <w:trHeight w:val="263"/>
        </w:trPr>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Aimee M. DeLuca</w:t>
            </w:r>
          </w:p>
        </w:tc>
      </w:tr>
      <w:tr>
        <w:trPr>
          <w:trHeight w:val="283"/>
        </w:trPr>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3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President and Chief Executive Officer</w:t>
            </w:r>
          </w:p>
        </w:tc>
      </w:tr>
    </w:tbl>
    <w:p>
      <w:pPr>
        <w:spacing w:after="0" w:line="200" w:lineRule="exact"/>
        <w:rPr>
          <w:sz w:val="20"/>
          <w:szCs w:val="20"/>
          <w:color w:val="auto"/>
        </w:rPr>
      </w:pPr>
    </w:p>
    <w:p>
      <w:pPr>
        <w:spacing w:after="0" w:line="28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00" w:lineRule="exact"/>
        <w:rPr>
          <w:sz w:val="20"/>
          <w:szCs w:val="20"/>
          <w:color w:val="auto"/>
        </w:rPr>
      </w:pPr>
    </w:p>
    <w:p>
      <w:pPr>
        <w:spacing w:after="0" w:line="32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00" w:lineRule="exact"/>
        <w:rPr>
          <w:sz w:val="20"/>
          <w:szCs w:val="20"/>
          <w:color w:val="auto"/>
        </w:rPr>
      </w:pPr>
    </w:p>
    <w:p>
      <w:pPr>
        <w:spacing w:after="0" w:line="294" w:lineRule="exact"/>
        <w:rPr>
          <w:sz w:val="20"/>
          <w:szCs w:val="20"/>
          <w:color w:val="auto"/>
        </w:rPr>
      </w:pPr>
    </w:p>
    <w:tbl>
      <w:tblPr>
        <w:tblLayout w:type="fixed"/>
        <w:tblInd w:w="23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JEFFREY L. EUBANK</w:t>
            </w:r>
          </w:p>
        </w:tc>
      </w:tr>
      <w:tr>
        <w:trPr>
          <w:trHeight w:val="263"/>
        </w:trPr>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28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Jeffrey L. Eubank</w:t>
            </w:r>
          </w:p>
        </w:tc>
      </w:tr>
      <w:tr>
        <w:trPr>
          <w:trHeight w:val="283"/>
        </w:trPr>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Assistant Vice President</w:t>
            </w:r>
          </w:p>
        </w:tc>
      </w:tr>
      <w:tr>
        <w:trPr>
          <w:trHeight w:val="918"/>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S-2</w:t>
            </w:r>
          </w:p>
        </w:tc>
      </w:tr>
    </w:tbl>
    <w:p>
      <w:pPr>
        <w:sectPr>
          <w:pgSz w:w="11900" w:h="16838" w:orient="portrait"/>
          <w:cols w:equalWidth="0" w:num="1">
            <w:col w:w="9019"/>
          </w:cols>
          <w:pgMar w:left="1440" w:top="1395"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January 17, 2013)</w:t>
      </w: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 FOR EMPLOYEES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(with related dividend equivalents)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GRANTED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LAWRENCE A. HILSHEIMER ON APRIL 1, 2013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Agreement describes the type of Award that you have been granted and the terms and conditions of your Award.</w:t>
      </w:r>
    </w:p>
    <w:p>
      <w:pPr>
        <w:spacing w:after="0" w:line="256" w:lineRule="exact"/>
        <w:rPr>
          <w:sz w:val="20"/>
          <w:szCs w:val="20"/>
          <w:color w:val="auto"/>
        </w:rPr>
      </w:pPr>
    </w:p>
    <w:p>
      <w:pPr>
        <w:jc w:val="both"/>
        <w:ind w:firstLine="8"/>
        <w:spacing w:after="0" w:line="247" w:lineRule="auto"/>
        <w:tabs>
          <w:tab w:leader="none" w:pos="556"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DESCRIPTION OF YOUR RESTRICTED STOCK UNITS. </w:t>
      </w:r>
      <w:r>
        <w:rPr>
          <w:rFonts w:ascii="Times New Roman" w:cs="Times New Roman" w:eastAsia="Times New Roman" w:hAnsi="Times New Roman"/>
          <w:sz w:val="22"/>
          <w:szCs w:val="22"/>
          <w:color w:val="auto"/>
        </w:rPr>
        <w:t>You have been granted</w:t>
      </w:r>
      <w:r>
        <w:rPr>
          <w:rFonts w:ascii="Times New Roman" w:cs="Times New Roman" w:eastAsia="Times New Roman" w:hAnsi="Times New Roman"/>
          <w:sz w:val="22"/>
          <w:szCs w:val="22"/>
          <w:b w:val="1"/>
          <w:bCs w:val="1"/>
          <w:color w:val="auto"/>
        </w:rPr>
        <w:t xml:space="preserve"> 32,665 </w:t>
      </w:r>
      <w:r>
        <w:rPr>
          <w:rFonts w:ascii="Times New Roman" w:cs="Times New Roman" w:eastAsia="Times New Roman" w:hAnsi="Times New Roman"/>
          <w:sz w:val="22"/>
          <w:szCs w:val="22"/>
          <w:color w:val="auto"/>
        </w:rPr>
        <w:t>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(“RSUs”) and an equal number of related dividend equivalents. The “Grant Date” of your Award is </w:t>
      </w:r>
      <w:r>
        <w:rPr>
          <w:rFonts w:ascii="Times New Roman" w:cs="Times New Roman" w:eastAsia="Times New Roman" w:hAnsi="Times New Roman"/>
          <w:sz w:val="22"/>
          <w:szCs w:val="22"/>
          <w:b w:val="1"/>
          <w:bCs w:val="1"/>
          <w:color w:val="auto"/>
        </w:rPr>
        <w:t>April 1, 2013</w:t>
      </w:r>
      <w:r>
        <w:rPr>
          <w:rFonts w:ascii="Times New Roman" w:cs="Times New Roman" w:eastAsia="Times New Roman" w:hAnsi="Times New Roman"/>
          <w:sz w:val="22"/>
          <w:szCs w:val="22"/>
          <w:color w:val="auto"/>
        </w:rPr>
        <w:t xml:space="preserve">.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 To accept this Award Agreement, you must return a signed copy of this Award Agreement no later than </w:t>
      </w:r>
      <w:r>
        <w:rPr>
          <w:rFonts w:ascii="Times New Roman" w:cs="Times New Roman" w:eastAsia="Times New Roman" w:hAnsi="Times New Roman"/>
          <w:sz w:val="22"/>
          <w:szCs w:val="22"/>
          <w:b w:val="1"/>
          <w:bCs w:val="1"/>
          <w:color w:val="auto"/>
        </w:rPr>
        <w:t>May 30, 2013</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b w:val="1"/>
          <w:bCs w:val="1"/>
          <w:color w:val="auto"/>
        </w:rPr>
        <w:t>Merrill Lynch</w:t>
      </w:r>
      <w:r>
        <w:rPr>
          <w:rFonts w:ascii="Times New Roman" w:cs="Times New Roman" w:eastAsia="Times New Roman" w:hAnsi="Times New Roman"/>
          <w:sz w:val="22"/>
          <w:szCs w:val="22"/>
          <w:color w:val="auto"/>
        </w:rPr>
        <w:t xml:space="preserve"> (the “Third Party Administrator”) as follows:</w:t>
      </w:r>
    </w:p>
    <w:p>
      <w:pPr>
        <w:spacing w:after="0" w:line="2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Merrill Lynch</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Stephen Smith</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8245 Pulsar Place, Suite 200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Columbus, OH 43240</w:t>
      </w:r>
    </w:p>
    <w:p>
      <w:pPr>
        <w:spacing w:after="0" w:line="4" w:lineRule="exact"/>
        <w:rPr>
          <w:sz w:val="20"/>
          <w:szCs w:val="20"/>
          <w:color w:val="auto"/>
        </w:rPr>
      </w:pPr>
    </w:p>
    <w:p>
      <w:pPr>
        <w:ind w:left="2480" w:hanging="527"/>
        <w:spacing w:after="0"/>
        <w:tabs>
          <w:tab w:leader="none" w:pos="24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285-0648</w:t>
      </w:r>
    </w:p>
    <w:p>
      <w:pPr>
        <w:spacing w:after="0" w:line="23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INCORPORATION OF PLAN AND DEFINITIONS.</w:t>
      </w:r>
    </w:p>
    <w:p>
      <w:pPr>
        <w:spacing w:after="0" w:line="264" w:lineRule="exact"/>
        <w:rPr>
          <w:rFonts w:ascii="Times New Roman" w:cs="Times New Roman" w:eastAsia="Times New Roman" w:hAnsi="Times New Roman"/>
          <w:sz w:val="22"/>
          <w:szCs w:val="22"/>
          <w:b w:val="1"/>
          <w:bCs w:val="1"/>
          <w:color w:val="auto"/>
        </w:rPr>
      </w:pPr>
    </w:p>
    <w:p>
      <w:pPr>
        <w:jc w:val="both"/>
        <w:ind w:left="1320" w:hanging="664"/>
        <w:spacing w:after="0" w:line="250" w:lineRule="auto"/>
        <w:tabs>
          <w:tab w:leader="none" w:pos="130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and your RSUs are granted pursuant to and in accordance with The Scotts Miracle-Gro Company Long-Term Incentive Plan as amended and restated January 17, 2013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2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that are not defined in this Award Agreement have the same meanings as in the Plan.</w:t>
      </w:r>
    </w:p>
    <w:p>
      <w:pPr>
        <w:spacing w:after="0" w:line="256" w:lineRule="exact"/>
        <w:rPr>
          <w:rFonts w:ascii="Times New Roman" w:cs="Times New Roman" w:eastAsia="Times New Roman" w:hAnsi="Times New Roman"/>
          <w:sz w:val="22"/>
          <w:szCs w:val="22"/>
          <w:color w:val="auto"/>
        </w:rPr>
      </w:pPr>
    </w:p>
    <w:p>
      <w:pPr>
        <w:ind w:firstLine="8"/>
        <w:spacing w:after="0" w:line="288" w:lineRule="auto"/>
        <w:tabs>
          <w:tab w:leader="none" w:pos="369"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Except as provided in Section 6 of this Award Agreement, the RSUs described in this Award Agreement will vest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follows:</w:t>
      </w:r>
    </w:p>
    <w:p>
      <w:pPr>
        <w:sectPr>
          <w:pgSz w:w="11900" w:h="16838" w:orient="portrait"/>
          <w:cols w:equalWidth="0" w:num="1">
            <w:col w:w="11420"/>
          </w:cols>
          <w:pgMar w:left="240" w:top="382" w:right="239" w:bottom="1440" w:gutter="0" w:footer="0" w:header="0"/>
        </w:sectPr>
      </w:pPr>
    </w:p>
    <w:bookmarkStart w:id="58" w:name="page59"/>
    <w:bookmarkEnd w:id="58"/>
    <w:p>
      <w:pPr>
        <w:ind w:left="1460" w:hanging="804"/>
        <w:spacing w:after="0"/>
        <w:tabs>
          <w:tab w:leader="none" w:pos="146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Vesting Of RSUs. </w:t>
      </w:r>
      <w:r>
        <w:rPr>
          <w:rFonts w:ascii="Times New Roman" w:cs="Times New Roman" w:eastAsia="Times New Roman" w:hAnsi="Times New Roman"/>
          <w:sz w:val="21"/>
          <w:szCs w:val="21"/>
          <w:color w:val="auto"/>
        </w:rPr>
        <w:t>Except as provided in Section 7 of this Agreement, the RSUs described in this Agreement will</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vest as follows:</w:t>
      </w:r>
    </w:p>
    <w:p>
      <w:pPr>
        <w:spacing w:after="0" w:line="232"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Vesting. </w:t>
      </w:r>
      <w:r>
        <w:rPr>
          <w:rFonts w:ascii="Times New Roman" w:cs="Times New Roman" w:eastAsia="Times New Roman" w:hAnsi="Times New Roman"/>
          <w:sz w:val="22"/>
          <w:szCs w:val="22"/>
          <w:color w:val="auto"/>
        </w:rPr>
        <w:t>In general, the “Vesting Schedule” is as follows:</w:t>
      </w:r>
    </w:p>
    <w:p>
      <w:pPr>
        <w:spacing w:after="0" w:line="264"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Participant’s employment continues uninterrupted from the Grant Date until the first anniversary of the Grant Date, </w:t>
      </w:r>
      <w:r>
        <w:rPr>
          <w:rFonts w:ascii="Times New Roman" w:cs="Times New Roman" w:eastAsia="Times New Roman" w:hAnsi="Times New Roman"/>
          <w:sz w:val="22"/>
          <w:szCs w:val="22"/>
          <w:b w:val="1"/>
          <w:bCs w:val="1"/>
          <w:color w:val="auto"/>
        </w:rPr>
        <w:t>8,166</w:t>
      </w:r>
      <w:r>
        <w:rPr>
          <w:rFonts w:ascii="Times New Roman" w:cs="Times New Roman" w:eastAsia="Times New Roman" w:hAnsi="Times New Roman"/>
          <w:sz w:val="22"/>
          <w:szCs w:val="22"/>
          <w:color w:val="auto"/>
        </w:rPr>
        <w:t xml:space="preserve"> of the RSUs described in this Agreement will become vested;</w:t>
      </w:r>
    </w:p>
    <w:p>
      <w:pPr>
        <w:spacing w:after="0" w:line="198"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Participant’s employment continues uninterrupted from Grant Date until the second anniversary of the Grant Date, an additional </w:t>
      </w:r>
      <w:r>
        <w:rPr>
          <w:rFonts w:ascii="Times New Roman" w:cs="Times New Roman" w:eastAsia="Times New Roman" w:hAnsi="Times New Roman"/>
          <w:sz w:val="22"/>
          <w:szCs w:val="22"/>
          <w:b w:val="1"/>
          <w:bCs w:val="1"/>
          <w:color w:val="auto"/>
        </w:rPr>
        <w:t>8,166</w:t>
      </w:r>
      <w:r>
        <w:rPr>
          <w:rFonts w:ascii="Times New Roman" w:cs="Times New Roman" w:eastAsia="Times New Roman" w:hAnsi="Times New Roman"/>
          <w:sz w:val="22"/>
          <w:szCs w:val="22"/>
          <w:color w:val="auto"/>
        </w:rPr>
        <w:t xml:space="preserve"> of the RSUs described in this Agreement will become vested; and</w:t>
      </w:r>
    </w:p>
    <w:p>
      <w:pPr>
        <w:spacing w:after="0" w:line="198" w:lineRule="exact"/>
        <w:rPr>
          <w:rFonts w:ascii="Times New Roman" w:cs="Times New Roman" w:eastAsia="Times New Roman" w:hAnsi="Times New Roman"/>
          <w:sz w:val="22"/>
          <w:szCs w:val="22"/>
          <w:color w:val="auto"/>
        </w:rPr>
      </w:pPr>
    </w:p>
    <w:p>
      <w:pPr>
        <w:ind w:left="1960" w:right="20" w:hanging="655"/>
        <w:spacing w:after="0" w:line="271" w:lineRule="auto"/>
        <w:tabs>
          <w:tab w:leader="none" w:pos="19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Participant’s employment continues uninterrupted from the Grant Date until the third anniversary of the Grant Date, the final </w:t>
      </w:r>
      <w:r>
        <w:rPr>
          <w:rFonts w:ascii="Times New Roman" w:cs="Times New Roman" w:eastAsia="Times New Roman" w:hAnsi="Times New Roman"/>
          <w:sz w:val="22"/>
          <w:szCs w:val="22"/>
          <w:b w:val="1"/>
          <w:bCs w:val="1"/>
          <w:color w:val="auto"/>
        </w:rPr>
        <w:t>16,333</w:t>
      </w:r>
      <w:r>
        <w:rPr>
          <w:rFonts w:ascii="Times New Roman" w:cs="Times New Roman" w:eastAsia="Times New Roman" w:hAnsi="Times New Roman"/>
          <w:sz w:val="22"/>
          <w:szCs w:val="22"/>
          <w:color w:val="auto"/>
        </w:rPr>
        <w:t xml:space="preserve"> of the RSUs described in this Agreement will become vested.</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Accelerated Vesting. </w:t>
      </w:r>
      <w:r>
        <w:rPr>
          <w:rFonts w:ascii="Times New Roman" w:cs="Times New Roman" w:eastAsia="Times New Roman" w:hAnsi="Times New Roman"/>
          <w:sz w:val="21"/>
          <w:szCs w:val="21"/>
          <w:color w:val="auto"/>
        </w:rPr>
        <w:t>Under the following circumstances, any outstanding RSUs not previously vested will become</w:t>
      </w:r>
    </w:p>
    <w:p>
      <w:pPr>
        <w:spacing w:after="0" w:line="43" w:lineRule="exact"/>
        <w:rPr>
          <w:rFonts w:ascii="Times New Roman" w:cs="Times New Roman" w:eastAsia="Times New Roman" w:hAnsi="Times New Roman"/>
          <w:sz w:val="21"/>
          <w:szCs w:val="21"/>
          <w:color w:val="auto"/>
        </w:rPr>
      </w:pPr>
    </w:p>
    <w:p>
      <w:pPr>
        <w:ind w:left="1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100% vested earlier than as provided in the Vesting Schedule:</w:t>
      </w:r>
    </w:p>
    <w:p>
      <w:pPr>
        <w:spacing w:after="0" w:line="236" w:lineRule="exact"/>
        <w:rPr>
          <w:sz w:val="20"/>
          <w:szCs w:val="20"/>
          <w:color w:val="auto"/>
        </w:rPr>
      </w:pPr>
    </w:p>
    <w:p>
      <w:pPr>
        <w:jc w:val="both"/>
        <w:ind w:left="1960" w:hanging="655"/>
        <w:spacing w:after="0" w:line="259" w:lineRule="auto"/>
        <w:tabs>
          <w:tab w:leader="none" w:pos="19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because of your death or because you become Disabled (as defined below), any outstanding RSUs not previously vested will become 100% vested as of the date of such event and will be settled in accordance with Section 4 of this Award Agreement.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216" w:lineRule="exact"/>
        <w:rPr>
          <w:rFonts w:ascii="Times New Roman" w:cs="Times New Roman" w:eastAsia="Times New Roman" w:hAnsi="Times New Roman"/>
          <w:sz w:val="21"/>
          <w:szCs w:val="21"/>
          <w:color w:val="auto"/>
        </w:rPr>
      </w:pPr>
    </w:p>
    <w:p>
      <w:pPr>
        <w:jc w:val="both"/>
        <w:ind w:left="1960" w:hanging="655"/>
        <w:spacing w:after="0" w:line="252" w:lineRule="auto"/>
        <w:tabs>
          <w:tab w:leader="none" w:pos="1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Terminate for a reason other than Cause after reaching age 55 and completing at least 10 years of employment with the Company, its Affiliates and/or its Subsidiaries, any outstanding RSUs not previously vested will become 100% vested as of the date of such event and will be settled in accordance with Section 4 of this Award Agreement; or</w:t>
      </w:r>
    </w:p>
    <w:p>
      <w:pPr>
        <w:spacing w:after="0" w:line="220"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involuntarily Terminated by the Company for a reason other than Cause, any outstanding RSUs not previously vested will become 100% vested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5" w:right="239" w:bottom="1440" w:gutter="0" w:footer="0" w:header="0"/>
        </w:sectPr>
      </w:pPr>
    </w:p>
    <w:bookmarkStart w:id="59" w:name="page60"/>
    <w:bookmarkEnd w:id="59"/>
    <w:p>
      <w:pPr>
        <w:ind w:left="1960"/>
        <w:spacing w:after="0"/>
        <w:rPr>
          <w:sz w:val="20"/>
          <w:szCs w:val="20"/>
          <w:color w:val="auto"/>
        </w:rPr>
      </w:pPr>
      <w:r>
        <w:rPr>
          <w:rFonts w:ascii="Times New Roman" w:cs="Times New Roman" w:eastAsia="Times New Roman" w:hAnsi="Times New Roman"/>
          <w:sz w:val="21"/>
          <w:szCs w:val="21"/>
          <w:color w:val="auto"/>
        </w:rPr>
        <w:t>as of the date of such Termination and will be settled in accordance with Section 4 of this Award Agreement.</w:t>
      </w:r>
    </w:p>
    <w:p>
      <w:pPr>
        <w:spacing w:after="0" w:line="268"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p>
    <w:p>
      <w:pPr>
        <w:spacing w:after="0" w:line="31" w:lineRule="exact"/>
        <w:rPr>
          <w:rFonts w:ascii="Times New Roman" w:cs="Times New Roman" w:eastAsia="Times New Roman" w:hAnsi="Times New Roman"/>
          <w:sz w:val="22"/>
          <w:szCs w:val="22"/>
          <w:b w:val="1"/>
          <w:bCs w:val="1"/>
          <w:color w:val="auto"/>
        </w:rPr>
      </w:pPr>
    </w:p>
    <w:p>
      <w:pPr>
        <w:jc w:val="both"/>
        <w:ind w:left="1300" w:hanging="644"/>
        <w:spacing w:after="0" w:line="255" w:lineRule="auto"/>
        <w:tabs>
          <w:tab w:leader="none" w:pos="130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the Plan and this Award Agreement, your vested RSUs, minus any shares that are withheld for taxes as provided under Section 4(c), shall be settled in a lump sum as soon as administratively practicable, but no later than 60 days following the earliest date to occur of: (i) your Termination due to your death or Disability; or</w:t>
      </w:r>
    </w:p>
    <w:p>
      <w:pPr>
        <w:jc w:val="both"/>
        <w:ind w:left="1300" w:firstLine="5"/>
        <w:spacing w:after="0" w:line="246" w:lineRule="auto"/>
        <w:tabs>
          <w:tab w:leader="none" w:pos="1622"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anniversary of the Grant Date (the “Settlement Date”). Your whole RSUs shall be settled in full Shares, and any fractional RSU shall be settled in cash, determined based upon the Fair Market Value of a Share on the Settlement Date.</w:t>
      </w:r>
    </w:p>
    <w:p>
      <w:pPr>
        <w:spacing w:after="0" w:line="183"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5 of this Award Agreement, you will have none of the rights of a shareholder with respect to Shares underlying the RSUs unless and until you become the record holder of such Shares.</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use one of the following methods to pay the required withholding taxes related to the vesting of your RSUs. You will decide on the method at the time prescribed by the Company. If you do not elect one of these methods, the Company will apply the Net Settlement method described below:</w:t>
      </w:r>
    </w:p>
    <w:p>
      <w:pPr>
        <w:spacing w:after="0" w:line="173"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 If you elect this alternative, you will be responsible for paying the Company through the Third Party Administrator cash equal to the minimum statutory withholding requirements applicable on your RSUs.</w:t>
      </w:r>
    </w:p>
    <w:p>
      <w:pPr>
        <w:spacing w:after="0" w:line="213"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SETTLEMENT: If you elect this alternative, the Company will retain the number of shares with a Fair Market Value equal to the minimum statutory withholding requirements applicable on your RSUs.</w:t>
      </w:r>
    </w:p>
    <w:p>
      <w:pPr>
        <w:spacing w:after="0" w:line="198"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Normally, your RSUs will vest and be settled only under the circumstances described above. However, if there is a Change in Control, your RSUs will become 100% vested on the date of the Change in Control and will be settled as described in the Plan. See the Plan for further details.</w:t>
      </w:r>
    </w:p>
    <w:p>
      <w:pPr>
        <w:spacing w:after="0" w:line="209" w:lineRule="exact"/>
        <w:rPr>
          <w:rFonts w:ascii="Times New Roman" w:cs="Times New Roman" w:eastAsia="Times New Roman" w:hAnsi="Times New Roman"/>
          <w:sz w:val="22"/>
          <w:szCs w:val="22"/>
          <w:color w:val="auto"/>
        </w:rPr>
      </w:pPr>
    </w:p>
    <w:p>
      <w:pPr>
        <w:jc w:val="both"/>
        <w:ind w:firstLine="8"/>
        <w:spacing w:after="0" w:line="249" w:lineRule="auto"/>
        <w:tabs>
          <w:tab w:leader="none" w:pos="4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 EQUIVALENTS. </w:t>
      </w:r>
      <w:r>
        <w:rPr>
          <w:rFonts w:ascii="Times New Roman" w:cs="Times New Roman" w:eastAsia="Times New Roman" w:hAnsi="Times New Roman"/>
          <w:sz w:val="22"/>
          <w:szCs w:val="22"/>
          <w:color w:val="auto"/>
        </w:rPr>
        <w:t>You will be entitled to receive a dividend equivalent equal to any dividends declared and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each Share represented by a related RSU, subject to the same terms and conditions as the related RSU. Any dividend equivalents described in this Section 5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60" w:name="page61"/>
    <w:bookmarkEnd w:id="60"/>
    <w:p>
      <w:pPr>
        <w:ind w:left="380" w:hanging="372"/>
        <w:spacing w:after="0"/>
        <w:tabs>
          <w:tab w:leader="none" w:pos="38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w:t>
      </w:r>
    </w:p>
    <w:p>
      <w:pPr>
        <w:spacing w:after="0" w:line="264" w:lineRule="exact"/>
        <w:rPr>
          <w:rFonts w:ascii="Times New Roman" w:cs="Times New Roman" w:eastAsia="Times New Roman" w:hAnsi="Times New Roman"/>
          <w:sz w:val="22"/>
          <w:szCs w:val="22"/>
          <w:b w:val="1"/>
          <w:bCs w:val="1"/>
          <w:color w:val="auto"/>
        </w:rPr>
      </w:pPr>
    </w:p>
    <w:p>
      <w:pPr>
        <w:ind w:left="1300" w:hanging="644"/>
        <w:spacing w:after="0" w:line="271" w:lineRule="auto"/>
        <w:tabs>
          <w:tab w:leader="none" w:pos="13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3 or Section 4(d) of this Award Agreement, you will forfeit your unvested RSUs if you Terminate prior to the Vesting Date.</w:t>
      </w:r>
    </w:p>
    <w:p>
      <w:pPr>
        <w:spacing w:after="0" w:line="198"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engage in “Conduct That Is Harmful To The Company” (as described below), you will forfeit your RSUs and related dividend equivalents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220"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breach any confidentiality, nondisclosure, and/or noncompetition obligations under any agreement or plan with the Company or any Affiliate or Subsidiary;</w:t>
      </w:r>
    </w:p>
    <w:p>
      <w:pPr>
        <w:spacing w:after="0" w:line="198"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fail or refuse to consult with, supply information to or otherwise cooperate with the Company or any Affiliate or Subsidiary after having been requested to do so;</w:t>
      </w:r>
    </w:p>
    <w:p>
      <w:pPr>
        <w:spacing w:after="0" w:line="198"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deliberately engage in any action that the Company concludes has caused substantial harm to the interests of the Company or any Affiliate or Subsidiary;</w:t>
      </w:r>
    </w:p>
    <w:p>
      <w:pPr>
        <w:spacing w:after="0" w:line="198" w:lineRule="exact"/>
        <w:rPr>
          <w:rFonts w:ascii="Times New Roman" w:cs="Times New Roman" w:eastAsia="Times New Roman" w:hAnsi="Times New Roman"/>
          <w:sz w:val="22"/>
          <w:szCs w:val="22"/>
          <w:color w:val="auto"/>
        </w:rPr>
      </w:pPr>
    </w:p>
    <w:p>
      <w:pPr>
        <w:jc w:val="both"/>
        <w:ind w:left="1960" w:hanging="655"/>
        <w:spacing w:after="0" w:line="249" w:lineRule="auto"/>
        <w:tabs>
          <w:tab w:leader="none" w:pos="196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21"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engaged in conduct that the Committee reasonably concludes would have given rise to a Termination for Cause had it been discovered before you Terminated.</w:t>
      </w:r>
    </w:p>
    <w:p>
      <w:pPr>
        <w:spacing w:after="0" w:line="194" w:lineRule="exact"/>
        <w:rPr>
          <w:rFonts w:ascii="Times New Roman" w:cs="Times New Roman" w:eastAsia="Times New Roman" w:hAnsi="Times New Roman"/>
          <w:sz w:val="22"/>
          <w:szCs w:val="22"/>
          <w:color w:val="auto"/>
        </w:rPr>
      </w:pPr>
    </w:p>
    <w:p>
      <w:pPr>
        <w:ind w:firstLine="8"/>
        <w:spacing w:after="0" w:line="275" w:lineRule="auto"/>
        <w:tabs>
          <w:tab w:leader="none" w:pos="402"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AND TERMINATION. </w:t>
      </w:r>
      <w:r>
        <w:rPr>
          <w:rFonts w:ascii="Times New Roman" w:cs="Times New Roman" w:eastAsia="Times New Roman" w:hAnsi="Times New Roman"/>
          <w:sz w:val="22"/>
          <w:szCs w:val="22"/>
          <w:color w:val="auto"/>
        </w:rPr>
        <w:t>Subject to the terms of the Plan, the Company may amend or terminate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the Plan at any time.</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9" w:lineRule="auto"/>
        <w:tabs>
          <w:tab w:leader="none" w:pos="443"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You may name a beneficiary or beneficiaries to receive any RSUs and related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5" w:right="239" w:bottom="1440" w:gutter="0" w:footer="0" w:header="0"/>
        </w:sectPr>
      </w:pPr>
    </w:p>
    <w:bookmarkStart w:id="61" w:name="page62"/>
    <w:bookmarkEnd w:id="61"/>
    <w:p>
      <w:pPr>
        <w:jc w:val="both"/>
        <w:ind w:firstLine="8"/>
        <w:spacing w:after="0" w:line="254" w:lineRule="auto"/>
        <w:tabs>
          <w:tab w:leader="none" w:pos="439"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TRANSFERRING YOUR RSUs AND RELATED DIVIDEND EQUIVALENTS. </w:t>
      </w:r>
      <w:r>
        <w:rPr>
          <w:rFonts w:ascii="Times New Roman" w:cs="Times New Roman" w:eastAsia="Times New Roman" w:hAnsi="Times New Roman"/>
          <w:sz w:val="22"/>
          <w:szCs w:val="22"/>
          <w:color w:val="auto"/>
        </w:rPr>
        <w:t>Except as described in Section 8,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12" w:lineRule="exact"/>
        <w:rPr>
          <w:rFonts w:ascii="Times New Roman" w:cs="Times New Roman" w:eastAsia="Times New Roman" w:hAnsi="Times New Roman"/>
          <w:sz w:val="22"/>
          <w:szCs w:val="22"/>
          <w:b w:val="1"/>
          <w:bCs w:val="1"/>
          <w:color w:val="auto"/>
        </w:rPr>
      </w:pPr>
    </w:p>
    <w:p>
      <w:pPr>
        <w:jc w:val="both"/>
        <w:ind w:firstLine="8"/>
        <w:spacing w:after="0" w:line="259" w:lineRule="auto"/>
        <w:tabs>
          <w:tab w:leader="none" w:pos="508"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Award Agreement shall be governed by the laws of the State of Ohio, excluding any conflicts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choice of law rule or principle that might otherwise refer construction or interpretation of the Plan to the substantive law of another jurisdiction.</w:t>
      </w:r>
    </w:p>
    <w:p>
      <w:pPr>
        <w:spacing w:after="0" w:line="207" w:lineRule="exact"/>
        <w:rPr>
          <w:rFonts w:ascii="Times New Roman" w:cs="Times New Roman" w:eastAsia="Times New Roman" w:hAnsi="Times New Roman"/>
          <w:sz w:val="22"/>
          <w:szCs w:val="22"/>
          <w:b w:val="1"/>
          <w:bCs w:val="1"/>
          <w:color w:val="auto"/>
        </w:rPr>
      </w:pPr>
    </w:p>
    <w:p>
      <w:pPr>
        <w:jc w:val="both"/>
        <w:ind w:firstLine="8"/>
        <w:spacing w:after="0" w:line="251" w:lineRule="auto"/>
        <w:tabs>
          <w:tab w:leader="none" w:pos="474"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AGREEMENTS AND POLICIES. </w:t>
      </w:r>
      <w:r>
        <w:rPr>
          <w:rFonts w:ascii="Times New Roman" w:cs="Times New Roman" w:eastAsia="Times New Roman" w:hAnsi="Times New Roman"/>
          <w:sz w:val="22"/>
          <w:szCs w:val="22"/>
          <w:color w:val="auto"/>
        </w:rPr>
        <w:t>Your RSUs and related dividend equivalents will be subject to the terms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59" w:lineRule="auto"/>
        <w:tabs>
          <w:tab w:leader="none" w:pos="528"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ADJUSTMENTS TO YOUR RSUs. </w:t>
      </w:r>
      <w:r>
        <w:rPr>
          <w:rFonts w:ascii="Times New Roman" w:cs="Times New Roman" w:eastAsia="Times New Roman" w:hAnsi="Times New Roman"/>
          <w:sz w:val="22"/>
          <w:szCs w:val="22"/>
          <w:color w:val="auto"/>
        </w:rPr>
        <w:t>Subject to the terms of the Plan, your RSUs and related dividend equivalents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if appropriate, to reflect any change to the Company’s capital structure (e.g., the number of Shares underlying your RSUs will be adjusted to reflect a stock split).</w:t>
      </w:r>
    </w:p>
    <w:p>
      <w:pPr>
        <w:spacing w:after="0" w:line="166" w:lineRule="exact"/>
        <w:rPr>
          <w:rFonts w:ascii="Times New Roman" w:cs="Times New Roman" w:eastAsia="Times New Roman" w:hAnsi="Times New Roman"/>
          <w:sz w:val="22"/>
          <w:szCs w:val="22"/>
          <w:b w:val="1"/>
          <w:bCs w:val="1"/>
          <w:color w:val="auto"/>
        </w:rPr>
      </w:pPr>
    </w:p>
    <w:p>
      <w:pPr>
        <w:ind w:left="480" w:hanging="472"/>
        <w:spacing w:after="0"/>
        <w:tabs>
          <w:tab w:leader="none" w:pos="48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YOUR ACKNOWLEDGMENT OF AND AGREEMENT TO AWARD CONDITIONS.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Plan has been made available to you;</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and accept the terms and conditions of your Award;</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5" w:right="239" w:bottom="1440" w:gutter="0" w:footer="0" w:header="0"/>
        </w:sectPr>
      </w:pPr>
    </w:p>
    <w:bookmarkStart w:id="62" w:name="page63"/>
    <w:bookmarkEnd w:id="62"/>
    <w:p>
      <w:pPr>
        <w:ind w:left="1260" w:hanging="644"/>
        <w:spacing w:after="0"/>
        <w:tabs>
          <w:tab w:leader="none" w:pos="12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must return a signed copy of this Award Agreement to the address given above before </w:t>
      </w:r>
      <w:r>
        <w:rPr>
          <w:rFonts w:ascii="Times New Roman" w:cs="Times New Roman" w:eastAsia="Times New Roman" w:hAnsi="Times New Roman"/>
          <w:sz w:val="21"/>
          <w:szCs w:val="21"/>
          <w:b w:val="1"/>
          <w:bCs w:val="1"/>
          <w:color w:val="auto"/>
        </w:rPr>
        <w:t>May 30, 2013.</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Lawrence A. Hilsheimer</w:t>
            </w:r>
          </w:p>
        </w:tc>
        <w:tc>
          <w:tcPr>
            <w:tcW w:w="5340" w:type="dxa"/>
            <w:vAlign w:val="bottom"/>
            <w:gridSpan w:val="3"/>
          </w:tcPr>
          <w:p>
            <w:pPr>
              <w:ind w:left="760"/>
              <w:spacing w:after="0"/>
              <w:rPr>
                <w:sz w:val="20"/>
                <w:szCs w:val="20"/>
                <w:color w:val="auto"/>
              </w:rPr>
            </w:pPr>
            <w:r>
              <w:rPr>
                <w:rFonts w:ascii="Times New Roman" w:cs="Times New Roman" w:eastAsia="Times New Roman" w:hAnsi="Times New Roman"/>
                <w:sz w:val="22"/>
                <w:szCs w:val="22"/>
                <w:color w:val="auto"/>
              </w:rPr>
              <w:t>THE SCOTTS MIRACLE-GRO COMPANY</w:t>
            </w:r>
          </w:p>
        </w:tc>
      </w:tr>
      <w:tr>
        <w:trPr>
          <w:trHeight w:val="690"/>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By: ______________________________</w:t>
            </w:r>
          </w:p>
        </w:tc>
        <w:tc>
          <w:tcPr>
            <w:tcW w:w="534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By: ___________________________________</w:t>
            </w:r>
          </w:p>
        </w:tc>
      </w:tr>
      <w:tr>
        <w:trPr>
          <w:trHeight w:val="243"/>
        </w:trPr>
        <w:tc>
          <w:tcPr>
            <w:tcW w:w="4480" w:type="dxa"/>
            <w:vAlign w:val="bottom"/>
          </w:tcPr>
          <w:p>
            <w:pPr>
              <w:spacing w:after="0"/>
              <w:rPr>
                <w:sz w:val="21"/>
                <w:szCs w:val="21"/>
                <w:color w:val="auto"/>
              </w:rPr>
            </w:pPr>
          </w:p>
        </w:tc>
        <w:tc>
          <w:tcPr>
            <w:tcW w:w="5340" w:type="dxa"/>
            <w:vAlign w:val="bottom"/>
            <w:gridSpan w:val="3"/>
          </w:tcPr>
          <w:p>
            <w:pPr>
              <w:ind w:left="840"/>
              <w:spacing w:after="0" w:line="243" w:lineRule="exact"/>
              <w:rPr>
                <w:sz w:val="20"/>
                <w:szCs w:val="20"/>
                <w:color w:val="auto"/>
              </w:rPr>
            </w:pPr>
            <w:r>
              <w:rPr>
                <w:rFonts w:ascii="Times New Roman" w:cs="Times New Roman" w:eastAsia="Times New Roman" w:hAnsi="Times New Roman"/>
                <w:sz w:val="22"/>
                <w:szCs w:val="22"/>
                <w:color w:val="auto"/>
              </w:rPr>
              <w:t>Denise Stump</w:t>
            </w:r>
          </w:p>
        </w:tc>
      </w:tr>
      <w:tr>
        <w:trPr>
          <w:trHeight w:val="283"/>
        </w:trPr>
        <w:tc>
          <w:tcPr>
            <w:tcW w:w="4480" w:type="dxa"/>
            <w:vAlign w:val="bottom"/>
          </w:tcPr>
          <w:p>
            <w:pPr>
              <w:spacing w:after="0"/>
              <w:rPr>
                <w:sz w:val="24"/>
                <w:szCs w:val="24"/>
                <w:color w:val="auto"/>
              </w:rPr>
            </w:pPr>
          </w:p>
        </w:tc>
        <w:tc>
          <w:tcPr>
            <w:tcW w:w="534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w w:val="97"/>
              </w:rPr>
              <w:t>Executive Vice President, Global Human Resources</w:t>
            </w:r>
          </w:p>
        </w:tc>
      </w:tr>
      <w:tr>
        <w:trPr>
          <w:trHeight w:val="434"/>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Date signed: ________________________</w:t>
            </w:r>
          </w:p>
        </w:tc>
        <w:tc>
          <w:tcPr>
            <w:tcW w:w="534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Date signed: May 15, 2013</w:t>
            </w:r>
          </w:p>
        </w:tc>
      </w:tr>
      <w:tr>
        <w:trPr>
          <w:trHeight w:val="20"/>
        </w:trPr>
        <w:tc>
          <w:tcPr>
            <w:tcW w:w="4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420"/>
          </w:cols>
          <w:pgMar w:left="280" w:top="365" w:right="11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RETENTION AWARD AGREEMENT FOR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THOMAS COLEMAN</w:t>
      </w:r>
    </w:p>
    <w:p>
      <w:pPr>
        <w:spacing w:after="0" w:line="2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RETENTION AWARD AGREEMENT (this “Agreement”) between The Scotts Company LLC (the “Company”) and Thomas Coleman (the “Participant”) (i) confirms the terms of a cash payment (the “Cash Bonus”) and (ii) grants restricted stock units (“RSUs”) pursuant and subject to the provisions of The Scotts Miracle-Gro Company Long-Term Incentive Plan, as amended (the “Plan”). Each capitalized term that is used in this Agreement and that is not defined in this Agreement has the same meaning as the definition set forth in the Plan.</w:t>
      </w:r>
    </w:p>
    <w:p>
      <w:pPr>
        <w:spacing w:after="0" w:line="177" w:lineRule="exact"/>
        <w:rPr>
          <w:sz w:val="20"/>
          <w:szCs w:val="20"/>
          <w:color w:val="auto"/>
        </w:rPr>
      </w:pPr>
    </w:p>
    <w:p>
      <w:pPr>
        <w:jc w:val="both"/>
        <w:ind w:firstLine="656"/>
        <w:spacing w:after="0" w:line="254" w:lineRule="auto"/>
        <w:tabs>
          <w:tab w:leader="none" w:pos="145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Promise to Stay. </w:t>
      </w:r>
      <w:r>
        <w:rPr>
          <w:rFonts w:ascii="Times New Roman" w:cs="Times New Roman" w:eastAsia="Times New Roman" w:hAnsi="Times New Roman"/>
          <w:sz w:val="22"/>
          <w:szCs w:val="22"/>
          <w:color w:val="auto"/>
        </w:rPr>
        <w:t>In consideration of the promises and consideration described herein, including but not limited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payment of the Cash Bonus described below, Participant agrees to continue his employment with Company through at least September 30, 2017, (collectively the “Stay Period”), or that if his employment ends prior to September 30, 2017 he will not be entitled to any unvested benefits provided under this Agreement.</w:t>
      </w:r>
    </w:p>
    <w:p>
      <w:pPr>
        <w:spacing w:after="0" w:line="171" w:lineRule="exact"/>
        <w:rPr>
          <w:rFonts w:ascii="Times New Roman" w:cs="Times New Roman" w:eastAsia="Times New Roman" w:hAnsi="Times New Roman"/>
          <w:sz w:val="22"/>
          <w:szCs w:val="22"/>
          <w:color w:val="auto"/>
        </w:rPr>
      </w:pPr>
    </w:p>
    <w:p>
      <w:pPr>
        <w:jc w:val="both"/>
        <w:ind w:firstLine="656"/>
        <w:spacing w:after="0" w:line="251" w:lineRule="auto"/>
        <w:tabs>
          <w:tab w:leader="none" w:pos="10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Retention Award. </w:t>
      </w:r>
      <w:r>
        <w:rPr>
          <w:rFonts w:ascii="Times New Roman" w:cs="Times New Roman" w:eastAsia="Times New Roman" w:hAnsi="Times New Roman"/>
          <w:sz w:val="22"/>
          <w:szCs w:val="22"/>
          <w:color w:val="auto"/>
        </w:rPr>
        <w:t>In recognition of Participant’s contributions to the Company in his current role and in exchange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agreement to accept additional responsibilities with the role of SVP, Global Financial Operations &amp; Enterprise Performance Management Analytics, this Agreement between Participant and the Company outlines an incentive for Participant to continue his employment and to continue to perform all duties and services in accordance with Company’s expectations. The Company agrees to provide the following (collectively, the “Retention Award”):</w:t>
      </w:r>
    </w:p>
    <w:p>
      <w:pPr>
        <w:spacing w:after="0" w:line="216" w:lineRule="exact"/>
        <w:rPr>
          <w:rFonts w:ascii="Times New Roman" w:cs="Times New Roman" w:eastAsia="Times New Roman" w:hAnsi="Times New Roman"/>
          <w:sz w:val="22"/>
          <w:szCs w:val="22"/>
          <w:color w:val="auto"/>
        </w:rPr>
      </w:pPr>
    </w:p>
    <w:p>
      <w:pPr>
        <w:jc w:val="both"/>
        <w:ind w:left="660" w:firstLine="645"/>
        <w:spacing w:after="0" w:line="254" w:lineRule="auto"/>
        <w:tabs>
          <w:tab w:leader="none" w:pos="184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Pre-Paid Cash Bonus. </w:t>
      </w:r>
      <w:r>
        <w:rPr>
          <w:rFonts w:ascii="Times New Roman" w:cs="Times New Roman" w:eastAsia="Times New Roman" w:hAnsi="Times New Roman"/>
          <w:sz w:val="22"/>
          <w:szCs w:val="22"/>
          <w:color w:val="auto"/>
        </w:rPr>
        <w:t>In consideration of the promises and consideration described herein,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Participant’s promise to continue his employment with Company during the Stay Period, on April 12, 2013, the Company paid Participant the cash bonus of Two Hundred Thousand Dollars and 00/100 ($200,000.00), less applicable deductions and withholdings.</w:t>
      </w:r>
    </w:p>
    <w:p>
      <w:pPr>
        <w:spacing w:after="0" w:line="171" w:lineRule="exact"/>
        <w:rPr>
          <w:rFonts w:ascii="Times New Roman" w:cs="Times New Roman" w:eastAsia="Times New Roman" w:hAnsi="Times New Roman"/>
          <w:sz w:val="22"/>
          <w:szCs w:val="22"/>
          <w:color w:val="auto"/>
        </w:rPr>
      </w:pPr>
    </w:p>
    <w:p>
      <w:pPr>
        <w:jc w:val="both"/>
        <w:ind w:left="660" w:firstLine="645"/>
        <w:spacing w:after="0" w:line="248" w:lineRule="auto"/>
        <w:tabs>
          <w:tab w:leader="none" w:pos="177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Restricted Stock Unit Award. </w:t>
      </w:r>
      <w:r>
        <w:rPr>
          <w:rFonts w:ascii="Times New Roman" w:cs="Times New Roman" w:eastAsia="Times New Roman" w:hAnsi="Times New Roman"/>
          <w:sz w:val="22"/>
          <w:szCs w:val="22"/>
          <w:color w:val="auto"/>
        </w:rPr>
        <w:t>On May 8, 2013 (the “Grant Date”) Participant was granted 9,333 RSUs and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equal number of related dividend equivalents. </w:t>
      </w:r>
      <w:r>
        <w:rPr>
          <w:rFonts w:ascii="Times New Roman" w:cs="Times New Roman" w:eastAsia="Times New Roman" w:hAnsi="Times New Roman"/>
          <w:sz w:val="22"/>
          <w:szCs w:val="22"/>
          <w:color w:val="222222"/>
        </w:rPr>
        <w:t>The number of RSUs was determined based upon the closing price of a 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on the April 1, 2013</w:t>
      </w:r>
      <w:r>
        <w:rPr>
          <w:rFonts w:ascii="Times New Roman" w:cs="Times New Roman" w:eastAsia="Times New Roman" w:hAnsi="Times New Roman"/>
          <w:sz w:val="22"/>
          <w:szCs w:val="22"/>
          <w:color w:val="000000"/>
        </w:rPr>
        <w:t>. Each whole RSU represents the right to receive one full Share at the time and in the manner described</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22"/>
          <w:szCs w:val="22"/>
          <w:color w:val="000000"/>
        </w:rPr>
        <w:t>in this Agreement. Subject to Section 6 of this Agreement, each dividend equivalent represents the right to receive an amount equal to the dividends that are declared and paid during the period beginning on the Grant Date and ending on the date the RSUs are settled (as described in Section 5(a) of this Agreement) with respect to the Share represented by the related RSU.</w:t>
      </w:r>
    </w:p>
    <w:p>
      <w:pPr>
        <w:spacing w:after="0" w:line="182" w:lineRule="exact"/>
        <w:rPr>
          <w:rFonts w:ascii="Times New Roman" w:cs="Times New Roman" w:eastAsia="Times New Roman" w:hAnsi="Times New Roman"/>
          <w:sz w:val="22"/>
          <w:szCs w:val="22"/>
          <w:color w:val="auto"/>
        </w:rPr>
      </w:pPr>
    </w:p>
    <w:p>
      <w:pPr>
        <w:ind w:right="20" w:firstLine="656"/>
        <w:spacing w:after="0" w:line="275" w:lineRule="auto"/>
        <w:tabs>
          <w:tab w:leader="none" w:pos="112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Promise to Repay Cash Bonus. </w:t>
      </w:r>
      <w:r>
        <w:rPr>
          <w:rFonts w:ascii="Times New Roman" w:cs="Times New Roman" w:eastAsia="Times New Roman" w:hAnsi="Times New Roman"/>
          <w:sz w:val="22"/>
          <w:szCs w:val="22"/>
          <w:color w:val="auto"/>
        </w:rPr>
        <w:t>Participant acknowledges and agrees that he will only earn the Cash Bonus if 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continues his employment with Company through at least April 1,</w:t>
      </w:r>
    </w:p>
    <w:p>
      <w:pPr>
        <w:sectPr>
          <w:pgSz w:w="11900" w:h="16838" w:orient="portrait"/>
          <w:cols w:equalWidth="0" w:num="1">
            <w:col w:w="11420"/>
          </w:cols>
          <w:pgMar w:left="240" w:top="382" w:right="239" w:bottom="1440" w:gutter="0" w:footer="0" w:header="0"/>
        </w:sectPr>
      </w:pPr>
    </w:p>
    <w:bookmarkStart w:id="64" w:name="page65"/>
    <w:bookmarkEnd w:id="64"/>
    <w:p>
      <w:pPr>
        <w:jc w:val="both"/>
        <w:spacing w:after="0" w:line="247" w:lineRule="auto"/>
        <w:rPr>
          <w:sz w:val="20"/>
          <w:szCs w:val="20"/>
          <w:color w:val="auto"/>
        </w:rPr>
      </w:pPr>
      <w:r>
        <w:rPr>
          <w:rFonts w:ascii="Times New Roman" w:cs="Times New Roman" w:eastAsia="Times New Roman" w:hAnsi="Times New Roman"/>
          <w:sz w:val="22"/>
          <w:szCs w:val="22"/>
          <w:color w:val="auto"/>
        </w:rPr>
        <w:t>2015, notwithstanding Company’s payment of the Cash Bonus. Therefore, Participant agrees that, in the event he terminates his employment relationship with Company at any time prior to April 1, 2015 for a reason other than death or because the Participant is Disabled (as defined below), or if Company terminates Participant’s employment for Cause at any time prior to April 1, 2015, the entire Cash Bonus shall be forfeited, and Participant agrees to promptly repay the entire Cash Bonus no later than 5 business days after his employment with Company ceases. For purposes of this Agreement, “Cause” shall be defined as: (i) theft, conversion, or embezzlement of Company funds or property; (ii) conviction of any felony, or a misdemeanor involving moral turpitude; (iii) any willful, reckless or negligent act by Participant that may impugn the good name and reputation of Company; or (iv) willful, deliberate, or repeated violations of Company policies or directives by Participant.</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the event the Cash Bonus is forfeited under this Paragraph 3, Participant authorizes Company to use any and all necessary means to collect the Cash Bonus, including but not limited to withholding any part of the Cash Bonus not previously repaid from his final paycheck, from any severance payments due Participant as a result of his separation from Company, or any other compensation that may otherwise be paid to him, or turning the matter over to legal counsel, a collection agency, or other necessary means. Participant agrees to pay all costs and expenses, including, without limitation, court costs and reasonable attorneys’ fees, incurred by Company in connection with collection on or enforcement of this Agreement.</w:t>
      </w:r>
    </w:p>
    <w:p>
      <w:pPr>
        <w:spacing w:after="0" w:line="177" w:lineRule="exact"/>
        <w:rPr>
          <w:sz w:val="20"/>
          <w:szCs w:val="20"/>
          <w:color w:val="auto"/>
        </w:rPr>
      </w:pPr>
    </w:p>
    <w:p>
      <w:pPr>
        <w:ind w:left="1460" w:hanging="804"/>
        <w:spacing w:after="0"/>
        <w:tabs>
          <w:tab w:leader="none" w:pos="14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Vesting Of RSUs. </w:t>
      </w:r>
      <w:r>
        <w:rPr>
          <w:rFonts w:ascii="Times New Roman" w:cs="Times New Roman" w:eastAsia="Times New Roman" w:hAnsi="Times New Roman"/>
          <w:sz w:val="21"/>
          <w:szCs w:val="21"/>
          <w:color w:val="auto"/>
        </w:rPr>
        <w:t>Except as provided in Section 7 of this Agreement, the RSUs described in this Agreement will</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vest as follows:</w:t>
      </w:r>
    </w:p>
    <w:p>
      <w:pPr>
        <w:spacing w:after="0" w:line="232"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Vesting. </w:t>
      </w:r>
      <w:r>
        <w:rPr>
          <w:rFonts w:ascii="Times New Roman" w:cs="Times New Roman" w:eastAsia="Times New Roman" w:hAnsi="Times New Roman"/>
          <w:sz w:val="22"/>
          <w:szCs w:val="22"/>
          <w:color w:val="auto"/>
        </w:rPr>
        <w:t>In general, the “Vesting Schedule” is as follows:</w:t>
      </w:r>
    </w:p>
    <w:p>
      <w:pPr>
        <w:spacing w:after="0" w:line="264"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Participant’s employment continues uninterrupted from the Grant Date until September 30, 2015 (the “First Vesting Date”), 4,667 of the RSUs described in this Agreement will become vested on the First Vesting Date;</w:t>
      </w:r>
    </w:p>
    <w:p>
      <w:pPr>
        <w:spacing w:after="0" w:line="213"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Participant’s employment continues uninterrupted from Grant Date until September 30, 2016 (the “Second Vesting Date”), an additional 2,333 of the RSUs described in this Agreement will become vested on the Second Vesting Date; and</w:t>
      </w:r>
    </w:p>
    <w:p>
      <w:pPr>
        <w:spacing w:after="0" w:line="213"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Participant’s employment continues uninterrupted from the Grant Date until September 30, 2017 (the “Third Vesting Date”), the final 2,333 of the RSUs described in this Agreement will become vested on the Third Vesting Date.</w:t>
      </w:r>
    </w:p>
    <w:p>
      <w:pPr>
        <w:spacing w:after="0" w:line="209" w:lineRule="exact"/>
        <w:rPr>
          <w:rFonts w:ascii="Times New Roman" w:cs="Times New Roman" w:eastAsia="Times New Roman" w:hAnsi="Times New Roman"/>
          <w:sz w:val="22"/>
          <w:szCs w:val="22"/>
          <w:color w:val="auto"/>
        </w:rPr>
      </w:pPr>
    </w:p>
    <w:p>
      <w:pPr>
        <w:jc w:val="both"/>
        <w:ind w:left="1320" w:hanging="664"/>
        <w:spacing w:after="0" w:line="254" w:lineRule="auto"/>
        <w:tabs>
          <w:tab w:leader="none" w:pos="130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Accelerated Vesting. </w:t>
      </w:r>
      <w:r>
        <w:rPr>
          <w:rFonts w:ascii="Times New Roman" w:cs="Times New Roman" w:eastAsia="Times New Roman" w:hAnsi="Times New Roman"/>
          <w:sz w:val="22"/>
          <w:szCs w:val="22"/>
          <w:color w:val="auto"/>
        </w:rPr>
        <w:t>Under the following circumstances, any outstanding RSUs not previously vested will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100% vested earlier than as provided in the Vesting Schedule. If Participant (1) Terminates because of Participant’s death; (2) Terminates because Participant becomes Disabled (as defined below); or (3) is involuntarily Terminated by the Company for a reason other than Cause, any outstanding RSUs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65" w:name="page66"/>
    <w:bookmarkEnd w:id="65"/>
    <w:p>
      <w:pPr>
        <w:jc w:val="both"/>
        <w:ind w:left="1320"/>
        <w:spacing w:after="0" w:line="260" w:lineRule="auto"/>
        <w:rPr>
          <w:sz w:val="20"/>
          <w:szCs w:val="20"/>
          <w:color w:val="auto"/>
        </w:rPr>
      </w:pPr>
      <w:r>
        <w:rPr>
          <w:rFonts w:ascii="Times New Roman" w:cs="Times New Roman" w:eastAsia="Times New Roman" w:hAnsi="Times New Roman"/>
          <w:sz w:val="21"/>
          <w:szCs w:val="21"/>
          <w:color w:val="auto"/>
        </w:rPr>
        <w:t>not previously vested will become 100% vested as of the date of such Termination and will be settled in accordance with Section 5 of this Agreement. For purposes of this Agreement, “Disabled” means (A)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4" w:lineRule="exact"/>
        <w:rPr>
          <w:sz w:val="20"/>
          <w:szCs w:val="20"/>
          <w:color w:val="auto"/>
        </w:rPr>
      </w:pPr>
    </w:p>
    <w:p>
      <w:pPr>
        <w:jc w:val="both"/>
        <w:ind w:left="1320" w:hanging="2"/>
        <w:spacing w:after="0" w:line="244" w:lineRule="auto"/>
        <w:tabs>
          <w:tab w:leader="none" w:pos="167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Participant’s employer, or (C) Participant is determined to be totally disabled by the Social Security Administration or Railroad Retirement Board.</w:t>
      </w:r>
    </w:p>
    <w:p>
      <w:pPr>
        <w:spacing w:after="0" w:line="225"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Settlement.</w:t>
      </w:r>
    </w:p>
    <w:p>
      <w:pPr>
        <w:spacing w:after="0" w:line="224" w:lineRule="exact"/>
        <w:rPr>
          <w:sz w:val="20"/>
          <w:szCs w:val="20"/>
          <w:color w:val="auto"/>
        </w:rPr>
      </w:pPr>
    </w:p>
    <w:p>
      <w:pPr>
        <w:jc w:val="both"/>
        <w:ind w:left="1300" w:hanging="644"/>
        <w:spacing w:after="0" w:line="261" w:lineRule="auto"/>
        <w:tabs>
          <w:tab w:leader="none" w:pos="130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the Plan and this Agreement, the Participant’s vested RSUs, minus any shares that are withheld for taxes as provided under Section 5(c), shall be settled in a lump sum as soon as administratively practicable, but no later than 90 days following each of the Vesting Dates described in the Vesting Schedule, except that in the event of Termination due to Participant’s death or Disability, 100% of the RSUs will be settled in a lump sum as soon as administratively practicable, but no later than 60 days following the date the RSUs become vested under Section 4. Participant’s whole vested RSUs shall be settled in full Shares, and any fractional vested RSU shall be settled in cash, determined based upon the Fair Market Value of a Share on the Settlement Date.</w:t>
      </w:r>
    </w:p>
    <w:p>
      <w:pPr>
        <w:spacing w:after="0" w:line="174" w:lineRule="exact"/>
        <w:rPr>
          <w:rFonts w:ascii="Times New Roman" w:cs="Times New Roman" w:eastAsia="Times New Roman" w:hAnsi="Times New Roman"/>
          <w:sz w:val="21"/>
          <w:szCs w:val="21"/>
          <w:color w:val="auto"/>
        </w:rPr>
      </w:pPr>
    </w:p>
    <w:p>
      <w:pPr>
        <w:jc w:val="both"/>
        <w:ind w:left="1300" w:hanging="644"/>
        <w:spacing w:after="0" w:line="257"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will have none of the rights of a shareholder with respect to Shares underlying the RSUs and dividend equivalents unless and until Participant becomes the record holder of Shares issued in settlement of the RSUs and dividend equivalents.</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may use one of the following methods to pay the required withholding taxes related to the vesting of the RSUs. Participant will decide on the method at the time prescribed by the Company. If Participant does not elect one of these methods, the Company will apply the Net Settlement method described below:</w:t>
      </w:r>
    </w:p>
    <w:p>
      <w:pPr>
        <w:spacing w:after="0" w:line="173"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 If Participant elects this alternative, Participant will be responsible for paying the Company through the Third Party Administrator cash equal to the minimum statutory withholding requirements applicable on the RSUs.</w:t>
      </w:r>
    </w:p>
    <w:p>
      <w:pPr>
        <w:spacing w:after="0" w:line="213" w:lineRule="exact"/>
        <w:rPr>
          <w:rFonts w:ascii="Times New Roman" w:cs="Times New Roman" w:eastAsia="Times New Roman" w:hAnsi="Times New Roman"/>
          <w:sz w:val="22"/>
          <w:szCs w:val="22"/>
          <w:color w:val="auto"/>
        </w:rPr>
      </w:pPr>
    </w:p>
    <w:p>
      <w:pPr>
        <w:ind w:left="1960" w:hanging="655"/>
        <w:spacing w:after="0" w:line="295" w:lineRule="auto"/>
        <w:tabs>
          <w:tab w:leader="none" w:pos="196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SETTLEMENT: If Participant elects this alternative, the Company will retain the number of shares with a Fair Market Value equal to the minimum statutory withholding requirements applicable on the RSUs.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66" w:name="page67"/>
    <w:bookmarkEnd w:id="66"/>
    <w:p>
      <w:pPr>
        <w:jc w:val="both"/>
        <w:ind w:left="1300" w:hanging="644"/>
        <w:spacing w:after="0" w:line="257" w:lineRule="auto"/>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Normally, Participant’s RSUs will vest and be settled only under the circumstances described above. However, if there is a Change in Control, Participant’s outstanding RSUs will become 100% vested on the date of the Change in Control and will be settled as described in the Plan. See the Plan for further details.</w:t>
      </w:r>
    </w:p>
    <w:p>
      <w:pPr>
        <w:spacing w:after="0" w:line="210" w:lineRule="exact"/>
        <w:rPr>
          <w:sz w:val="20"/>
          <w:szCs w:val="20"/>
          <w:color w:val="auto"/>
        </w:rPr>
      </w:pPr>
    </w:p>
    <w:p>
      <w:pPr>
        <w:jc w:val="both"/>
        <w:ind w:firstLine="656"/>
        <w:spacing w:after="0" w:line="251" w:lineRule="auto"/>
        <w:tabs>
          <w:tab w:leader="none" w:pos="102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Dividend Equivalents. </w:t>
      </w:r>
      <w:r>
        <w:rPr>
          <w:rFonts w:ascii="Times New Roman" w:cs="Times New Roman" w:eastAsia="Times New Roman" w:hAnsi="Times New Roman"/>
          <w:sz w:val="22"/>
          <w:szCs w:val="22"/>
          <w:color w:val="auto"/>
        </w:rPr>
        <w:t>Participant will be entitled to receive a dividend equivalent equal to any dividends declared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on each Share represented by a related RSU, subject to the same vesting terms and conditions as the related RSU. Any dividend equivalents described in this Section 6 that are payable with respect to vested RSUs will be distributed to Participant in accordance with Section 5 of this Agreement. Any such distributions will be made in (i) cash, for any dividend equivalents relating to cash dividends and/or (ii) Shares, for any dividend equivalents relating to Share dividends.</w:t>
      </w:r>
    </w:p>
    <w:p>
      <w:pPr>
        <w:spacing w:after="0" w:line="21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w:t>
      </w:r>
    </w:p>
    <w:p>
      <w:pPr>
        <w:spacing w:after="0" w:line="264" w:lineRule="exact"/>
        <w:rPr>
          <w:sz w:val="20"/>
          <w:szCs w:val="20"/>
          <w:color w:val="auto"/>
        </w:rPr>
      </w:pPr>
    </w:p>
    <w:p>
      <w:pPr>
        <w:ind w:left="1300" w:hanging="644"/>
        <w:spacing w:after="0" w:line="271" w:lineRule="auto"/>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RSUs and dividend equivalents that have not become vested on or before Participant’s Termination shall be forfeited on the date of Termination.</w:t>
      </w:r>
    </w:p>
    <w:p>
      <w:pPr>
        <w:spacing w:after="0" w:line="198"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engages in “Conduct That Is Harmful To The Company” (as described below), Participant will forfeit his RSUs and related dividend equivalents and must return to the Company all Shares and other amounts Participant has received through the Plan or this Agreement. Participant shall be deemed to engage in “Conduct that is Harmful to the Company” if, without the Company’s written consent, Participant does any of the following within 180 days before and 730 days after Participant Terminates:</w:t>
      </w:r>
    </w:p>
    <w:p>
      <w:pPr>
        <w:spacing w:after="0" w:line="222"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breaches any confidentiality, nondisclosure, and/or noncompetition obligations under any agreement or plan with the Company or any Affiliate or Subsidiary;</w:t>
      </w:r>
    </w:p>
    <w:p>
      <w:pPr>
        <w:spacing w:after="0" w:line="198"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or refuses to consult with, supply information to or otherwise cooperate with the Company or any Affiliate or Subsidiary after having been requested to do so;</w:t>
      </w:r>
    </w:p>
    <w:p>
      <w:pPr>
        <w:spacing w:after="0" w:line="198"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deliberately engages in any action that the Company concludes has caused substantial harm to the interests of the Company or any Affiliate or Subsidiary;</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67" w:name="page68"/>
    <w:bookmarkEnd w:id="67"/>
    <w:p>
      <w:pPr>
        <w:jc w:val="both"/>
        <w:ind w:left="1960" w:hanging="655"/>
        <w:spacing w:after="0" w:line="249" w:lineRule="auto"/>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return all property (other than Participant’s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Participant has produced or received or has otherwise been provided to Participant in the course of his employment with the Company or any Affiliate or Subsidiary; or</w:t>
      </w:r>
    </w:p>
    <w:p>
      <w:pPr>
        <w:spacing w:after="0" w:line="221" w:lineRule="exact"/>
        <w:rPr>
          <w:rFonts w:ascii="Times New Roman" w:cs="Times New Roman" w:eastAsia="Times New Roman" w:hAnsi="Times New Roman"/>
          <w:sz w:val="22"/>
          <w:szCs w:val="22"/>
          <w:color w:val="auto"/>
        </w:rPr>
      </w:pPr>
    </w:p>
    <w:p>
      <w:pPr>
        <w:ind w:left="1960" w:right="20" w:hanging="655"/>
        <w:spacing w:after="0" w:line="271" w:lineRule="auto"/>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Engages or engaged in conduct that the Committee reasonably concludes would have given rise to a Termination for Cause had it been discovered before Participant Terminated.</w:t>
      </w:r>
    </w:p>
    <w:p>
      <w:pPr>
        <w:spacing w:after="0" w:line="194" w:lineRule="exact"/>
        <w:rPr>
          <w:rFonts w:ascii="Times New Roman" w:cs="Times New Roman" w:eastAsia="Times New Roman" w:hAnsi="Times New Roman"/>
          <w:sz w:val="22"/>
          <w:szCs w:val="22"/>
          <w:color w:val="auto"/>
        </w:rPr>
      </w:pPr>
    </w:p>
    <w:p>
      <w:pPr>
        <w:jc w:val="both"/>
        <w:ind w:firstLine="656"/>
        <w:spacing w:after="0" w:line="249" w:lineRule="auto"/>
        <w:tabs>
          <w:tab w:leader="none" w:pos="119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Participant may name a beneficiary or beneficiaries to receive any RSUs and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equivalents that vest before Participant dies but are settled after death. This may be done only on the attached Beneficiary Designation Form and by following the rules described in that Form. The Beneficiary Designation Form does not need to be completed now and is not required as a condition of receiving the RSU Award. However, if Participant dies without completing a Beneficiary Designation Form or if Participant does not complete that Form correctly, the beneficiary will be Participant’s surviving spouse or, if Participant does not have a surviving spouse, Participant’s estate.</w:t>
      </w:r>
    </w:p>
    <w:p>
      <w:pPr>
        <w:spacing w:after="0" w:line="180" w:lineRule="exact"/>
        <w:rPr>
          <w:rFonts w:ascii="Times New Roman" w:cs="Times New Roman" w:eastAsia="Times New Roman" w:hAnsi="Times New Roman"/>
          <w:sz w:val="22"/>
          <w:szCs w:val="22"/>
          <w:color w:val="auto"/>
        </w:rPr>
      </w:pPr>
    </w:p>
    <w:p>
      <w:pPr>
        <w:jc w:val="both"/>
        <w:ind w:firstLine="656"/>
        <w:spacing w:after="0" w:line="254" w:lineRule="auto"/>
        <w:tabs>
          <w:tab w:leader="none" w:pos="111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Transferring RSUs and Related Dividend Equivalents. </w:t>
      </w:r>
      <w:r>
        <w:rPr>
          <w:rFonts w:ascii="Times New Roman" w:cs="Times New Roman" w:eastAsia="Times New Roman" w:hAnsi="Times New Roman"/>
          <w:sz w:val="22"/>
          <w:szCs w:val="22"/>
          <w:color w:val="auto"/>
        </w:rPr>
        <w:t>Except as described in Section 8, Participant’s RSUs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dividend equivalents may not be transferred to another person. Participant may be permitted to place RSUs and related dividend equivalents into a trust established for Participant’s benefit or the benefit of Participant’s family. Contact the Third Party Administrator for further details.</w:t>
      </w:r>
    </w:p>
    <w:p>
      <w:pPr>
        <w:spacing w:after="0" w:line="212" w:lineRule="exact"/>
        <w:rPr>
          <w:rFonts w:ascii="Times New Roman" w:cs="Times New Roman" w:eastAsia="Times New Roman" w:hAnsi="Times New Roman"/>
          <w:sz w:val="22"/>
          <w:szCs w:val="22"/>
          <w:color w:val="auto"/>
        </w:rPr>
      </w:pPr>
    </w:p>
    <w:p>
      <w:pPr>
        <w:jc w:val="both"/>
        <w:ind w:firstLine="656"/>
        <w:spacing w:after="0" w:line="254" w:lineRule="auto"/>
        <w:tabs>
          <w:tab w:leader="none" w:pos="156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Promise of Continued Employment. </w:t>
      </w:r>
      <w:r>
        <w:rPr>
          <w:rFonts w:ascii="Times New Roman" w:cs="Times New Roman" w:eastAsia="Times New Roman" w:hAnsi="Times New Roman"/>
          <w:sz w:val="22"/>
          <w:szCs w:val="22"/>
          <w:color w:val="auto"/>
        </w:rPr>
        <w:t>Nothing in this Agreement shall be construed as a promise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to employ Participant for the entire Stay Period. Company retains the right to terminate Participant’s employment at any time for any reason with or without notice. If Company terminates Participant’s employment, Participant shall be entitled to retain the Cash Bonus, unless such termination is for cause as defined above.</w:t>
      </w:r>
    </w:p>
    <w:p>
      <w:pPr>
        <w:spacing w:after="0" w:line="171"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p>
    <w:p>
      <w:pPr>
        <w:spacing w:after="0" w:line="220" w:lineRule="exact"/>
        <w:rPr>
          <w:sz w:val="20"/>
          <w:szCs w:val="20"/>
          <w:color w:val="auto"/>
        </w:rPr>
      </w:pPr>
    </w:p>
    <w:p>
      <w:pPr>
        <w:jc w:val="both"/>
        <w:ind w:left="1300" w:hanging="644"/>
        <w:spacing w:after="0" w:line="251" w:lineRule="auto"/>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Waiver. </w:t>
      </w:r>
      <w:r>
        <w:rPr>
          <w:rFonts w:ascii="Times New Roman" w:cs="Times New Roman" w:eastAsia="Times New Roman" w:hAnsi="Times New Roman"/>
          <w:sz w:val="22"/>
          <w:szCs w:val="22"/>
          <w:color w:val="auto"/>
        </w:rPr>
        <w:t>Failure or delay by Company in exercising any right, power, or privilege under the Agreement or failure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Company to insist upon strict compliance with any of the terms shall not be deemed a waiver thereof, nor shall any single or partial exercise thereof preclude any other or further exercise thereof or the exercise of any right, power, or privilege. The rights and remedies herein provided shall be cumulative and not exclusive of any rights or remedies provided by law.</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68" w:name="page69"/>
    <w:bookmarkEnd w:id="68"/>
    <w:p>
      <w:pPr>
        <w:ind w:left="1300" w:hanging="644"/>
        <w:spacing w:after="0" w:line="275"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Binding Effect. </w:t>
      </w:r>
      <w:r>
        <w:rPr>
          <w:rFonts w:ascii="Times New Roman" w:cs="Times New Roman" w:eastAsia="Times New Roman" w:hAnsi="Times New Roman"/>
          <w:sz w:val="22"/>
          <w:szCs w:val="22"/>
          <w:color w:val="auto"/>
        </w:rPr>
        <w:t>This Agreement is binding on Participant and, as applicable, his spouse, next of kin, heirs,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administrators, executors, successors, and assigns.</w:t>
      </w:r>
    </w:p>
    <w:p>
      <w:pPr>
        <w:spacing w:after="0" w:line="149" w:lineRule="exact"/>
        <w:rPr>
          <w:rFonts w:ascii="Times New Roman" w:cs="Times New Roman" w:eastAsia="Times New Roman" w:hAnsi="Times New Roman"/>
          <w:sz w:val="22"/>
          <w:szCs w:val="22"/>
          <w:color w:val="auto"/>
        </w:rPr>
      </w:pPr>
    </w:p>
    <w:p>
      <w:pPr>
        <w:jc w:val="both"/>
        <w:ind w:left="1300" w:hanging="644"/>
        <w:spacing w:after="0" w:line="259"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Choice of Law. </w:t>
      </w:r>
      <w:r>
        <w:rPr>
          <w:rFonts w:ascii="Times New Roman" w:cs="Times New Roman" w:eastAsia="Times New Roman" w:hAnsi="Times New Roman"/>
          <w:sz w:val="22"/>
          <w:szCs w:val="22"/>
          <w:color w:val="auto"/>
        </w:rPr>
        <w:t>This Award Agreement shall be governed by the laws of the State of Ohio, excluding any conflicts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choice of law rule or principle that might otherwise refer construction or interpretation of the Plan to the substantive law of another jurisdiction.</w:t>
      </w:r>
    </w:p>
    <w:p>
      <w:pPr>
        <w:spacing w:after="0" w:line="166" w:lineRule="exact"/>
        <w:rPr>
          <w:rFonts w:ascii="Times New Roman" w:cs="Times New Roman" w:eastAsia="Times New Roman" w:hAnsi="Times New Roman"/>
          <w:sz w:val="22"/>
          <w:szCs w:val="22"/>
          <w:color w:val="auto"/>
        </w:rPr>
      </w:pPr>
    </w:p>
    <w:p>
      <w:pPr>
        <w:ind w:left="2600" w:hanging="1944"/>
        <w:spacing w:after="0" w:line="254" w:lineRule="auto"/>
        <w:tabs>
          <w:tab w:leader="none" w:pos="130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Agreement sets forth the entire agreement between Participant and Company related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Award. However, nothing in this Agreement supersedes or modifies the terms applicable to Participant under the Executive Severance Plan, and any prior restrictive covenants between Participant and Company.</w:t>
      </w:r>
    </w:p>
    <w:p>
      <w:pPr>
        <w:spacing w:after="0" w:line="172"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The undersigned have carefully read this Agreement; they know and understand its contents; they freely and voluntarily agree to abide by its terms; and they have not been coerced into signing it.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THOMAS COLEMAN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THOMAS COLEMAN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5/16/13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SCOTTS COMPANY LLC</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DENISE STUMP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EVP, Global Human Resources</w:t>
      </w:r>
      <w:r>
        <w:rPr>
          <w:rFonts w:ascii="Times New Roman" w:cs="Times New Roman" w:eastAsia="Times New Roman" w:hAnsi="Times New Roman"/>
          <w:sz w:val="22"/>
          <w:szCs w:val="22"/>
          <w:color w:val="auto"/>
        </w:rPr>
        <w:t>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5/14/13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5"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90373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14111 Scottslawn Road</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Marysville, OH 43041</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937-644-7001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7, 2014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Michael Porter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Harvard Business School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Ludcke House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Soldiers Field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 02163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Mike:</w:t>
      </w:r>
    </w:p>
    <w:p>
      <w:pPr>
        <w:spacing w:after="0" w:line="2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letter sets forth our agreement (the “Agreement”) regarding a consulting engagement between you and The Scotts Miracle-Gro Company (“Scotts” or “the Company”). These consulting services are separate and distinct from the services you are and will be providing as a member of the Scotts Board of Directors and the Company’s Finance and Innovation Committees (or any other Committees on which you may subsequently serve).</w:t>
      </w:r>
    </w:p>
    <w:p>
      <w:pPr>
        <w:spacing w:after="0" w:line="2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1"/>
          <w:szCs w:val="21"/>
          <w:b w:val="1"/>
          <w:bCs w:val="1"/>
          <w:color w:val="auto"/>
        </w:rPr>
        <w:t>Scope of Services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agree to provide the consulting services to Scotts described below.</w:t>
      </w:r>
    </w:p>
    <w:p>
      <w:pPr>
        <w:spacing w:after="0" w:line="260" w:lineRule="exact"/>
        <w:rPr>
          <w:sz w:val="20"/>
          <w:szCs w:val="20"/>
          <w:color w:val="auto"/>
        </w:rPr>
      </w:pPr>
    </w:p>
    <w:p>
      <w:pPr>
        <w:ind w:left="980" w:right="120" w:hanging="324"/>
        <w:spacing w:after="0" w:line="250" w:lineRule="auto"/>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to provide consulting services to Scotts in the area of business strategy. You will be expected to have sufficient knowledge of the dynamics of the global lawn and garden business so as to advise the Company on strategies concerning a variety of areas (“Areas of Expertise”) including: Sales Growth; Profit Enhancement; Effective Competitive Positioning; Diversification, including of products as well as geographies; and Consumer and Customer Relationships.</w:t>
      </w:r>
    </w:p>
    <w:p>
      <w:pPr>
        <w:spacing w:after="0" w:line="222" w:lineRule="exact"/>
        <w:rPr>
          <w:rFonts w:ascii="Times New Roman" w:cs="Times New Roman" w:eastAsia="Times New Roman" w:hAnsi="Times New Roman"/>
          <w:sz w:val="22"/>
          <w:szCs w:val="22"/>
          <w:color w:val="auto"/>
        </w:rPr>
      </w:pPr>
    </w:p>
    <w:p>
      <w:pPr>
        <w:ind w:left="980" w:right="760" w:hanging="324"/>
        <w:spacing w:after="0" w:line="254" w:lineRule="auto"/>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providing consulting services on the Areas of Expertise, it is anticipated that you will generally undertake the following work and activities pursuant to this Agreement:</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advice and consultation to Jim Hagedorn on an as needed basis on issues of business strategy.</w:t>
      </w:r>
    </w:p>
    <w:p>
      <w:pPr>
        <w:spacing w:after="0" w:line="3" w:lineRule="exact"/>
        <w:rPr>
          <w:rFonts w:ascii="Times New Roman" w:cs="Times New Roman" w:eastAsia="Times New Roman" w:hAnsi="Times New Roman"/>
          <w:sz w:val="22"/>
          <w:szCs w:val="22"/>
          <w:color w:val="auto"/>
        </w:rPr>
      </w:pPr>
    </w:p>
    <w:p>
      <w:pPr>
        <w:ind w:left="1300" w:right="160" w:hanging="320"/>
        <w:spacing w:after="0" w:line="248" w:lineRule="auto"/>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strategy mentor and coach to support other Scotts executives with responsibility for strategy as designated by Jim Hagedorn or Denise Stump.</w:t>
      </w:r>
    </w:p>
    <w:p>
      <w:pPr>
        <w:sectPr>
          <w:pgSz w:w="11900" w:h="16838" w:orient="portrait"/>
          <w:cols w:equalWidth="0" w:num="1">
            <w:col w:w="11420"/>
          </w:cols>
          <w:pgMar w:left="240" w:top="126" w:right="239" w:bottom="1440" w:gutter="0" w:footer="0" w:header="0"/>
        </w:sectPr>
      </w:pPr>
    </w:p>
    <w:bookmarkStart w:id="70" w:name="page71"/>
    <w:bookmarkEnd w:id="70"/>
    <w:p>
      <w:pPr>
        <w:spacing w:after="0"/>
        <w:tabs>
          <w:tab w:leader="none" w:pos="1520" w:val="left"/>
        </w:tabs>
        <w:rPr>
          <w:sz w:val="20"/>
          <w:szCs w:val="20"/>
          <w:color w:val="auto"/>
        </w:rPr>
      </w:pPr>
      <w:r>
        <w:rPr>
          <w:rFonts w:ascii="Times New Roman" w:cs="Times New Roman" w:eastAsia="Times New Roman" w:hAnsi="Times New Roman"/>
          <w:sz w:val="18"/>
          <w:szCs w:val="18"/>
          <w:color w:val="auto"/>
        </w:rPr>
        <w:t>Dr. Michael Porter</w:t>
      </w:r>
      <w:r>
        <w:rPr>
          <w:sz w:val="20"/>
          <w:szCs w:val="20"/>
          <w:color w:val="auto"/>
        </w:rPr>
        <w:tab/>
      </w:r>
      <w:r>
        <w:rPr>
          <w:rFonts w:ascii="Times New Roman" w:cs="Times New Roman" w:eastAsia="Times New Roman" w:hAnsi="Times New Roman"/>
          <w:sz w:val="17"/>
          <w:szCs w:val="17"/>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300" w:right="760" w:hanging="320"/>
        <w:spacing w:after="0" w:line="254" w:lineRule="auto"/>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Periodically participate in strategy meetings to support the successful execution of the anticipated strategic initiatives of the Company.</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discussions of other strategic issues as required.</w:t>
      </w:r>
    </w:p>
    <w:p>
      <w:pPr>
        <w:spacing w:after="0" w:line="236" w:lineRule="exact"/>
        <w:rPr>
          <w:sz w:val="20"/>
          <w:szCs w:val="20"/>
          <w:color w:val="auto"/>
        </w:rPr>
      </w:pPr>
    </w:p>
    <w:p>
      <w:pPr>
        <w:ind w:left="980" w:right="120"/>
        <w:spacing w:after="0" w:line="271" w:lineRule="auto"/>
        <w:rPr>
          <w:sz w:val="20"/>
          <w:szCs w:val="20"/>
          <w:color w:val="auto"/>
        </w:rPr>
      </w:pPr>
      <w:r>
        <w:rPr>
          <w:rFonts w:ascii="Times New Roman" w:cs="Times New Roman" w:eastAsia="Times New Roman" w:hAnsi="Times New Roman"/>
          <w:sz w:val="22"/>
          <w:szCs w:val="22"/>
          <w:color w:val="auto"/>
        </w:rPr>
        <w:t>You and the Company may agree to modifications of these work activities from time to time as necessary to affect the purpose of the Agreement.</w:t>
      </w:r>
    </w:p>
    <w:p>
      <w:pPr>
        <w:spacing w:after="0" w:line="198" w:lineRule="exact"/>
        <w:rPr>
          <w:sz w:val="20"/>
          <w:szCs w:val="20"/>
          <w:color w:val="auto"/>
        </w:rPr>
      </w:pPr>
    </w:p>
    <w:p>
      <w:pPr>
        <w:ind w:left="980" w:right="80" w:hanging="324"/>
        <w:spacing w:after="0" w:line="250" w:lineRule="auto"/>
        <w:tabs>
          <w:tab w:leader="none" w:pos="9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providing Scotts with one-on-one business strategy consulting, you agree to provide up to four quarterly half-day strategic consulting sessions for senior management and/or the Board of Directors. Where and to the extent feasible, these sessions will generally be held at your office at the Harvard Business School, and, where not feasible, Scotts will provide for your transportation. You agree to provide the consulting services contemplated herein in a manner acceptable to the Company in the exercise of its reasonable discretion.</w:t>
      </w:r>
    </w:p>
    <w:p>
      <w:pPr>
        <w:spacing w:after="0" w:line="222" w:lineRule="exact"/>
        <w:rPr>
          <w:rFonts w:ascii="Times New Roman" w:cs="Times New Roman" w:eastAsia="Times New Roman" w:hAnsi="Times New Roman"/>
          <w:sz w:val="22"/>
          <w:szCs w:val="22"/>
          <w:color w:val="auto"/>
        </w:rPr>
      </w:pPr>
    </w:p>
    <w:p>
      <w:pPr>
        <w:ind w:left="980" w:right="60" w:hanging="324"/>
        <w:spacing w:after="0" w:line="249" w:lineRule="auto"/>
        <w:tabs>
          <w:tab w:leader="none" w:pos="9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providing consulting services to Scotts under this Agreement, you will be an independent contractor and will not be an employee, servant, agent, partner, or joint venturer of Scotts or of any of Scotts’ affiliates, or of any of its or their respective officers, directors or employees. Except as provided as a member of the Board of Directors, you will not participate in or receive benefits under any of Scotts’ employee fringe benefit programs or receive any other fringe benefits from Scotts, including, without limitation, health, disability, life insurance, retirement, pension and profit sharing benefits on account of the consulting services you provide to Scotts.</w:t>
      </w:r>
    </w:p>
    <w:p>
      <w:pPr>
        <w:spacing w:after="0" w:line="217"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Length of Letter Agreement</w:t>
      </w:r>
    </w:p>
    <w:p>
      <w:pPr>
        <w:spacing w:after="0" w:line="264" w:lineRule="exact"/>
        <w:rPr>
          <w:sz w:val="20"/>
          <w:szCs w:val="20"/>
          <w:color w:val="auto"/>
        </w:rPr>
      </w:pPr>
    </w:p>
    <w:p>
      <w:pPr>
        <w:ind w:left="660" w:right="80"/>
        <w:spacing w:after="0" w:line="271" w:lineRule="auto"/>
        <w:rPr>
          <w:sz w:val="20"/>
          <w:szCs w:val="20"/>
          <w:color w:val="auto"/>
        </w:rPr>
      </w:pPr>
      <w:r>
        <w:rPr>
          <w:rFonts w:ascii="Times New Roman" w:cs="Times New Roman" w:eastAsia="Times New Roman" w:hAnsi="Times New Roman"/>
          <w:sz w:val="22"/>
          <w:szCs w:val="22"/>
          <w:color w:val="auto"/>
        </w:rPr>
        <w:t>The term of this letter agreement commenced on January 1, 2014 and will end on December 31, 2014 and, thereafter, may be renewed on an annual basis by mutual written agreement.</w:t>
      </w:r>
    </w:p>
    <w:p>
      <w:pPr>
        <w:spacing w:after="0" w:line="19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III.</w:t>
      </w:r>
      <w:r>
        <w:rPr>
          <w:sz w:val="20"/>
          <w:szCs w:val="20"/>
          <w:color w:val="auto"/>
        </w:rPr>
        <w:tab/>
      </w:r>
      <w:r>
        <w:rPr>
          <w:rFonts w:ascii="Times New Roman" w:cs="Times New Roman" w:eastAsia="Times New Roman" w:hAnsi="Times New Roman"/>
          <w:sz w:val="21"/>
          <w:szCs w:val="21"/>
          <w:b w:val="1"/>
          <w:bCs w:val="1"/>
          <w:color w:val="auto"/>
        </w:rPr>
        <w:t>Authority</w:t>
      </w:r>
    </w:p>
    <w:p>
      <w:pPr>
        <w:spacing w:after="0" w:line="264"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22"/>
          <w:szCs w:val="22"/>
          <w:color w:val="auto"/>
        </w:rPr>
        <w:t>In providing consulting services to Scotts under this Agreement, you will have no authority at any time to assume or create any obligation or liability, express or implied, on Scotts’ behalf or in Scotts’ name or to bind Scotts in any manner whatsoever.</w:t>
      </w:r>
    </w:p>
    <w:p>
      <w:pPr>
        <w:spacing w:after="0" w:line="2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Consulting Fees and Expenses</w:t>
      </w:r>
    </w:p>
    <w:p>
      <w:pPr>
        <w:spacing w:after="0" w:line="264" w:lineRule="exact"/>
        <w:rPr>
          <w:sz w:val="20"/>
          <w:szCs w:val="20"/>
          <w:color w:val="auto"/>
        </w:rPr>
      </w:pPr>
    </w:p>
    <w:p>
      <w:pPr>
        <w:ind w:left="980" w:right="160" w:hanging="324"/>
        <w:spacing w:after="0" w:line="257" w:lineRule="auto"/>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providing the consulting services hereunder, during the term of this letter agreement, Scotts shall pay you a cash-based retainer of $100,000, payable in $25,000 quarterly installments during the quarters in which you provide consulting services as requested by Scotts hereunder. You</w:t>
      </w:r>
    </w:p>
    <w:p>
      <w:pPr>
        <w:sectPr>
          <w:pgSz w:w="11900" w:h="16838" w:orient="portrait"/>
          <w:cols w:equalWidth="0" w:num="1">
            <w:col w:w="11280"/>
          </w:cols>
          <w:pgMar w:left="240" w:top="121" w:right="379" w:bottom="1440" w:gutter="0" w:footer="0" w:header="0"/>
        </w:sectPr>
      </w:pPr>
    </w:p>
    <w:bookmarkStart w:id="71" w:name="page72"/>
    <w:bookmarkEnd w:id="71"/>
    <w:p>
      <w:pPr>
        <w:spacing w:after="0"/>
        <w:tabs>
          <w:tab w:leader="none" w:pos="1520" w:val="left"/>
        </w:tabs>
        <w:rPr>
          <w:sz w:val="20"/>
          <w:szCs w:val="20"/>
          <w:color w:val="auto"/>
        </w:rPr>
      </w:pPr>
      <w:r>
        <w:rPr>
          <w:rFonts w:ascii="Times New Roman" w:cs="Times New Roman" w:eastAsia="Times New Roman" w:hAnsi="Times New Roman"/>
          <w:sz w:val="18"/>
          <w:szCs w:val="18"/>
          <w:color w:val="auto"/>
        </w:rPr>
        <w:t>Dr. Michael Porter</w:t>
      </w:r>
      <w:r>
        <w:rPr>
          <w:sz w:val="20"/>
          <w:szCs w:val="20"/>
          <w:color w:val="auto"/>
        </w:rPr>
        <w:tab/>
      </w:r>
      <w:r>
        <w:rPr>
          <w:rFonts w:ascii="Times New Roman" w:cs="Times New Roman" w:eastAsia="Times New Roman" w:hAnsi="Times New Roman"/>
          <w:sz w:val="17"/>
          <w:szCs w:val="17"/>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shall be required to submit your invoices including days/hours worked with brief descriptions of the services provided.</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Scotts shall pay you within thirty days of its receipt of your invoices.</w:t>
      </w:r>
    </w:p>
    <w:p>
      <w:pPr>
        <w:spacing w:after="0" w:line="236" w:lineRule="exact"/>
        <w:rPr>
          <w:sz w:val="20"/>
          <w:szCs w:val="20"/>
          <w:color w:val="auto"/>
        </w:rPr>
      </w:pPr>
    </w:p>
    <w:p>
      <w:pPr>
        <w:ind w:left="980" w:hanging="324"/>
        <w:spacing w:after="0" w:line="248" w:lineRule="auto"/>
        <w:tabs>
          <w:tab w:leader="none" w:pos="9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also will pay or reimburse you for all reasonable expenses incurred by you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You must incur and account for expenses in accordance with the policies and procedures established by Scotts as a precondition to Scotts’ obligation to pay or reimburse you for such expenses pursuant to the terms of the preceding sentence. Scotts will provide private transportation when practical and economically reasonable.</w:t>
      </w:r>
    </w:p>
    <w:p>
      <w:pPr>
        <w:spacing w:after="0" w:line="222" w:lineRule="exact"/>
        <w:rPr>
          <w:rFonts w:ascii="Times New Roman" w:cs="Times New Roman" w:eastAsia="Times New Roman" w:hAnsi="Times New Roman"/>
          <w:sz w:val="22"/>
          <w:szCs w:val="22"/>
          <w:color w:val="auto"/>
        </w:rPr>
      </w:pPr>
    </w:p>
    <w:p>
      <w:pPr>
        <w:ind w:left="980" w:right="360" w:hanging="324"/>
        <w:spacing w:after="0" w:line="257" w:lineRule="auto"/>
        <w:tabs>
          <w:tab w:leader="none" w:pos="9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to provide, at your own expense, all equipment necessary to provide the consulting services contemplated herein and to be responsible for your own overhead costs and expenses except for those expenses that Scotts has expressly agreed to pay pursuant to the terms of the preceding paragraph.</w:t>
      </w:r>
    </w:p>
    <w:p>
      <w:pPr>
        <w:spacing w:after="0" w:line="209" w:lineRule="exact"/>
        <w:rPr>
          <w:rFonts w:ascii="Times New Roman" w:cs="Times New Roman" w:eastAsia="Times New Roman" w:hAnsi="Times New Roman"/>
          <w:sz w:val="22"/>
          <w:szCs w:val="22"/>
          <w:color w:val="auto"/>
        </w:rPr>
      </w:pPr>
    </w:p>
    <w:p>
      <w:pPr>
        <w:ind w:left="400" w:hanging="392"/>
        <w:spacing w:after="0"/>
        <w:tabs>
          <w:tab w:leader="none" w:pos="40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264" w:lineRule="exact"/>
        <w:rPr>
          <w:rFonts w:ascii="Times New Roman" w:cs="Times New Roman" w:eastAsia="Times New Roman" w:hAnsi="Times New Roman"/>
          <w:sz w:val="22"/>
          <w:szCs w:val="22"/>
          <w:b w:val="1"/>
          <w:bCs w:val="1"/>
          <w:color w:val="auto"/>
        </w:rPr>
      </w:pPr>
    </w:p>
    <w:p>
      <w:pPr>
        <w:ind w:left="1300" w:right="240" w:hanging="644"/>
        <w:spacing w:after="0" w:line="250" w:lineRule="auto"/>
        <w:tabs>
          <w:tab w:leader="none" w:pos="97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shall be permitted to terminate this letter agreement and its consulting relationship with you under any of the following circumstances: (a) your death or disability, (b) your material breach of your obligations to Scotts if such breach is not cured within thirty (30) days after you receive notice thereof, (c) your indictment for a felony or serious misdemeanor, (d) your commission of an act of fraud or bad faith toward Scotts, or (e) your misappropriation of any funds, property or rights of Scotts.</w:t>
      </w:r>
    </w:p>
    <w:p>
      <w:pPr>
        <w:spacing w:after="0" w:line="222" w:lineRule="exact"/>
        <w:rPr>
          <w:rFonts w:ascii="Times New Roman" w:cs="Times New Roman" w:eastAsia="Times New Roman" w:hAnsi="Times New Roman"/>
          <w:sz w:val="22"/>
          <w:szCs w:val="22"/>
          <w:color w:val="auto"/>
        </w:rPr>
      </w:pPr>
    </w:p>
    <w:p>
      <w:pPr>
        <w:ind w:left="1300" w:right="160" w:hanging="644"/>
        <w:spacing w:after="0" w:line="275" w:lineRule="auto"/>
        <w:tabs>
          <w:tab w:leader="none" w:pos="976"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of this letter agreement and your consulting relationship with Scotts shall not affect Scotts’ obligation to pay you for the amounts you have earned prior to the date of such termination or reimburse you for the expenses you have incurred pursuant to the terms of this letter agreement prior to the date of such termination.</w:t>
      </w:r>
    </w:p>
    <w:p>
      <w:pPr>
        <w:spacing w:after="0" w:line="19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Confidential Information</w:t>
      </w:r>
    </w:p>
    <w:p>
      <w:pPr>
        <w:spacing w:after="0" w:line="264" w:lineRule="exact"/>
        <w:rPr>
          <w:sz w:val="20"/>
          <w:szCs w:val="20"/>
          <w:color w:val="auto"/>
        </w:rPr>
      </w:pPr>
    </w:p>
    <w:p>
      <w:pPr>
        <w:ind w:left="1300" w:hanging="644"/>
        <w:spacing w:after="0" w:line="252" w:lineRule="auto"/>
        <w:tabs>
          <w:tab w:leader="none" w:pos="97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providing the consulting services contemplated herein, you will be privy to Confidential Information about Scotts and its affiliates. Maintaining the confidential nature of this information is very important to Scotts. As used in this letter agreement, “Confidential Information” is any information about Scotts, or its affiliates, to which you gain access in connection with your provision of consulting or other services to Scotts, including as a member of</w:t>
      </w:r>
    </w:p>
    <w:p>
      <w:pPr>
        <w:sectPr>
          <w:pgSz w:w="11900" w:h="16838" w:orient="portrait"/>
          <w:cols w:equalWidth="0" w:num="1">
            <w:col w:w="11400"/>
          </w:cols>
          <w:pgMar w:left="240" w:top="121" w:right="259" w:bottom="1440" w:gutter="0" w:footer="0" w:header="0"/>
        </w:sectPr>
      </w:pPr>
    </w:p>
    <w:bookmarkStart w:id="72" w:name="page73"/>
    <w:bookmarkEnd w:id="72"/>
    <w:p>
      <w:pPr>
        <w:spacing w:after="0"/>
        <w:tabs>
          <w:tab w:leader="none" w:pos="1520" w:val="left"/>
        </w:tabs>
        <w:rPr>
          <w:sz w:val="20"/>
          <w:szCs w:val="20"/>
          <w:color w:val="auto"/>
        </w:rPr>
      </w:pPr>
      <w:r>
        <w:rPr>
          <w:rFonts w:ascii="Times New Roman" w:cs="Times New Roman" w:eastAsia="Times New Roman" w:hAnsi="Times New Roman"/>
          <w:sz w:val="18"/>
          <w:szCs w:val="18"/>
          <w:color w:val="auto"/>
        </w:rPr>
        <w:t>Dr. Michael Porter</w:t>
      </w:r>
      <w:r>
        <w:rPr>
          <w:sz w:val="20"/>
          <w:szCs w:val="20"/>
          <w:color w:val="auto"/>
        </w:rPr>
        <w:tab/>
      </w:r>
      <w:r>
        <w:rPr>
          <w:rFonts w:ascii="Times New Roman" w:cs="Times New Roman" w:eastAsia="Times New Roman" w:hAnsi="Times New Roman"/>
          <w:sz w:val="17"/>
          <w:szCs w:val="17"/>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80" w:right="300"/>
        <w:spacing w:after="0" w:line="257" w:lineRule="auto"/>
        <w:rPr>
          <w:sz w:val="20"/>
          <w:szCs w:val="20"/>
          <w:color w:val="auto"/>
        </w:rPr>
      </w:pPr>
      <w:r>
        <w:rPr>
          <w:rFonts w:ascii="Times New Roman" w:cs="Times New Roman" w:eastAsia="Times New Roman" w:hAnsi="Times New Roman"/>
          <w:sz w:val="22"/>
          <w:szCs w:val="22"/>
          <w:color w:val="auto"/>
        </w:rPr>
        <w:t>the Board of Directors. Confidential Information does not include information you can show (a) was already in your possession prior to the time you received such information as a consultant to Scotts, or (b) is publicly available or otherwise in the public domain by means other than your violation of the terms of this letter.</w:t>
      </w:r>
    </w:p>
    <w:p>
      <w:pPr>
        <w:spacing w:after="0" w:line="214" w:lineRule="exact"/>
        <w:rPr>
          <w:sz w:val="20"/>
          <w:szCs w:val="20"/>
          <w:color w:val="auto"/>
        </w:rPr>
      </w:pPr>
    </w:p>
    <w:p>
      <w:pPr>
        <w:ind w:left="1300" w:right="240" w:hanging="644"/>
        <w:spacing w:after="0" w:line="257" w:lineRule="auto"/>
        <w:tabs>
          <w:tab w:leader="none" w:pos="97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213" w:lineRule="exact"/>
        <w:rPr>
          <w:rFonts w:ascii="Times New Roman" w:cs="Times New Roman" w:eastAsia="Times New Roman" w:hAnsi="Times New Roman"/>
          <w:sz w:val="22"/>
          <w:szCs w:val="22"/>
          <w:color w:val="auto"/>
        </w:rPr>
      </w:pPr>
    </w:p>
    <w:p>
      <w:pPr>
        <w:ind w:left="1300" w:right="520" w:hanging="644"/>
        <w:spacing w:after="0" w:line="271" w:lineRule="auto"/>
        <w:tabs>
          <w:tab w:leader="none" w:pos="97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to promptly return to Scotts, upon Scotts’ request, all electronic or tangible documents that contain any Confidential Information and to retain no copies for yourself.</w:t>
      </w:r>
    </w:p>
    <w:p>
      <w:pPr>
        <w:spacing w:after="0" w:line="198" w:lineRule="exact"/>
        <w:rPr>
          <w:rFonts w:ascii="Times New Roman" w:cs="Times New Roman" w:eastAsia="Times New Roman" w:hAnsi="Times New Roman"/>
          <w:sz w:val="22"/>
          <w:szCs w:val="22"/>
          <w:color w:val="auto"/>
        </w:rPr>
      </w:pPr>
    </w:p>
    <w:p>
      <w:pPr>
        <w:ind w:left="1300" w:hanging="644"/>
        <w:spacing w:after="0" w:line="271" w:lineRule="auto"/>
        <w:tabs>
          <w:tab w:leader="none" w:pos="97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confidentiality obligations are in addition to, and not in place of, any and all confidentiality obligations arising as a result of your membership on the Board of Directors and applicable Board Committees.</w:t>
      </w:r>
    </w:p>
    <w:p>
      <w:pPr>
        <w:spacing w:after="0" w:line="19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Other</w:t>
      </w:r>
    </w:p>
    <w:p>
      <w:pPr>
        <w:spacing w:after="0" w:line="264" w:lineRule="exact"/>
        <w:rPr>
          <w:sz w:val="20"/>
          <w:szCs w:val="20"/>
          <w:color w:val="auto"/>
        </w:rPr>
      </w:pPr>
    </w:p>
    <w:p>
      <w:pPr>
        <w:ind w:left="1300" w:right="60" w:hanging="644"/>
        <w:spacing w:after="0" w:line="271" w:lineRule="auto"/>
        <w:tabs>
          <w:tab w:leader="none" w:pos="97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and agree that this letter agreement does not obligate Scotts to utilize your consulting services, but it is intended to set forth the terms pursuant to which Scotts may utilize your consulting services in its discretion.</w:t>
      </w:r>
    </w:p>
    <w:p>
      <w:pPr>
        <w:spacing w:after="0" w:line="19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not permitted to assign, sell or otherwise transfer any of your rights or obligations hereunder.</w:t>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THE SCOTTS MIRACLE-GRO COMPANY</w:t>
      </w:r>
    </w:p>
    <w:p>
      <w:pPr>
        <w:spacing w:after="0" w:line="4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HAGEDORN</w:t>
      </w:r>
    </w:p>
    <w:p>
      <w:pPr>
        <w:spacing w:after="0" w:line="4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James Hagedorn</w:t>
      </w:r>
    </w:p>
    <w:p>
      <w:pPr>
        <w:spacing w:after="0" w:line="1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Chairman of the Board &amp; Chief Executive Officer</w:t>
      </w:r>
    </w:p>
    <w:p>
      <w:pPr>
        <w:spacing w:after="0" w:line="2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 MICHAEL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-13970</wp:posOffset>
            </wp:positionV>
            <wp:extent cx="15125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2570" cy="8890"/>
                    </a:xfrm>
                    <a:prstGeom prst="rect">
                      <a:avLst/>
                    </a:prstGeom>
                    <a:noFill/>
                  </pic:spPr>
                </pic:pic>
              </a:graphicData>
            </a:graphic>
          </wp:anchor>
        </w:drawing>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Dr. Michael Porter</w:t>
      </w:r>
    </w:p>
    <w:p>
      <w:pPr>
        <w:sectPr>
          <w:pgSz w:w="11900" w:h="16838" w:orient="portrait"/>
          <w:cols w:equalWidth="0" w:num="1">
            <w:col w:w="11320"/>
          </w:cols>
          <w:pgMar w:left="240" w:top="12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90373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7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14111 Scottslawn Road</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Marysville, OH 43041</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937-644-7001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7,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Adam Hanft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Hanft Projects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Fifth Avenue, Penthouse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10003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Adam:</w:t>
      </w:r>
    </w:p>
    <w:p>
      <w:pPr>
        <w:spacing w:after="0" w:line="26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This letter sets forth our agreement (the “Agreement”) regarding a consulting engagement between Hanft Projects LLC and The Scotts Miracle-Gro Company (“Scotts” or the “Company”). For the purposes of this Agreement, the term “Contractor” means Hanft Projects LLC, its primary designee/employee Adam Hanft, and any other designee or employee of Hanft Projects LLC. These consulting services are separate and distinct from the services Mr. Hanft is and will be providing as a member of the Scotts Board of Directors and the Company’s Innovation and Marketing, Strategy and Business Development, and Executive Committees (or any other Committees on which Mr. Hanft may subsequently serve).</w:t>
      </w:r>
    </w:p>
    <w:p>
      <w:pPr>
        <w:spacing w:after="0" w:line="2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1"/>
          <w:szCs w:val="21"/>
          <w:b w:val="1"/>
          <w:bCs w:val="1"/>
          <w:color w:val="auto"/>
        </w:rPr>
        <w:t>Scope of Services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Contractor agrees to provide the consulting services to Scotts described below.</w:t>
      </w:r>
    </w:p>
    <w:p>
      <w:pPr>
        <w:spacing w:after="0" w:line="260" w:lineRule="exact"/>
        <w:rPr>
          <w:sz w:val="20"/>
          <w:szCs w:val="20"/>
          <w:color w:val="auto"/>
        </w:rPr>
      </w:pPr>
    </w:p>
    <w:p>
      <w:pPr>
        <w:ind w:left="980" w:right="540" w:hanging="324"/>
        <w:spacing w:after="0" w:line="257"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222222"/>
        </w:rPr>
        <w:t>Contractor agrees to provide consulting services to Scotts in the area of Marketing so as to advise the Company on marketing strategies concerning a variety of areas (“Areas of Expertise”) including, but not limited to, brand and creative efforts, partnerships with outside services, work processes and staffing/personnel assessments.</w:t>
      </w:r>
    </w:p>
    <w:p>
      <w:pPr>
        <w:spacing w:after="0" w:line="213" w:lineRule="exact"/>
        <w:rPr>
          <w:rFonts w:ascii="Times New Roman" w:cs="Times New Roman" w:eastAsia="Times New Roman" w:hAnsi="Times New Roman"/>
          <w:sz w:val="18"/>
          <w:szCs w:val="18"/>
          <w:color w:val="auto"/>
        </w:rPr>
      </w:pPr>
    </w:p>
    <w:p>
      <w:pPr>
        <w:ind w:left="980" w:right="200" w:hanging="324"/>
        <w:spacing w:after="0" w:line="254"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providing consulting services in the Areas of Expertise, it is anticipated that Contractor will generally undertake the following work and activities pursuant to this Agreement: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 with and provide recommendations to Jim Hagedorn on an as needed basis on issues of marketing strategy.</w:t>
      </w:r>
    </w:p>
    <w:p>
      <w:pPr>
        <w:spacing w:after="0" w:line="15" w:lineRule="exact"/>
        <w:rPr>
          <w:rFonts w:ascii="Times New Roman" w:cs="Times New Roman" w:eastAsia="Times New Roman" w:hAnsi="Times New Roman"/>
          <w:sz w:val="21"/>
          <w:szCs w:val="21"/>
          <w:color w:val="auto"/>
        </w:rPr>
      </w:pPr>
    </w:p>
    <w:p>
      <w:pPr>
        <w:ind w:left="1300" w:right="260" w:hanging="320"/>
        <w:spacing w:after="0" w:line="243" w:lineRule="auto"/>
        <w:tabs>
          <w:tab w:leader="none" w:pos="13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marketing strategy mentor and coach to support other Scotts executives with responsibility for marketing strategy as designated by Jim Hagedorn or Denise Stump.</w:t>
      </w:r>
    </w:p>
    <w:p>
      <w:pPr>
        <w:ind w:left="1300" w:right="560" w:hanging="320"/>
        <w:spacing w:after="0" w:line="243" w:lineRule="auto"/>
        <w:tabs>
          <w:tab w:leader="none" w:pos="13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Periodically participate in marketing meetings to support the successful execution of the anticipated marketing initiatives of the Company.</w:t>
      </w:r>
    </w:p>
    <w:p>
      <w:pPr>
        <w:ind w:left="1300" w:hanging="320"/>
        <w:spacing w:after="0"/>
        <w:tabs>
          <w:tab w:leader="none" w:pos="13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discussions of other marketing issues as required.</w:t>
      </w:r>
    </w:p>
    <w:p>
      <w:pPr>
        <w:sectPr>
          <w:pgSz w:w="11900" w:h="16838" w:orient="portrait"/>
          <w:cols w:equalWidth="0" w:num="1">
            <w:col w:w="11420"/>
          </w:cols>
          <w:pgMar w:left="240" w:top="126" w:right="239" w:bottom="1440" w:gutter="0" w:footer="0" w:header="0"/>
        </w:sectPr>
      </w:pPr>
    </w:p>
    <w:bookmarkStart w:id="74" w:name="page75"/>
    <w:bookmarkEnd w:id="74"/>
    <w:p>
      <w:pPr>
        <w:spacing w:after="0"/>
        <w:tabs>
          <w:tab w:leader="none" w:pos="1360" w:val="left"/>
        </w:tabs>
        <w:rPr>
          <w:sz w:val="20"/>
          <w:szCs w:val="20"/>
          <w:color w:val="auto"/>
        </w:rPr>
      </w:pPr>
      <w:r>
        <w:rPr>
          <w:rFonts w:ascii="Times New Roman" w:cs="Times New Roman" w:eastAsia="Times New Roman" w:hAnsi="Times New Roman"/>
          <w:sz w:val="18"/>
          <w:szCs w:val="18"/>
          <w:color w:val="auto"/>
        </w:rPr>
        <w:t>Mr. Adam Hanft</w:t>
        <w:tab/>
        <w:t>Page 2 of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Hanft Projects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80" w:right="500"/>
        <w:spacing w:after="0" w:line="271" w:lineRule="auto"/>
        <w:rPr>
          <w:sz w:val="20"/>
          <w:szCs w:val="20"/>
          <w:color w:val="auto"/>
        </w:rPr>
      </w:pPr>
      <w:r>
        <w:rPr>
          <w:rFonts w:ascii="Times New Roman" w:cs="Times New Roman" w:eastAsia="Times New Roman" w:hAnsi="Times New Roman"/>
          <w:sz w:val="22"/>
          <w:szCs w:val="22"/>
          <w:color w:val="auto"/>
        </w:rPr>
        <w:t>Contractor and the Company may agree to modifications of these work activities from time to time as necessary to achieve the purpose of this Agreement.</w:t>
      </w:r>
    </w:p>
    <w:p>
      <w:pPr>
        <w:spacing w:after="0" w:line="198" w:lineRule="exact"/>
        <w:rPr>
          <w:sz w:val="20"/>
          <w:szCs w:val="20"/>
          <w:color w:val="auto"/>
        </w:rPr>
      </w:pPr>
    </w:p>
    <w:p>
      <w:pPr>
        <w:ind w:left="980" w:hanging="324"/>
        <w:spacing w:after="0" w:line="248" w:lineRule="auto"/>
        <w:tabs>
          <w:tab w:leader="none" w:pos="9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of Directors, if applicable, Mr. Hanft and any other designee or employee of Contractor will not participate in or receive benefits under any of Scotts’ employee fringe benefit programs or receive any other fringe benefits from Scotts, including, without limitation, health, disability, life insurance, retirement, pension and profit sharing benefits on account of the consulting services provided to Scotts.</w:t>
      </w:r>
    </w:p>
    <w:p>
      <w:pPr>
        <w:spacing w:after="0" w:line="21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Length of Agreement</w:t>
      </w:r>
    </w:p>
    <w:p>
      <w:pPr>
        <w:spacing w:after="0" w:line="264" w:lineRule="exact"/>
        <w:rPr>
          <w:sz w:val="20"/>
          <w:szCs w:val="20"/>
          <w:color w:val="auto"/>
        </w:rPr>
      </w:pPr>
    </w:p>
    <w:p>
      <w:pPr>
        <w:ind w:left="660" w:right="140"/>
        <w:spacing w:after="0" w:line="271" w:lineRule="auto"/>
        <w:rPr>
          <w:sz w:val="20"/>
          <w:szCs w:val="20"/>
          <w:color w:val="auto"/>
        </w:rPr>
      </w:pPr>
      <w:r>
        <w:rPr>
          <w:rFonts w:ascii="Times New Roman" w:cs="Times New Roman" w:eastAsia="Times New Roman" w:hAnsi="Times New Roman"/>
          <w:sz w:val="22"/>
          <w:szCs w:val="22"/>
          <w:color w:val="auto"/>
        </w:rPr>
        <w:t>The term of this Agreement will commence on February 1, 2014 and will end on August 1, 2014, unless earlier terminated under Section V.1.</w:t>
      </w:r>
    </w:p>
    <w:p>
      <w:pPr>
        <w:spacing w:after="0" w:line="19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III.</w:t>
      </w:r>
      <w:r>
        <w:rPr>
          <w:sz w:val="20"/>
          <w:szCs w:val="20"/>
          <w:color w:val="auto"/>
        </w:rPr>
        <w:tab/>
      </w:r>
      <w:r>
        <w:rPr>
          <w:rFonts w:ascii="Times New Roman" w:cs="Times New Roman" w:eastAsia="Times New Roman" w:hAnsi="Times New Roman"/>
          <w:sz w:val="21"/>
          <w:szCs w:val="21"/>
          <w:b w:val="1"/>
          <w:bCs w:val="1"/>
          <w:color w:val="auto"/>
        </w:rPr>
        <w:t>Authority</w:t>
      </w:r>
    </w:p>
    <w:p>
      <w:pPr>
        <w:spacing w:after="0" w:line="264" w:lineRule="exact"/>
        <w:rPr>
          <w:sz w:val="20"/>
          <w:szCs w:val="20"/>
          <w:color w:val="auto"/>
        </w:rPr>
      </w:pPr>
    </w:p>
    <w:p>
      <w:pPr>
        <w:ind w:left="660" w:right="60"/>
        <w:spacing w:after="0" w:line="257" w:lineRule="auto"/>
        <w:rPr>
          <w:sz w:val="20"/>
          <w:szCs w:val="20"/>
          <w:color w:val="auto"/>
        </w:rPr>
      </w:pPr>
      <w:r>
        <w:rPr>
          <w:rFonts w:ascii="Times New Roman" w:cs="Times New Roman" w:eastAsia="Times New Roman" w:hAnsi="Times New Roman"/>
          <w:sz w:val="22"/>
          <w:szCs w:val="22"/>
          <w:color w:val="auto"/>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spacing w:after="0" w:line="21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Consulting Fees and Expenses</w:t>
      </w:r>
    </w:p>
    <w:p>
      <w:pPr>
        <w:spacing w:after="0" w:line="278" w:lineRule="exact"/>
        <w:rPr>
          <w:sz w:val="20"/>
          <w:szCs w:val="20"/>
          <w:color w:val="auto"/>
        </w:rPr>
      </w:pPr>
    </w:p>
    <w:p>
      <w:pPr>
        <w:ind w:left="980" w:right="20" w:hanging="324"/>
        <w:spacing w:after="0" w:line="250"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exchange for providing the consulting services hereunder, during the term of this Agreement, Scotts shall pay Contractor a monthly cash-based retainer of $22,500 for each of the first four months (February, March, April and May) and $10,000 for each of the last two months (June and July). Contractor shall be required to submit invoices including days/hours worked with brief descriptions of the services provided. Scotts shall pay Contractor within 30 days of its receipt of Contractor’s invoices.</w:t>
      </w:r>
    </w:p>
    <w:p>
      <w:pPr>
        <w:spacing w:after="0" w:line="222" w:lineRule="exact"/>
        <w:rPr>
          <w:rFonts w:ascii="Times New Roman" w:cs="Times New Roman" w:eastAsia="Times New Roman" w:hAnsi="Times New Roman"/>
          <w:sz w:val="18"/>
          <w:szCs w:val="18"/>
          <w:color w:val="auto"/>
        </w:rPr>
      </w:pPr>
    </w:p>
    <w:p>
      <w:pPr>
        <w:ind w:left="980" w:hanging="324"/>
        <w:spacing w:after="0" w:line="248"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Scotts will provide private transportation when practical and economically reasonable.</w:t>
      </w:r>
    </w:p>
    <w:p>
      <w:pPr>
        <w:spacing w:after="0" w:line="222" w:lineRule="exact"/>
        <w:rPr>
          <w:rFonts w:ascii="Times New Roman" w:cs="Times New Roman" w:eastAsia="Times New Roman" w:hAnsi="Times New Roman"/>
          <w:sz w:val="18"/>
          <w:szCs w:val="18"/>
          <w:color w:val="auto"/>
        </w:rPr>
      </w:pPr>
    </w:p>
    <w:p>
      <w:pPr>
        <w:ind w:left="980" w:right="1100" w:hanging="324"/>
        <w:spacing w:after="0" w:line="271"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Contractor agrees to provide, at its own expense, all equipment necessary to provide the consulting services contemplated herein and to be responsible for its own overhead costs and</w:t>
      </w:r>
    </w:p>
    <w:p>
      <w:pPr>
        <w:sectPr>
          <w:pgSz w:w="11900" w:h="16838" w:orient="portrait"/>
          <w:cols w:equalWidth="0" w:num="1">
            <w:col w:w="11380"/>
          </w:cols>
          <w:pgMar w:left="240" w:top="121" w:right="279" w:bottom="1440" w:gutter="0" w:footer="0" w:header="0"/>
        </w:sectPr>
      </w:pPr>
    </w:p>
    <w:bookmarkStart w:id="75" w:name="page76"/>
    <w:bookmarkEnd w:id="75"/>
    <w:p>
      <w:pPr>
        <w:spacing w:after="0"/>
        <w:tabs>
          <w:tab w:leader="none" w:pos="1360" w:val="left"/>
        </w:tabs>
        <w:rPr>
          <w:sz w:val="20"/>
          <w:szCs w:val="20"/>
          <w:color w:val="auto"/>
        </w:rPr>
      </w:pPr>
      <w:r>
        <w:rPr>
          <w:rFonts w:ascii="Times New Roman" w:cs="Times New Roman" w:eastAsia="Times New Roman" w:hAnsi="Times New Roman"/>
          <w:sz w:val="18"/>
          <w:szCs w:val="18"/>
          <w:color w:val="auto"/>
        </w:rPr>
        <w:t>Mr. Adam Hanft</w:t>
        <w:tab/>
        <w:t>Page 3 of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Hanft Projects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80" w:right="640"/>
        <w:spacing w:after="0" w:line="271" w:lineRule="auto"/>
        <w:rPr>
          <w:sz w:val="20"/>
          <w:szCs w:val="20"/>
          <w:color w:val="auto"/>
        </w:rPr>
      </w:pPr>
      <w:r>
        <w:rPr>
          <w:rFonts w:ascii="Times New Roman" w:cs="Times New Roman" w:eastAsia="Times New Roman" w:hAnsi="Times New Roman"/>
          <w:sz w:val="22"/>
          <w:szCs w:val="22"/>
          <w:color w:val="auto"/>
        </w:rPr>
        <w:t>expenses except for those expenses that Scotts has expressly agreed to pay pursuant to the terms of the preceding paragraph.</w:t>
      </w:r>
    </w:p>
    <w:p>
      <w:pPr>
        <w:spacing w:after="0" w:line="194" w:lineRule="exact"/>
        <w:rPr>
          <w:sz w:val="20"/>
          <w:szCs w:val="20"/>
          <w:color w:val="auto"/>
        </w:rPr>
      </w:pPr>
    </w:p>
    <w:p>
      <w:pPr>
        <w:ind w:left="400" w:hanging="392"/>
        <w:spacing w:after="0"/>
        <w:tabs>
          <w:tab w:leader="none" w:pos="40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264" w:lineRule="exact"/>
        <w:rPr>
          <w:rFonts w:ascii="Times New Roman" w:cs="Times New Roman" w:eastAsia="Times New Roman" w:hAnsi="Times New Roman"/>
          <w:sz w:val="22"/>
          <w:szCs w:val="22"/>
          <w:b w:val="1"/>
          <w:bCs w:val="1"/>
          <w:color w:val="auto"/>
        </w:rPr>
      </w:pPr>
    </w:p>
    <w:p>
      <w:pPr>
        <w:ind w:left="1300" w:hanging="644"/>
        <w:spacing w:after="0" w:line="247" w:lineRule="auto"/>
        <w:tabs>
          <w:tab w:leader="none" w:pos="97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Scotts shall be permitted to terminate this Agreement and its consulting relationship with Contractor under any of the following circumstances: (a) upon Scotts’ 30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spacing w:after="0" w:line="226" w:lineRule="exact"/>
        <w:rPr>
          <w:rFonts w:ascii="Times New Roman" w:cs="Times New Roman" w:eastAsia="Times New Roman" w:hAnsi="Times New Roman"/>
          <w:sz w:val="18"/>
          <w:szCs w:val="18"/>
          <w:color w:val="auto"/>
        </w:rPr>
      </w:pPr>
    </w:p>
    <w:p>
      <w:pPr>
        <w:ind w:left="1300" w:right="200" w:hanging="644"/>
        <w:spacing w:after="0" w:line="252" w:lineRule="auto"/>
        <w:tabs>
          <w:tab w:leader="none" w:pos="97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termination of this Agreement and Contractor’s consulting relationship with Scotts shall not affect Scotts’ obligation to pay Contractor for the amounts Contractor has earned prior to the date of such termination or reimburse Contractor for the expenses Contractor has incurred pursuant to the terms of this Agreement prior to the date of such termination.</w:t>
      </w: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Confidential Information</w:t>
      </w:r>
    </w:p>
    <w:p>
      <w:pPr>
        <w:spacing w:after="0" w:line="264" w:lineRule="exact"/>
        <w:rPr>
          <w:sz w:val="20"/>
          <w:szCs w:val="20"/>
          <w:color w:val="auto"/>
        </w:rPr>
      </w:pPr>
    </w:p>
    <w:p>
      <w:pPr>
        <w:ind w:left="1300" w:right="80" w:hanging="644"/>
        <w:spacing w:after="0" w:line="247" w:lineRule="auto"/>
        <w:tabs>
          <w:tab w:leader="none" w:pos="9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of Directors.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spacing w:after="0" w:line="226" w:lineRule="exact"/>
        <w:rPr>
          <w:rFonts w:ascii="Times New Roman" w:cs="Times New Roman" w:eastAsia="Times New Roman" w:hAnsi="Times New Roman"/>
          <w:sz w:val="22"/>
          <w:szCs w:val="22"/>
          <w:color w:val="auto"/>
        </w:rPr>
      </w:pPr>
    </w:p>
    <w:p>
      <w:pPr>
        <w:ind w:left="1300" w:right="20" w:hanging="644"/>
        <w:spacing w:after="0" w:line="257" w:lineRule="auto"/>
        <w:tabs>
          <w:tab w:leader="none" w:pos="9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213" w:lineRule="exact"/>
        <w:rPr>
          <w:rFonts w:ascii="Times New Roman" w:cs="Times New Roman" w:eastAsia="Times New Roman" w:hAnsi="Times New Roman"/>
          <w:sz w:val="18"/>
          <w:szCs w:val="18"/>
          <w:color w:val="auto"/>
        </w:rPr>
      </w:pPr>
    </w:p>
    <w:p>
      <w:pPr>
        <w:ind w:left="1300" w:right="300" w:hanging="644"/>
        <w:spacing w:after="0" w:line="271" w:lineRule="auto"/>
        <w:tabs>
          <w:tab w:leader="none" w:pos="9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Contractor agrees to promptly return to Scotts, upon Scotts’ request, all electronic or tangible documents that contain any Confidential Information and to retain no copies.</w:t>
      </w:r>
    </w:p>
    <w:p>
      <w:pPr>
        <w:sectPr>
          <w:pgSz w:w="11900" w:h="16838" w:orient="portrait"/>
          <w:cols w:equalWidth="0" w:num="1">
            <w:col w:w="11400"/>
          </w:cols>
          <w:pgMar w:left="240" w:top="121" w:right="259" w:bottom="1440" w:gutter="0" w:footer="0" w:header="0"/>
        </w:sectPr>
      </w:pPr>
    </w:p>
    <w:bookmarkStart w:id="76" w:name="page77"/>
    <w:bookmarkEnd w:id="76"/>
    <w:p>
      <w:pPr>
        <w:spacing w:after="0"/>
        <w:tabs>
          <w:tab w:leader="none" w:pos="1360" w:val="left"/>
        </w:tabs>
        <w:rPr>
          <w:sz w:val="20"/>
          <w:szCs w:val="20"/>
          <w:color w:val="auto"/>
        </w:rPr>
      </w:pPr>
      <w:r>
        <w:rPr>
          <w:rFonts w:ascii="Times New Roman" w:cs="Times New Roman" w:eastAsia="Times New Roman" w:hAnsi="Times New Roman"/>
          <w:sz w:val="18"/>
          <w:szCs w:val="18"/>
          <w:color w:val="auto"/>
        </w:rPr>
        <w:t>Mr. Adam Hanft</w:t>
        <w:tab/>
        <w:t>Page 4 of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Hanft Projects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300" w:hanging="644"/>
        <w:spacing w:after="0" w:line="271" w:lineRule="auto"/>
        <w:tabs>
          <w:tab w:leader="none" w:pos="9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These confidentiality obligations are in addition to, and not in place of, any and all confidentiality obligations arising as a result of Mr. Hanft’s membership on the Board of Directors and applicable Board Committees.</w:t>
      </w:r>
    </w:p>
    <w:p>
      <w:pPr>
        <w:spacing w:after="0" w:line="19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Other</w:t>
      </w:r>
    </w:p>
    <w:p>
      <w:pPr>
        <w:spacing w:after="0" w:line="264" w:lineRule="exact"/>
        <w:rPr>
          <w:sz w:val="20"/>
          <w:szCs w:val="20"/>
          <w:color w:val="auto"/>
        </w:rPr>
      </w:pPr>
    </w:p>
    <w:p>
      <w:pPr>
        <w:ind w:left="1300" w:right="580" w:hanging="644"/>
        <w:spacing w:after="0" w:line="257" w:lineRule="auto"/>
        <w:tabs>
          <w:tab w:leader="none" w:pos="9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Contractor understands and agrees that this Agreement does not obligate Scotts to utilize Contractor’s consulting services, but it is intended to set forth the terms pursuant to which Scotts may utilize Contractor’s consulting services in Scotts’ discretion.</w:t>
      </w:r>
    </w:p>
    <w:p>
      <w:pPr>
        <w:spacing w:after="0" w:line="2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Contractor is not permitted to assign, sell or otherwise transfer any of its rights or obligations hereunder.</w:t>
      </w:r>
    </w:p>
    <w:p>
      <w:pPr>
        <w:spacing w:after="0" w:line="3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THE SCOTTS MIRACLE-GRO COMPANY</w:t>
      </w:r>
    </w:p>
    <w:p>
      <w:pPr>
        <w:spacing w:after="0" w:line="4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HAGEDORN</w:t>
      </w:r>
    </w:p>
    <w:p>
      <w:pPr>
        <w:spacing w:after="0" w:line="4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James Hagedorn</w:t>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Chairman of the Board &amp; Chief Executive</w:t>
      </w:r>
    </w:p>
    <w:p>
      <w:pPr>
        <w:ind w:left="5820"/>
        <w:spacing w:after="0"/>
        <w:rPr>
          <w:sz w:val="20"/>
          <w:szCs w:val="20"/>
          <w:color w:val="auto"/>
        </w:rPr>
      </w:pPr>
      <w:r>
        <w:rPr>
          <w:rFonts w:ascii="Times New Roman" w:cs="Times New Roman" w:eastAsia="Times New Roman" w:hAnsi="Times New Roman"/>
          <w:sz w:val="22"/>
          <w:szCs w:val="22"/>
          <w:color w:val="auto"/>
        </w:rPr>
        <w:t>Officer</w:t>
      </w:r>
    </w:p>
    <w:p>
      <w:pPr>
        <w:spacing w:after="0" w:line="2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-13970</wp:posOffset>
            </wp:positionV>
            <wp:extent cx="12465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6505" cy="8890"/>
                    </a:xfrm>
                    <a:prstGeom prst="rect">
                      <a:avLst/>
                    </a:prstGeom>
                    <a:noFill/>
                  </pic:spPr>
                </pic:pic>
              </a:graphicData>
            </a:graphic>
          </wp:anchor>
        </w:drawing>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Adam Hanft, Chief Executive Officer</w:t>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Hanft Projects LLC</w:t>
      </w:r>
    </w:p>
    <w:p>
      <w:pPr>
        <w:sectPr>
          <w:pgSz w:w="11900" w:h="16838" w:orient="portrait"/>
          <w:cols w:equalWidth="0" w:num="1">
            <w:col w:w="11320"/>
          </w:cols>
          <w:pgMar w:left="24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color w:val="auto"/>
        </w:rPr>
        <w:t>EXHIBIT 10.11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January 17, 2013)</w:t>
      </w:r>
    </w:p>
    <w:p>
      <w:pPr>
        <w:spacing w:after="0" w:line="23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DEFERRED STOCK UNIT AWARD AGREEMENT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(WITH RELATED DIVIDEND EQUIVALENTS)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DEFERRED STOCK UNITS GRANTED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[Director’s Name] ON [Grant Date]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Agreement describes the type of Award that you have been granted and the terms and conditions of your Award.</w:t>
      </w:r>
    </w:p>
    <w:p>
      <w:pPr>
        <w:spacing w:after="0" w:line="256" w:lineRule="exact"/>
        <w:rPr>
          <w:sz w:val="20"/>
          <w:szCs w:val="20"/>
          <w:color w:val="auto"/>
        </w:rPr>
      </w:pPr>
    </w:p>
    <w:p>
      <w:pPr>
        <w:jc w:val="both"/>
        <w:ind w:firstLine="8"/>
        <w:spacing w:after="0" w:line="247" w:lineRule="auto"/>
        <w:tabs>
          <w:tab w:leader="none" w:pos="45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DESCRIPTION OF YOUR DEFERRED STOCK UNITS. </w:t>
      </w:r>
      <w:r>
        <w:rPr>
          <w:rFonts w:ascii="Times New Roman" w:cs="Times New Roman" w:eastAsia="Times New Roman" w:hAnsi="Times New Roman"/>
          <w:sz w:val="22"/>
          <w:szCs w:val="22"/>
          <w:color w:val="auto"/>
        </w:rPr>
        <w:t>You have been granted [</w:t>
      </w:r>
      <w:r>
        <w:rPr>
          <w:rFonts w:ascii="Times New Roman" w:cs="Times New Roman" w:eastAsia="Times New Roman" w:hAnsi="Times New Roman"/>
          <w:sz w:val="22"/>
          <w:szCs w:val="22"/>
          <w:b w:val="1"/>
          <w:bCs w:val="1"/>
          <w:color w:val="auto"/>
        </w:rPr>
        <w:t>insert Number</w:t>
      </w:r>
      <w:r>
        <w:rPr>
          <w:rFonts w:ascii="Times New Roman" w:cs="Times New Roman" w:eastAsia="Times New Roman" w:hAnsi="Times New Roman"/>
          <w:sz w:val="22"/>
          <w:szCs w:val="22"/>
          <w:color w:val="auto"/>
        </w:rPr>
        <w:t>] deferred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(“DSUs”) and an equal number of related dividend equivalents. The “Grant Date” of your Award is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Each whole DSU represents the right to receive one full Share for each vested whole DSU at the time and in the manner described in this Award Agreement. Each dividend equivalent represents the right to receive additional DSUs (determined in accordance with Section 5) in respect of the dividends that are declared and paid during the period beginning on the Grant Date and ending on the Settlement Date (as described in Section 4(a)) with respect to the Share represented by the related vested DSU. To accept this Award Agreement, you must return a signed copy of this Award Agreement no later than [</w:t>
      </w:r>
      <w:r>
        <w:rPr>
          <w:rFonts w:ascii="Times New Roman" w:cs="Times New Roman" w:eastAsia="Times New Roman" w:hAnsi="Times New Roman"/>
          <w:sz w:val="22"/>
          <w:szCs w:val="22"/>
          <w:b w:val="1"/>
          <w:bCs w:val="1"/>
          <w:color w:val="auto"/>
        </w:rPr>
        <w:t>Date 30 Days After Grant Date</w:t>
      </w:r>
      <w:r>
        <w:rPr>
          <w:rFonts w:ascii="Times New Roman" w:cs="Times New Roman" w:eastAsia="Times New Roman" w:hAnsi="Times New Roman"/>
          <w:sz w:val="22"/>
          <w:szCs w:val="22"/>
          <w:color w:val="auto"/>
        </w:rPr>
        <w:t>], to [</w:t>
      </w:r>
      <w:r>
        <w:rPr>
          <w:rFonts w:ascii="Times New Roman" w:cs="Times New Roman" w:eastAsia="Times New Roman" w:hAnsi="Times New Roman"/>
          <w:sz w:val="22"/>
          <w:szCs w:val="22"/>
          <w:b w:val="1"/>
          <w:bCs w:val="1"/>
          <w:color w:val="auto"/>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 Administrator</w:t>
      </w:r>
      <w:r>
        <w:rPr>
          <w:rFonts w:ascii="Times New Roman" w:cs="Times New Roman" w:eastAsia="Times New Roman" w:hAnsi="Times New Roman"/>
          <w:sz w:val="22"/>
          <w:szCs w:val="22"/>
          <w:color w:val="auto"/>
        </w:rPr>
        <w:t>] (the “Third Party Administrator”) as follows:</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Administrator</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w:t>
      </w:r>
      <w:r>
        <w:rPr>
          <w:rFonts w:ascii="Times New Roman" w:cs="Times New Roman" w:eastAsia="Times New Roman" w:hAnsi="Times New Roman"/>
          <w:sz w:val="22"/>
          <w:szCs w:val="22"/>
          <w:b w:val="1"/>
          <w:bCs w:val="1"/>
          <w:color w:val="auto"/>
        </w:rPr>
        <w:t>TPA Contact’s Name</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TPA Contact’s Address</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TPA Telephone Number</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INCORPORATION OF PLAN AND DEFINITIONS.</w:t>
      </w:r>
    </w:p>
    <w:p>
      <w:pPr>
        <w:spacing w:after="0" w:line="264" w:lineRule="exact"/>
        <w:rPr>
          <w:rFonts w:ascii="Times New Roman" w:cs="Times New Roman" w:eastAsia="Times New Roman" w:hAnsi="Times New Roman"/>
          <w:sz w:val="22"/>
          <w:szCs w:val="22"/>
          <w:b w:val="1"/>
          <w:bCs w:val="1"/>
          <w:color w:val="auto"/>
        </w:rPr>
      </w:pPr>
    </w:p>
    <w:p>
      <w:pPr>
        <w:jc w:val="both"/>
        <w:ind w:left="1320" w:hanging="664"/>
        <w:spacing w:after="0" w:line="250" w:lineRule="auto"/>
        <w:tabs>
          <w:tab w:leader="none" w:pos="130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and your DSUs and dividend equivalents are granted pursuant to and in accordance with the terms of The Scotts Miracle-Gro Company Long-Term Incentive Plan as amended and restated January 17, 2013 (the “Plan”). All provisions of the Plan are incorporated herein by reference, and your DSUs and dividend equivalents are subject to the terms of the Plan and this Award Agreement. To the extent there is a conflict between this Award Agreement and the Plan, the Plan will govern.</w:t>
      </w:r>
    </w:p>
    <w:p>
      <w:pPr>
        <w:spacing w:after="0" w:line="22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that are not defined in this Award Agreement have the same meanings as in the Plan.</w:t>
      </w:r>
    </w:p>
    <w:p>
      <w:pPr>
        <w:spacing w:after="0" w:line="25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The DSUs described in this Award Agreement will vest as follows:</w:t>
      </w:r>
    </w:p>
    <w:p>
      <w:pPr>
        <w:spacing w:after="0" w:line="260" w:lineRule="exact"/>
        <w:rPr>
          <w:rFonts w:ascii="Times New Roman" w:cs="Times New Roman" w:eastAsia="Times New Roman" w:hAnsi="Times New Roman"/>
          <w:sz w:val="22"/>
          <w:szCs w:val="22"/>
          <w:b w:val="1"/>
          <w:bCs w:val="1"/>
          <w:color w:val="auto"/>
        </w:rPr>
      </w:pPr>
    </w:p>
    <w:p>
      <w:pPr>
        <w:jc w:val="both"/>
        <w:ind w:left="1320" w:hanging="664"/>
        <w:spacing w:after="0" w:line="251" w:lineRule="auto"/>
        <w:tabs>
          <w:tab w:leader="none" w:pos="130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Vesting. </w:t>
      </w:r>
      <w:r>
        <w:rPr>
          <w:rFonts w:ascii="Times New Roman" w:cs="Times New Roman" w:eastAsia="Times New Roman" w:hAnsi="Times New Roman"/>
          <w:sz w:val="22"/>
          <w:szCs w:val="22"/>
          <w:color w:val="auto"/>
        </w:rPr>
        <w:t>If your Board services continue from the Grant Date until the earlier of January 31, 2015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the annual meeting of the Company’s shareholders in 2015 (the “Vesting Date”), your DSUs described in this Award Agreement will become 100% vested on the Vesting Date, including any DSUs credited pursuant to Section 5 on or prior to the Vesting Date. Any DSUs received pursuant to Section 5 following the Vesting Date will be 100% vested on the date they are credited to you; or</w:t>
      </w:r>
    </w:p>
    <w:p>
      <w:pPr>
        <w:spacing w:after="0" w:line="176" w:lineRule="exact"/>
        <w:rPr>
          <w:rFonts w:ascii="Times New Roman" w:cs="Times New Roman" w:eastAsia="Times New Roman" w:hAnsi="Times New Roman"/>
          <w:sz w:val="22"/>
          <w:szCs w:val="22"/>
          <w:color w:val="auto"/>
        </w:rPr>
      </w:pPr>
    </w:p>
    <w:p>
      <w:pPr>
        <w:jc w:val="both"/>
        <w:ind w:left="1320" w:hanging="664"/>
        <w:spacing w:after="0" w:line="254" w:lineRule="auto"/>
        <w:tabs>
          <w:tab w:leader="none" w:pos="130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Accelerated Vesting. </w:t>
      </w:r>
      <w:r>
        <w:rPr>
          <w:rFonts w:ascii="Times New Roman" w:cs="Times New Roman" w:eastAsia="Times New Roman" w:hAnsi="Times New Roman"/>
          <w:sz w:val="22"/>
          <w:szCs w:val="22"/>
          <w:color w:val="auto"/>
        </w:rPr>
        <w:t>Your DSUs described in this Award Agreement, including any DSUs credited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 will become 100% vested as of the date you Terminate because of your death or because you become Disabled. For purposes of this Award Agreement, “Disabled” means that you have been determined to be totally disabled by the Social Security Administration.</w:t>
      </w:r>
    </w:p>
    <w:p>
      <w:pPr>
        <w:spacing w:after="0" w:line="21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p>
    <w:p>
      <w:pPr>
        <w:spacing w:after="0" w:line="223" w:lineRule="exact"/>
        <w:rPr>
          <w:rFonts w:ascii="Times New Roman" w:cs="Times New Roman" w:eastAsia="Times New Roman" w:hAnsi="Times New Roman"/>
          <w:sz w:val="22"/>
          <w:szCs w:val="22"/>
          <w:b w:val="1"/>
          <w:bCs w:val="1"/>
          <w:color w:val="auto"/>
        </w:rPr>
      </w:pPr>
    </w:p>
    <w:p>
      <w:pPr>
        <w:jc w:val="both"/>
        <w:ind w:left="1300" w:hanging="644"/>
        <w:spacing w:after="0" w:line="250" w:lineRule="auto"/>
        <w:tabs>
          <w:tab w:leader="none" w:pos="13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Plan and this Award Agreement, your vested DSUs, including any DSUs credited pursuant to Section 5, shall be settled in a lump sum as soon as administratively practicable, but no later than 90 days following the earliest date to occur of: (i) your Termination; or (ii) January 31, 2017 (the “Settlement Date”). Your whole DSUs shall be settled in full Shares, and any fractional DSU shall be settled in cash, determined based upon the Fair Market Value of a Share on the Settlement Date.</w:t>
      </w:r>
    </w:p>
    <w:p>
      <w:pPr>
        <w:spacing w:after="0" w:line="181"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5 below, you will have none of the rights of a shareholder with respect to Shares underlying the DSUs unless and until you become the record holder of such Shares.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Normally, your DSUs will vest and be settled only under the circumstances described above. However, if there is a</w:t>
      </w:r>
    </w:p>
    <w:p>
      <w:pPr>
        <w:sectPr>
          <w:pgSz w:w="11900" w:h="16838" w:orient="portrait"/>
          <w:cols w:equalWidth="0" w:num="1">
            <w:col w:w="11420"/>
          </w:cols>
          <w:pgMar w:left="240" w:top="126" w:right="239" w:bottom="0" w:gutter="0" w:footer="0" w:header="0"/>
        </w:sectPr>
      </w:pPr>
    </w:p>
    <w:bookmarkStart w:id="78" w:name="page79"/>
    <w:bookmarkEnd w:id="78"/>
    <w:p>
      <w:pPr>
        <w:ind w:left="1300"/>
        <w:spacing w:after="0" w:line="271" w:lineRule="auto"/>
        <w:rPr>
          <w:sz w:val="20"/>
          <w:szCs w:val="20"/>
          <w:color w:val="auto"/>
        </w:rPr>
      </w:pPr>
      <w:r>
        <w:rPr>
          <w:rFonts w:ascii="Times New Roman" w:cs="Times New Roman" w:eastAsia="Times New Roman" w:hAnsi="Times New Roman"/>
          <w:sz w:val="22"/>
          <w:szCs w:val="22"/>
          <w:color w:val="auto"/>
        </w:rPr>
        <w:t>Change in Control, your DSUs, including any DSUs credited pursuant to Section 5, will become 100% vested on the date of the Change in Control and will be settled as described in the Plan. See the Plan for further details.</w:t>
      </w:r>
    </w:p>
    <w:p>
      <w:pPr>
        <w:spacing w:after="0" w:line="154"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With respect to each dividend equivalent:</w:t>
      </w:r>
    </w:p>
    <w:p>
      <w:pPr>
        <w:spacing w:after="0" w:line="223" w:lineRule="exact"/>
        <w:rPr>
          <w:rFonts w:ascii="Times New Roman" w:cs="Times New Roman" w:eastAsia="Times New Roman" w:hAnsi="Times New Roman"/>
          <w:sz w:val="22"/>
          <w:szCs w:val="22"/>
          <w:b w:val="1"/>
          <w:bCs w:val="1"/>
          <w:color w:val="auto"/>
        </w:rPr>
      </w:pPr>
    </w:p>
    <w:p>
      <w:pPr>
        <w:ind w:left="1300" w:right="20" w:hanging="644"/>
        <w:spacing w:after="0" w:line="271" w:lineRule="auto"/>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cash dividend is declared and paid on the Shares underlying the DSUs, you will be credited with an additional number of DSUs equal to the quotient of:</w:t>
      </w:r>
    </w:p>
    <w:p>
      <w:pPr>
        <w:spacing w:after="0" w:line="157"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(I) the number of DSUs granted under this Award Agreement (including additional DSUs previously credited in accordance with this Section 5) that have not been settled as of the dividend payment date, multiplied by (II) the amount of the cash dividend paid per Share; divided by</w:t>
      </w:r>
    </w:p>
    <w:p>
      <w:pPr>
        <w:spacing w:after="0" w:line="173"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(which shall be equal to the closing price) of a Share on the date such cash dividend is paid.</w:t>
      </w:r>
    </w:p>
    <w:p>
      <w:pPr>
        <w:spacing w:after="0" w:line="157"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Share dividend is declared and paid on the Shares underlying the DSUs, you will be credited with an additional number of DSUs equal to the product of:</w:t>
      </w:r>
    </w:p>
    <w:p>
      <w:pPr>
        <w:spacing w:after="0" w:line="157" w:lineRule="exact"/>
        <w:rPr>
          <w:rFonts w:ascii="Times New Roman" w:cs="Times New Roman" w:eastAsia="Times New Roman" w:hAnsi="Times New Roman"/>
          <w:sz w:val="22"/>
          <w:szCs w:val="22"/>
          <w:color w:val="auto"/>
        </w:rPr>
      </w:pPr>
    </w:p>
    <w:p>
      <w:pPr>
        <w:ind w:left="1960" w:right="20" w:hanging="655"/>
        <w:spacing w:after="0" w:line="295" w:lineRule="auto"/>
        <w:tabs>
          <w:tab w:leader="none" w:pos="1960" w:val="left"/>
        </w:tabs>
        <w:numPr>
          <w:ilvl w:val="2"/>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DSUs granted under this Award Agreement (including additional DSUs previously credited in accordance with this Section 5) that have not been settled as of the dividend payment date, multiplied by</w:t>
      </w:r>
    </w:p>
    <w:p>
      <w:pPr>
        <w:spacing w:after="0" w:line="135" w:lineRule="exact"/>
        <w:rPr>
          <w:rFonts w:ascii="Times New Roman" w:cs="Times New Roman" w:eastAsia="Times New Roman" w:hAnsi="Times New Roman"/>
          <w:sz w:val="21"/>
          <w:szCs w:val="21"/>
          <w:color w:val="auto"/>
        </w:rPr>
      </w:pPr>
    </w:p>
    <w:p>
      <w:pPr>
        <w:ind w:left="1960" w:hanging="655"/>
        <w:spacing w:after="0"/>
        <w:tabs>
          <w:tab w:leader="none" w:pos="196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paid as a dividend per Share.</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DSUs credited pursuant to this Section 5 shall be subject to the same terms and conditions as the DSUs granted pursuant to Section 1 above.</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fractional number of DSUs resulting from the calculations under this Section 5 shall be rounded to the nearest whole Share.</w:t>
      </w:r>
    </w:p>
    <w:p>
      <w:pPr>
        <w:spacing w:after="0" w:line="153" w:lineRule="exact"/>
        <w:rPr>
          <w:rFonts w:ascii="Times New Roman" w:cs="Times New Roman" w:eastAsia="Times New Roman" w:hAnsi="Times New Roman"/>
          <w:sz w:val="22"/>
          <w:szCs w:val="22"/>
          <w:color w:val="auto"/>
        </w:rPr>
      </w:pPr>
    </w:p>
    <w:p>
      <w:pPr>
        <w:ind w:firstLine="8"/>
        <w:spacing w:after="0" w:line="275" w:lineRule="auto"/>
        <w:tabs>
          <w:tab w:leader="none" w:pos="459"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FORFEITURE. </w:t>
      </w:r>
      <w:r>
        <w:rPr>
          <w:rFonts w:ascii="Times New Roman" w:cs="Times New Roman" w:eastAsia="Times New Roman" w:hAnsi="Times New Roman"/>
          <w:sz w:val="22"/>
          <w:szCs w:val="22"/>
          <w:color w:val="auto"/>
        </w:rPr>
        <w:t>Except as otherwise provided in Section 3, if you Terminate prior to the Vesting Date your DSUs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forfeited immediately.</w:t>
      </w:r>
    </w:p>
    <w:p>
      <w:pPr>
        <w:spacing w:after="0" w:line="190" w:lineRule="exact"/>
        <w:rPr>
          <w:rFonts w:ascii="Times New Roman" w:cs="Times New Roman" w:eastAsia="Times New Roman" w:hAnsi="Times New Roman"/>
          <w:sz w:val="22"/>
          <w:szCs w:val="22"/>
          <w:b w:val="1"/>
          <w:bCs w:val="1"/>
          <w:color w:val="auto"/>
        </w:rPr>
      </w:pPr>
    </w:p>
    <w:p>
      <w:pPr>
        <w:ind w:firstLine="8"/>
        <w:spacing w:after="0" w:line="275" w:lineRule="auto"/>
        <w:tabs>
          <w:tab w:leader="none" w:pos="402"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AND TERMINATION. </w:t>
      </w:r>
      <w:r>
        <w:rPr>
          <w:rFonts w:ascii="Times New Roman" w:cs="Times New Roman" w:eastAsia="Times New Roman" w:hAnsi="Times New Roman"/>
          <w:sz w:val="22"/>
          <w:szCs w:val="22"/>
          <w:color w:val="auto"/>
        </w:rPr>
        <w:t>Subject to the terms of the Plan, the Company may amend or terminate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the Plan at any time.</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9" w:lineRule="auto"/>
        <w:tabs>
          <w:tab w:leader="none" w:pos="443"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You may name a beneficiary or beneficiaries to receive any DSUs and related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that vest before 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0" w:lineRule="exact"/>
        <w:rPr>
          <w:rFonts w:ascii="Times New Roman" w:cs="Times New Roman" w:eastAsia="Times New Roman" w:hAnsi="Times New Roman"/>
          <w:sz w:val="22"/>
          <w:szCs w:val="22"/>
          <w:b w:val="1"/>
          <w:bCs w:val="1"/>
          <w:color w:val="auto"/>
        </w:rPr>
      </w:pPr>
    </w:p>
    <w:p>
      <w:pPr>
        <w:jc w:val="both"/>
        <w:ind w:firstLine="8"/>
        <w:spacing w:after="0" w:line="254" w:lineRule="auto"/>
        <w:tabs>
          <w:tab w:leader="none" w:pos="439"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TRANSFERRING YOUR DSUs AND RELATED DIVIDEND EQUIVALENTS. </w:t>
      </w:r>
      <w:r>
        <w:rPr>
          <w:rFonts w:ascii="Times New Roman" w:cs="Times New Roman" w:eastAsia="Times New Roman" w:hAnsi="Times New Roman"/>
          <w:sz w:val="22"/>
          <w:szCs w:val="22"/>
          <w:color w:val="auto"/>
        </w:rPr>
        <w:t>Except as described in Section 8,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DSUs and related dividend equivalents may not be transferred to another person. Also, the Committee may allow you to place your DSUs and related dividend equivalents into a trust established for your benefit or the benefit of your family. Contact the Third Party Administrator for further details.</w:t>
      </w:r>
    </w:p>
    <w:p>
      <w:pPr>
        <w:spacing w:after="0" w:line="212" w:lineRule="exact"/>
        <w:rPr>
          <w:rFonts w:ascii="Times New Roman" w:cs="Times New Roman" w:eastAsia="Times New Roman" w:hAnsi="Times New Roman"/>
          <w:sz w:val="22"/>
          <w:szCs w:val="22"/>
          <w:b w:val="1"/>
          <w:bCs w:val="1"/>
          <w:color w:val="auto"/>
        </w:rPr>
      </w:pPr>
    </w:p>
    <w:p>
      <w:pPr>
        <w:jc w:val="both"/>
        <w:ind w:firstLine="8"/>
        <w:spacing w:after="0" w:line="259" w:lineRule="auto"/>
        <w:tabs>
          <w:tab w:leader="none" w:pos="508"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Award Agreement shall be governed by the laws of the State of Ohio, excluding any conflicts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choice of law rule or principle that might otherwise refer construction or interpretation of the Plan to the substantive law of another jurisdiction.</w:t>
      </w:r>
    </w:p>
    <w:p>
      <w:pPr>
        <w:spacing w:after="0" w:line="207" w:lineRule="exact"/>
        <w:rPr>
          <w:rFonts w:ascii="Times New Roman" w:cs="Times New Roman" w:eastAsia="Times New Roman" w:hAnsi="Times New Roman"/>
          <w:sz w:val="22"/>
          <w:szCs w:val="22"/>
          <w:b w:val="1"/>
          <w:bCs w:val="1"/>
          <w:color w:val="auto"/>
        </w:rPr>
      </w:pPr>
    </w:p>
    <w:p>
      <w:pPr>
        <w:jc w:val="both"/>
        <w:ind w:firstLine="8"/>
        <w:spacing w:after="0" w:line="251" w:lineRule="auto"/>
        <w:tabs>
          <w:tab w:leader="none" w:pos="482"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AGREEMENTS AND POLICIES. </w:t>
      </w:r>
      <w:r>
        <w:rPr>
          <w:rFonts w:ascii="Times New Roman" w:cs="Times New Roman" w:eastAsia="Times New Roman" w:hAnsi="Times New Roman"/>
          <w:sz w:val="22"/>
          <w:szCs w:val="22"/>
          <w:color w:val="auto"/>
        </w:rPr>
        <w:t>Your DSUs and the related dividend equivalents will be subject to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written agreements between you and the Company or any Affiliate or Subsidiary to the extent that those other agreements do not directly conflict with the terms of the Plan or this Award Agreement. Your DSUs and related dividend equivalents granted under the Plan shall be subject to any applicable Company clawback or recoupment policies, share trading policies and other policies that may be implemented by the Company from time to time.</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59" w:lineRule="auto"/>
        <w:tabs>
          <w:tab w:leader="none" w:pos="513"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ADJUSTMENTS TO YOUR DSUs. </w:t>
      </w:r>
      <w:r>
        <w:rPr>
          <w:rFonts w:ascii="Times New Roman" w:cs="Times New Roman" w:eastAsia="Times New Roman" w:hAnsi="Times New Roman"/>
          <w:sz w:val="22"/>
          <w:szCs w:val="22"/>
          <w:color w:val="auto"/>
        </w:rPr>
        <w:t>Subject to the terms of the Plan, your DSUs and the related dividend equivalents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adjusted, if appropriate, to reflect any change to the Company’s capital structure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number of Shares underlying your DSUs will be adjusted to reflect a stock split).</w:t>
      </w:r>
    </w:p>
    <w:p>
      <w:pPr>
        <w:spacing w:after="0" w:line="166" w:lineRule="exact"/>
        <w:rPr>
          <w:rFonts w:ascii="Times New Roman" w:cs="Times New Roman" w:eastAsia="Times New Roman" w:hAnsi="Times New Roman"/>
          <w:sz w:val="22"/>
          <w:szCs w:val="22"/>
          <w:b w:val="1"/>
          <w:bCs w:val="1"/>
          <w:color w:val="auto"/>
        </w:rPr>
      </w:pPr>
    </w:p>
    <w:p>
      <w:pPr>
        <w:ind w:left="480" w:hanging="472"/>
        <w:spacing w:after="0"/>
        <w:tabs>
          <w:tab w:leader="none" w:pos="48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YOUR ACKNOWLEDGMENT OF AND AGREEMENT TO AWARD CONDITIONS.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you acknowledge and agree that:</w:t>
      </w:r>
    </w:p>
    <w:p>
      <w:pPr>
        <w:spacing w:after="0" w:line="22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 copy of the Plan has been made available to you;</w:t>
      </w:r>
    </w:p>
    <w:p>
      <w:pPr>
        <w:sectPr>
          <w:pgSz w:w="11900" w:h="16838" w:orient="portrait"/>
          <w:cols w:equalWidth="0" w:num="1">
            <w:col w:w="11420"/>
          </w:cols>
          <w:pgMar w:left="240" w:top="125" w:right="239" w:bottom="0" w:gutter="0" w:footer="0" w:header="0"/>
        </w:sectPr>
      </w:pPr>
    </w:p>
    <w:bookmarkStart w:id="79" w:name="page80"/>
    <w:bookmarkEnd w:id="79"/>
    <w:p>
      <w:pPr>
        <w:ind w:left="1080" w:hanging="464"/>
        <w:spacing w:after="0"/>
        <w:tabs>
          <w:tab w:leader="none" w:pos="10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and accept the terms and conditions of your Award;</w:t>
      </w:r>
    </w:p>
    <w:p>
      <w:pPr>
        <w:spacing w:after="0" w:line="219" w:lineRule="exact"/>
        <w:rPr>
          <w:rFonts w:ascii="Times New Roman" w:cs="Times New Roman" w:eastAsia="Times New Roman" w:hAnsi="Times New Roman"/>
          <w:sz w:val="22"/>
          <w:szCs w:val="22"/>
          <w:color w:val="auto"/>
        </w:rPr>
      </w:pPr>
    </w:p>
    <w:p>
      <w:pPr>
        <w:jc w:val="both"/>
        <w:ind w:left="1260" w:hanging="644"/>
        <w:spacing w:after="0" w:line="252" w:lineRule="auto"/>
        <w:tabs>
          <w:tab w:leader="none" w:pos="12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75" w:lineRule="exact"/>
        <w:rPr>
          <w:rFonts w:ascii="Times New Roman" w:cs="Times New Roman" w:eastAsia="Times New Roman" w:hAnsi="Times New Roman"/>
          <w:sz w:val="22"/>
          <w:szCs w:val="22"/>
          <w:color w:val="auto"/>
        </w:rPr>
      </w:pPr>
    </w:p>
    <w:p>
      <w:pPr>
        <w:ind w:left="1260" w:hanging="644"/>
        <w:spacing w:after="0" w:line="275" w:lineRule="auto"/>
        <w:tabs>
          <w:tab w:leader="none" w:pos="12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return a signed copy of this Award Agreement to the address given above before [</w:t>
      </w:r>
      <w:r>
        <w:rPr>
          <w:rFonts w:ascii="Times New Roman" w:cs="Times New Roman" w:eastAsia="Times New Roman" w:hAnsi="Times New Roman"/>
          <w:sz w:val="22"/>
          <w:szCs w:val="22"/>
          <w:b w:val="1"/>
          <w:bCs w:val="1"/>
          <w:color w:val="auto"/>
        </w:rPr>
        <w:t>Date 30 Days After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ectPr>
          <w:pgSz w:w="11900" w:h="16838" w:orient="portrait"/>
          <w:cols w:equalWidth="0" w:num="1">
            <w:col w:w="11380"/>
          </w:cols>
          <w:pgMar w:left="280" w:top="126" w:right="239" w:bottom="1440" w:gutter="0" w:footer="0" w:header="0"/>
        </w:sect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Director’s Name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SCOTTS MIRACLE-GRO COMPANY</w:t>
      </w:r>
    </w:p>
    <w:p>
      <w:pPr>
        <w:spacing w:after="0" w:line="200" w:lineRule="exact"/>
        <w:rPr>
          <w:sz w:val="20"/>
          <w:szCs w:val="20"/>
          <w:color w:val="auto"/>
        </w:rPr>
      </w:pPr>
    </w:p>
    <w:p>
      <w:pPr>
        <w:sectPr>
          <w:pgSz w:w="11900" w:h="16838" w:orient="portrait"/>
          <w:cols w:equalWidth="0" w:num="2">
            <w:col w:w="4760" w:space="720"/>
            <w:col w:w="5900"/>
          </w:cols>
          <w:pgMar w:left="280" w:top="126"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___________________________________</w:t>
      </w:r>
    </w:p>
    <w:p>
      <w:pPr>
        <w:spacing w:after="0" w:line="200" w:lineRule="exact"/>
        <w:rPr>
          <w:sz w:val="20"/>
          <w:szCs w:val="20"/>
          <w:color w:val="auto"/>
        </w:rPr>
      </w:pPr>
    </w:p>
    <w:p>
      <w:pPr>
        <w:sectPr>
          <w:pgSz w:w="11900" w:h="16838" w:orient="portrait"/>
          <w:cols w:equalWidth="0" w:num="2">
            <w:col w:w="4820" w:space="720"/>
            <w:col w:w="5840"/>
          </w:cols>
          <w:pgMar w:left="280" w:top="126"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signed: ________________________</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Company Representative]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Company Representative]</w:t>
      </w:r>
    </w:p>
    <w:p>
      <w:pPr>
        <w:spacing w:after="0"/>
        <w:rPr>
          <w:sz w:val="20"/>
          <w:szCs w:val="20"/>
          <w:color w:val="auto"/>
        </w:rPr>
      </w:pPr>
      <w:r>
        <w:rPr>
          <w:rFonts w:ascii="Times New Roman" w:cs="Times New Roman" w:eastAsia="Times New Roman" w:hAnsi="Times New Roman"/>
          <w:sz w:val="21"/>
          <w:szCs w:val="21"/>
          <w:color w:val="auto"/>
        </w:rPr>
        <w:t>Date signed: ____________________________</w:t>
      </w:r>
    </w:p>
    <w:p>
      <w:pPr>
        <w:sectPr>
          <w:pgSz w:w="11900" w:h="16838" w:orient="portrait"/>
          <w:cols w:equalWidth="0" w:num="2">
            <w:col w:w="4820" w:space="720"/>
            <w:col w:w="5840"/>
          </w:cols>
          <w:pgMar w:left="280" w:top="126" w:right="2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quarterly period ended March 29, 2014;</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800" w:hanging="484"/>
        <w:spacing w:after="0" w:line="282" w:lineRule="auto"/>
        <w:tabs>
          <w:tab w:leader="none" w:pos="11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484"/>
        <w:spacing w:after="0" w:line="282" w:lineRule="auto"/>
        <w:tabs>
          <w:tab w:leader="none" w:pos="11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520" w:val="left"/>
          <w:tab w:leader="none" w:pos="6060" w:val="left"/>
        </w:tabs>
        <w:rPr>
          <w:sz w:val="20"/>
          <w:szCs w:val="20"/>
          <w:color w:val="auto"/>
        </w:rPr>
      </w:pPr>
      <w:r>
        <w:rPr>
          <w:rFonts w:ascii="Times New Roman" w:cs="Times New Roman" w:eastAsia="Times New Roman" w:hAnsi="Times New Roman"/>
          <w:sz w:val="18"/>
          <w:szCs w:val="18"/>
          <w:color w:val="auto"/>
        </w:rPr>
        <w:t>Date: May 8,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p>
      <w:pPr>
        <w:sectPr>
          <w:pgSz w:w="11900" w:h="16838" w:orient="portrait"/>
          <w:cols w:equalWidth="0" w:num="1">
            <w:col w:w="11420"/>
          </w:cols>
          <w:pgMar w:left="240" w:top="576"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quarterly period ended March 29, 2014;</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800" w:hanging="484"/>
        <w:spacing w:after="0" w:line="282"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484"/>
        <w:spacing w:after="0" w:line="282"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400" w:val="left"/>
          <w:tab w:leader="none" w:pos="6060" w:val="left"/>
        </w:tabs>
        <w:rPr>
          <w:sz w:val="20"/>
          <w:szCs w:val="20"/>
          <w:color w:val="auto"/>
        </w:rPr>
      </w:pPr>
      <w:r>
        <w:rPr>
          <w:rFonts w:ascii="Times New Roman" w:cs="Times New Roman" w:eastAsia="Times New Roman" w:hAnsi="Times New Roman"/>
          <w:sz w:val="18"/>
          <w:szCs w:val="18"/>
          <w:color w:val="auto"/>
        </w:rPr>
        <w:t>Date: May 8,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34290</wp:posOffset>
            </wp:positionV>
            <wp:extent cx="3542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ectPr>
          <w:pgSz w:w="11900" w:h="16838" w:orient="portrait"/>
          <w:cols w:equalWidth="0" w:num="1">
            <w:col w:w="11420"/>
          </w:cols>
          <w:pgMar w:left="240" w:top="576"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1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Scotts Miracle-Gro Company (the “Company”) for the quarterly period ended March 29, 2014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0"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117"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 JAMES HAGEDORN</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Printed Name: James Hagedorn</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Printed Name: Thomas Randal Coleman</w:t>
            </w:r>
          </w:p>
        </w:tc>
      </w:tr>
      <w:tr>
        <w:trPr>
          <w:trHeight w:val="270"/>
        </w:trPr>
        <w:tc>
          <w:tcPr>
            <w:tcW w:w="5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r>
        <w:trPr>
          <w:trHeight w:val="540"/>
        </w:trPr>
        <w:tc>
          <w:tcPr>
            <w:tcW w:w="5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May 8, 2014</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8, 2014</w:t>
            </w:r>
          </w:p>
        </w:tc>
      </w:tr>
    </w:tbl>
    <w:p>
      <w:pPr>
        <w:spacing w:after="0" w:line="333" w:lineRule="exact"/>
        <w:rPr>
          <w:sz w:val="20"/>
          <w:szCs w:val="20"/>
          <w:color w:val="auto"/>
        </w:rPr>
      </w:pPr>
    </w:p>
    <w:p>
      <w:pPr>
        <w:ind w:left="720" w:right="180" w:hanging="685"/>
        <w:spacing w:after="0" w:line="256"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1)"/>
      <w:numFmt w:val="decimal"/>
      <w:start w:val="6"/>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lowerLetter"/>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1."/>
      <w:numFmt w:val="decimal"/>
      <w:start w:val="3"/>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800"/>
    </w:lvl>
  </w:abstractNum>
  <w:abstractNum w:abstractNumId="16">
    <w:nsid w:val="70A64E2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7">
    <w:nsid w:val="6A2342EC"/>
    <w:multiLevelType w:val="hybridMultilevel"/>
    <w:lvl w:ilvl="0">
      <w:lvlJc w:val="left"/>
      <w:lvlText w:val="%1."/>
      <w:numFmt w:val="decimal"/>
      <w:start w:val="4"/>
    </w:lvl>
  </w:abstractNum>
  <w:abstractNum w:abstractNumId="18">
    <w:nsid w:val="2A487CB0"/>
    <w:multiLevelType w:val="hybridMultilevel"/>
    <w:lvl w:ilvl="0">
      <w:lvlJc w:val="left"/>
      <w:lvlText w:val="(%1)"/>
      <w:numFmt w:val="lowerLetter"/>
      <w:start w:val="1"/>
    </w:lvl>
    <w:lvl w:ilvl="1">
      <w:lvlJc w:val="left"/>
      <w:lvlText w:val="%2."/>
      <w:numFmt w:val="lowerRoman"/>
      <w:start w:val="1"/>
    </w:lvl>
  </w:abstractNum>
  <w:abstractNum w:abstractNumId="19">
    <w:nsid w:val="1D4ED43B"/>
    <w:multiLevelType w:val="hybridMultilevel"/>
    <w:lvl w:ilvl="0">
      <w:lvlJc w:val="left"/>
      <w:lvlText w:val="(%1)"/>
      <w:numFmt w:val="lowerRoman"/>
      <w:start w:val="1"/>
    </w:lvl>
  </w:abstractNum>
  <w:abstractNum w:abstractNumId="20">
    <w:nsid w:val="725A06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21">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57E4CCA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
    <w:nsid w:val="7A6D8D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
    <w:nsid w:val="4B588F5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
    <w:nsid w:val="542289EC"/>
    <w:multiLevelType w:val="hybridMultilevel"/>
    <w:lvl w:ilvl="0">
      <w:lvlJc w:val="left"/>
      <w:lvlText w:val="%1."/>
      <w:numFmt w:val="decimal"/>
      <w:start w:val="9"/>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4"/>
    </w:lvl>
  </w:abstractNum>
  <w:abstractNum w:abstractNumId="28">
    <w:nsid w:val="7644A45C"/>
    <w:multiLevelType w:val="hybridMultilevel"/>
    <w:lvl w:ilvl="0">
      <w:lvlJc w:val="left"/>
      <w:lvlText w:val="%1."/>
      <w:numFmt w:val="decimal"/>
      <w:start w:val="1"/>
    </w:lvl>
    <w:lvl w:ilvl="1">
      <w:lvlJc w:val="left"/>
      <w:lvlText w:val="(%2)"/>
      <w:numFmt w:val="lowerLetter"/>
      <w:start w:val="1"/>
    </w:lvl>
  </w:abstractNum>
  <w:abstractNum w:abstractNumId="29">
    <w:nsid w:val="32FFF902"/>
    <w:multiLevelType w:val="hybridMultilevel"/>
    <w:lvl w:ilvl="0">
      <w:lvlJc w:val="left"/>
      <w:lvlText w:val="%1."/>
      <w:numFmt w:val="decimal"/>
      <w:start w:val="4"/>
    </w:lvl>
  </w:abstractNum>
  <w:abstractNum w:abstractNumId="30">
    <w:nsid w:val="684A481A"/>
    <w:multiLevelType w:val="hybridMultilevel"/>
    <w:lvl w:ilvl="0">
      <w:lvlJc w:val="left"/>
      <w:lvlText w:val="(%1)"/>
      <w:numFmt w:val="lowerLetter"/>
      <w:start w:val="1"/>
    </w:lvl>
    <w:lvl w:ilvl="1">
      <w:lvlJc w:val="left"/>
      <w:lvlText w:val="(%2)"/>
      <w:numFmt w:val="lowerRoman"/>
      <w:start w:val="1"/>
    </w:lvl>
  </w:abstractNum>
  <w:abstractNum w:abstractNumId="31">
    <w:nsid w:val="579478FE"/>
    <w:multiLevelType w:val="hybridMultilevel"/>
    <w:lvl w:ilvl="0">
      <w:lvlJc w:val="left"/>
      <w:lvlText w:val="%1"/>
      <w:numFmt w:val="decimal"/>
      <w:start w:val="1"/>
    </w:lvl>
    <w:lvl w:ilvl="1">
      <w:lvlJc w:val="left"/>
      <w:lvlText w:val="(%2)"/>
      <w:numFmt w:val="upperLetter"/>
      <w:start w:val="2"/>
    </w:lvl>
  </w:abstractNum>
  <w:abstractNum w:abstractNumId="32">
    <w:nsid w:val="749ABB43"/>
    <w:multiLevelType w:val="hybridMultilevel"/>
    <w:lvl w:ilvl="0">
      <w:lvlJc w:val="left"/>
      <w:lvlText w:val="%1."/>
      <w:numFmt w:val="decimal"/>
      <w:start w:val="5"/>
    </w:lvl>
    <w:lvl w:ilvl="1">
      <w:lvlJc w:val="left"/>
      <w:lvlText w:val="%2"/>
      <w:numFmt w:val="upperLetter"/>
      <w:start w:val="1"/>
    </w:lvl>
  </w:abstractNum>
  <w:abstractNum w:abstractNumId="33">
    <w:nsid w:val="3DC240FB"/>
    <w:multiLevelType w:val="hybridMultilevel"/>
    <w:lvl w:ilvl="0">
      <w:lvlJc w:val="left"/>
      <w:lvlText w:val="(%1)"/>
      <w:numFmt w:val="lowerLetter"/>
      <w:start w:val="1"/>
    </w:lvl>
    <w:lvl w:ilvl="1">
      <w:lvlJc w:val="left"/>
      <w:lvlText w:val="(%2)"/>
      <w:numFmt w:val="lowerRoman"/>
      <w:start w:val="1"/>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decimal"/>
      <w:start w:val="6"/>
    </w:lvl>
  </w:abstractNum>
  <w:abstractNum w:abstractNumId="36">
    <w:nsid w:val="75C6C33A"/>
    <w:multiLevelType w:val="hybridMultilevel"/>
    <w:lvl w:ilvl="0">
      <w:lvlJc w:val="left"/>
      <w:lvlText w:val="(%1)"/>
      <w:numFmt w:val="lowerLetter"/>
      <w:start w:val="1"/>
    </w:lvl>
    <w:lvl w:ilvl="1">
      <w:lvlJc w:val="left"/>
      <w:lvlText w:val="(%2)"/>
      <w:numFmt w:val="lowerRoman"/>
      <w:start w:val="1"/>
    </w:lvl>
  </w:abstractNum>
  <w:abstractNum w:abstractNumId="37">
    <w:nsid w:val="12E685FB"/>
    <w:multiLevelType w:val="hybridMultilevel"/>
    <w:lvl w:ilvl="0">
      <w:lvlJc w:val="left"/>
      <w:lvlText w:val="%1"/>
      <w:numFmt w:val="decimal"/>
      <w:start w:val="1"/>
    </w:lvl>
    <w:lvl w:ilvl="1">
      <w:lvlJc w:val="left"/>
      <w:lvlText w:val="(%2)"/>
      <w:numFmt w:val="lowerRoman"/>
      <w:start w:val="4"/>
    </w:lvl>
  </w:abstractNum>
  <w:abstractNum w:abstractNumId="38">
    <w:nsid w:val="70C6A529"/>
    <w:multiLevelType w:val="hybridMultilevel"/>
    <w:lvl w:ilvl="0">
      <w:lvlJc w:val="left"/>
      <w:lvlText w:val="%1."/>
      <w:numFmt w:val="decimal"/>
      <w:start w:val="8"/>
    </w:lvl>
    <w:lvl w:ilvl="1">
      <w:lvlJc w:val="left"/>
      <w:lvlText w:val="%2"/>
      <w:numFmt w:val="lowerRoman"/>
      <w:start w:val="1"/>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lowerLetter"/>
      <w:start w:val="2"/>
    </w:lvl>
  </w:abstractNum>
  <w:abstractNum w:abstractNumId="41">
    <w:nsid w:val="4F4EF005"/>
    <w:multiLevelType w:val="hybridMultilevel"/>
    <w:lvl w:ilvl="0">
      <w:lvlJc w:val="left"/>
      <w:lvlText w:val="%1."/>
      <w:numFmt w:val="decimal"/>
      <w:start w:val="1"/>
    </w:lvl>
    <w:lvl w:ilvl="1">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upperLetter"/>
      <w:start w:val="1"/>
    </w:lvl>
    <w:lvl w:ilvl="1">
      <w:lvlJc w:val="left"/>
      <w:lvlText w:val="%2."/>
      <w:numFmt w:val="decimal"/>
      <w:start w:val="3"/>
    </w:lvl>
  </w:abstractNum>
  <w:abstractNum w:abstractNumId="44">
    <w:nsid w:val="275AC794"/>
    <w:multiLevelType w:val="hybridMultilevel"/>
    <w:lvl w:ilvl="0">
      <w:lvlJc w:val="left"/>
      <w:lvlText w:val="%1."/>
      <w:numFmt w:val="upperLetter"/>
      <w:start w:val="35"/>
    </w:lvl>
    <w:lvl w:ilvl="1">
      <w:lvlJc w:val="left"/>
      <w:lvlText w:val="%2"/>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upperLetter"/>
      <w:start w:val="1"/>
    </w:lvl>
    <w:lvl w:ilvl="1">
      <w:lvlJc w:val="left"/>
      <w:lvlText w:val="%2."/>
      <w:numFmt w:val="decimal"/>
      <w:start w:val="2"/>
    </w:lvl>
  </w:abstractNum>
  <w:abstractNum w:abstractNumId="47">
    <w:nsid w:val="180115BE"/>
    <w:multiLevelType w:val="hybridMultilevel"/>
    <w:lvl w:ilvl="0">
      <w:lvlJc w:val="left"/>
      <w:lvlText w:val="%1."/>
      <w:numFmt w:val="upperLetter"/>
      <w:start w:val="22"/>
    </w:lvl>
    <w:lvl w:ilvl="1">
      <w:lvlJc w:val="left"/>
      <w:lvlText w:val="%2."/>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2"/>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lvl w:ilvl="1">
      <w:lvlJc w:val="left"/>
      <w:lvlText w:val="•"/>
      <w:numFmt w:val="bullet"/>
      <w:start w:val="1"/>
    </w:lvl>
  </w:abstractNum>
  <w:abstractNum w:abstractNumId="52">
    <w:nsid w:val="741226BB"/>
    <w:multiLevelType w:val="hybridMultilevel"/>
    <w:lvl w:ilvl="0">
      <w:lvlJc w:val="left"/>
      <w:lvlText w:val="%1"/>
      <w:numFmt w:val="upperLetter"/>
      <w:start w:val="1"/>
    </w:lvl>
    <w:lvl w:ilvl="1">
      <w:lvlJc w:val="left"/>
      <w:lvlText w:val="%2."/>
      <w:numFmt w:val="decimal"/>
      <w:start w:val="3"/>
    </w:lvl>
  </w:abstractNum>
  <w:abstractNum w:abstractNumId="53">
    <w:nsid w:val="D34B6A8"/>
    <w:multiLevelType w:val="hybridMultilevel"/>
    <w:lvl w:ilvl="0">
      <w:lvlJc w:val="left"/>
      <w:lvlText w:val="%1."/>
      <w:numFmt w:val="upperLetter"/>
      <w:start w:val="35"/>
    </w:lvl>
    <w:lvl w:ilvl="1">
      <w:lvlJc w:val="left"/>
      <w:lvlText w:val="%2"/>
      <w:numFmt w:val="decimal"/>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upperLetter"/>
      <w:start w:val="22"/>
    </w:lvl>
    <w:lvl w:ilvl="1">
      <w:lvlJc w:val="left"/>
      <w:lvlText w:val="%2."/>
      <w:numFmt w:val="decimal"/>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4"/>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2"/>
    </w:lvl>
    <w:lvl w:ilvl="1">
      <w:lvlJc w:val="left"/>
      <w:lvlText w:val="(%2)"/>
      <w:numFmt w:val="lowerLetter"/>
      <w:start w:val="1"/>
    </w:lvl>
  </w:abstractNum>
  <w:abstractNum w:abstractNumId="61">
    <w:nsid w:val="5FF87E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2">
    <w:nsid w:val="2F305DEF"/>
    <w:multiLevelType w:val="hybridMultilevel"/>
    <w:lvl w:ilvl="0">
      <w:lvlJc w:val="left"/>
      <w:lvlText w:val="(%1)"/>
      <w:numFmt w:val="lowerLetter"/>
      <w:start w:val="2"/>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2019-12-06T01:00:35Z</dcterms:created>
  <dcterms:modified xsi:type="dcterms:W3CDTF">2019-12-06T01:00:35Z</dcterms:modified>
</cp:coreProperties>
</file>