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 C. 20549</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10-K/A</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548" w:right="3340" w:hanging="548"/>
        <w:spacing w:after="0" w:line="243" w:lineRule="auto"/>
        <w:tabs>
          <w:tab w:leader="none" w:pos="5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3"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548" w:right="3780" w:hanging="54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FOR THE TRANSITION PERIOD FROM _____ TO _____</w:t>
      </w:r>
    </w:p>
    <w:p>
      <w:pPr>
        <w:spacing w:after="0" w:line="3"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COMMISSION FILE NUMBER 1-11593</w:t>
      </w:r>
    </w:p>
    <w:p>
      <w:pPr>
        <w:spacing w:after="0" w:line="177"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jc w:val="center"/>
        <w:ind w:right="31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368"/>
          </w:cols>
          <w:pgMar w:left="232" w:top="233" w:right="129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4"/>
          <w:szCs w:val="24"/>
          <w:color w:val="auto"/>
        </w:rPr>
      </w:pPr>
    </w:p>
    <w:p>
      <w:pPr>
        <w:ind w:left="1088"/>
        <w:spacing w:after="0"/>
        <w:rPr>
          <w:sz w:val="20"/>
          <w:szCs w:val="20"/>
          <w:color w:val="auto"/>
        </w:rPr>
      </w:pPr>
      <w:r>
        <w:rPr>
          <w:rFonts w:ascii="Courier New" w:cs="Courier New" w:eastAsia="Courier New" w:hAnsi="Courier New"/>
          <w:sz w:val="15"/>
          <w:szCs w:val="15"/>
          <w:color w:val="auto"/>
        </w:rPr>
        <w:t>(State or other jurisdiction</w:t>
      </w:r>
    </w:p>
    <w:p>
      <w:pPr>
        <w:spacing w:after="0" w:line="4" w:lineRule="exact"/>
        <w:rPr>
          <w:sz w:val="24"/>
          <w:szCs w:val="24"/>
          <w:color w:val="auto"/>
        </w:rPr>
      </w:pPr>
    </w:p>
    <w:p>
      <w:pPr>
        <w:ind w:left="908"/>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31-1414921</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0" w:lineRule="exact"/>
        <w:rPr>
          <w:sz w:val="24"/>
          <w:szCs w:val="24"/>
          <w:color w:val="auto"/>
        </w:rPr>
      </w:pPr>
    </w:p>
    <w:p>
      <w:pPr>
        <w:sectPr>
          <w:pgSz w:w="11900" w:h="16838" w:orient="portrait"/>
          <w:cols w:equalWidth="0" w:num="2">
            <w:col w:w="6408" w:space="720"/>
            <w:col w:w="3240"/>
          </w:cols>
          <w:pgMar w:left="232" w:top="233" w:right="1299" w:bottom="1440" w:gutter="0" w:footer="0" w:header="0"/>
          <w:type w:val="continuous"/>
        </w:sectPr>
      </w:pPr>
    </w:p>
    <w:p>
      <w:pPr>
        <w:ind w:left="908"/>
        <w:spacing w:after="0"/>
        <w:rPr>
          <w:sz w:val="20"/>
          <w:szCs w:val="20"/>
          <w:color w:val="auto"/>
        </w:rPr>
      </w:pPr>
      <w:r>
        <w:rPr>
          <w:rFonts w:ascii="Courier New" w:cs="Courier New" w:eastAsia="Courier New" w:hAnsi="Courier New"/>
          <w:sz w:val="15"/>
          <w:szCs w:val="15"/>
          <w:color w:val="auto"/>
        </w:rPr>
        <w:t>41 SOUTH HIGH STREET, SUITE 3500</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COLUMBUS, OHIO</w:t>
      </w:r>
    </w:p>
    <w:p>
      <w:pPr>
        <w:spacing w:after="0" w:line="4" w:lineRule="exact"/>
        <w:rPr>
          <w:sz w:val="24"/>
          <w:szCs w:val="24"/>
          <w:color w:val="auto"/>
        </w:rPr>
      </w:pPr>
    </w:p>
    <w:p>
      <w:pPr>
        <w:ind w:left="548"/>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43215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73" w:lineRule="exact"/>
        <w:rPr>
          <w:sz w:val="24"/>
          <w:szCs w:val="24"/>
          <w:color w:val="auto"/>
        </w:rPr>
      </w:pPr>
    </w:p>
    <w:p>
      <w:pPr>
        <w:sectPr>
          <w:pgSz w:w="11900" w:h="16838" w:orient="portrait"/>
          <w:cols w:equalWidth="0" w:num="2">
            <w:col w:w="7668" w:space="720"/>
            <w:col w:w="1980"/>
          </w:cols>
          <w:pgMar w:left="232" w:top="233" w:right="1299" w:bottom="1440" w:gutter="0" w:footer="0" w:header="0"/>
          <w:type w:val="continuous"/>
        </w:sectPr>
      </w:pPr>
    </w:p>
    <w:p>
      <w:pPr>
        <w:spacing w:after="0" w:line="162" w:lineRule="exact"/>
        <w:rPr>
          <w:sz w:val="24"/>
          <w:szCs w:val="24"/>
          <w:color w:val="auto"/>
        </w:rPr>
      </w:pPr>
    </w:p>
    <w:p>
      <w:pPr>
        <w:ind w:left="728"/>
        <w:spacing w:after="0"/>
        <w:rPr>
          <w:sz w:val="20"/>
          <w:szCs w:val="20"/>
          <w:color w:val="auto"/>
        </w:rPr>
      </w:pPr>
      <w:r>
        <w:rPr>
          <w:rFonts w:ascii="Courier New" w:cs="Courier New" w:eastAsia="Courier New" w:hAnsi="Courier New"/>
          <w:sz w:val="14"/>
          <w:szCs w:val="14"/>
          <w:color w:val="auto"/>
        </w:rPr>
        <w:t>Registrant's telephone number, including area code: 614-719-5500</w:t>
      </w:r>
    </w:p>
    <w:p>
      <w:pPr>
        <w:spacing w:after="0" w:line="187"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368"/>
          </w:cols>
          <w:pgMar w:left="232" w:top="233" w:right="1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TITLE OF EACH CLASS</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808"/>
        <w:spacing w:after="0"/>
        <w:rPr>
          <w:sz w:val="20"/>
          <w:szCs w:val="20"/>
          <w:color w:val="auto"/>
        </w:rPr>
      </w:pPr>
      <w:r>
        <w:rPr>
          <w:rFonts w:ascii="Courier New" w:cs="Courier New" w:eastAsia="Courier New" w:hAnsi="Courier New"/>
          <w:sz w:val="14"/>
          <w:szCs w:val="14"/>
          <w:color w:val="auto"/>
        </w:rPr>
        <w:t>Common Shares, Without Par Value</w:t>
      </w:r>
    </w:p>
    <w:p>
      <w:pPr>
        <w:spacing w:after="0" w:line="14"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(28,513,006 Common Shares</w:t>
      </w:r>
    </w:p>
    <w:p>
      <w:pPr>
        <w:spacing w:after="0" w:line="4" w:lineRule="exact"/>
        <w:rPr>
          <w:sz w:val="24"/>
          <w:szCs w:val="24"/>
          <w:color w:val="auto"/>
        </w:rPr>
      </w:pPr>
    </w:p>
    <w:p>
      <w:pPr>
        <w:ind w:left="808"/>
        <w:spacing w:after="0"/>
        <w:rPr>
          <w:sz w:val="20"/>
          <w:szCs w:val="20"/>
          <w:color w:val="auto"/>
        </w:rPr>
      </w:pPr>
      <w:r>
        <w:rPr>
          <w:rFonts w:ascii="Courier New" w:cs="Courier New" w:eastAsia="Courier New" w:hAnsi="Courier New"/>
          <w:sz w:val="14"/>
          <w:szCs w:val="14"/>
          <w:color w:val="auto"/>
        </w:rPr>
        <w:t>outstanding at December 1, 1999)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5"/>
          <w:szCs w:val="15"/>
          <w:color w:val="auto"/>
        </w:rPr>
        <w:t>NAME OF EACH EXCHANGE</w:t>
      </w:r>
    </w:p>
    <w:p>
      <w:pPr>
        <w:spacing w:after="0" w:line="3"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5"/>
          <w:szCs w:val="15"/>
          <w:color w:val="auto"/>
        </w:rPr>
        <w:t>ON WHICH REGISTERED</w:t>
      </w:r>
    </w:p>
    <w:p>
      <w:pPr>
        <w:spacing w:after="0" w:line="3"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4"/>
          <w:szCs w:val="14"/>
          <w:color w:val="auto"/>
        </w:rPr>
        <w:t>New York Stock Exchange</w:t>
      </w:r>
    </w:p>
    <w:p>
      <w:pPr>
        <w:spacing w:after="0" w:line="546" w:lineRule="exact"/>
        <w:rPr>
          <w:sz w:val="24"/>
          <w:szCs w:val="24"/>
          <w:color w:val="auto"/>
        </w:rPr>
      </w:pPr>
    </w:p>
    <w:p>
      <w:pPr>
        <w:sectPr>
          <w:pgSz w:w="11900" w:h="16838" w:orient="portrait"/>
          <w:cols w:equalWidth="0" w:num="2">
            <w:col w:w="6948" w:space="720"/>
            <w:col w:w="2700"/>
          </w:cols>
          <w:pgMar w:left="232" w:top="233" w:right="1299" w:bottom="1440" w:gutter="0" w:footer="0" w:header="0"/>
          <w:type w:val="continuous"/>
        </w:sectPr>
      </w:pPr>
    </w:p>
    <w:p>
      <w:pPr>
        <w:spacing w:after="0" w:line="16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8" w:lineRule="exact"/>
        <w:rPr>
          <w:sz w:val="24"/>
          <w:szCs w:val="24"/>
          <w:color w:val="auto"/>
        </w:rPr>
      </w:pPr>
    </w:p>
    <w:p>
      <w:pPr>
        <w:ind w:left="8" w:right="3160"/>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7" w:lineRule="exact"/>
        <w:rPr>
          <w:sz w:val="24"/>
          <w:szCs w:val="24"/>
          <w:color w:val="auto"/>
        </w:rPr>
      </w:pPr>
    </w:p>
    <w:p>
      <w:pPr>
        <w:ind w:left="8" w:right="3160"/>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7" w:lineRule="exact"/>
        <w:rPr>
          <w:sz w:val="24"/>
          <w:szCs w:val="24"/>
          <w:color w:val="auto"/>
        </w:rPr>
      </w:pPr>
    </w:p>
    <w:p>
      <w:pPr>
        <w:ind w:left="8" w:right="3420"/>
        <w:spacing w:after="0" w:line="243" w:lineRule="auto"/>
        <w:rPr>
          <w:sz w:val="20"/>
          <w:szCs w:val="20"/>
          <w:color w:val="auto"/>
        </w:rPr>
      </w:pPr>
      <w:r>
        <w:rPr>
          <w:rFonts w:ascii="Courier New" w:cs="Courier New" w:eastAsia="Courier New" w:hAnsi="Courier New"/>
          <w:sz w:val="15"/>
          <w:szCs w:val="15"/>
          <w:color w:val="auto"/>
        </w:rPr>
        <w:t>The aggregate market value of the common shares held by non-affiliates of the registrant at December 1, 1999 was $717,019,251.</w:t>
      </w:r>
    </w:p>
    <w:p>
      <w:pPr>
        <w:spacing w:after="0" w:line="175"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420"/>
        <w:spacing w:after="0" w:line="244" w:lineRule="auto"/>
        <w:rPr>
          <w:sz w:val="20"/>
          <w:szCs w:val="20"/>
          <w:color w:val="auto"/>
        </w:rPr>
      </w:pPr>
      <w:r>
        <w:rPr>
          <w:rFonts w:ascii="Courier New" w:cs="Courier New" w:eastAsia="Courier New" w:hAnsi="Courier New"/>
          <w:sz w:val="15"/>
          <w:szCs w:val="15"/>
          <w:color w:val="auto"/>
        </w:rPr>
        <w:t>PORTIONS OF THE PROXY STATEMENT FOR REGISTRANT'S 2000 ANNUAL MEETING OF SHAREHOLDERS TO BE HELD FEBRUARY 15, 2000, ARE INCORPORATED BY REFERENCE INTO PART III HEREOF.</w:t>
      </w:r>
    </w:p>
    <w:p>
      <w:pPr>
        <w:spacing w:after="0" w:line="1"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368"/>
          </w:cols>
          <w:pgMar w:left="232" w:top="233" w:right="129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The Scotts Company (with our subsidiaries, "we" or "Scotts"), is among the most widely recognized marketers and manufacturers of products for lawns, gardens, professional turf and horticulture. Our Turf Builder(R) (for consumer lawn care), Miracle-Gro(R) (for consumer garden care), Osmocote(R) (for professional horticulture) and Ortho(R) (for consumer herbicides and disease-control products) brands command market shares more than double those of the next ranked competitors, in the referenced consumer or professional subgroup. In addition, pursuant to an agreement with Monsanto Company, we have exclusive international agency and marketing rights to Monsanto's consumer Roundup(R) herbicide products. In the United Kingdom, our brands include: Weedol(R) and Pathclear(R) consumer herbicides; the Evergreen(R) lawn fertilizer line; the Levington(R) line of lawn and garden products; and Miracle-Gro(R) plant fertilizer. Our brands in continental Europe include KB(R) and Fertiligene(R) in France and NexaLotte(R) and Celaflor(R) in Germany. Our long history of technical innovation, reputation for quality and service and marketing tailored to the needs of do-it-yourself consumers, and professionals, have enabled us to maintain market share leadership in our markets while delivering consistent sales growth.</w:t>
      </w:r>
    </w:p>
    <w:p>
      <w:pPr>
        <w:spacing w:after="0" w:line="185" w:lineRule="exact"/>
        <w:rPr>
          <w:sz w:val="20"/>
          <w:szCs w:val="20"/>
          <w:color w:val="auto"/>
        </w:rPr>
      </w:pPr>
    </w:p>
    <w:p>
      <w:pPr>
        <w:ind w:right="980"/>
        <w:spacing w:after="0" w:line="244" w:lineRule="auto"/>
        <w:rPr>
          <w:sz w:val="20"/>
          <w:szCs w:val="20"/>
          <w:color w:val="auto"/>
        </w:rPr>
      </w:pPr>
      <w:r>
        <w:rPr>
          <w:rFonts w:ascii="Courier New" w:cs="Courier New" w:eastAsia="Courier New" w:hAnsi="Courier New"/>
          <w:sz w:val="15"/>
          <w:szCs w:val="15"/>
          <w:color w:val="auto"/>
        </w:rPr>
        <w:t>Domestic operating subsidiaries include: Hyponex Corporation, Scotts-Sierra Horticultural Products Company, Republic Tool &amp; Manufacturing Corp., and Scotts Miracle-Gro Products, Inc. International operating subsidiaries include: Scotts Canada Ltd. (Canada), Scotts Asef BVBA (Belgium), Scotts Horticulture Ltd. (Ireland), Scotts France SAS (France), Scotts Celaflor GmbH &amp; Co. KG (Germany), Celaflor HG (Austria), ASEF BV and Scotts Europe BV (Netherlands), and The Scotts Company (UK) Ltd. and Phostrogen Limited (United Kingdom).</w:t>
      </w:r>
    </w:p>
    <w:p>
      <w:pPr>
        <w:spacing w:after="0" w:line="178"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Do-it-yourself consumers, and professionals, purchase through different distribution channels and have different information and product needs. To address all of our customers' needs and the increasingly international nature of our business, we now have six business groups comprised of Consumer Lawns, Consumer Gardens, Consumer Growing Media and Consumer Ortho (together, the "North American Consumer Business Group"), the Professional Business Group and the International Business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BUSINESS SEGMENTS</w:t>
      </w:r>
    </w:p>
    <w:p>
      <w:pPr>
        <w:spacing w:after="0" w:line="178"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During fiscal 1999, we operated in three principal business segments: (1) North American Consumer Business Group, which includes products of the Consumer Lawns, Consumer Gardens, Consumer Growing Media and Consumer Ortho groups, sold in the United States and Canada; (2) Professional Business Group, including products of the ProTurf(R) and Horticulture groups, sold in the United States and Canada; and (3) International Business Group. The following chart shows, for fiscal 1999, each segment's contribution to consolidated sales and operating income before general corporate expenses: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PERCENT OF FISCAL</w:t>
      </w:r>
    </w:p>
    <w:p>
      <w:pPr>
        <w:spacing w:after="0" w:line="3"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YEAR 1999</w:t>
      </w:r>
    </w:p>
    <w:p>
      <w:pPr>
        <w:spacing w:after="0" w:line="3"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CONSOLIDATED SALES</w:t>
      </w:r>
    </w:p>
    <w:p>
      <w:pPr>
        <w:spacing w:after="0" w:line="4"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jc w:val="right"/>
              <w:ind w:right="4345"/>
              <w:spacing w:after="0"/>
              <w:rPr>
                <w:sz w:val="20"/>
                <w:szCs w:val="20"/>
                <w:color w:val="auto"/>
              </w:rPr>
            </w:pPr>
            <w:r>
              <w:rPr>
                <w:rFonts w:ascii="Courier New" w:cs="Courier New" w:eastAsia="Courier New" w:hAnsi="Courier New"/>
                <w:sz w:val="15"/>
                <w:szCs w:val="15"/>
                <w:color w:val="auto"/>
                <w:w w:val="98"/>
              </w:rPr>
              <w:t>North American Consumer</w:t>
            </w:r>
          </w:p>
        </w:tc>
        <w:tc>
          <w:tcPr>
            <w:tcW w:w="900" w:type="dxa"/>
            <w:vAlign w:val="bottom"/>
          </w:tcPr>
          <w:p>
            <w:pPr>
              <w:spacing w:after="0"/>
              <w:rPr>
                <w:sz w:val="14"/>
                <w:szCs w:val="14"/>
                <w:color w:val="auto"/>
              </w:rPr>
            </w:pPr>
          </w:p>
        </w:tc>
      </w:tr>
      <w:tr>
        <w:trPr>
          <w:trHeight w:val="173"/>
        </w:trPr>
        <w:tc>
          <w:tcPr>
            <w:tcW w:w="6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Business Group................................................</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3"/>
        </w:trPr>
        <w:tc>
          <w:tcPr>
            <w:tcW w:w="64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9"/>
              </w:rPr>
              <w:t>Professional Business Group......................................</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64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9"/>
              </w:rPr>
              <w:t>International Business Group.....................................</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351"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Financial information on our segments for the three years ended September 30, 1999, is presented in Note 20 of the Notes to Consolidated Financial Statements, which are included under Item 8 of this Form 10-K.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PERCENT OF FISCAL</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YEAR 1999</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OPERATING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CORPORATE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right"/>
        <w:ind w:right="800"/>
        <w:spacing w:after="0"/>
        <w:rPr>
          <w:sz w:val="20"/>
          <w:szCs w:val="20"/>
          <w:color w:val="auto"/>
        </w:rPr>
      </w:pPr>
      <w:r>
        <w:rPr>
          <w:rFonts w:ascii="Courier New" w:cs="Courier New" w:eastAsia="Courier New" w:hAnsi="Courier New"/>
          <w:sz w:val="15"/>
          <w:szCs w:val="15"/>
          <w:color w:val="auto"/>
        </w:rPr>
        <w:t>75%</w:t>
      </w:r>
    </w:p>
    <w:p>
      <w:pPr>
        <w:spacing w:after="0" w:line="3" w:lineRule="exact"/>
        <w:rPr>
          <w:sz w:val="20"/>
          <w:szCs w:val="20"/>
          <w:color w:val="auto"/>
        </w:rPr>
      </w:pPr>
    </w:p>
    <w:p>
      <w:pPr>
        <w:jc w:val="right"/>
        <w:ind w:right="80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jc w:val="right"/>
        <w:ind w:right="8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2">
            <w:col w:w="8100" w:space="720"/>
            <w:col w:w="2260"/>
          </w:cols>
          <w:pgMar w:left="240" w:top="291" w:right="5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AMERICAN CONSUMER BUSINESS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consumer products include: lawn fertilizers, lawn fertilizer combination products and lawn control products, garden tools, walk-behind and riding mowers, grass seed, lawn spreaders and lawn and garden carts; garden and indoor plant care products; potting soils and other growing media products; and pesticides (including herbicides, insecticides and fungicides).</w:t>
      </w:r>
    </w:p>
    <w:p>
      <w:pPr>
        <w:spacing w:after="0" w:line="177"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Consumer Lawns Products. Among Scotts' most important consumer products are lawn fertilizers, such as Scotts Turf Builder(R), and lawn fertilizer combination products, such as Scotts Turf Builder(R) with Plus 2(R)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 and non-controlled-release products. Some of Scotts' products are specially formulated for geographical differences and some, such as Bonus(R) S (to control weeds in Southern grasses), are distributed to limited areas. Lawn control products prevent or control lawn problems and contain no fertilizer component. These control products include Scotts(R) Halts(R) Crabgrass Preventer, Scotts(R) Lawn Fungus Control, Scotts(R) Moss Control Granules, Scotts(R) Diazinon Lawn Insect Control and GrubEx(R) Season Long Grub Control. Scotts also sells a line of Miracle-Gro(R) lawn fertilizers, including Miracle-Gro(R) Lawn Fertilizer and Miracle-Gro(R) Weed and Feed. Scotts' lawn fertilizers, combination products and control products are sold in dry, granular form.</w:t>
      </w:r>
    </w:p>
    <w:p>
      <w:pPr>
        <w:spacing w:after="0" w:line="34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Scotts also sells numerous varieties and blends of high quality grass seed, many of them proprietary, designed for different uses and geographies.</w:t>
      </w:r>
    </w:p>
    <w:p>
      <w:pPr>
        <w:spacing w:after="0" w:line="176"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Because Scotts' granular lawn care products perform best when applied evenly and accurately, Scotts sells a line of lawn spreaders specifically manufactured and developed for use with its products. For fiscal 1999, this line included three sizes each of SpeedyGreen(R) rotary spreaders and AccuGreen(R) drop spreaders, and the HandyGreen(R) II hand-held rotary spreaders, all marketed under the Scotts(R) brand name. Management estimates that for the period January through September 1999, Scotts' share of the U.S. do-it-yourself consumer lawn fertilizer and combination products, grass seed (includes PatchMaster(R) products) and spreaders market was approximately 48%. Durables (which include spreaders and lawn and garden carts) are manufactured by Republic Tool.</w:t>
      </w:r>
    </w:p>
    <w:p>
      <w:pPr>
        <w:spacing w:after="0" w:line="163" w:lineRule="exact"/>
        <w:rPr>
          <w:sz w:val="20"/>
          <w:szCs w:val="20"/>
          <w:color w:val="auto"/>
        </w:rPr>
      </w:pPr>
    </w:p>
    <w:p>
      <w:pPr>
        <w:jc w:val="both"/>
        <w:ind w:right="3379"/>
        <w:spacing w:after="0" w:line="262" w:lineRule="auto"/>
        <w:rPr>
          <w:sz w:val="20"/>
          <w:szCs w:val="20"/>
          <w:color w:val="auto"/>
        </w:rPr>
      </w:pPr>
      <w:r>
        <w:rPr>
          <w:rFonts w:ascii="Courier New" w:cs="Courier New" w:eastAsia="Courier New" w:hAnsi="Courier New"/>
          <w:sz w:val="14"/>
          <w:szCs w:val="14"/>
          <w:color w:val="auto"/>
        </w:rPr>
        <w:t>Scotts has a licensing agreement in place with Union Tools, Inc. under which Union Tools, in return for the payment of royalties, is granted the right to produce and market a line of garden tools bearing the Scotts(R) trademark.</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also is a party to a licensing agreement with American Lawn Mower Company under which American Lawn Mower, in return for the payment of royalties, is granted the right to produce and market a line of push-type walk-behind lawn mowers bearing the Scotts(R) trademark. Also, Scotts is a party to a licensing agreement with Home Depot U.S.A., Inc. and Murray, Inc. under which, in return for the payment of royalties, Home Depot markets a line of motorized, walk-behind lawnmowers bearing the Scotts(R) trademark, with the mowers currently manufactured by Murray. These mowers are sold exclusively through Home Depot retail stores. In management's estimation, Scotts did not have a material share of the markets for these products in fiscal 1999.</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wholly-owned subsidiary OMS Investments, Inc. is a party to a licensing agreement with Home Depot and Deere &amp; Company, under which, in return for the payment of royalties to OMS, Home Depot markets a line of high quality, riding/tractor lawnmowers bearing the Scotts(R) trademark, with the mowers currently manufactured by Deere. These mowers are sold exclusively through Home Depot retail stores in Canada and the United States.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Consumer Lawns Business Group has used Scotts(R) and Miracle-Gro(R) consumer brand recognition to market "Scotts LawnService(R)". In January 1995, Scotts entered into a licensing agreement with a lawn care service company, Emerald Green Lawn Service, which allows Emerald Green to use the Scotts(R) name and logo in its marketing efforts.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Emerald Green applies Scotts(R) products exclusively. Through October 1998, Scotts increased its equity interest in Emerald Green from 28% to 84%, and re-positioned the business in the premium lawn and garden services segment. Scotts LawnService(R) provides applications of lawn and garden fertilizer and control products, and tree/shrub care services. During fiscal 1999, Scotts re-branded the business as Scotts LawnService(R) in some existing Emerald Green markets and expanded to several new markets. The business ended fiscal 1999 with Scotts LawnService(R) in 12 markets, and 22 franchised outlets marketed as Emerald Green Lawn Service featuring Scotts(R) and Miracle-Gro(R) products. The strategy in fiscal 1999 was to refine the operations model and measure the equity transfer of the Scotts(R) brands into this premium segment. The fiscal 2000 strategy will be similar with moderate expansion of the business planned through owned or franchised locations, while applying market knowledge to optimize opportunities in this service industry.</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Consumer Gardens Products. Scotts sells a complete line of water-soluble fertilizers under the Miracle-Gro(R) brand name. These products are primarily used for garden fertilizer application. Scotts also produces and sells a line of boxed Scotts(R) plant foods, garden and landscape fertilizers, Osmocote(R) controlled-release garden fertilizers, hose-end feeders and houseplant fertilizer products.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Consumer Gardens Business Group, through Scotts Miracle-Gro, markets and distributes the country's leading line of water-soluble plant foods, by market share. These products are designed to be dissolved in water, creating a dilute nutrient solution which is poured over plants or sprayed through an applicator and rapidly absorbed by their roots and leaves.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by market share. Other water-soluble plant foods in the product line include Miracid(R) for acid loving plants, Miracle-Gro(R) for Roses, Miracle-Gro(R) for Tomatoes, Miracle-Gro(R) for Lawns and Miracle-Gro(R) Bloom Booster(R) for flowers. Scotts Miracle-Gro also sells a line of hose-end applicators for water-soluble plant foods, through the Miracle-Gro(R) No-Clog Garden and Lawn Feeder line, which allow consumers to apply water-soluble fertilizers to large areas quickly and easily with no mixing or measuring required. Scotts Miracle-Gro also markets a line of products for houseplant use including Liquid Miracle-Gro(R), African Violet Food, Plant Food Spikes, Leaf Shine and Orchid Food.</w:t>
      </w:r>
    </w:p>
    <w:p>
      <w:pPr>
        <w:spacing w:after="0" w:line="180"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Management estimates that for the period January through September 1999, Scotts' share of the garden fertilizer market was 60%, and its share of the indoor plant foods market was approximately 32%.</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Consumer Growing Media Products. The Consumer Growing Media Business Group, through Hyponex, sells a complete line of growing media products for indoor and outdoor uses under the Miracle-Gro(R), Scotts(R), Hyponex(R), Earthgro(R), Peters Professional(R), 1881 Select(R) and other labels. These products include retail potting soils, topsoil, humus, peat, manures, soil conditioners, barks and mulches. Products are primarily regionally formulated to respond to varying consumer expectations and to utilize the suitable but varying raw materials available in different areas of the country.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estimates that for the period January through September 1999, it had approximately a 32% market share of the consumer large-bag outdoor landscaping products market, and approximately a 49% market share of the consumer potting soils market.</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Consumer Ortho(R) Products. The new Consumer Ortho Business Group markets weed control, insect control and plant disease control products under the Ortho(R) brand name. The Ortho(R) product line includes over 150 different items that solve outdoor pest problems faced by consumers. Ortho(R) products are available in aerosol, liquid ready-to-use, concentrated, granular and dust forms in a wide variety of sizes and delivery systems. This Group acts as the exclusive agent to market and manage Monsanto's consumer Roundup(R) brand of non-selective weed control in the United States. Roundup(R) is sold in aerosol, liquid ready-to-use, concentrated and super-concentrated forms and is the leading brand of consumer non-selective weed control, by market share, in the United States, Germany, France, Australia, Denmark, Sweden, Norway, Belgium, Austria and Japan.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Ortho(R) weed control products are led by its Weed-B-Gon(R) herbicide - the leading selective consumer herbicide brand in the United States, by market share. In addition, this Group sells products in the brush control segment (Brush-B-Gon(R)) and total vegetation control segment (Triox(R)) of the weed control market. Total vegetation controls eliminate existing weeds and grasses and prevent growth in a treated area for up to one year.</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Consumer Ortho Business Group markets insect control products for outdoor and indoor use. Outdoor insect control products include general insect control under the Ortho(R), Bug-B-Gon(R), Diazinon Ultra(TM), Diazinon Plus(R), Dursban(TM) (owned by Dow Agrosciences), Malathion 50 Plus(R), Isotox(R) and Orthene(R) brand names. Because consumer satisfaction depends on easy and accurate application of these products, this Group also markets a line of applicators under the Ortho(R), Lock 'n Spray(R), Spray-ette(R), Dial 'n Spray(R), Whirlybird(R) and Pull 'n Spray(TM) brands.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Ortho(R) outdoor line also includes specialty insect control products under the Ortho(R), RosePride(R), Ortho-Klor(R), Ant-Stop(R) and Orthene(R) Fire Ant control brands. Specialty outdoor products include a line of snail and slug brands under the Bug-Geta(R) and Bug-Geta(R) Plus brand names. There is also a line of indoor insect control products under the Ortho(R) Home Defense(TM), Flea-B-Gon(R) and Ant-Stop(R) brand names.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Separately, the Ortho(R) product line includes items that control common diseases on lawns, roses, ornamental and vegetable gardens, and sensitive trees and shrubs. Several of these disease control products also control insects. These products are sold under the Ortho(R), Orthenex(R), Funginex(R) (owned by American Cyanamid Company) and Daconil 2787(TM) (owned by ISK Biosciences) brand names. The Group also markets a limited line of fertilizers under the Greensweep(R) and Up-Start(R) brands.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Ortho(R) product line is typically formulated with proprietary active ingredients sourced from the world's largest agricultural and specialty chemical manufacturers. A number of the packaging systems used in the line are unique, including the Lock 'n Spray(R) hose-end dispensing system.</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Management estimates that for the period January through September 1999, brands marketed by this Group had a combined share of the U.S. consumer lawn and garden chemicals segment of approximately 36%.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believes that it has achieved its leading position, by market share, in the U.S. consumer do-it-yourself lawn care and garden markets, on the basis of its strong marketing and advertising programs, its sophisticated technology, the superior quality and value of its products and the service it provides its customers. Scotts seeks to maintain and expand its market position by emphasizing these qualities and taking advantage of the name and reputation of its many strong brands such as Scotts(R), Miracle-Gro(R), Ortho(R) and Hyponex(R).</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is the leader, by market share, in the lawn, garden and growing media sections of the growing lawn and garden market. U.S. population trends indicate that the consumer segment age of 40 and older, who represent the largest group of lawn and garden product users, will grow by 28% from 1996 to 2010, a growth rate more than twice that of the total population.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Drawing upon its strong research and development capabilities, Scotts intends to continue to develop and introduce new and innovative lawn and garden products. Scotts believes that its ability to introduce successful new consumer products has been an important element in Scotts' growth. New consumer products in recent years include: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1997</w:t>
      </w:r>
    </w:p>
    <w:p>
      <w:pPr>
        <w:spacing w:after="0" w:line="3"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908" w:right="3099" w:hanging="817"/>
        <w:spacing w:after="0" w:line="243" w:lineRule="auto"/>
        <w:tabs>
          <w:tab w:leader="none" w:pos="9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Scotts(R) potting soils and a complete line of indoor soil amendments such as vermiculite, perlite and charcoal in resealable stand-up bags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1998</w:t>
      </w:r>
    </w:p>
    <w:p>
      <w:pPr>
        <w:spacing w:after="0" w:line="3"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08" w:right="3019" w:hanging="817"/>
        <w:spacing w:after="0" w:line="262" w:lineRule="auto"/>
        <w:tabs>
          <w:tab w:leader="none" w:pos="908"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No-Clog-4 in 1(R), which allows for sprinkler feeding of fertilizer for gardens and lawns - a new line of Miracle-Gro(R) potting soil mix and soil amendment products - an expanded assortment of professional nursery quality potting soil mixes for consumers under</w:t>
      </w:r>
    </w:p>
    <w:p>
      <w:pPr>
        <w:spacing w:after="0" w:line="1" w:lineRule="exact"/>
        <w:rPr>
          <w:sz w:val="20"/>
          <w:szCs w:val="20"/>
          <w:color w:val="auto"/>
        </w:rPr>
      </w:pPr>
    </w:p>
    <w:p>
      <w:pPr>
        <w:ind w:left="8" w:right="4999" w:firstLine="902"/>
        <w:spacing w:after="0" w:line="243" w:lineRule="auto"/>
        <w:rPr>
          <w:sz w:val="20"/>
          <w:szCs w:val="20"/>
          <w:color w:val="auto"/>
        </w:rPr>
      </w:pPr>
      <w:r>
        <w:rPr>
          <w:rFonts w:ascii="Courier New" w:cs="Courier New" w:eastAsia="Courier New" w:hAnsi="Courier New"/>
          <w:sz w:val="15"/>
          <w:szCs w:val="15"/>
          <w:color w:val="auto"/>
        </w:rPr>
        <w:t>the Scotts Pro Gro(TM) and Miracle-Gro(R) brands FISCAL 1999</w:t>
      </w:r>
    </w:p>
    <w:p>
      <w:pPr>
        <w:spacing w:after="0" w:line="2"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08" w:right="3199" w:hanging="817"/>
        <w:spacing w:after="0" w:line="244" w:lineRule="auto"/>
        <w:tabs>
          <w:tab w:leader="none" w:pos="90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 Flower Seeding Mix, a pre-mixed combination of flower seed, fertilizer and mulch - Miracle-Gro(R) Bloom Booster(R), a fertilizer for flowers - three varieties of Miracle-Gro(R) Tree and Shrub Fertilizer Spikes, a fertilizer for outdoor trees and shrubs - Scotts(R) Master Collection, a slow-release fertilizer for outdoor plant use</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fiscal 2000, Scotts plans to introduce: the Pure Premium(TM) line of Scotts(R) grass seed for consumer use; Miracle-Gro(R) Garden Weed Prevent(TM) and Miracle-Gro(R) Garden Weed Prevent and Plant Food(TM), which contain a pre-emergent herbicide for outdoor gardening; and Miracle-Gro(R) Garden Soils, a premium line of outdoor planting soils.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Scotts also seeks to capitalize upon the competitive advantages stemming from its leading market share positions, and ability to act as a nationwide supplier of a full line of consumer lawn and garden products. Scotts believes that this gives it an advantage in selling to retailers, who value the efficiency of dealing with a limited number of suppliers with high-recognition consumer brands.</w:t>
      </w:r>
    </w:p>
    <w:p>
      <w:pPr>
        <w:spacing w:after="0" w:line="177"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4"/>
          <w:szCs w:val="14"/>
          <w:color w:val="auto"/>
        </w:rPr>
        <w:t>During 1999, Scotts continued to strengthen its relationship with key retailers by establishing business development teams at Home Depot, Lowe's, the U.S. military, and hardware co-operatives. Teams at Wal*Mart and Kmart had previously been established during fiscal 1998. The business development teams work closely with these retailers, who represent over 75% of sales volume for the North American Consumer Business Group. The teams assist in all areas of business including category management, product mix, merchandising, shelving and pricing. Additionally, Scotts is a recognized source of consumer data that assists retailers in identifying retail trends, which can lead to increased store sales.</w:t>
      </w:r>
    </w:p>
    <w:p>
      <w:pPr>
        <w:spacing w:after="0" w:line="16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Also, Scotts has formed a North American sales management team for fiscal 2000, to coordinate customer programs, customer service, and retailer education programs, offered by the North American Consumer Business Group.</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MARKETING, PROMOTION AND BUSINESS STRATEGY</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Consumer Lawns products are sold by an approximate 100-person direct sales force to headquarters of national, regional and local retail chains. This sales force, most of whom have college degrees and prior sales experience, also recruits and supervises approximately 335 seasonal part-time merchandisers and 65 part-time year-round merchandisers in connection with Scotts' emphasis on in-store retail merchandising of lawn and garden products, a strategy Scotts intends to continue for fiscal 2000. Most retail sales of Scotts' lawn products occur on weekends during the Spring and Fall. The Consumer Lawns Business Group also employs distributors on a selective basis.</w:t>
      </w:r>
    </w:p>
    <w:p>
      <w:pPr>
        <w:spacing w:after="0" w:line="179"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For fiscal 1999, Consumer Gardens products were sold to a network of hardware and lawn and garden wholesale distributors, with sales made directly to some retailers. Most retail sales of Consumer Gardens products occur on or near weekends during Spring and early Summer. In addition, Miracle-Gro(R) products are sold directly to some retailers. For fiscal 2000, the sales force for Consumer Gardens and Ortho(R) products were combined, for sales to retail home center stores.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Consumer Growing Media Business Group utilizes a 22-person direct sales force to cover the headquarters of national and regional chains, local accounts of significant size and distributors who sell to smaller accounts. The Consumer Growing Media Business Group's sales force hires and directs a network of outside merchandising service companies to provide seasonal in-store retail merchandising and re-order support on a national basis. Most retail sales of Consumer Growing Media landscape products occur on weekends during late Spring, while value-added products sell year-round.</w:t>
      </w:r>
    </w:p>
    <w:p>
      <w:pPr>
        <w:spacing w:after="0" w:line="17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For fiscal 1999, Ortho(R) brands were sold to the headquarters of the largest 25 retail customers through a 32-person direct salesforce, who work with the Consumer Ortho Business Group's largest customers to secure retail placement for Ortho(R) brands as well as ongoing promotional and cooperative advertising support. Prior to fiscal 2000, Ortho(R) and Roundup(R) products were distributed under an exclusive distribution agreement with Central Garden &amp; Pet Company.</w:t>
      </w:r>
    </w:p>
    <w:p>
      <w:pPr>
        <w:sectPr>
          <w:pgSz w:w="11900" w:h="16838" w:orient="portrait"/>
          <w:cols w:equalWidth="0" w:num="1">
            <w:col w:w="10227"/>
          </w:cols>
          <w:pgMar w:left="232" w:top="291" w:right="1440" w:bottom="728" w:gutter="0" w:footer="0" w:header="0"/>
        </w:sectPr>
      </w:pPr>
    </w:p>
    <w:p>
      <w:pPr>
        <w:spacing w:after="0" w:line="16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728"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Scotts assumed the agreement with Central Garden, as part of the Ortho acquisition. After the Central Garden agreement expired in September 1999, Scotts began distributing Ortho(R) and Roundup(R) products in a manner similar to its other lawn and garden products. This system involves a combination of distributors, of which the largest is Central Garden, as well as direct sales by Scotts to some major retailers. The terms of the Central Garden agreement are complex and involve transfers of large amounts of Ortho(R) and Roundup(R) product inventory and the related accounts receivable and accounts payable. Scotts, Monsanto and Central Garden have begun preliminary discussions addressing issues related to the termination of the agreement and to the resolution of items relating to Central Garden for purposes of determining the normalized working capital of the Ortho business as of the closing date of the Ortho acquisition on January 21, 1999. For a variety of reasons, including the indemnification provisions contained in the Ortho purchase agreement, Scotts does not believe that the final resolution of the items in dispute among Scotts, Monsanto and Central Garden will have a material adverse effect on Scotts.</w:t>
      </w:r>
    </w:p>
    <w:p>
      <w:pPr>
        <w:spacing w:after="0" w:line="34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Consumer Lawns Business Group continues to support independent retailers with a special line of products, marketed under the Lawn Pro(R) name. These products include the 4-Step program, introduced in 1984, which encourages consumers to purchase four products at one time (fertilizer plus crabgrass preventer, fertilizer plus weed control, fertilizer plus insect control and a special fertilizer for Fall application). Scotts promotes the 4-Step program as providing consumers with all their annual lawn care needs for, on average, less than one-third of what a lawn care service would cost. Scotts believes the Lawn Pro(R) program has helped Scotts to grow its business with independent retailers while they face increasing competition from mass merchandisers and home improvement centers. The Consumer Growing Media Business Group similarly markets a special line of growing media products under the 1881 Select(R) label, to independent retailers on a regional basis.</w:t>
      </w:r>
    </w:p>
    <w:p>
      <w:pPr>
        <w:spacing w:after="0" w:line="182"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Scotts supports its sales efforts with extensive advertising and promotional programs, in furtherance of a consumer "pull" marketing strategy. Because of the importance of the Spring sales season in the marketing of consumer lawn, garden and growing media products, Scotts focuses advertising and promotional efforts on this period. Through advertising and other promotional efforts, Scotts encourages consumers to make the bulk of their lawn, garden and growing media purchases in the early months of Spring in order to moderate the risk to its consumer sales which may result from bad weekend weather. The Consumer Lawns Business Group utilizes radio and television advertising to build consumer product usage in the Fall, a recommended time to plant grass seed and plants. The Consumer Lawns Business Group also promotes a Turf Builder(R) annual program for home centers and mass merchandisers. This program encourages consumers to purchase their entire year's supply of Turf Builder(R) products in early Spring, for application in the early Spring, late Spring, Summer and Fall. The Consumer Growing Media Business Group uses print and television advertising on Miracle-Gro(R) branded products, and a consumer rebate program for selected Hyponex(R) products, to encourage early and multiple purchases in the Spring.</w:t>
      </w:r>
    </w:p>
    <w:p>
      <w:pPr>
        <w:spacing w:after="0" w:line="16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Ortho(R) and Roundup(R) branded products are marketed in a manner similar to Scotts' other consumer brands. Advertising primarily airs on national and regional television and radio programming with supplemental efforts in key markets via spot TV and radio.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Advertising and retail customer promotional efforts, including feature displays, coincide with periods of high seasonal demand.</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percentage of North American Consumer Business Group sales to mass merchandisers, warehouse-type clubs, home improvement centers and large buying groups continues to increase as a percentage of sales. The top ten accounts (which include two buying groups of independent retailers) represented 77% of the North American Consumer Business Group sales in fiscal 1998 and 79% in fiscal 1999.</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 important part of Scotts' sales effort is its national toll-free Consumer Helpline, on which its Consumer Service consultants answer questions about Scotts' products and give general lawn and garden advice to consumers. With the Ortho acquisition, the Consumer Services divisions at Scotts and Ortho were integrated. Scotts' consultants responded to approximately 650,000 telephone and written inquiries in fiscal 1999, which is consistent with the number of inquiries in prior years.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Backing up Scotts' marketing effort is its well-known Scotts No-Quibble Guarantee(TM), instituted in 1958, which promises consumers a full refund if for any reason they are not satisfied with the results after using Scotts' lawn, garden and growing media products. Refunds under this guarantee have consistently amounted to less than 0.4% of net sales for the North American Consumer Business Group on an annual basis.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has an Internet web site at www.scottscompany.com, which provides lawn care and gardening information for consumers, and special sections for the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more than 5,000 gardening questions with answers by NGA's staff horticulturists. The site also provides an e-mail link to Scotts' Consumer Helpline for answers to lawn care questions. The Professional Turf section delivers information for turf managers, by providing Scotts' complete professional product guide, a Technical Representative/distributor locator and information aimed at turf maintenance workers and golf course superintendents. The Professional Horticulture section points nursery and greenhouse growers to their nearest distributor, delivers the latest news from the Horticulture business of the Professional Business Group of Scotts, and directs users to customer service. For the period January through September 1999, the site received approximately 41.7 million "hits", 788,000 user sessions and 20,000 e-mails to Scotts' Consumer Helpline. This represents increases of 232% for the number of "hits", 300% for the number of user sessions, and 90% for the number of e-mails, over the same period in 1998.</w:t>
      </w:r>
    </w:p>
    <w:p>
      <w:pPr>
        <w:spacing w:after="0" w:line="18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fiscal 2000 marketing strategies for the Consumer Lawns Business Group are to continue the efforts begun in prior years to improve Scotts' relationship with consumers and retail customers, including: carefully directed consumer research, to increase understanding of its markets, sales trends and consumer needs; increased media advertising, with continuation of television advertising featuring real-life stories of people's experiences with Scotts(R) products, and of weekend radio advertising emphasizing that "this weekend" is the best time to apply selected Scotts products; simplification of the product line; addressing "just-in-time" customer purchasing through continued use of the "never-out" program by which Scotts builds pre-season inventory of select high-volume products, which enhances Scotts' ability to timely and completely fill customer orders; and use of retail merchandisers to enhance communications with consumers at the point of sale.</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fiscal 2000 marketing strategies for the Consumer Gardens Business Group are to continue: conducting consumer and market research to analyze consumer attitudes and purchase decisions; implementation of packaging improvements; cost-reduction and quality enhancement efforts throughout all product lines; increased national network television advertising; and use of Scotts Miracle-Gro's sales and distribution network for Scotts(R) garden products.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fiscal 2000 strategy for the Consumer Growing Media Business Group is to expand its market share of the potting soil and specialty planting soil market, while maintaining a network of low-cost production facilities for the more commodity-oriented outdoor landscaping products such as topsoil, manures and barks/mulches. Scotts expects to grow its share of the potting and planting soil markets by: developing products and national marketing programs which utilize its Miracle-Gro(R), Scotts(R), Hyponex(R), Peters Professional(R), Earthgro(R) and 1881 Select(R) brand names on high-quality, higher margin growing media products such as potting mixes, with innovative and consumer-preferred packaging; gaining national distribution of Miracle-Gro(R) value-added potting soils; marketing Earthgro(R)-labeled organic landscape products nationally; and conducting consumer research to better understand market needs.</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fiscal 2000 strategy for the Consumer Ortho Business Group is to increase the size of the markets in which it competes and to capture a share of this growth greater than its market share, through: the effective use of media advertising; improved product availability and consumer communication at retail point-of-purchase; and product and packaging improvements to make the products easier to apply with good results. Growth is expected by attracting new users to the categories and by increasing the frequency of use among current users. For fiscal 2000, Scotts established a separate business office in Canada to manage and further develop the Green Cross(R) brand of pesticide products there, and to integrate Scotts' lawns, gardens and growing media businesses with the Green Cross(R) business acquired in the Ortho acquisition. This office will operate as Scotts Canada Ltd.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consumer lawn and garden market is highly competitive. Consumers have a choice of do-it-yourself lawn care or use of a lawn service. In the do-it-yourself lawn care and consumer garden markets, Scotts' products compete primarily against "control-label" products produced by various suppliers and sold by such companies as Home Depot (Vigoro(R)), Lowe's (Sta-Green(R)), Wal*Mart (Sam's American Choice(R)), and Kmart (KGro(R)). "Control-label" products are those sold under a retailer-owned label or a supplier-owned label which is sold exclusively at a retail chain. These products compete across the entire range of Scotts' consumer product line. Some of Scotts' consumer products compete against nationally distributed branded fertilizers, pesticides and combination products marketed by such companies as Lebanon Chemical Corp. (Greenview(R)), United Industries Corporation (Peters(R) water-soluble fertilizers for the consumer market), Vigoro/Pursell Industries (Vigoro(R), Sta-Green(R)), the Bayer/Pursell Industries joint venture (Advanced Garden(TM), Advanced Lawn(TM)), Central Garden (Pennington(R) Seed), and Schultz Co. (Schultz(R) garden fertilizers and potting soils). Competitors in Canada include Nu Gro, So Green and IMC Vigoro.</w:t>
      </w:r>
    </w:p>
    <w:p>
      <w:pPr>
        <w:spacing w:after="0" w:line="18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Based on a study covering the period from 1991 to 1996, management estimates that approximately 15% of all homeowners with lawns use a lawn service. The most significant competitors for the consumer market which uses a lawn service are lawn care service companies. Service Master, which owns the Tru Green Company, ChemLawn(R) and Barefoot Grass(R) lawn care service businesses, operates nationally and is significantly larger than Scotts.</w:t>
      </w:r>
    </w:p>
    <w:p>
      <w:pPr>
        <w:spacing w:after="0" w:line="177" w:lineRule="exact"/>
        <w:rPr>
          <w:sz w:val="20"/>
          <w:szCs w:val="20"/>
          <w:color w:val="auto"/>
        </w:rPr>
      </w:pPr>
    </w:p>
    <w:p>
      <w:pPr>
        <w:jc w:val="both"/>
        <w:ind w:right="3019"/>
        <w:spacing w:after="0" w:line="262" w:lineRule="auto"/>
        <w:rPr>
          <w:sz w:val="20"/>
          <w:szCs w:val="20"/>
          <w:color w:val="auto"/>
        </w:rPr>
      </w:pPr>
      <w:r>
        <w:rPr>
          <w:rFonts w:ascii="Courier New" w:cs="Courier New" w:eastAsia="Courier New" w:hAnsi="Courier New"/>
          <w:sz w:val="14"/>
          <w:szCs w:val="14"/>
          <w:color w:val="auto"/>
        </w:rPr>
        <w:t>Most competitors, with the exception of lawn care service companies, sell their products at prices lower than those of Scotts. Scotts competes primarily on the basis of its strong brand names, consumer advertising campaigns, quality, value, service, convenience and technological innovation. Scotts' competitive position is also supported by its national sales force and its unconditional guarantee.</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There can be no assurance, however, that additional competition from new or existing competitors will not erode Scotts' share of the consumer market or its profit margins.</w:t>
      </w:r>
    </w:p>
    <w:p>
      <w:pPr>
        <w:spacing w:after="0" w:line="175"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Scotts' Consumer Growing Media business faces primarily regional competitors who are able to compete very effectively on the basis of price in the areas near their plants where they can reach customers with a lower cost of freight. The low cost of entry to establish a commodity organics bagging facility and the ready availability of raw materials make it likely that the large-bag outdoor market will remain price competitive and lower margin into the future. Customers require short lead-times, with very high on-time and complete fill rates. These demands, combined with the high cost of freight, require the Consumer Growing Media business to continually evaluate production locations to reduce costs.</w:t>
      </w:r>
    </w:p>
    <w:p>
      <w:pPr>
        <w:spacing w:after="0" w:line="16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Consumer Ortho Business Group operates in highly competitive markets against a large number of national and regional brands as well as retailer-supported private or "control" labels. Given the large number of distinct market segments and product types coupled with limited shelf space, retailer customers often are forced to limit listings in any one product to two or three manufacturers. This typically means one to two national brands, a regional brand and/or a private label offering. Ortho's principal national competitors include: United Industries Corporation (Spectracide(R), Hot Shot(R)), the Bayer/Pursell Industries joint venture (Advanced Garden(TM), Advanced Lawn(TM) pesticide line), American Cyanamid Company (Amdro(R)) and Enforcer Products, Inc. (Enforcer(R)). Regional competitors include: The Chas. H. Lilly Co. (Lilly-Miller(R)), Green Light Company (Green Light(R)), Sunnyland, Bonide Products, Inc. (Bonide(TM)) and Farnam Companies, Inc. (Security(R) and Finale(TM)). Customers with significant private label programs include: Wal*Mart, Kmart, Home Depot, Lowe's, Tru-Serv and Ace Hardware. The Consumer Ortho Business Group currently does not provide private label products to any of its customers.</w:t>
      </w:r>
    </w:p>
    <w:p>
      <w:pPr>
        <w:spacing w:after="0" w:line="18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Roundup(R) competitors include United Industries Corporation (Spectracide(R)), Enforcer Products, Inc. (Enforcer(R)), Farnam Companies, Inc. (Security (R) and Finale(TM)) and private label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majority of annual consumer product orders (other than Consumer Growing Media products which are normally ordered in season on an "as needed" basis) are received from retailers during the months of October through April and are shipped during the months of January through April. As of November 26, 1999, orders on hand for retailers (excluding orders for Consumer Growing Media products) totaled approximately $67.1 million compared to approximately $53.6 million on the same date in fiscal 1998. All such orders are expected to be filled in fiscal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8" w:lineRule="exact"/>
        <w:rPr>
          <w:sz w:val="20"/>
          <w:szCs w:val="20"/>
          <w:color w:val="auto"/>
        </w:rPr>
      </w:pPr>
    </w:p>
    <w:p>
      <w:pPr>
        <w:jc w:val="both"/>
        <w:ind w:right="3019"/>
        <w:spacing w:after="0" w:line="262" w:lineRule="auto"/>
        <w:rPr>
          <w:sz w:val="20"/>
          <w:szCs w:val="20"/>
          <w:color w:val="auto"/>
        </w:rPr>
      </w:pPr>
      <w:r>
        <w:rPr>
          <w:rFonts w:ascii="Courier New" w:cs="Courier New" w:eastAsia="Courier New" w:hAnsi="Courier New"/>
          <w:sz w:val="14"/>
          <w:szCs w:val="14"/>
          <w:color w:val="auto"/>
        </w:rPr>
        <w:t>Scotts sells its professional products to golf courses, commercial nurseries and greenhouses, schools and sportsfields, multi-family housing complexes, business and industrial sites, lawn and landscape services and specialty crop growers.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Professional Business Group's two core businesses are ProTurf(R), the professionally managed turf market, and Horticulture, the nursery and greenhouse markets. In fiscal 1999, the Professional Business Group served such high-profile golf courses as Augusta National (Georgia), Cypress Point and Pebble Beach (California), Desert Mountain (Arizona), Oakmont Country Club (Pennsylvania), Colonial Country Club (Texas) and Medinah Country Club (Illinois). Sports complexes such as Fenway Park, Camden Yards, Wrigley Field, Yankee Stadium and the Rose Bowl are professional customers, as are major commercial nursery/greenhouse operations such as Monrovia, Hines and Imperial.</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Golf courses and highly visible turf areas accounted for approximately 46% of Scotts' Professional Business Group sales in fiscal 1999. Management estimates, based on an independent bi-annual market survey and other information available to Scotts, that Scotts' share of its target North American golf course high value turf fertilizer and control products market was approximately 20% in fiscal 1999.</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According to the National Golf Foundation, approximately 350 new golf courses have been constructed annually during the last three years. In 1999, there were over 700 new golf courses under construction, and a record 500 or more courses are expected to be completed in 1999.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market.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Horticulture sales accounted for approximately 54% of Scotts' Professional Business Group sales in fiscal 1999. Scotts sold products to thousands of nursery, greenhouse and specialty crop growers through a network of approximately 75 horticultural distributors. Scotts estimates that its leading market share of the North American horticultural market was approximately 26% in fiscal 1999. The Horticulture Group conducts business through Scotts' subsidiary, Scotts-Sierra.</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horticultural/agricultural applications due to performance advantages, labor savings and water quality concerns should contribute to sales growth in the horticulture market. However, competitive product technologies may also make inroads into the horticultural and turf markets.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professional products, marketed under such brand names as ProTurf(R), Osmocote(R), Miracle-Gro(R), Metro-Mix(R) and Terra-Lite(R), include a broad line of sophisticated controlled-release fertilizers, water-soluble fertilizers, pesticide products (herbicides, insecticides, fungicides and growth regulators), wetting agents, growing media products, grass seed and application devices. The fertilizer lines utilize a range of proprietary controlled-release fertilizer technologies, including Contec(R), Poly-S(R), Osmocote(R) and ScottKote(R), and proprietary water-soluble fertilizer technologies, including Miracle-Gro Excel(R). Scotts applies these technologies to meet a wide range of professional customer needs, ranging from quick-release greenhouse fertilizers to controlled-release fairway/greens fertilizers to extended-release nursery fertilizers that last up to a year or more.</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To secure uninterrupted supply and consistent costs of raw materials, the Horticulture group has entered into alliances with suppliers. Scotts works closely with basic pesticide manufacturers to secure access to, and if possible, exclusive positions on, advanced control chemistry which can be formulated on granular carriers, including fertilizers, or formulated as a liquid application. In fiscal 1998, Scotts signed an agreement with AgrEvo USA Company for the exclusive domestic distribution rights to various AgrEvo active ingredients for the professional horticulture market. These active ingredients were used to create Scotts(R) branded herbicides, fungicides and insecticides such as Contrast(TM), Closure(TM) and Ovation(TM), three new products launched in 1999. Scotts expects this product group to represent 10% to 25% of Horticulture sales by fiscal 2002.</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Application devices in the professional line include both rotary and drop action spreaders. Over 20 proprietary grass seed varieties are also part of the professional line. The professional Horticulture line also includes an established line of soil-less mixes in which controlled-release and control products, and water-soluble fertilizers and wetting agents, can be incorporated or applied, respectively, to customize potting media for nurseries and greenhouses.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Professional Business Group focuses its sales efforts on the middle and high ends of the professional market and generally does not compete for sales of commodity products. Demand for Scotts' professional products is primarily driven by product quality, performance and technical support. Scotts seeks to meet these needs with a range of sophisticated, specialized products.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innovative high-value new products to its professional customers. For fiscal 1999, in the horticulture market, the Group introduced Osmocote(R) Pro, a modification of Osmocote(R) timed-release fertilizer with IBDU fertilizer for U.S. markets, which was a result of a marketing agreement reached with NuGro, Inc. Scotts' fertilizer technology is expected to lead to further new combination product introductions in fiscal 2000 and beyond.</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 fiscal 1999, the Professional Business Group's sales force consisted of approximately 50 territory managers.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Scotts' products, Scotts' territory managers provide consultation, testing services and advice regarding maintenance practices, including individualized comprehensive programs incorporating various products for use at specified times throughout the year. The Professional Business Group is served primarily through an extensive network of distributors.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December 1998, Scotts reorganized its Professional Business Group to strengthen distribution and technical sales support, integrate brand management across market segments and reduce annual operating expenses. The reorganization reduced the ProTurf(R) division's personnel to approximately 40 employees. The Group retained a consultative field sales force and field-based technical group to provide distributors with product training, address questions from customers and maintain involvement in university trial work. In fiscal 2000, Scotts will increase its distribution network for ProTurf(R) products, adding to the four independent distributors appointed last December: Turf Partners, Inc. in the Midwest and Northeast, BWI Companies, Inc. in the Southwest and Southeast, Wilbur Ellis Company in the Pacific Northwest and Western Farm Services, Inc. in California. Alliances are expected to be formed with other distributors as necessary.</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To reach potential purchasers, Scotts uses trade advertising and direct mail and sponsors seminars throughout the country. In addition, Scotts maintains a special toll-free number for its professional customers. The professional customer service department responded to over 50,000 telephone inquiries in fiscal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professional turf and horticulture markets, Scotts faces a broad range of competition from numerous companies ranging in size from multi-national chemical and fertilizer companies such as DowElanco Company, Uniroyal, BASF and Chisso-Asahi,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specific areas of the country, particularly Florida, a number of companies have begun to offer turf care services, including product application, to golf courses. In addition, the higher margins available for sophisticated products to treat high-value crops continue to attract large and small chemical producers and formulators, some of which have larger financial resources and research departments than Scotts. Also, the influence of mass merchandisers, with significant buying power, has increased the cost consciousness of horticulture growers. While Scotts believes that its reputation, turf and ornamental market focus, expertise in product development and sales and distribution network should enable it to continue to maintain and build its share of the professional market, there can be no assurance that Scotts will be able to maintain market share or margins against new or existing competitors.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large portion of professional product orders is received during the months of August through November and is filled during the months of September through November. As of November 26, 1999, orders on hand from professional customers totaled approximately $5.8 million compared with $13.4 million on the same date in 1998. All of these orders are expected to be filled in fiscal 2000.</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BUSINESS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International Business Group regularly sells its products to both consumer and professional users in over 40 countries. Management believes that growth potential should exist in both markets. This Group also manages and markets consumer Roundup(R) internationally. Scotts has established business entities in the markets with significant potential, which include Australia, the United Kingdom, the Benelux countries, Germany, France, Spain and Italy.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Consumer lawn and garden products are sold under Scotts' various trademarks, including the Scotts(R) label, in Australia, the European Union, New Zealand and South America. In addition, products bearing the Miracle-Gro(R) trademark are marketed in the Caribbean, Australia, New Zealand, the Netherlands and the United Kingdom. Scotts' Hyponex(R) line of products is present in Japan as a result of a long-term agreement with Hyponex Japan Corporation, Ltd., an unaffiliated entity.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Professional markets include both the horticulture and turf industries. The International Business Group markets professional products in Africa, Australia, the Caribbean, the European Union, Japan, Latin America, Mexico, the Middle East, New Zealand, South America and Southeast Asia. Horticultural products mainly carry the Scotts(R), Sierra(R), Peters(R) and Osmocote(R) labels. Turf products primarily use the Scotts(R) trademark.</w:t>
      </w:r>
    </w:p>
    <w:p>
      <w:pPr>
        <w:spacing w:after="0" w:line="177" w:lineRule="exact"/>
        <w:rPr>
          <w:sz w:val="20"/>
          <w:szCs w:val="20"/>
          <w:color w:val="auto"/>
        </w:rPr>
      </w:pPr>
    </w:p>
    <w:p>
      <w:pPr>
        <w:jc w:val="both"/>
        <w:ind w:right="3819"/>
        <w:spacing w:after="0" w:line="243" w:lineRule="auto"/>
        <w:rPr>
          <w:sz w:val="20"/>
          <w:szCs w:val="20"/>
          <w:color w:val="auto"/>
        </w:rPr>
      </w:pPr>
      <w:r>
        <w:rPr>
          <w:rFonts w:ascii="Courier New" w:cs="Courier New" w:eastAsia="Courier New" w:hAnsi="Courier New"/>
          <w:sz w:val="15"/>
          <w:szCs w:val="15"/>
          <w:color w:val="auto"/>
        </w:rPr>
        <w:t>Consumer products are sold by an approximate 193-person sales force and professional products are sold by an approximate 87-person sales force.</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Scotts has leading market share positions in the United Kingdom in a number of lawn and garden market categories. Its major consumer brands there include Miracle-Gro(R) plant fertilizers, Weedol(R) and Pathclear(R) herbicides, EverGreen(R) lawn fertilizer, Levington(R) growing media, and Bug Gun(R) insecticides.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October 1998, Scotts, through subsidiaries, acquired from various affiliates of Rhone-Poulenc Agro: the shares of Rhone-Poulenc Jardin SAS; the shares of Celaflor GmbH; the shares of Celaflor Handelsgesellschaft m.b.H.; and the home and garden business of Rhone-Poulenc Agro S.A. in Belgium (collectively "Rhone-Poulenc Jardin"), each in a privately-negotiated transaction. Scotts conducts the Rhone-Poulenc Jardin business through Scotts France SAS, based in Lyon, France.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France SAS is continental Europe's largest producer of consumer lawn and garden products. It manufactures and sells a full line of consumer lawn and garden pesticides, fertilizers and growing media in France, Germany, the Benelux countries, Austria, Italy and Spain. Brands include KB(R) and Fertiligene(R) in France, and Celaflor(R) and NexaLotte(R) in Germany.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Also in October 1998, Scotts acquired from an agency of the Irish government, Bord na Mona, the Shamrock(TM) trademark, a brand used to market peat products in the United Kingdom and Ireland. As part of the agreement, Scotts has an option to supply the Shamrock(TM) brand of peat in continental European markets. Scotts also acquired the rights to a ten-year horticultural peat supply agreement with Bord na Mona as supplier, with a renewable ten-year term at Scotts' option. Under the agreement, Bord na Mona will mix and package peat and other growing media products for Scotts. It is expected that this acquisition will secure Scotts' access to high quality peat resources for both the consumer and professional markets in the United Kingdom and Ireland and will also enable Scotts to enter the professional horticultural compost market in mainland Europe in due course. Scotts manages this business through Scotts Horticulture Ltd., an affiliated entity domiciled in Ireland.</w:t>
      </w:r>
    </w:p>
    <w:p>
      <w:pPr>
        <w:spacing w:after="0" w:line="182"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In December 1998, Scotts completed its acquisition of ASEF Holding B.V., a privately-held consumer lawn and garden products company, with operations in the Netherlands. As part of the transaction, Scotts also acquired related assets in</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Belgium. ASEF sells fertilizers, growing media and pesticides under the ASEF brand and through private label programs with major retailers. In Holland, ASEF also markets the Bayer line of pesticides. ASEF has approximately 40 employees. Scotts operates this business through Scotts ASEF BVBA in Belgium, and ASEF BV in the Netherlands.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fiscal 1999, in connection with efforts to successfully integrate these acquisitions, Scotts divided management of its international operations into four zones, as follows: Zone 1 (the consumer business in the United Kingdom and Ireland); Zone 2 (the consumer business in France, Belgium and Holland); Zone 3 (the consumer business in Germany, Austria and Australia); and Zone 4 (the professional business). For fiscal 1999, Scotts experienced strong sales growth in its continental European and Benelux consumer business, with weaker results in the United Kingdom, where Scotts is continuing to integrate and restructure operations of recently-acquired entities.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8" w:lineRule="exact"/>
        <w:rPr>
          <w:sz w:val="20"/>
          <w:szCs w:val="20"/>
          <w:color w:val="auto"/>
        </w:rPr>
      </w:pPr>
    </w:p>
    <w:p>
      <w:pPr>
        <w:jc w:val="both"/>
        <w:ind w:right="3019"/>
        <w:spacing w:after="0" w:line="262" w:lineRule="auto"/>
        <w:rPr>
          <w:sz w:val="20"/>
          <w:szCs w:val="20"/>
          <w:color w:val="auto"/>
        </w:rPr>
      </w:pPr>
      <w:r>
        <w:rPr>
          <w:rFonts w:ascii="Courier New" w:cs="Courier New" w:eastAsia="Courier New" w:hAnsi="Courier New"/>
          <w:sz w:val="14"/>
          <w:szCs w:val="14"/>
          <w:color w:val="auto"/>
        </w:rPr>
        <w:t>An increasing portion of Scotts' sales and earnings is derived from customers in foreign countries. The headquarters office for the International Business Group is located in Lyon, France. The Professional Group of the International Business Group maintains a separate office in Waardenburg, Netherlands. Scotts' managers travel abroad regularly to visit its facilities, distributors and customers.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own employees manage its affairs in Europe, Australia, Malaysia, Mexico, Brazil and the Caribbean. The International Business Group plans to further develop its international business in both the consumer and professional markets. Scotts believes that the technology, quality and value that are widely associated with its domestic and acquired brands should be transferable to the global marketplace.</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Management believes the International Business Group is well positioned to obtain an increased share of the international market. Scotts has a broad, diversified product line made up of value-added fertilizers which can be targeted to the market segments of consumer, turf, horticulture and high value agricultural crops. Also, Scotts has the capability to sell worldwide through its extensive distributor network. However, there can be no assurance that Scotts can maintain market share or margins against new or existing competitors, or that Scotts can obtain an increased share of the international market.</w:t>
      </w:r>
    </w:p>
    <w:p>
      <w:pPr>
        <w:spacing w:after="0" w:line="165"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Any significant changes in international economic conditions, expropriations, changes in taxation and regulation by U.S. and/or foreign governments could have a substantial effect upon the international business of Scotts. Management believes, however, that these risks are not unreasonable in view of the opportunities for profit and growth available in foreign markets. Scotts' international earnings and cash flows are subject to variations in currency exchange rates, which derive from sales and purchases of Scotts' products made in foreign currencies. For a discussion of how Scotts manages its foreign currency rate exposure, see "ITEM 7. MANAGEMENT'S DISCUSSION AND ANALYSIS OF FINANCIAL CONDITION AND RESULTS OF OPERATIONS--Liquidity and Capital Resources."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International Business Group's consumer business faces strong competition in the lawn and garden market, particularly in Australia and the European Union. Competitors in Australia include Chisso-Asahi, Debco and Yates. Competitors in the European Union include Bayer, BASF and various local companies. Scotts has historically responded to competition with superior technology, excellent trade relationships, competitive prices, broad distribution and strong advertising and promotional programs.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international professional market is very competitive, particularly in the controlled-release and water-soluble fertilizer segments. Numerous U.S. and European companies are pursuing these segments internationally, including Pursell Industries, Lesco, BASF, Norsk Hydro, Haifa Chemicals Israel, Kemira and private label companies. Historically, Scotts' response to competition in the professional markets has been to adapt its technology to solve specific user needs which are identified by developing close working relationships with key users.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ROUNDUP MARKETING AGREEMENT</w:t>
      </w:r>
    </w:p>
    <w:p>
      <w:pPr>
        <w:spacing w:after="0" w:line="178" w:lineRule="exact"/>
        <w:rPr>
          <w:sz w:val="20"/>
          <w:szCs w:val="20"/>
          <w:color w:val="auto"/>
        </w:rPr>
      </w:pPr>
    </w:p>
    <w:p>
      <w:pPr>
        <w:ind w:right="1360"/>
        <w:spacing w:after="0" w:line="264" w:lineRule="auto"/>
        <w:rPr>
          <w:sz w:val="20"/>
          <w:szCs w:val="20"/>
          <w:color w:val="auto"/>
        </w:rPr>
      </w:pPr>
      <w:r>
        <w:rPr>
          <w:rFonts w:ascii="Courier New" w:cs="Courier New" w:eastAsia="Courier New" w:hAnsi="Courier New"/>
          <w:sz w:val="14"/>
          <w:szCs w:val="14"/>
          <w:color w:val="auto"/>
        </w:rPr>
        <w:t>On September 30, 1998, Scotts entered into an agency and marketing agreement with Monsanto Company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non-selective herbicides, Scotts has specified rights to market these products in the consumer lawn and garden market.</w:t>
      </w:r>
    </w:p>
    <w:p>
      <w:pPr>
        <w:spacing w:after="0" w:line="165" w:lineRule="exact"/>
        <w:rPr>
          <w:sz w:val="20"/>
          <w:szCs w:val="20"/>
          <w:color w:val="auto"/>
        </w:rPr>
      </w:pPr>
    </w:p>
    <w:p>
      <w:pPr>
        <w:ind w:right="1360"/>
        <w:spacing w:after="0" w:line="244" w:lineRule="auto"/>
        <w:rPr>
          <w:sz w:val="20"/>
          <w:szCs w:val="20"/>
          <w:color w:val="auto"/>
        </w:rPr>
      </w:pPr>
      <w:r>
        <w:rPr>
          <w:rFonts w:ascii="Courier New" w:cs="Courier New" w:eastAsia="Courier New" w:hAnsi="Courier New"/>
          <w:sz w:val="15"/>
          <w:szCs w:val="15"/>
          <w:color w:val="auto"/>
        </w:rPr>
        <w:t>Under the marketing agreement, Scotts and Monsanto jointly develop global consumer and trade marketing programs for Roundup(R). Scotts has assumed responsibility for sales support, merchandising, distribution and logistics. Monsanto continues to own the consumer Roundup business and provides significant oversight of its brand. In addition, Monsanto continues to own and operate the agricultural Roundup business. A Steering Committee comprised of two Scotts designees and two Monsanto designees has ultimate oversight over the consumer Roundup business. In the event of a deadlock, the president of Monsanto's agricultural division is entitled to the tie-breaking vote.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STRUCTURE</w:t>
      </w:r>
    </w:p>
    <w:p>
      <w:pPr>
        <w:spacing w:after="0" w:line="178" w:lineRule="exact"/>
        <w:rPr>
          <w:sz w:val="20"/>
          <w:szCs w:val="20"/>
          <w:color w:val="auto"/>
        </w:rPr>
      </w:pPr>
    </w:p>
    <w:p>
      <w:pPr>
        <w:ind w:right="1360"/>
        <w:spacing w:after="0" w:line="244" w:lineRule="auto"/>
        <w:rPr>
          <w:sz w:val="20"/>
          <w:szCs w:val="20"/>
          <w:color w:val="auto"/>
        </w:rPr>
      </w:pPr>
      <w:r>
        <w:rPr>
          <w:rFonts w:ascii="Courier New" w:cs="Courier New" w:eastAsia="Courier New" w:hAnsi="Courier New"/>
          <w:sz w:val="15"/>
          <w:szCs w:val="15"/>
          <w:color w:val="auto"/>
        </w:rPr>
        <w:t>Scotts is compensated under the marketing agreement based on the success of the consumer Roundup business in the markets covered by the agreement. In addition to recovering out-of-pocket costs on a fully burdened basis, Scotts receives a graduated commission to the extent that the earnings before interest and taxes of the consumer Roundup business in the included markets exceed specified thresholds. To the extent that these earnings are less than the first commission threshold set forth below, Scotts will not receive any commission. Net commission is equal to the commission set forth in the following chart less the contribution payment Scotts is required to make, as described below. The net commission is the amount that Scotts actually recognizes on its income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commission structure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8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rPr>
              <w:t>IF EARNINGS ARE</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9"/>
              </w:rPr>
              <w:t>BETWEEN THE FIRST</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AND SECOND</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COMMISSION</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THRESHOLDS THE</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COMMISSION</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EQUALS</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9"/>
              </w:rPr>
              <w:t>THE FOLLOWING</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PERCENTAGE</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r>
      <w:tr>
        <w:trPr>
          <w:trHeight w:val="173"/>
        </w:trPr>
        <w:tc>
          <w:tcPr>
            <w:tcW w:w="3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DIFFERENCE BETWEEN</w:t>
            </w:r>
          </w:p>
        </w:tc>
      </w:tr>
      <w:tr>
        <w:trPr>
          <w:trHeight w:val="173"/>
        </w:trPr>
        <w:tc>
          <w:tcPr>
            <w:tcW w:w="3020" w:type="dxa"/>
            <w:vAlign w:val="bottom"/>
          </w:tcPr>
          <w:p>
            <w:pPr>
              <w:spacing w:after="0"/>
              <w:rPr>
                <w:sz w:val="15"/>
                <w:szCs w:val="15"/>
                <w:color w:val="auto"/>
              </w:rPr>
            </w:pPr>
          </w:p>
        </w:tc>
        <w:tc>
          <w:tcPr>
            <w:tcW w:w="1700" w:type="dxa"/>
            <w:vAlign w:val="bottom"/>
          </w:tcPr>
          <w:p>
            <w:pPr>
              <w:ind w:left="580"/>
              <w:spacing w:after="0"/>
              <w:rPr>
                <w:sz w:val="20"/>
                <w:szCs w:val="20"/>
                <w:color w:val="auto"/>
              </w:rPr>
            </w:pPr>
            <w:r>
              <w:rPr>
                <w:rFonts w:ascii="Courier New" w:cs="Courier New" w:eastAsia="Courier New" w:hAnsi="Courier New"/>
                <w:sz w:val="15"/>
                <w:szCs w:val="15"/>
                <w:color w:val="auto"/>
              </w:rPr>
              <w:t>FIRST</w:t>
            </w:r>
          </w:p>
        </w:tc>
        <w:tc>
          <w:tcPr>
            <w:tcW w:w="17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SECOND</w:t>
            </w:r>
          </w:p>
        </w:tc>
        <w:tc>
          <w:tcPr>
            <w:tcW w:w="2080" w:type="dxa"/>
            <w:vAlign w:val="bottom"/>
            <w:gridSpan w:val="2"/>
          </w:tcPr>
          <w:p>
            <w:pPr>
              <w:jc w:val="center"/>
              <w:ind w:left="205"/>
              <w:spacing w:after="0"/>
              <w:rPr>
                <w:sz w:val="20"/>
                <w:szCs w:val="20"/>
                <w:color w:val="auto"/>
              </w:rPr>
            </w:pPr>
            <w:r>
              <w:rPr>
                <w:rFonts w:ascii="Courier New" w:cs="Courier New" w:eastAsia="Courier New" w:hAnsi="Courier New"/>
                <w:sz w:val="15"/>
                <w:szCs w:val="15"/>
                <w:color w:val="auto"/>
                <w:w w:val="99"/>
              </w:rPr>
              <w:t>THE EARNINGS AND</w:t>
            </w:r>
          </w:p>
        </w:tc>
      </w:tr>
      <w:tr>
        <w:trPr>
          <w:trHeight w:val="173"/>
        </w:trPr>
        <w:tc>
          <w:tcPr>
            <w:tcW w:w="3020" w:type="dxa"/>
            <w:vAlign w:val="bottom"/>
          </w:tcPr>
          <w:p>
            <w:pPr>
              <w:spacing w:after="0"/>
              <w:rPr>
                <w:sz w:val="15"/>
                <w:szCs w:val="15"/>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COMMISSION</w:t>
            </w:r>
          </w:p>
        </w:tc>
        <w:tc>
          <w:tcPr>
            <w:tcW w:w="1760" w:type="dxa"/>
            <w:vAlign w:val="bottom"/>
          </w:tcPr>
          <w:p>
            <w:pPr>
              <w:ind w:left="420"/>
              <w:spacing w:after="0"/>
              <w:rPr>
                <w:sz w:val="20"/>
                <w:szCs w:val="20"/>
                <w:color w:val="auto"/>
              </w:rPr>
            </w:pPr>
            <w:r>
              <w:rPr>
                <w:rFonts w:ascii="Courier New" w:cs="Courier New" w:eastAsia="Courier New" w:hAnsi="Courier New"/>
                <w:sz w:val="15"/>
                <w:szCs w:val="15"/>
                <w:color w:val="auto"/>
              </w:rPr>
              <w:t>COMMISSION</w:t>
            </w:r>
          </w:p>
        </w:tc>
        <w:tc>
          <w:tcPr>
            <w:tcW w:w="2080" w:type="dxa"/>
            <w:vAlign w:val="bottom"/>
            <w:gridSpan w:val="2"/>
          </w:tcPr>
          <w:p>
            <w:pPr>
              <w:jc w:val="center"/>
              <w:ind w:left="205"/>
              <w:spacing w:after="0"/>
              <w:rPr>
                <w:sz w:val="20"/>
                <w:szCs w:val="20"/>
                <w:color w:val="auto"/>
              </w:rPr>
            </w:pPr>
            <w:r>
              <w:rPr>
                <w:rFonts w:ascii="Courier New" w:cs="Courier New" w:eastAsia="Courier New" w:hAnsi="Courier New"/>
                <w:sz w:val="15"/>
                <w:szCs w:val="15"/>
                <w:color w:val="auto"/>
                <w:w w:val="99"/>
              </w:rPr>
              <w:t>THE FIRST COMMISSION</w:t>
            </w:r>
          </w:p>
        </w:tc>
      </w:tr>
      <w:tr>
        <w:trPr>
          <w:trHeight w:val="173"/>
        </w:trPr>
        <w:tc>
          <w:tcPr>
            <w:tcW w:w="3020" w:type="dxa"/>
            <w:vAlign w:val="bottom"/>
          </w:tcPr>
          <w:p>
            <w:pPr>
              <w:ind w:left="1260"/>
              <w:spacing w:after="0"/>
              <w:rPr>
                <w:sz w:val="20"/>
                <w:szCs w:val="20"/>
                <w:color w:val="auto"/>
              </w:rPr>
            </w:pPr>
            <w:r>
              <w:rPr>
                <w:rFonts w:ascii="Courier New" w:cs="Courier New" w:eastAsia="Courier New" w:hAnsi="Courier New"/>
                <w:sz w:val="15"/>
                <w:szCs w:val="15"/>
                <w:color w:val="auto"/>
              </w:rPr>
              <w:t>YEAR</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THRESHOLD</w:t>
            </w:r>
          </w:p>
        </w:tc>
        <w:tc>
          <w:tcPr>
            <w:tcW w:w="1760" w:type="dxa"/>
            <w:vAlign w:val="bottom"/>
          </w:tcPr>
          <w:p>
            <w:pPr>
              <w:ind w:left="420"/>
              <w:spacing w:after="0"/>
              <w:rPr>
                <w:sz w:val="20"/>
                <w:szCs w:val="20"/>
                <w:color w:val="auto"/>
              </w:rPr>
            </w:pPr>
            <w:r>
              <w:rPr>
                <w:rFonts w:ascii="Courier New" w:cs="Courier New" w:eastAsia="Courier New" w:hAnsi="Courier New"/>
                <w:sz w:val="15"/>
                <w:szCs w:val="15"/>
                <w:color w:val="auto"/>
              </w:rPr>
              <w:t>THRESHOLD</w:t>
            </w:r>
          </w:p>
        </w:tc>
        <w:tc>
          <w:tcPr>
            <w:tcW w:w="208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THRESHOLD</w:t>
            </w:r>
          </w:p>
        </w:tc>
      </w:tr>
      <w:tr>
        <w:trPr>
          <w:trHeight w:val="173"/>
        </w:trPr>
        <w:tc>
          <w:tcPr>
            <w:tcW w:w="302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1999-2000.....................</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$30,000,000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46%</w:t>
            </w:r>
          </w:p>
        </w:tc>
        <w:tc>
          <w:tcPr>
            <w:tcW w:w="680" w:type="dxa"/>
            <w:vAlign w:val="bottom"/>
          </w:tcPr>
          <w:p>
            <w:pPr>
              <w:spacing w:after="0"/>
              <w:rPr>
                <w:sz w:val="24"/>
                <w:szCs w:val="24"/>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2001 .........................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$31,250,000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44%</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2002 .........................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$32,531,250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2003 .........................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$33,844,531</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2004 .........................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$35,190,645</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2005 .........................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$36,570,411</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2006 .........................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$37,984,471</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2007 .........................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$39,434,288</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2008 .........................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$40,920,145</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173"/>
        </w:trPr>
        <w:tc>
          <w:tcPr>
            <w:tcW w:w="30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2009+ ........................</w:t>
            </w:r>
          </w:p>
        </w:tc>
        <w:tc>
          <w:tcPr>
            <w:tcW w:w="1700" w:type="dxa"/>
            <w:vAlign w:val="bottom"/>
          </w:tcPr>
          <w:p>
            <w:pPr>
              <w:ind w:left="300"/>
              <w:spacing w:after="0"/>
              <w:rPr>
                <w:sz w:val="20"/>
                <w:szCs w:val="20"/>
                <w:color w:val="auto"/>
              </w:rPr>
            </w:pPr>
            <w:r>
              <w:rPr>
                <w:rFonts w:ascii="Courier New" w:cs="Courier New" w:eastAsia="Courier New" w:hAnsi="Courier New"/>
                <w:sz w:val="15"/>
                <w:szCs w:val="15"/>
                <w:color w:val="auto"/>
              </w:rPr>
              <w:t>$30,000,000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$80,000,000</w:t>
            </w:r>
          </w:p>
        </w:tc>
        <w:tc>
          <w:tcPr>
            <w:tcW w:w="1400" w:type="dxa"/>
            <w:vAlign w:val="bottom"/>
          </w:tcPr>
          <w:p>
            <w:pPr>
              <w:jc w:val="center"/>
              <w:ind w:left="96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r>
      <w:tr>
        <w:trPr>
          <w:trHeight w:val="520"/>
        </w:trPr>
        <w:tc>
          <w:tcPr>
            <w:tcW w:w="302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15</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IF EARNINGS ARE</w:t>
      </w:r>
    </w:p>
    <w:p>
      <w:pPr>
        <w:spacing w:after="0" w:line="4" w:lineRule="exact"/>
        <w:rPr>
          <w:sz w:val="20"/>
          <w:szCs w:val="20"/>
          <w:color w:val="auto"/>
        </w:rPr>
      </w:pPr>
    </w:p>
    <w:p>
      <w:pPr>
        <w:jc w:val="center"/>
        <w:spacing w:after="0" w:line="244" w:lineRule="auto"/>
        <w:rPr>
          <w:sz w:val="20"/>
          <w:szCs w:val="20"/>
          <w:color w:val="auto"/>
        </w:rPr>
      </w:pPr>
      <w:r>
        <w:rPr>
          <w:rFonts w:ascii="Courier New" w:cs="Courier New" w:eastAsia="Courier New" w:hAnsi="Courier New"/>
          <w:sz w:val="15"/>
          <w:szCs w:val="15"/>
          <w:color w:val="auto"/>
        </w:rPr>
        <w:t>GREATER THAN THE SECOND COMMISSION THRESHOLD THE COMMISSION EQUALS THE FOLLOWING AMOUNT PLUS 50% OF THE AMOUNT OF THE EARNINGS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ABOVE $80 MILLION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$23,000,000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$21,450,000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$18,987,500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$18,462,188</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$17,923,742</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$17,377,836</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$16,806,212</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$16,226,285</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$15,631,942</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$20,000,000</w:t>
      </w:r>
    </w:p>
    <w:p>
      <w:pPr>
        <w:sectPr>
          <w:pgSz w:w="11900" w:h="16838" w:orient="portrait"/>
          <w:cols w:equalWidth="0" w:num="2">
            <w:col w:w="8560" w:space="720"/>
            <w:col w:w="1900"/>
          </w:cols>
          <w:pgMar w:left="240" w:top="291" w:right="479"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Earnings for purposes of the marketing agreement for the 1999 fiscal, or program, year were increased by $15 million for purposes of calculating Scotts' commission.</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Under the agreement, Scotts is required to make an annual fixed contribution payment to Monsanto. Nominally, this contribution payment will be $20 million per fiscal year. However, Scotts was not required to make any contribution payment in the 1999 fiscal year, and the contribution payments for 2000 and 2001 fiscal years will actually be $5 million and $15 million, rather than $20 million. Scotts and Monsanto have agreed to defer the difference between the $20 million nominal contribution payment and the actual contribution payment in the first three fiscal/program years under the marketing agreement. Beginning with the 2003 fiscal year and extending through Scotts' 2018 fiscal year, Scotts must make a contribution payment of $25 million per fiscal year until Monsanto recovers the $40 million deferred in the first three fiscal years plus interest of 8% per year. In addition, during the 2003 through 2008 fiscal year period, Scotts will apply 50% of the amount by which the net commission exceeds the specified levels toward the reimbursement of the $40 million deferral.</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Specifically, Scotts will apply toward the deferral 50% of the amount by which</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net commission exceeds the following levels: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COMMISSION LEVEL</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$32,500,000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$28,100,000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$26,700,000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$30,500,000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$34,600,000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$38,900,000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$43,500,000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2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$49,000,000</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marketing agreement has no definite term, except as it relates to European Union countries. However, as set forth below, for a period of 20 years Scotts may be entitled to receive a termination fee if Monsanto terminates the marketing agreement upon a change of control of Monsanto or the sale of the consumer Roundup business.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However, if Monsanto does not agree to any of the extension periods with respect to the European Union countries, the first commission threshold set forth in the table outlining the commission structure above, will become $0.</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Monsanto has the right to terminate the marketing agreement upon a specified event of default by Scotts or upon a change of control of Monsanto or the sale of the consumer Roundup business, so long as the termination after a change of control of Monsanto or the sale of the Roundup business occurs later than September 30, 2003. The events of default by Scotts that could give rise to termination by Monsanto include:</w:t>
      </w:r>
    </w:p>
    <w:p>
      <w:pPr>
        <w:spacing w:after="0" w:line="177" w:lineRule="exact"/>
        <w:rPr>
          <w:sz w:val="20"/>
          <w:szCs w:val="20"/>
          <w:color w:val="auto"/>
        </w:rPr>
      </w:pPr>
    </w:p>
    <w:p>
      <w:pPr>
        <w:ind w:left="8" w:right="2919" w:hanging="8"/>
        <w:spacing w:after="0" w:line="244" w:lineRule="auto"/>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Breach" which is not cured within 90 days after written notice from Monsanto and which is not remediable by the payment of damages or by specific performance;</w:t>
      </w:r>
    </w:p>
    <w:p>
      <w:pPr>
        <w:spacing w:after="0" w:line="175" w:lineRule="exact"/>
        <w:rPr>
          <w:rFonts w:ascii="Courier New" w:cs="Courier New" w:eastAsia="Courier New" w:hAnsi="Courier New"/>
          <w:sz w:val="15"/>
          <w:szCs w:val="15"/>
          <w:color w:val="auto"/>
        </w:rPr>
      </w:pPr>
    </w:p>
    <w:p>
      <w:pPr>
        <w:ind w:left="8" w:right="2919" w:hanging="8"/>
        <w:spacing w:after="0" w:line="244" w:lineRule="auto"/>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Fraud" which was engaged in with the intent to deceive Monsanto and which is not cured, if curable, within 90 days after written notice from Monsanto;</w:t>
      </w:r>
    </w:p>
    <w:p>
      <w:pPr>
        <w:spacing w:after="0" w:line="175" w:lineRule="exact"/>
        <w:rPr>
          <w:rFonts w:ascii="Courier New" w:cs="Courier New" w:eastAsia="Courier New" w:hAnsi="Courier New"/>
          <w:sz w:val="15"/>
          <w:szCs w:val="15"/>
          <w:color w:val="auto"/>
        </w:rPr>
      </w:pPr>
    </w:p>
    <w:p>
      <w:pPr>
        <w:ind w:left="8" w:right="3019" w:hanging="8"/>
        <w:spacing w:after="0" w:line="243" w:lineRule="auto"/>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Willful Misconduct" which is not cured, if curable, within 90 days after written notice from Monsanto;</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"Egregious Injury" to the Roundup(R) brand that is not cured, if curable,</w:t>
      </w:r>
    </w:p>
    <w:p>
      <w:pPr>
        <w:spacing w:after="0" w:line="4"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within 90 days after notice from Monsanto, unless the egregious injury resulted from the exercise by Monsanto of its tie-breaking right with respect to deadlocked actions by the Steering Committee or was caused primarily by an act or omission of Monsanto;</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91" w:right="1440" w:bottom="1440" w:gutter="0" w:footer="0" w:header="0"/>
          <w:type w:val="continuous"/>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Scotts' becoming insolvent;</w:t>
      </w:r>
    </w:p>
    <w:p>
      <w:pPr>
        <w:spacing w:after="0" w:line="177" w:lineRule="exact"/>
        <w:rPr>
          <w:rFonts w:ascii="Courier New" w:cs="Courier New" w:eastAsia="Courier New" w:hAnsi="Courier New"/>
          <w:sz w:val="15"/>
          <w:szCs w:val="15"/>
          <w:color w:val="auto"/>
        </w:rPr>
      </w:pPr>
    </w:p>
    <w:p>
      <w:pPr>
        <w:ind w:left="8" w:right="2919" w:hanging="8"/>
        <w:spacing w:after="0" w:line="244" w:lineRule="auto"/>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acquisition of Scotts, by merger or asset purchase, or the acquisition of more than 25% of Scotts' voting securities, without Monsanto's prior written approval, by a competitor of Monsanto or by an entity that Monsanto reasonably believes will materially detract from or diminish Scotts' ability to fulfill Scotts' duties and obligations under the agreement; or</w:t>
      </w:r>
    </w:p>
    <w:p>
      <w:pPr>
        <w:spacing w:after="0" w:line="176" w:lineRule="exact"/>
        <w:rPr>
          <w:rFonts w:ascii="Courier New" w:cs="Courier New" w:eastAsia="Courier New" w:hAnsi="Courier New"/>
          <w:sz w:val="15"/>
          <w:szCs w:val="15"/>
          <w:color w:val="auto"/>
        </w:rPr>
      </w:pPr>
    </w:p>
    <w:p>
      <w:pPr>
        <w:ind w:left="8" w:right="3099" w:hanging="8"/>
        <w:spacing w:after="0" w:line="243" w:lineRule="auto"/>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assignment by Scotts of all, or substantially all, of Scotts' rights or obligations under the agreement.</w:t>
      </w:r>
    </w:p>
    <w:p>
      <w:pPr>
        <w:spacing w:after="0" w:line="176"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In addition, Monsanto may terminate the marketing agreement within the North America, U.K., France or "Rest of the World" regions for specified declines of the consumer Roundup business. For purposes of determining Monsanto's rights under the agreement, Scotts' performance is based on sales of Roundup(R) to the ultimate consumers of the product, rather than on sales to retailers or distributors. Scotts will measure sales to consumers by looking at point-of-sale unit movement at selected, top-20 Roundup customers in the affected region.</w:t>
      </w:r>
    </w:p>
    <w:p>
      <w:pPr>
        <w:spacing w:after="0" w:line="161"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More specifically, Monsanto may terminate the marketing agreement within one of the regions if:</w:t>
      </w:r>
    </w:p>
    <w:p>
      <w:pPr>
        <w:spacing w:after="0" w:line="349" w:lineRule="exact"/>
        <w:rPr>
          <w:sz w:val="20"/>
          <w:szCs w:val="20"/>
          <w:color w:val="auto"/>
        </w:rPr>
      </w:pPr>
    </w:p>
    <w:p>
      <w:pPr>
        <w:ind w:left="8" w:right="3459" w:hanging="8"/>
        <w:spacing w:after="0" w:line="243" w:lineRule="auto"/>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sales to consumers decline cumulatively over a three fiscal year period in the region; or</w:t>
      </w:r>
    </w:p>
    <w:p>
      <w:pPr>
        <w:spacing w:after="0" w:line="349" w:lineRule="exact"/>
        <w:rPr>
          <w:rFonts w:ascii="Courier New" w:cs="Courier New" w:eastAsia="Courier New" w:hAnsi="Courier New"/>
          <w:sz w:val="15"/>
          <w:szCs w:val="15"/>
          <w:color w:val="auto"/>
        </w:rPr>
      </w:pPr>
    </w:p>
    <w:p>
      <w:pPr>
        <w:ind w:left="8" w:right="2839" w:hanging="8"/>
        <w:spacing w:after="0" w:line="243" w:lineRule="auto"/>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sales to consumers decline by more than five percent in two consecutive fiscal years within the region.</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However, Monsanto may not exercise this termination right if Scotts can demonstrate that the decline was caused by a severe decline of general economic conditions or a severe decline in the lawn and garden market in the region rather than by Scotts' failure to perform its duties under the agreement. Monsanto would also not be able to terminate the agreement if the decline were caused by Monsanto's exercise of its right to break ties with respect to deadlocked decisions of the Steering Committee.</w:t>
      </w:r>
    </w:p>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Scotts has rights similar to Monsanto's to terminate the agreement upon a material breach, material fraud or material misconduct by Monsanto. In addition, Scotts may terminate the marketing agreement upon Monsanto's sale of the consumer Roundup business, although then Scotts would lose the termination fee described below. Furthermore, we believe that under applicable law, Scotts would terminate the agreement at any time. Although a court could determine otherwise, we further believe that if we provide Monsanto adequate prior notice of termination, we could terminate the agreement without any additional liability to Monsanto and without being required to pay any unpaid portion of the deferred contribution amounts.</w:t>
      </w: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Except to the extent set forth below, if Monsanto terminates the marketing agreement upon a change of control of Monsanto or the sale of the consumer Roundup business, Scotts will be entitled to receive a significant termination fee. Scotts will also be entitled to receive a termination fee if it terminates the marketing agreement upon a material breach, material fraud or material willful misconduct by Monsanto.</w:t>
      </w:r>
    </w:p>
    <w:p>
      <w:pPr>
        <w:spacing w:after="0" w:line="177" w:lineRule="exact"/>
        <w:rPr>
          <w:sz w:val="20"/>
          <w:szCs w:val="20"/>
          <w:color w:val="auto"/>
        </w:rPr>
      </w:pPr>
    </w:p>
    <w:p>
      <w:pPr>
        <w:ind w:left="8" w:right="3819"/>
        <w:spacing w:after="0" w:line="243" w:lineRule="auto"/>
        <w:rPr>
          <w:sz w:val="20"/>
          <w:szCs w:val="20"/>
          <w:color w:val="auto"/>
        </w:rPr>
      </w:pPr>
      <w:r>
        <w:rPr>
          <w:rFonts w:ascii="Courier New" w:cs="Courier New" w:eastAsia="Courier New" w:hAnsi="Courier New"/>
          <w:sz w:val="15"/>
          <w:szCs w:val="15"/>
          <w:color w:val="auto"/>
        </w:rPr>
        <w:t>The termination fee will be calculated in accordance with the following schedule:</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THE TERMINATION FEE</w:t>
            </w:r>
          </w:p>
        </w:tc>
      </w:tr>
      <w:tr>
        <w:trPr>
          <w:trHeight w:val="173"/>
        </w:trPr>
        <w:tc>
          <w:tcPr>
            <w:tcW w:w="90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6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PAYABLE TO</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IF TERMINATION OCCURS PRIOR TO SEPTEMBER 30,</w:t>
            </w:r>
          </w:p>
        </w:tc>
        <w:tc>
          <w:tcPr>
            <w:tcW w:w="2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SCOTTS WILL BE EQUAL TO:</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2003.......................................................................</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$150,000,000 *</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2004.......................................................................</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$140,000,000</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2005.......................................................................</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$130,000,000</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2006.......................................................................</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$120,000,000</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2007.......................................................................</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$110,000,000</w:t>
            </w:r>
          </w:p>
        </w:tc>
      </w:tr>
      <w:tr>
        <w:trPr>
          <w:trHeight w:val="173"/>
        </w:trPr>
        <w:tc>
          <w:tcPr>
            <w:tcW w:w="7380" w:type="dxa"/>
            <w:vAlign w:val="bottom"/>
            <w:gridSpan w:val="2"/>
          </w:tcPr>
          <w:p>
            <w:pPr>
              <w:spacing w:after="0"/>
              <w:rPr>
                <w:sz w:val="20"/>
                <w:szCs w:val="20"/>
                <w:color w:val="auto"/>
              </w:rPr>
            </w:pPr>
            <w:r>
              <w:rPr>
                <w:rFonts w:ascii="Courier New" w:cs="Courier New" w:eastAsia="Courier New" w:hAnsi="Courier New"/>
                <w:sz w:val="15"/>
                <w:szCs w:val="15"/>
                <w:color w:val="auto"/>
              </w:rPr>
              <w:t>2008.......................................................................</w:t>
            </w:r>
          </w:p>
        </w:tc>
        <w:tc>
          <w:tcPr>
            <w:tcW w:w="2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$100,000,000</w:t>
            </w:r>
          </w:p>
        </w:tc>
      </w:tr>
      <w:tr>
        <w:trPr>
          <w:trHeight w:val="520"/>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Neither Monsanto nor a successor to the consumer Roundup business may</w:t>
            </w:r>
          </w:p>
        </w:tc>
        <w:tc>
          <w:tcPr>
            <w:tcW w:w="262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terminate the marketing agreement prior to September 30, 2003 upon a</w:t>
            </w:r>
          </w:p>
        </w:tc>
        <w:tc>
          <w:tcPr>
            <w:tcW w:w="26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change of control or a sale of the consumer Roundup business. If</w:t>
            </w:r>
          </w:p>
        </w:tc>
        <w:tc>
          <w:tcPr>
            <w:tcW w:w="26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Monsanto or a successor were to do so despite such prohibition, the</w:t>
            </w:r>
          </w:p>
        </w:tc>
        <w:tc>
          <w:tcPr>
            <w:tcW w:w="26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Courier New" w:cs="Courier New" w:eastAsia="Courier New" w:hAnsi="Courier New"/>
                <w:sz w:val="15"/>
                <w:szCs w:val="15"/>
                <w:color w:val="auto"/>
              </w:rPr>
              <w:t>termination fee payable to Scotts would be $185 million.</w:t>
            </w:r>
          </w:p>
        </w:tc>
        <w:tc>
          <w:tcPr>
            <w:tcW w:w="2620" w:type="dxa"/>
            <w:vAlign w:val="bottom"/>
          </w:tcPr>
          <w:p>
            <w:pPr>
              <w:spacing w:after="0"/>
              <w:rPr>
                <w:sz w:val="15"/>
                <w:szCs w:val="15"/>
                <w:color w:val="auto"/>
              </w:rPr>
            </w:pPr>
          </w:p>
        </w:tc>
      </w:tr>
    </w:tbl>
    <w:p>
      <w:pPr>
        <w:spacing w:after="0" w:line="177" w:lineRule="exact"/>
        <w:rPr>
          <w:sz w:val="20"/>
          <w:szCs w:val="20"/>
          <w:color w:val="auto"/>
        </w:rPr>
      </w:pPr>
    </w:p>
    <w:p>
      <w:pPr>
        <w:sectPr>
          <w:pgSz w:w="11900" w:h="16838" w:orient="portrait"/>
          <w:cols w:equalWidth="0" w:num="1">
            <w:col w:w="10227"/>
          </w:cols>
          <w:pgMar w:left="232" w:top="291" w:right="1440" w:bottom="902" w:gutter="0" w:footer="0" w:header="0"/>
        </w:sect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902"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Between October 1, 2009 and September 30, 2018, if Monsanto terminates the marketing agreement upon a sale of the consumer Roundup business or if a successor terminates the agreement following a change of control of Monsanto, the termination fee will be equal to the greater of (i) a percentage of the portion of the purchase price of the consumer Roundup business in excess of a specified amount and (ii) $16 million.</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if the marketing agreement is terminated for any reason other than because of egregious injury, material fraud or material willful misconduct by Scotts, Monsanto will forfeit recovery of any unpaid portion of the $40 million deferral of contribution payments described above.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ROUNDUP</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Monsanto has agreed to provide Scotts with notice of any proposed sale of the consumer Roundup business, allow Scotts to participate in the sale process and negotiate in good faith with Scotts with respect to a sale. If the sale is run as an auction, Scotts will further be entitled to a 15-day exclusive negotiation period following the submission of all bids to Monsanto. During this period, Scotts may revise its original bid, but Scotts will not have the right to review the terms of any other bids.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event that Scotts acquires the consumer Roundup business in such a sale, it will receive credit against the purchase price in the amount of the termination fee that would otherwise have been paid to Scotts upon termination by Monsanto of the marketing agreement upon the sale.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Monsanto decides to sell the consumer Roundup business to another party, Scotts must let Monsanto know within 30 days after receipt of notice of the purchaser whether Scotts intends to terminate the marketing agreement and forfeit any right to a termination fee or whether Scotts will agree to perform its obligations under the agreement on behalf of the purchaser, unless and until the purchaser terminates Scotts and pays the applicable termination fee.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FEE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Upon execution of the marketing agreement, Scotts paid Monsanto a fee of $32 million in consideration for the rights obtained under the marketing agreement with respect to North America.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RESOLUTION OF ISSUES RELATED TO ORTHO ACQUISITION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January 21, 1999, Scotts completed the acquisition of the Ortho business from Monsanto for $300 million, subject to adjustment depending on the level of normalized working capital as of the January 21 closing date. In accordance with the terms of the acquisition agreement, as of that date, Scotts received an estimate of normalized working capital of $125.9 million. This estimate resulted in Scotts making a transfer to Monsanto of $39.9 million on the closing date in addition to the $300 million purchase price. Following the closing, as provided by the acquisition agreement, Scotts gave Monsanto its estimate of normalized working capital, which was significantly lower than $125.9 million, while Monsanto provided Scotts with its revised estimate that was significantly higher than $125.9 million.</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and Monsanto have resolved many of the items in dispute which comprise each party's working capital estimate. Scotts is in the process of resolving the remaining items in dispute through negotiation and/or arbitration, as contemplated by the acquisition agreement. Scotts expects that all remaining issues will be finally resolved during the 2000 fiscal year, but cannot currently estimate the final normalized working capital amount. To the extent that the amount differs from $125.9 million, Scotts will either make an additional payment to or receive a payment from Monsanto that will adjust the working capital assets on Scotts' opening balance sheet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for the Ortho business. In either case, Scotts does not believe that the final resolution of the items in dispute will have a material adverse effect on Scotts.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"Scotts(R)", "Miracle-Gro(R)", "Hyponex(R)" and "Ortho(R)" brand names and logos, as well as a number of product trademarks, including "Turf Builder(R)", "Lawn Pro(R)", "ProTurf(R)", "Osmocote(R)" and "Peters(R)", are federally and internationally registered and are considered material to Scotts' business. Scotts regularly monitors its trademark registrations, which are generally effective for ten years, so that it can renew those nearing expiration. In 1989, Scotts assigned rights to selected Hyponex trademarks to Hyponex Japan Corporation, Ltd., an unaffiliated entity. In July 1995, Scotts-Sierra granted an exclusive license to use the Peters trademark in the U.S. consumer market, to Peters Acquisition Corporation, now owed by United Industries Corporation, for the life of the mark.</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September 30, 1999, Scotts held over 230 U.S. and international patents on processes, compositions, grasses and application devices and has additional patent applications pending. Patent protection generally extends 20 years from the filing date, and many of Scotts' patents extend well into the next decade. Scotts also holds exclusive and non-exclusive patent licenses from various chemical suppliers permitting the use and sale of patented pesticides.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1999, Scotts secured several new U.S. patents. Scotts' newly-formed biotechnology group within Scotts Research Center, was granted its first patent, protecting a method for the genetic modification of grass plants, and specifically, St. Augustinegrasses. In addition, Scotts was granted separate U.S. patents for the Ortho "Lock 'n Spray(R)" applicator and a Kentucky Bluegrass variety with high turf performance characteristics. Scotts also secured seven international patents, one dealing with methylene-urea fertilizer technology, and six covering various coated fertilizer technologies. Scotts' methylene-urea technology was patented in Finland, and Poly-S technology was patented in Norway and New Zealand. In addition, use patents were granted in Australia, Indonesia and Africa, covering the use of controlled-release fertilizers as an improved nutrient source for aquaculture. Finally, a new (experimental) coated fertilizer technology was granted a patent in Mexico.</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methylene-urea product composition patent, which covers Scotts Turf Builder(R), Scotts Turf Builder(R) with Plus 2(R) Weed Control and Scotts Turf Builder(R) with Halts(R) Crabgrass Preventer, among other products, is deemed material by Scotts and is due to expire in July 2001. Scotts believes that the high entry costs of manufacturing needed to replicate this product and the value of the Scotts(R) brand should lessen the likelihood of product duplication by any competitor.</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Glyphosate, the active ingredient in Roundup(R), is subject to a patent in the United States that expires in September 2000. Scotts cannot predict the success of Roundup(R) after glyphosate ceases to be patented. Substantial new competition in the United States could adversely affect Scotts. Glyphosate is no longer subject to patent in the European Union and is not subject to patent in Canada. While sales of Roundup(R) in such countries have continued to increase despite the lack of patent protection, sales in the United States may decline as a result of increased competition after the U.S. patent expires. Any such decline in sales would adversely affect Scotts' financial results through the calculations of the commission under the Roundup(R) marketing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has a long history of innovation dating from the 1928 introduction of Turf Builder(R), through the development, design and construction of its newest state of the art methylene-urea fertilizer production facility in Marysville, Ohio. Commissioned in 1999, this facility will produce the new and improved Turf Builder(R) with Micromax(R) micronutrients for fiscal 2000. Scotts' continued commitment to innovation has produced a portfolio of over 230 patents worldwide, covering most of its fertilizers and many of its grasses and application devices.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operates what it believes to be one of the premier research and development organizations in the lawn and garden industry. Headquartered in the Dwight G. Scott Research Center for North America in Marysville, Ohio ("Scotts R&amp;D"), Scotts R&amp;D's mission is to develop and enhance easy to use lawn and garden products for consumers. This is accomplished through a comprehensive and consolidated view of innovation including Scotts R&amp;D divisions such as: product development (agronomic performance); process/formulation development (design of manufacture); packaging and durables development (new structures, forms, dispensing and application devices); and regulatory and environmental affairs (product registration, industry and government relations). Scotts R&amp;D's consolidated effort harnesses the synergies between all Scotts technologies resulting in optimization for the lawn and garden consumer, from seed to soil, fertilizer to weed/pest control.</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R&amp;D operates six research field stations strategically located throughout the United States in Ohio, Florida, Texas, California, New Jersey and Oregon, covering 212 acres. These facilities allow for evaluation of regional product requirements (different soil, climatic and pest pressure) and flexibility for year-round testing. The facilities also provide regional technical support and training for sales personnel.</w:t>
      </w:r>
    </w:p>
    <w:p>
      <w:pPr>
        <w:spacing w:after="0" w:line="177"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Scotts R&amp;D underwent significant change in fiscal 1999 with the relocation of the durable goods/application device development group from Republic Tool's Carlsbad, California facility and the beginning of the relocation of the Ortho research and development group from San Ramon, California, which is scheduled to be completed in fiscal 2000. Product development efforts were also reorganized in 1999 for better alignment with the business group marketing departments.</w:t>
      </w:r>
    </w:p>
    <w:p>
      <w:pPr>
        <w:spacing w:after="0" w:line="163"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Since 1992, Scotts' entire line of controlled-released fertilizers has been reformulated or upgraded with new technology. These include: patented Poly-S(R), ScottKote(R) and methylene-urea; and Osmocote(R) patterned release, polymer-encapsulated technology. These technologies service the turfgrass, garden, horticultural and specialty agricultural markets both domestically and internationally. Process development efforts continue to focus on process innovation, capacity increase, quality enhancement and cost reduction. The fiscal 2000 year impact of this work is expected to result in improvements ranging from Miracle-Gro(R) Tree Spikes (cost reduction and quality improvement) to controlled-release fertilizer for professional horticultural container-grown plants (improved performance, cost reduction and quality improvement).</w:t>
      </w:r>
    </w:p>
    <w:p>
      <w:pPr>
        <w:spacing w:after="0" w:line="16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fiscal 1998, Scotts consumer lawn fertilizer packaging was converted to high quality plastic that has since become the industry standard. Scotts R&amp;D applied learning gained in that conversion to subsequently convert the Professional Business Group's fertilizer line in fiscal years 1999 and 2000. The Consumer Ortho Business Group will convert packaging for granular control chemicals in fiscal 2000. Also new in fiscal 2000 is the sliding reclosure feature on Miracle-Gro(R) Potting Soil. Scotts R&amp;D should benefit from the consolidation of resources from the relocation to Marysville, of the Ortho research and development functions. Continued efforts will include package/dispensing innovation, consumer ease of use and reduction of consumer exposure. Examples in fiscal 1999 include the successful introduction of Pull 'n Spray(TM) and Lock 'n Spray(R) in the Roundup(R) and Ortho(R) product lines, both unique combined packaging/application systems.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R&amp;D maintains an aggressive active ingredient access and evaluation program, critical to the introduction of new and improved products. Over 100 new formulations are prepared and evaluated each year in over 1,000 tests. Combined with Scotts' brands and market/sales position, this capability has allowed Scotts to gain exclusive and semi-exclusive access to new active ingredients from major chemical suppliers. Examples in consumer products are: bifenthrin insecticide (FMC Corporation); halofenozide insecticide (RohMid LLC); and pendimethalin herbicide (American Cyanamid Company). Examples in professional products are: myclobutanil fungicide (Rohm &amp; Haas Company); paclobutrazol turf growth regulator (Zeneca Professional Products); etridiazole fungicide (C&amp;K Witco); and flutolanil fungicide, propamocarb fungicide, deltamethrin insecticide, bendiocarb insecticide, clofentezine miticide and buprofezin insecticide (AgrEvo Environmental Health).</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4"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Since 1997, Scotts has maintained a dedicated turfgrass genetic engineering laboratory in its existing Scotts R&amp;D facility in Marysville, to develop turfgrass varieties with improved characteristics such as resistance to disease, insects and herbicides. In January 1998, Scotts acquired an 80.8% interest in Sanford Scientific, Inc., a research company in the rapidly growing field of genetic engineering of plants. Sanford Scientific has developed and licensed a broad portfolio of genes and genetic process technology. It holds the exclusive license to use biolistic ("gene gun") technology in the commercial development of genetically transformed turf grasses, flowers and woody ornamental plants. Biolistic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 The biolistic approach to genetic engineering of plants has important advantages over other transformation technologies. For some plant species, transformation using the gene gun is largely considered the only commercially viable method of inserting new gene traits into plants. In addition, Sanford Scientific has developed and licensed a broad portfolio of genes and genetic process technology with commercial potential.</w:t>
      </w:r>
    </w:p>
    <w:p>
      <w:pPr>
        <w:spacing w:after="0" w:line="339"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Gene gun technology augments Scotts' genetic improvement program by allowing researchers to create desirable varieties of plants with value-added traits beyond the capabilities of conventional plant breeding techniques. Targets of Scotts' research effort include disease and insect resistance, herbicide tolerance and other consumer-relevant traits, such as turfgrasses that require less mowing and flowers with novel colors and fragrances. Scotts expects that it will commercialize selected genetically transformed plants within a few years.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acquired its interest from Sanford Scientific founder and president Dr. John Sanford, who retained a 19.2% interest and remains involved with Sanford Scientific, as a member of Sanford Scientific's Board of Directors. He also provides consulting services to Sanford Scientific, under an agreement that continues through January 31, 2000. Dr. Sanford led the team of Cornell University scientists who invented the gene gun technology in the 1980's, and he continues as a leading expert in the field. Sanford Scientific operates an advanced genetic research facility in upstate New York, and actively collaborates with other leading genetic scientists.</w:t>
      </w:r>
    </w:p>
    <w:p>
      <w:pPr>
        <w:spacing w:after="0" w:line="179"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Exclusive access to this technology is a key element in Scotts' program to create value by combining Scotts' brands and Sanford Scientific's biolistic transformation process with proven genes licensed from technology partners.</w:t>
      </w:r>
    </w:p>
    <w:p>
      <w:pPr>
        <w:spacing w:after="0" w:line="2"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Consistent with this strategy, in August 1998, Scotts completed an agreement with Rutgers University, the State University of New Jersey. Under this agreement, Scotts will fund, through research support and future royalties, a combined effort by Rutgers' plant biotechnology and turfgrass breeding programs to develop improved transgenic bentgrass varieties. In return, Scotts will receive exclusive rights to market all Rutgers' patented transgenic bentgrass varieties developed through 2005, likely extending to 2015. Rutgers' development program will utilize the biolistic process and other enabling technologies under license to Sanford Scientific to insert and activate genes that are proprietary to Rutgers University. Any superior bentgrass varieties that result from the program are expected to be commercialized in the golf course market.</w:t>
      </w:r>
    </w:p>
    <w:p>
      <w:pPr>
        <w:spacing w:after="0" w:line="16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December 1998, Scotts entered into an agreement with Monsanto to bring the benefits of biotechnology to the multi-billion dollar turfgrass and ornamental plants business. Under the terms of the agreement, Scotts and Monsanto agree to share technologies, including Monsanto's extensive genetic library of plant traits and Scotts' proprietary gene gun technology to produce improved transgenic turfgrasses and ornamental plants. Scotts and Monsanto will work with each other exclusively on a global basis to develop these biotechnology products in the professional and consumer markets. Each company will bring its leading brands, marketing skills and technological expertise to create new products. In addition to sales by Scotts, the companies plan to license the new products to other marketing partners in the turf and ornamental industry. The collaborative alliance will focus on providing professional and consumer benefits such as turfgrass that requires less mowing and water, ornamental plants that last longer and produce larger and more plentiful blooms, and plants that will allow for better weed control. Scotts has been working</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351"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since 1997 on Roundup Ready(R) turfgrass, which is tolerant to Monsanto's Roundup(R), under a research agreement with Monsanto. The current alliance expands that relationship to cover new applications for Roundup Ready(R) technology as well as other improvements to ornamental plants.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to Scotts R&amp;D for North America, the International Business Group conducts research and development in Levington, the United Kingdom; Lyon, France; Ingelheim, Germany; Heerlen, Netherlands; and Sydney, Australia. The Levington site supports consumer and professional formulation and testing of lawn and garden fertilizers, pesticides and growing media. The Lyon and Ingelheim sites support consumer household insecticide formulation and testing, as well as lawn and garden fertilizers, pesticides and growing media. The Heerlen facility supports professional formulation, testing and process development of turf and horticultural fertilizers, and testing of pesticide products. The Sydney site supports consumer and professional testing and technical service of fertilizer and pesticide products. The Scotts Company (U.K.) Ltd. leases a research facility and trial station in the United Kingdom for formulating plant protection products for the consumer and professional markets.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Company research and development expenses were approximately $21.7 million (1.3% of net sales) for fiscal 1999 including environmental and regulatory expenses. This compares to $14.8 million (1.3% of net sales) and $10.0 million (1.1% of net sales) for fiscal 1998 and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business is highly seasonal with approximately 74% of sales occurring in the second and third fiscal quarters combined for fiscal 1999, and 72% for fiscal 1998. Please also see the discussion in "North American Consumer Business Group--Backlog" and "Professional Business Group--Backlog."</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products marketed by the Consumer Ortho Business Group are highly seasonal. However, they are not necessarily driven by the same weather variables as are the other products of Scotts. For example, insect populations (and corresponding control product sales) tend to thrive when wet springs yield to hot, humid summers. In contrast, fertilizer sells best in drier springs.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FACILITIES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manufacturing plant for consumer and professional fertilizer products marketed under the Scotts(R) label is located in Marysville, Ohio. Manufacturing for these products is also conducted by approximately 40 contract manufacturers. Demand for Turf Builder(R), Poly-S(R) and other products results in Scotts expanding operations (generally from October through May) of its fertilizer processing and packaging lines from five days per week, three-shift operations to seven days, three-shift operations when necessary to prepare for the peak demand periods. Scotts currently operates its three Turf Builder(R) lines seven days per week, year round, and began engineering of a fourth Turf(R) Builder production line, to meet capacity needs for those products. Scotts-Sierra controlled-release fertilizers are produced in Charleston, South Carolina; Milpitas, California; and Heerlen, Netherlands. Expansion at each facility has been completed to permit the blending of products which utilize both Scotts and Scotts-Sierra proprietary technology. Production schedules at Scotts-Sierra's facilities vary to meet demand. Seed blending and packaging are outsourced to various packaging companies located on the West Coast near seed growers. Growing media products are processed and packaged in 27 locations throughout the United States. Scotts operates two composting facilities where yard waste (grass clippings, leaves, and twigs) is converted to raw materials for Scotts' growing media products. Operations at these facilities have been integrated with Scotts' 27 growing media facilities. Scotts also utilizes approximately 30 contract production locations for growing media products. Scotts' lawn spreaders and specialty hose sprayers are produced at the Republic facility in Carlsbad, California. Republic Tool adjusts assembly capacity from time to time, to meet demand. Both Hyponex's and Republic Tool's operations vary production schedules to meet demand. The majority of</w:t>
      </w:r>
    </w:p>
    <w:p>
      <w:pPr>
        <w:spacing w:after="0" w:line="1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24"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Miracle-Gro(R) water-soluble fertilizers is contract-manufactured in three facilities located in Ohio, Texas and Florida.</w:t>
      </w:r>
    </w:p>
    <w:p>
      <w:pPr>
        <w:spacing w:after="0" w:line="176" w:lineRule="exact"/>
        <w:rPr>
          <w:sz w:val="20"/>
          <w:szCs w:val="20"/>
          <w:color w:val="auto"/>
        </w:rPr>
      </w:pPr>
    </w:p>
    <w:p>
      <w:pPr>
        <w:ind w:right="3379"/>
        <w:spacing w:after="0" w:line="270" w:lineRule="auto"/>
        <w:rPr>
          <w:sz w:val="20"/>
          <w:szCs w:val="20"/>
          <w:color w:val="auto"/>
        </w:rPr>
      </w:pPr>
      <w:r>
        <w:rPr>
          <w:rFonts w:ascii="Courier New" w:cs="Courier New" w:eastAsia="Courier New" w:hAnsi="Courier New"/>
          <w:sz w:val="14"/>
          <w:szCs w:val="14"/>
          <w:color w:val="auto"/>
        </w:rPr>
        <w:t>Granular and water-soluble fertilizers, liquid herbicides and pesticides and growing media for the U.K. market, are produced in East Yorkshire (Howden, Hatfield and Swinefleet) and Bramford (Suffolk), in the United Kingdom.</w:t>
      </w:r>
    </w:p>
    <w:p>
      <w:pPr>
        <w:spacing w:after="0" w:line="15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Bramford is the headquarters for U.K. operations and for the U.K. professional business. The site houses a modern fertilizer granulation plant with automated packing lines, liquid fertilizer production and bottling facilities. In addition, there are facilities for formulating and bottling a wide range of liquid plant protection products including herbicides, insecticides and fungicides. Bramford produces a wide range of products for both the consumer and professional businesses in Europe. These include the EverGreen(R) line of consumer lawn products and Greenmaster(R) products for the professional turf market. The Hatfield and Swinefleet factories contain modern facilities for the screening and blending of peat, together with various additives to produce a wide range of growing media. Peat to supply the facilities is harvested on both sites and brought in from satellite sites in Northwest England and Scotland. These facilities produce the Levington(R) brand of compost for both the consumer and professional businesses. Peat from Ireland is imported to produce the Shamrock(TM) range of growing media. Granular and water-soluble fertilizers and pesticides are produced at Howden and growing media is produced at Swinefleet and Hatfield.</w:t>
      </w:r>
    </w:p>
    <w:p>
      <w:pPr>
        <w:spacing w:after="0" w:line="18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At Hautmont, France, growing media and fertilizers for the consumer market are blended and bagged, and at Bourth, France, pesticide products for the consumer market are formulated, blended and packaged. Production schedules at Hautmont vary from one shift to two shifts to meet demand, while Bourth maintains two shifts year-round.</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Liquid and granular ingredients made primarily for Ortho(R) and Roundup(R) products are manufactured at Scotts' Fort Madison, Iowa facility and at several contract facilities. The plants adjust to seasonal demands expanding from two shifts five days a week to three shifts five days a week during peak season.</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Resin used for producing Osmocote(R) controlled-release fertilizer in the United States is manufactured by Sunpol Resins and Polymers, Inc. (formerly Sierra-Sunpol Resins, Inc.). In March 1999, Scotts-Sierra sold its majority stock interest in Sierra-Sunpol Resins, Inc., to the minority share owner and facility manager, which operates as Sunpol Resins and Polymers, Inc. In connection with the sale, Scotts entered into a five-year supply agreement for resin for domestic operations.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However, due to the seasonal nature of Scotts' business, Scotts' plants operate at maximum capacity during the peak production periods. Therefore, an unplanned serious production interruption could have a substantial adverse affect on Scotts' sales of the affected product lines.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Capital expenditures totaled $66.7 million and $41.3 million for fiscal 1999 and 1998. Of the major expenditures for fiscal 1999, approximately $21.0 million was spent on the implementation of the Enterprise Resource Planning information services program, $11.0 million for completion of the third Turf Builder(R) production line and associated packaging line additions, and over $2.0 million for facility expansions required for integration of Ortho operations. Engineering work has been initiated for the construction of a fourth Turf Builder(R) line, which with additional blending and packaging expansions, is expected to cost a total of $46.0 million for fiscal years 2000 and 2001. Thus, Scotts estimates that capital spending will approximate $70.0 million for fiscal 2000, which will include additional production capacity for Osmocote(R) products in Europe and expansion and automation of packaging capabilities in the Growing Media and Ortho facilities. Capital spending will approximate $60.0 to $70.0 million for fiscal 2001 and thereafter for the foreseeable future.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key ingredients in Scotts' fertilizer and control products are various commodity and specialty chemicals including vermiculite, phosphates, urea, potash, herbicides, insecticides and fungicides. Scotts obtains its raw materials from various sources, which Scotts presently considers to be adequate. No one source is considered to be essential to any of Scotts' North American Consumer, Professional or International Business Groups, or to its business as a whole. Scotts has never experienced a significant interruption of supply.</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Raw materials for Scotts Miracle-Gro include phosphates, urea and potash. Scotts considers its sources of supply for these materials to be adequate. All of the products sold by Scotts Miracle-Gro in North America, are produced under contract by independent fertilizer blending and packaging companies.</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Scotts-Sierra purchases granular, homogeneous fertilizer substrates to be coated and the resins for coating. These resins are primarily supplied domestically by Sunpol Resins and Polymers, Inc.</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Sphagnum peat, bark, peat, humus, vermiculite and manure constitute Hyponex's most significant raw materials. At current production levels, Scotts estimates Hyponex's peat reserves to be sufficient for its near-term needs in all locations. Bark products are obtained from sawmills and other wood residue producers and manure is obtained from a variety of sources, such as feed lots and mushroom growers.</w:t>
      </w:r>
    </w:p>
    <w:p>
      <w:pPr>
        <w:spacing w:after="0" w:line="177"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Raw materials for Republic Tool's operations include various engineered resins and metals, all of which are available from a variety of vendors.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Consumer Ortho Business Group's primary raw materials are pesticides similar to those used by the agriculture industry. No single chemical is essential in this market segment and all materials or suitable substitutes are expected to remain readily available.</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International Business Group is comprised of Professional and Consumer subgroups, which offer products that are very similar to those marketed by the Professional and North American Consumer Business Groups. The raw materials are therefore similar to those used by the Professional and North American Consumer Business Groups. Scotts believes that its raw materials sources for the International Business Group are sufficiently varied and anticipates no significant raw material shortages. Both the North American and International Consumer Businesses contract with essentially the same major chemical and packaging companies, through short and long-term supply agreements, for the supply of specialty chemicals, fertilizers and packaging materials. The North American and International Professional Businesses contract with local major producers, through short and long-term supply agreements, for the supply of sphagnum peat, peat, humus and vermiculite, which constitute the most significant raw materials for these businesses. Long-term supply arrangements for peat, and owned peat reserves in the United Kingdom and Ireland, are expected to be sufficient for the International Group's near-term needs, at current production levels. Packaging materials are supplied by major packaging companies, through short and long-term supply arrangements, which Scotts considers adequate for its supply needs.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primary distribution centers for Scotts(R) products are located near Scotts' North American headquarters in central Ohio. Scotts' expansion of its Marysville distribution facility was completed in December 1997. Scotts' products are shipped by rail and truck. While the majority of truck shipments is made by contract carriers, a portion is made by Scotts' own fleet of leased trucks. Inventories are also maintained in contract field or public warehouses located in major markets.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products of Scotts Miracle-Gro are warehoused and shipped from three primary contract packagers located throughout the United States. These contract packagers ship Miracle-Gro(R) products via common carrier direct to customers, lawn and garden distributors and to two contract distribution centers located in Fresno, California and Jacksonville, Florida. Inventories of Scotts U.K. products for the European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market, which are produced at the East Yorkshire (Howden) and Bramford (Suffolk) facilities, are distributed through a public warehouse in Daventry, the United Kingdom. Professional products for the U.K. market are warehoused and shipped from the Daventry and Chasetown, U.K. locations.</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Most growing media products have low sales value per unit of weight, making freight costs significant to profitability. Therefore, the Consumer Growing Media Business Group has located all of its 27 plant/distribution locations near large metropolitan areas in order to minimize shipping costs and to be near raw material sources. The Group uses its own fleet of approximately 70 trucks as well as contract haulers to transport its products from plant/distribution points to retail customers. Large-bag outdoor landscaping products and much of the indoor potting soil products are shipped directly to retail stores. A portion of Scotts' indoor potting soil and additive products is shipped to retailers' distribution centers for redistribution to their stores. In the United Kingdom, growing media is packaged at Hatfield and Swinefleet and shipped directly to customers in the United Kingdom. Growing media is also produced in Hautmont, France and Didam, the Netherlands, and shipped directly to customers.</w:t>
      </w:r>
    </w:p>
    <w:p>
      <w:pPr>
        <w:spacing w:after="0" w:line="16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Ortho(R) and Roundup(R) products are produced and shipped from two primary manufacturing facilities, one owned by Scotts and located in Fort Madison, Iowa and another at a contract packager located in Sullivan, Missouri. These products are shipped via common carrier through a newly-created distribution network of five contract distribution centers located in Fresno, California; Jacksonville, Florida; Arlington, Texas; Parksburg, Pennsylvania; and Wentzville, Missouri. These distribution centers ship directly to customers and to various lawn and garden distributors across the United States.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Scotts-Sierra's products are produced at two fertilizer and two growing media manufacturing facilities located in the United States and one fertilizer manufacturing facility located in Heerlen, Netherlands. The majority of shipments is via common carriers through distributors in the United States and a network of public warehouses in Europe.</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Republic Tool-produced, Scotts(R) branded spreaders are shipped via common carrier to regional warehouses serving Scotts' retail network. A portion of Republic Tool's spreader line and its private label lines is sold free-on-board (FOB) Carlsbad with transportation arranged by the customer.</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Fertilizers and pesticide products manufactured in Bourth, France are shipped to customers via a central distribution center located in Blois,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Home Depot and Kmart Corporation represented approximately 17% and 9% of Scotts' sales in fiscal 1999. Wal*Mart sales represented 7% of Scotts' fiscal 1999 sales. After allocating buying groups' sales to that retail customer, Wal*Mart sales represented approximately 12% of Scotts' fiscal 1999 sales. All three customers hold significant positions in the retail lawn and garden market. There continues to be intense competition between and consolidation within the retail outlets selling Scotts products. The loss of any of these customers or a substantial decrease in the amount of their purchases could have a material adverse effect on Scotts'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corporate culture is a blend of the history, heritage and culture of Scotts and companies acquired over the past ten years. Scotts provides a comprehensive benefits program to all full-time associates. As of September 30, 1999, Scotts employed approximately 2,900 full-time workers in the United States (including all subsidiaries) and an additional 1,050 full-time employees located outside the United States. As of September 30, 1999, full-time workers averaged approximately eight years employment with Scotts or its predecessors. During peak production periods, Scotts engages as many as 1,600 temporary workers in the United States. In the United Kingdom, during peak periods, as many as 84 temporary workers are engaged and European operations engage an average of 53 temporary workers annually.</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U.S. employees are not members of a union, with the exception of 27 of Scotts-Sierra's employees at its Milpitas facility, who are represented by the International Chemical Workers Union Council/United Food and Commercial Workers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Union. Approximately 100 of Scotts' full-time U.K. employees at the Bramford (Suffolk), and East Yorkshire (Hatfield and Swinefleet) manufacturing sites are members of the Transport and General Workers Union. A number of Scotts' full-time employees at the headquarters office in Lyon, France are members of the Confederation Generale des Cadres (CGC), Confederation Francaise Democratique du Travail (CFDT) and Confederation Generale du Travail (CGT), which number is confidential under French law. The average rate of union membership among employees in France is approximately 15%. A number of union and non-union full-time employees are members of work councils at three sites in Bourth, Hautmont and Lyon, France, and a number of non-union employees are members in Ingelheim, Germany. Work councils represent employees on labor and employment matters and manage social benefits.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connection with the Ortho acquisition, Scotts made offers of employment to all but a very limited number of employees who worked primarily in the Ortho business of Monsanto. While a majority of sales personnel accepted, most of the corporate staff declined relocation. Through September 30, 1999, Scotts paid severance, benefits and outplacement costs of $3.7 million for U.S. employees based on Monsanto's severance policy, with an additional $1.6 million expected to be paid during fiscal 2000. Scotts expects Monsanto to reimburse it for half of the costs of such termination payments, up to a maximum of $5.0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Scotts in several ways. In the United States, all products containing pesticides must be registered with the United States Environmental Protection Agency ("USEPA") (and in many cases, similar state and/or foreign agencies) before they can be sold. The inability to obtain or the cancellation of any such registration could have an adverse effect on Scotts' business. The severity of the effect would depend on which products were involved, whether another product could be substituted and whether Scotts' competitors were similarly affected. Scotts attempts to anticipate regulatory developments and maintain registrations of, and access to, substitute chemicals, but there can be no assurance that it will continue to be able to avoid or minimize these risks. Fertilizer and growing media products (including manures) are also subject to state and foreign labeling regulations. Grass seed is also subject to state, federal and foreign labeling regulations.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may decide that a pesticide Scotts uses in its products, would be limited or made unavailable to Scotts. Scotts cannot predict the outcome or the severity of the effect of the USEPA's evaluation. Management believes that Scotts should be able to obtain substitute ingredients if selected pesticides are limited or made unavailable, but there can be no assurance that it will be able to do so for all products.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Scotts believes it is operating in substantial compliance with, or taking action aimed at ensuring compliance with, these laws and regulations. Compliance with these regulations and the obtaining of registrations does not assure, however, that Scotts'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ultimate liability arising from these environmental matters, taking into account established reserves, should not have a material adverse effect on Scotts' financial position; however, there can be no assurance that the resolution of these matters will not materially affect future quarterly or annual operating results.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Regulations and environmental concerns exist surrounding peat extraction in the United Kingdom. The Scotts Company (UK) Ltd. played a leading role in the development and implementation of legislation concerning peat extraction, and believes it complies with this legislation, regarding it as the minimum standard.</w:t>
      </w:r>
    </w:p>
    <w:p>
      <w:pPr>
        <w:spacing w:after="0" w:line="177"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Local, state, federal and foreign agencies regulate the disposal, handling and storage of waste, air and water discharges from Scotts' facilities. During fiscal 1999, Scotts had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has assessed and addressed environmental issues regarding the wastewater treatment plants which had operated at the Marysville facility. Scotts decommissioned the old wastewater treatment plants and has connected the facility's wastewater system with the City of Marysville's municipal treatment system. Additionally, Scotts has been assessing, under Ohio's Voluntary Action Program ("VAP"), the possible remediation of several discontinued on-site waste disposal areas dating back to the early operations of its Marysville facility.</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February 1997, Scotts learned that the Ohio Environmental Protection Agency was referring certain matters relating to environmental conditions at Scotts' Marysville site, including the existing wastewater treatment plants and the discontinued on-site waste disposal areas, to the Ohio Attorney General's Office. Representatives from the Ohio EPA, the Ohio AG and Scotts continue to meet to discuss these issues.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June 1997, Scotts received formal notice of an enforcement action and draft Findings and Orders from the Ohio EPA. The draft Findings and Orders elaborated on the subject of the referral to the Ohio AG alleging: potential surface water violations relating to possible historical sediment contamination possibly impacting water quality; inadequate treatment capabilities of Scotts' existing and currently permitted wastewater treatment plants; and that the Marysville site is subject to corrective action under the Resource Conservation Recovery Act ("RCRA"). In late July 1997, Scotts received a draft judicial consent order from the Ohio AG which covered many of the same issues contained in the draft Findings and Orders including RCRA corrective action. As a result of ongoing discussions, Scotts received a revised draft of a judicial consent order from the Ohio AG in late April 1999, which is the focus of current negotiations.</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Scotts' past efforts to enter into Ohio's VAP, Scotts submitted to the Ohio EPA a "Demonstration of Sufficient Evidence of VAP Eligibility Compliance" on July 8, 1997. Among other issues contained in the VAP submission, was a description of Scotts'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being addressed. On October 21, 1997, Scotts received a letter from the Director of the Ohio EPA denying VAP eligibility based upon the timeliness of and completeness of the submittal. Scotts has appealed the Director's action to the Environmental Review Appeals Commission. No hearing date has been set and the appeal remains pending.</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is continuing to meet with the Ohio AG and the Ohio EPA in an effort to negotiate an amicable resolution of these issues but is unable at this stage to predict the outcome of the negotiations. While negotiations have narrowed the unresolved issues between Scotts and the Ohio AG/Ohio EPA, several critical issues remain the subject of ongoing discussions. Scotts believes that it has viable defenses to the State's enforcement action, including that it had been proceeding under VAP to address specified environmental issues, and will assert those defenses in any such action.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Since receiving the notice of enforcement action in June 1997, management has continually assessed the potential costs that may be incurred to satisfactorily remediate the Marysville site and to pay any penalties sought by the State. Because Scotts and the Ohio EPA have not agreed to the extent of any possible contamination and an appropriate remediation plan, Scotts has developed and initiated an action plan to remediate the site based on its own assessments and consideration of specific actions which the Ohio EPA will likely require. Because the extent of the ultimate remediation plan is uncertain, management is unable to predict with certainty the costs that will be incurred to remediate the site and to pay any penalties. As of September 30, 1999, management estimates that the range of possible loss that could be incurred in connection with this matter is $2 million to $10 million. Scotts has accrued for the amount it considers to be the most probable within that range and believes the outcome will not differ materially from the amount reserved. Many of the issues raised by the State are already being investigated and addressed by Scotts during the normal course of conducting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Scotts is defending this suit and is asserting a right to recover its economic losses resulting from the government's actions. The suit was placed in administrative suspense during fiscal 1996 in order to allow Scotts and the government an opportunity to negotiate a settlement, and it remains suspended while the parties develop, exchange and evaluate technical data. In July 1997, Scotts' wetlands consultant submitted to the government a draft remediation plan. Comments were received and a revised plan was submitted in early 1998. Further comments from the government were received during 1998 and 1999. Scotts believes agreement on the remediation plan has essentially been reached. Before this suit can be fully resolved, however, Scotts and the government must reach agreement on the government's civil penalty demand. Management does not believe that the outcome of this case will have a material adverse effect on Scotts' operations or its financial condition. Furthermore, management believes Scotts has sufficient raw material supplies available such that service to customers will not be materially adversely affected by continued closure of this peat harvesting operation.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September 1991, Scotts was identified by the Ohio EPA as a Potentially Responsible Party ("PRP") with respect to a site in Union County, Ohio (the "Hershberger site"), because Scotts allegedly arranged for the transportation, treatment or disposal of waste that allegedly contained hazardous substances, at the Hershberger site. Effective February 1998, Scotts and four other named PRPs executed an Administrative Order on Consent with the Ohio EPA, by which the named PRPs funded remedial action at the Hershberger site. Construction of the leachate collection system and reconstruction of the landfill cap were completed in August 1998. Scotts expects its future obligation will consist primarily of its share of annual operating and maintenance expenses. Management does not believe that its obligations under the Administrative Order will have a material adverse effect on Scotts' results of operations or financial condition.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BRAMFORD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(Suffolk), United Kingdom, is subject to environmental regulation by this Agency. Two manufacturing processes at this facility require process authorizations and previously required a waste management license (discharge to a licensed waste disposal lagoon having ceased in July 1999). Scotts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Scotts intends to comply with the reasonable remediation concerns of the Environment Agency. Scotts previously installed an environmental enhancement to the facility to the satisfaction of the Environment Agency and believes that it has adequately addressed the environmental concerns of the Environment Agency regarding emissions to air and groundwater. Scotts and the Environmental Agency have not agreed on a final plan for remediating the lagoon and the landfill. Management does not believe that its remedial obligations at this site will have a material adverse effect on the operations at the facility or on Scotts' results of operations or financial condition.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Please see the information contained under the caption "Year 2000 Readiness" in "ITEM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has fee or leasehold interests in approximately 60 facilities.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owns approximately 875 acres of land, with 719 acres at its Marysville, Ohio headquarters for the North American Consumer Lawns, Growing Media, and Ortho Business Groups, and the Professional Business Group and Operations functions. Scotts leases space in downtown Columbus for its World Headquarters office. Four research facilities in Apopka, Florida; Cleveland, Texas; Gervais, Oregon; and Moorestown, New Jersey, comprise 129 acres. The Ortho production facility encompasses 27 acres in Fort Madison, Iowa. Scotts leases warehouse space throughout the United States and continental Europe as needed. Republic Tool leases its 20-acre spreader facility in Carlsbad, California.</w:t>
      </w:r>
    </w:p>
    <w:p>
      <w:pPr>
        <w:spacing w:after="0" w:line="17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Scotts operates 27 growing media facilities located nationwide in 23 states. Twenty-four are owned by Scotts and three are leased. Most facilities include production lines, warehouses, offices and field processing areas.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December 1, 1999, Scotts had two-remaining compost facilities in Connecticut. One site is located at a bagging facility in Lebanon, Connecticut and the other is a stand-alone leased facility in Fairfield, Connecticut. During fiscal 1999, Scotts closed its other composting sites in the United States that collected yard and compost waste on behalf of municipalities.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owns two Scotts-Sierra manufacturing facilities in Fairfield, California and Heerlen, Netherlands. It leases two Scotts-Sierra manufacturing facilities in Milpitas, California and North Charleston, South Carolina.</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Internationally, Scotts leases its: U.K. headquarters, located in Godalming (Surrey); French headquarters, located in Lyon, France; German headquarters, located in Ingleheim, Germany; and Professional Group headquarters, located in Waardenburg, Netherlands.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Scotts owns manufacturing facilities in East Yorkshire (Howden, Hatfield and Swinefleet) and Bramford (Suffolk) in the United Kingdom. Scotts also owns the Hautmont plant in France, a blending and bagging facility for growing media and fertilizers sold to the consumer market; and the Bourth plant, also in France, a facility for formulating, blending and packaging pesticide products for the consumer market. A sales and research and development facility is maintained at the Ingleheim, Germany site. Scotts leases sales offices and operates an organics bagging facility in Didam, the Netherlands. Sales offices are also leased in Saint Niklaas, Belgium.</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Scotts leases property for ten lawn care service centers in Georgia, Illinois, Indiana, Maryland, Missouri and Ohio. Scotts also leases the land upon which Sanford Scientific is located in Waterloo, New York.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24" w:lineRule="exact"/>
        <w:rPr>
          <w:sz w:val="20"/>
          <w:szCs w:val="20"/>
          <w:color w:val="auto"/>
        </w:rPr>
      </w:pPr>
    </w:p>
    <w:p>
      <w:pPr>
        <w:ind w:right="3199"/>
        <w:spacing w:after="0" w:line="267" w:lineRule="auto"/>
        <w:rPr>
          <w:sz w:val="20"/>
          <w:szCs w:val="20"/>
          <w:color w:val="auto"/>
        </w:rPr>
      </w:pPr>
      <w:r>
        <w:rPr>
          <w:rFonts w:ascii="Courier New" w:cs="Courier New" w:eastAsia="Courier New" w:hAnsi="Courier New"/>
          <w:sz w:val="14"/>
          <w:szCs w:val="14"/>
          <w:color w:val="auto"/>
        </w:rPr>
        <w:t>During fiscal 1999, Scotts leased the land upon which Scotts Miracle-Gro's (operating as the North American Consumer Gardens Business Group) headquarters was located in Port Washington, New York. For fiscal 2000, operations at this location will transfer to the North American headquarters in Marysville, Ohio.</w:t>
      </w:r>
    </w:p>
    <w:p>
      <w:pPr>
        <w:spacing w:after="0" w:line="16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a result of the Ortho acquisition, Scotts acquired a plant in Fort Madison, Iowa and research stations in Moorestown, New Jersey, and Valley Center, California. The relocation of personnel from the San Ramon sales office to Marysville, Ohio was completed in September 1999, with the office space being subleased until lease termination. Foreign operations acquired as a result of the Ortho acquisition include a plant in Corwen, United Kingdom. Scotts also operates sales offices in Beaverton, Oregon; Rolling Meadows, Illinois, and Bentonville, Arkansas.</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It is the opinion of Scotts' management that its facilities are adequate to serve their intended purposes at this time and that its property leasing arrangements are stable. Please also see the discussion of Scotts' production facilities in "ITEM 1. BUSINESS--Operations Group--Production Facilities"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Scotts is involved in several pending environmental matters. In the opinion of management, its assessment of contingencies is reasonable and related reserves, in the aggregate, are adequate; however, there can be no assurance that the final resolution of these matters will not materially affect Scotts' future quarterly or annual operating results.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 (NEW YORK DISTRICT COURT)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June 3, 1999, a Complaint was filed in the United States District Court for the Southern District of New York, styled AgrEvo Environmental Health, Inc. v. Scotts Company (sic), Scotts Miracle-Gro Products, Inc. and Monsanto Company, in which AgrEvo seeks damages and injunctive relief for alleged antitrust violations and breach of contract by Scotts and Scotts Miracle-Gro, and alleged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184"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is seeking to have the court invalidate the Roundup(R) marketing agreement as violative of the federal antitrust laws. On September 20, 1999, Scotts filed an answer denying liability and asserting counterclaims that it was fraudulently induced to enter into the agreement for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Scotts intends to vigorously defend against this action. Under the indemnification provisions of the Roundup(R) marketing agreement, Monsanto and Scotts each have requested that the other indemnify against any losses arising from this lawsuit. Scotts currently is unable to determine the potential impact of these proceedings on its future results of operations and financial condition.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 (DELAWARE)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June 29, 1999, a Complaint was filed in the Superior Court of the State of Delaware in and for New Castle County, styled AgrEvo Environmental Health, Inc. v. Scotts Miracle-Gro Products, Inc. and OMS Investments, Inc., in which AgrEvo seeks damages for alleged breach of contract against Scotts Miracle-Gro and OMS. AgrEvo alleges that, under the contracts described above by which the herbicide business was purchased from AgrEvo in May 1998, Scotts Miracle-Gro and OMS have failed to</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pay AgrEvo approximately $0.6 million. AgrEvo is requesting damages in this amount, as well as pre and post-judgment interest and attorneys' fees and costs. Scotts Miracle-Gro and OMS have moved to dismiss or stay this action on the ground that the claims asserted must be brought in the previously-described action in the Southern District of New York. Oral argument on this motion is set for late December 1999. Scotts Miracle-Gro and OMS intend to vigorously defend the asserted claims, whether they are ultimately litigated in state court in Delaware or the federal court in New York.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Hoechst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16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November 25, 1999, the Tribunal suggested that the parties discuss an escrow arrangement to protect Scotts' interests during the pendency of the arbitration and denied Scotts' request for additional interim relief. Pursuant to the Tribunal's suggestion, the parties are presently negotiating a segregated Record Agreement and Order.</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179"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8" w:lineRule="exact"/>
        <w:rPr>
          <w:sz w:val="20"/>
          <w:szCs w:val="20"/>
          <w:color w:val="auto"/>
        </w:rPr>
      </w:pPr>
    </w:p>
    <w:p>
      <w:pPr>
        <w:ind w:right="4340"/>
        <w:spacing w:after="0" w:line="243"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78" w:lineRule="exact"/>
        <w:rPr>
          <w:sz w:val="20"/>
          <w:szCs w:val="20"/>
          <w:color w:val="auto"/>
        </w:rPr>
      </w:pPr>
    </w:p>
    <w:p>
      <w:pPr>
        <w:jc w:val="both"/>
        <w:ind w:right="4700"/>
        <w:spacing w:after="0" w:line="244" w:lineRule="auto"/>
        <w:rPr>
          <w:sz w:val="20"/>
          <w:szCs w:val="20"/>
          <w:color w:val="auto"/>
        </w:rPr>
      </w:pPr>
      <w:r>
        <w:rPr>
          <w:rFonts w:ascii="Courier New" w:cs="Courier New" w:eastAsia="Courier New" w:hAnsi="Courier New"/>
          <w:sz w:val="15"/>
          <w:szCs w:val="15"/>
          <w:color w:val="auto"/>
        </w:rPr>
        <w:t>The executive officers of The Scotts Company, their positions and, as of December 10, 1999, their ages and years with The Scotts Company (and its predecessors) are set forth below.</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YEARS WITH</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SCOTTS</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(AND ITS</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ind w:left="900"/>
              <w:spacing w:after="0"/>
              <w:rPr>
                <w:sz w:val="20"/>
                <w:szCs w:val="20"/>
                <w:color w:val="auto"/>
              </w:rPr>
            </w:pPr>
            <w:r>
              <w:rPr>
                <w:rFonts w:ascii="Courier New" w:cs="Courier New" w:eastAsia="Courier New" w:hAnsi="Courier New"/>
                <w:sz w:val="15"/>
                <w:szCs w:val="15"/>
                <w:color w:val="auto"/>
              </w:rPr>
              <w:t>AGE</w:t>
            </w:r>
          </w:p>
        </w:tc>
        <w:tc>
          <w:tcPr>
            <w:tcW w:w="136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POSITION(S)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HELD</w:t>
            </w:r>
          </w:p>
        </w:tc>
        <w:tc>
          <w:tcPr>
            <w:tcW w:w="1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PREDECESSORS)</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3460" w:type="dxa"/>
            <w:vAlign w:val="bottom"/>
            <w:gridSpan w:val="2"/>
          </w:tcPr>
          <w:p>
            <w:pPr>
              <w:jc w:val="right"/>
              <w:ind w:right="176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96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63</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Chairman of</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the Board,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and Chief Executive Officer</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44</w:t>
            </w: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President, Scotts North America,</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 Director</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Jean H. Mordo</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54</w:t>
            </w: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Group Executive Vice President,</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International</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David D. Harrison</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52</w:t>
            </w: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Executive Vice President and</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 months</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Chief Financial Officer</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Michael P. Kelty, Ph.D.</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49</w:t>
            </w: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Executive Vice President, Technology</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Operations, Scotts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G. Robert Lucas</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56</w:t>
            </w: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Executive Vice President, General</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Counsel and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Secretary</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Laurens J.M. de Kort</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48</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Zone 4, International</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William A. Dittman</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43</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Growing Media Business</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Michel J. Farkouh</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43</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Zone 3, International</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68</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Consumer Gardens Group,</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 Director</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Nick G. Kirkbride</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40</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Zone 1, International</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Hadia Lefavre</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 months</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Human Resources Worldwide</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Joseph M. Petite</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49</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Business Process Development</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William R. Radon</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40</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Information</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Technology</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Christian Ringuet</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48</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Zone 2, International</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James L. Rogula</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65</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Consumer Ortho Business Group</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L. Robert Stohler</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58</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15"/>
                <w:szCs w:val="15"/>
                <w:color w:val="auto"/>
              </w:rPr>
            </w:pP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Consumer Lawns Business Group</w:t>
            </w:r>
          </w:p>
        </w:tc>
        <w:tc>
          <w:tcPr>
            <w:tcW w:w="1680" w:type="dxa"/>
            <w:vAlign w:val="bottom"/>
          </w:tcPr>
          <w:p>
            <w:pPr>
              <w:spacing w:after="0"/>
              <w:rPr>
                <w:sz w:val="15"/>
                <w:szCs w:val="15"/>
                <w:color w:val="auto"/>
              </w:rPr>
            </w:pP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Scott C. Todd</w:t>
            </w:r>
          </w:p>
        </w:tc>
        <w:tc>
          <w:tcPr>
            <w:tcW w:w="1720" w:type="dxa"/>
            <w:vAlign w:val="bottom"/>
          </w:tcPr>
          <w:p>
            <w:pPr>
              <w:ind w:left="1080"/>
              <w:spacing w:after="0"/>
              <w:rPr>
                <w:sz w:val="20"/>
                <w:szCs w:val="20"/>
                <w:color w:val="auto"/>
              </w:rPr>
            </w:pPr>
            <w:r>
              <w:rPr>
                <w:rFonts w:ascii="Courier New" w:cs="Courier New" w:eastAsia="Courier New" w:hAnsi="Courier New"/>
                <w:sz w:val="15"/>
                <w:szCs w:val="15"/>
                <w:color w:val="auto"/>
              </w:rPr>
              <w:t>38</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w w:val="98"/>
              </w:rPr>
              <w:t>Senior Vice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President,</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r>
      <w:tr>
        <w:trPr>
          <w:trHeight w:val="173"/>
        </w:trPr>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Business Group</w:t>
            </w: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351" w:lineRule="exact"/>
        <w:rPr>
          <w:sz w:val="20"/>
          <w:szCs w:val="20"/>
          <w:color w:val="auto"/>
        </w:rPr>
      </w:pPr>
    </w:p>
    <w:p>
      <w:pPr>
        <w:ind w:right="4060"/>
        <w:spacing w:after="0" w:line="244"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Berger, Mr. Hagedorn, Mr. Mordo, Mr. Harrison, Mr. Lucas, Mr. de Kort, Mr. Kenlon, Mr. Kirkbride, Ms. Lefavre and Mr. Ringuet, pursuant to employment agreements.</w:t>
      </w:r>
    </w:p>
    <w:p>
      <w:pPr>
        <w:spacing w:after="0" w:line="176" w:lineRule="exact"/>
        <w:rPr>
          <w:sz w:val="20"/>
          <w:szCs w:val="20"/>
          <w:color w:val="auto"/>
        </w:rPr>
      </w:pPr>
    </w:p>
    <w:p>
      <w:pPr>
        <w:ind w:right="3980"/>
        <w:spacing w:after="0" w:line="243"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6"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Mr. Berger was elected Chairman of the Board, President and Chief Executive Officer of Scotts in August 1996. Mr. Berger came to Scotts from H. J. Heinz Company, where, from October 1994 to August 1996, he served as Chairman and Chief Executive Officer of Heinz India Pvt. Ltd. (Bombay). During his 32-year career at Heinz, he also held the positions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180"/>
          </w:cols>
          <w:pgMar w:left="240" w:top="291" w:right="479"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Chairman, President and Chief Executive Officer of Weight Watchers International, a Heinz affiliate; Managing Director and Chief Executive Officer of Heinz-Italy (Milan), the largest Heinz profit center in Europe; General Manager, Marketing, for all Heinz U.S. grocery products; Marketing Director for Heinz UK (London) and Director of Corporate Planning at Heinz World Headquarters. He is also a former director of Stern's Miracle-Gro Products, Inc. ("Miracle-Gro Products"), now known as Scotts Miracle-Gro.</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Hagedorn was named President, Scotts North America, in December 1998. He was previously Executive Vice President, U.S. Business Groups, of Scotts, since October 1996. From May 1995 to October 1996, he served as Senior Vice President, Consumer Gardens Group, of Scotts. He served as Executive Vice President of Scotts Miracle-Gro since May 1995, and Executive Vice President of Miracle-Gro Products from 1989 until May 1995. Mr. Hagedorn is the son of Horace Hagedorn, a director of Scotts.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Mordo was named Group Executive Vice President, International, of Scotts, in May 1999. He was previously Executive Vice President and Chief Financial Officer of Scotts since January 1997. From 1992 through December 1996, he served as Senior Vice President and Chief Financial Officer of Pratt and Whitney Aircraft, a division of United Technologies Corporation.</w:t>
      </w:r>
    </w:p>
    <w:p>
      <w:pPr>
        <w:spacing w:after="0" w:line="177"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Mr. Harrison was named Executive Vice President and Chief Financial Officer of Scotts in August 1999. From August 1996 to August 1999, he was Executive Vice President and Chief Financial Officer for Coltec Industries, Inc., a diversified manufacturer of industrial and aerospace products. From August 1994 to August 1996, he served as Executive Vice President and Chief Financial Officer of Pentair, Inc., a diversified general industrial manufacturing company.</w:t>
      </w:r>
    </w:p>
    <w:p>
      <w:pPr>
        <w:spacing w:after="0" w:line="16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Dr. Kelty was named Executive Vice President, Technology and Operations, of Scotts, in February 1999. He was previously Senior Vice President, Professional Business Group, of Scotts, since July 1995. Dr. Kelty had been Senior Vice President, Technology and Operations, of Scotts from March 1994 to July 1995.</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Lucas was named Executive Vice President, General Counsel and Secretary of Scotts in February 1999. He was previously Senior Vice President, General Counsel and Secretary of Scotts, since May 1997. From 1990 until the time he joined Scotts, Mr. Lucas was a partner with the law firm Vorys, Sater, Seymour and Pease LLP ("VSSP"). From 1993 to the time he joined Scotts, he was the lead outside counsel at VSSP representing Scotts. Mr. Lucas is a director of Bob Evans Farms, Inc.</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Mr. de Kort was named Senior Vice President, Zone 4, International, of Scotts, in May 1999, having been Vice President, Scotts Europe, Middle East, Africa, since July 1994. Mr. de Kort is employed by Scotts Europe B.V., a wholly-owned subsidiary of Scotts.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Dittman was named Senior Vice President, Consumer Growing Media Business Group, of Scotts, in April 1998. From December 1996 to April 1998, he was Senior Vice President of Sales, Marketing and Advertising of the Consumer Gardens Group of Scotts. From 1992 to December 1996, he was Vice President of Sales, Miracle-Gro Products.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Farkouh was named Senior Vice President, Zone 3, International, of Scotts, in May 1999, having joined Scotts France SAS in January 1999. From January 1997 to the time he joined Scotts, he was Vice President, Worldwide Lawn and Garden Category Manager, of Monsanto. From 1991 to January 1997, he was General Manager, Lawn and Garden Europe, of Monsanto.</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Kenlon was named Senior Vice President, Consumer Gardens Group, of Scotts, in May 1999, a change to make titles uniform within the Scotts' executive team. He was previously President, Consumer Gardens Group, of Scotts from December 1996 until May 1999. He was previously Chief Operating Officer and President of Scotts Miracle-Gro, since May 1995. Mr. Kenlon was the President of Miracle-Gro Products from 1985 until May 1995. Mr. Kenlon began his association with the Miracle-Gro companies in 1960. It is expected that Mr. Kenlon will resign from his offices with Scotts, effective December 31, 1999, but he will remain a member of the Board of Directors.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Kirkbride was named Senior Vice President, Zone 1, International, of Scotts, in May 1999, having joined The Scotts Company (UK) Ltd. in December 1998. From January 1995 to the time he joined Scotts, he was Managing Director of The Virgin Cola Company, a privately-held soft drink company.</w:t>
      </w:r>
    </w:p>
    <w:p>
      <w:pPr>
        <w:spacing w:after="0" w:line="176"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Ms. Lefavre joined Scotts as Senior Vice President, Human Resources Worldwide, in March 1999. From October 1995 to October 1998, she served as Senior Vice President, Human Resources Worldwide, at Rhone-Poulenc Rorer Inc., a pharmaceutical company, based in Pennsylvania. From April 1994 to October 1995, she was Vice President, Executive Management, of Bull, a computer company based in Paris, France. She served as Vice President of Human Resources and Communications, Worldwide Manufacturing, of Bull, from April 1993 to April 1994.</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Petite was named Senior Vice President, Business Process Development, of Scotts, in February 1998. He served as Senior Vice President, Consumer Growing Media Business Group, of Scotts from December 1996 to February 1998. From July 1996 to December 1996, he served as Vice President, Consumer Growing Media Business Group, of Scotts. From November 1995 to July 1996, Mr. Petite served as Vice President, Strategic Planning of Scotts. From 1989 to November 1995, he was Vice President of Marketing, Consumer Business Group, of Scotts.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Radon joined Scotts in February 1998, as Senior Vice President, Information Technology. From September 1995 to the time he joined Scotts, Mr. Radon was Vice President, Chief Information Officer at Lamson &amp; Sessions, a manufacturer and distributor of plastic pipe, conduit and consumer electrical devices. From 1984 to September 1995, he was a management consultant at Ernst &amp; Young.</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Ringuet joined Scotts France SAS in October 1998 as Senior Vice President, Zone 2, International. He was Managing Director of Rhone-Poulenc Jardin, from March 1995 through September 1998. From 1986 to March 1995, he was Marketing and Sales Manager of Rhone-Poulenc Jardin.</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Rogula was named Senior Vice President, Consumer Ortho Business Group, of Scotts, in October 1998. Prior thereto, he had been Senior Vice President, Consumer Lawns Group, of Scotts since October 1996. He served as Senior Vice President, Consumer Business Group, of Scotts from January 1995 to October 1996. From 1990 until the time he joined Scotts, he was President of The American Candy Company, a producer of non-chocolate candies. He is also a former director of Miracle-Gro Products.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Mr. Stohler was named Senior Vice President, Consumer Lawns Business Group, in October 1998. Prior thereto, he had been Senior Vice President, International Business Group, of Scotts since December 1996. From November 1995 to December 1996, he served as Vice President, International Business Group, of Scotts. From January 1994 to October 1995, he was President of Rubbermaid Europe S.A., a marketer of plastic housewares, toys, office supplies and janitorial and food service products.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Mr. Todd was named Senior Vice President, Professional Business Group, of Scotts, in February 1999. From November 1995 to January 1999, he was Vice President, Horticulture, of Scotts. From 1992 to October 1995, he was General Manager, Horticulture, of Scotts.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350" w:lineRule="exact"/>
        <w:rPr>
          <w:sz w:val="20"/>
          <w:szCs w:val="20"/>
          <w:color w:val="auto"/>
        </w:rPr>
      </w:pPr>
    </w:p>
    <w:p>
      <w:pPr>
        <w:jc w:val="center"/>
        <w:ind w:left="8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8" w:lineRule="exact"/>
        <w:rPr>
          <w:sz w:val="20"/>
          <w:szCs w:val="20"/>
          <w:color w:val="auto"/>
        </w:rPr>
      </w:pPr>
    </w:p>
    <w:p>
      <w:pPr>
        <w:ind w:right="360"/>
        <w:spacing w:after="0" w:line="243" w:lineRule="auto"/>
        <w:rPr>
          <w:sz w:val="20"/>
          <w:szCs w:val="20"/>
          <w:color w:val="auto"/>
        </w:rPr>
      </w:pPr>
      <w:r>
        <w:rPr>
          <w:rFonts w:ascii="Courier New" w:cs="Courier New" w:eastAsia="Courier New" w:hAnsi="Courier New"/>
          <w:sz w:val="15"/>
          <w:szCs w:val="15"/>
          <w:color w:val="auto"/>
        </w:rPr>
        <w:t>The common shares of The Scotts Company trade on the New York Stock Exchange under the symbol "SMG".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spacing w:after="0"/>
              <w:rPr>
                <w:sz w:val="14"/>
                <w:szCs w:val="14"/>
                <w:color w:val="auto"/>
              </w:rPr>
            </w:pPr>
          </w:p>
        </w:tc>
      </w:tr>
      <w:tr>
        <w:trPr>
          <w:trHeight w:val="173"/>
        </w:trPr>
        <w:tc>
          <w:tcPr>
            <w:tcW w:w="3320" w:type="dxa"/>
            <w:vAlign w:val="bottom"/>
          </w:tcPr>
          <w:p>
            <w:pPr>
              <w:spacing w:after="0"/>
              <w:rPr>
                <w:sz w:val="15"/>
                <w:szCs w:val="15"/>
                <w:color w:val="auto"/>
              </w:rPr>
            </w:pP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520"/>
        </w:trPr>
        <w:tc>
          <w:tcPr>
            <w:tcW w:w="332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w:t>
            </w:r>
          </w:p>
        </w:tc>
        <w:tc>
          <w:tcPr>
            <w:tcW w:w="68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3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351" w:lineRule="exact"/>
        <w:rPr>
          <w:sz w:val="20"/>
          <w:szCs w:val="20"/>
          <w:color w:val="auto"/>
        </w:rPr>
      </w:pPr>
    </w:p>
    <w:p>
      <w:pPr>
        <w:ind w:right="80"/>
        <w:spacing w:after="0" w:line="244" w:lineRule="auto"/>
        <w:rPr>
          <w:sz w:val="20"/>
          <w:szCs w:val="20"/>
          <w:color w:val="auto"/>
        </w:rPr>
      </w:pPr>
      <w:r>
        <w:rPr>
          <w:rFonts w:ascii="Courier New" w:cs="Courier New" w:eastAsia="Courier New" w:hAnsi="Courier New"/>
          <w:sz w:val="15"/>
          <w:szCs w:val="15"/>
          <w:color w:val="auto"/>
        </w:rPr>
        <w:t>Scotts has not paid dividends on the common shares in the past and does not presently plan to pay dividends on the common shares. It is presently anticipated that earnings will be retained and reinvested to support the growth of Scotts' business. The payment of any future dividends on common shares will be determined by the Board of Directors of Scotts in light of conditions then existing, including Scotts' earnings, financial condition and capital requirements, restrictions in financing agreements, business conditions and other factors.</w:t>
      </w:r>
    </w:p>
    <w:p>
      <w:pPr>
        <w:spacing w:after="0" w:line="178" w:lineRule="exact"/>
        <w:rPr>
          <w:sz w:val="20"/>
          <w:szCs w:val="20"/>
          <w:color w:val="auto"/>
        </w:rPr>
      </w:pPr>
    </w:p>
    <w:p>
      <w:pPr>
        <w:ind w:right="440"/>
        <w:spacing w:after="0" w:line="244" w:lineRule="auto"/>
        <w:rPr>
          <w:sz w:val="20"/>
          <w:szCs w:val="20"/>
          <w:color w:val="auto"/>
        </w:rPr>
      </w:pPr>
      <w:r>
        <w:rPr>
          <w:rFonts w:ascii="Courier New" w:cs="Courier New" w:eastAsia="Courier New" w:hAnsi="Courier New"/>
          <w:sz w:val="15"/>
          <w:szCs w:val="15"/>
          <w:color w:val="auto"/>
        </w:rPr>
        <w:t>As of December 1, 1999, Scotts estimates there were approximately 8,500 shareholders including holders of record and Scotts' estimate of beneficial holders.</w:t>
      </w:r>
    </w:p>
    <w:p>
      <w:pPr>
        <w:spacing w:after="0" w:line="175" w:lineRule="exact"/>
        <w:rPr>
          <w:sz w:val="20"/>
          <w:szCs w:val="20"/>
          <w:color w:val="auto"/>
        </w:rPr>
      </w:pPr>
    </w:p>
    <w:p>
      <w:pPr>
        <w:ind w:right="260"/>
        <w:spacing w:after="0" w:line="244" w:lineRule="auto"/>
        <w:rPr>
          <w:sz w:val="20"/>
          <w:szCs w:val="20"/>
          <w:color w:val="auto"/>
        </w:rPr>
      </w:pPr>
      <w:r>
        <w:rPr>
          <w:rFonts w:ascii="Courier New" w:cs="Courier New" w:eastAsia="Courier New" w:hAnsi="Courier New"/>
          <w:sz w:val="15"/>
          <w:szCs w:val="15"/>
          <w:color w:val="auto"/>
        </w:rPr>
        <w:t>On April 27, 1999, John Kenlon converted 571 shares of Scotts' Class A Convertible Preferred Stock into 30,051 common shares in accordance with the terms of Section 6 of Article FOURTH of Scotts' Amended Articles of Incorporation. On August 30, 1999, Hagedorn Partnership, L.P. converted 3,135 shares of Class A Convertible Preferred Stock into 164,995 common shares.</w:t>
      </w:r>
    </w:p>
    <w:p>
      <w:pPr>
        <w:spacing w:after="0" w:line="177"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Effective October 1, 1999, John Kenlon, Hagedorn Partnership, L.P. and Horace Hagedorn converted the remainder of their shares of Convertible Preferred Stock into 10,068,104 common shares. In exchange for this early conversion, those shareholders received an aggregate amount of approximately $6.4 million, representing the amount of the dividends on the Convertible Preferred Stock that would have otherwise been payable through May 2000.</w:t>
      </w:r>
    </w:p>
    <w:p>
      <w:pPr>
        <w:spacing w:after="0" w:line="177"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common shares issued upon conversion of the Convertible Preferred Stock were issued in reliance upon the exemption from registration provided by Section 3(a)(9) of the Securities Act of 1933.</w:t>
      </w:r>
    </w:p>
    <w:p>
      <w:pPr>
        <w:spacing w:after="0" w:line="34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PRICES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1/4</w:t>
      </w:r>
    </w:p>
    <w:p>
      <w:pPr>
        <w:spacing w:after="0" w:line="3" w:lineRule="exact"/>
        <w:rPr>
          <w:sz w:val="20"/>
          <w:szCs w:val="20"/>
          <w:color w:val="auto"/>
        </w:rPr>
      </w:pPr>
    </w:p>
    <w:p>
      <w:pPr>
        <w:ind w:left="560" w:hanging="460"/>
        <w:spacing w:after="0"/>
        <w:tabs>
          <w:tab w:leader="none" w:pos="5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7/16</w:t>
      </w:r>
    </w:p>
    <w:p>
      <w:pPr>
        <w:spacing w:after="0" w:line="3" w:lineRule="exact"/>
        <w:rPr>
          <w:rFonts w:ascii="Courier New" w:cs="Courier New" w:eastAsia="Courier New" w:hAnsi="Courier New"/>
          <w:sz w:val="15"/>
          <w:szCs w:val="15"/>
          <w:color w:val="auto"/>
        </w:rPr>
      </w:pPr>
    </w:p>
    <w:p>
      <w:pPr>
        <w:ind w:left="640" w:hanging="540"/>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p>
    <w:p>
      <w:pPr>
        <w:spacing w:after="0" w:line="3" w:lineRule="exact"/>
        <w:rPr>
          <w:rFonts w:ascii="Courier New" w:cs="Courier New" w:eastAsia="Courier New" w:hAnsi="Courier New"/>
          <w:sz w:val="15"/>
          <w:szCs w:val="15"/>
          <w:color w:val="auto"/>
        </w:rPr>
      </w:pPr>
    </w:p>
    <w:p>
      <w:pPr>
        <w:ind w:left="640" w:hanging="540"/>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w:t>
      </w:r>
    </w:p>
    <w:p>
      <w:pPr>
        <w:spacing w:after="0" w:line="35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640" w:hanging="540"/>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w:t>
      </w:r>
    </w:p>
    <w:p>
      <w:pPr>
        <w:spacing w:after="0" w:line="3" w:lineRule="exact"/>
        <w:rPr>
          <w:rFonts w:ascii="Courier New" w:cs="Courier New" w:eastAsia="Courier New" w:hAnsi="Courier New"/>
          <w:sz w:val="15"/>
          <w:szCs w:val="15"/>
          <w:color w:val="auto"/>
        </w:rPr>
      </w:pPr>
    </w:p>
    <w:p>
      <w:pPr>
        <w:ind w:left="640" w:hanging="540"/>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w:t>
      </w:r>
    </w:p>
    <w:p>
      <w:pPr>
        <w:spacing w:after="0" w:line="3" w:lineRule="exact"/>
        <w:rPr>
          <w:rFonts w:ascii="Courier New" w:cs="Courier New" w:eastAsia="Courier New" w:hAnsi="Courier New"/>
          <w:sz w:val="15"/>
          <w:szCs w:val="15"/>
          <w:color w:val="auto"/>
        </w:rPr>
      </w:pPr>
    </w:p>
    <w:p>
      <w:pPr>
        <w:ind w:left="640" w:hanging="540"/>
        <w:spacing w:after="0"/>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w:t>
      </w:r>
    </w:p>
    <w:p>
      <w:pPr>
        <w:sectPr>
          <w:pgSz w:w="11900" w:h="16838" w:orient="portrait"/>
          <w:cols w:equalWidth="0" w:num="3">
            <w:col w:w="7200" w:space="360"/>
            <w:col w:w="1440" w:space="720"/>
            <w:col w:w="920"/>
          </w:cols>
          <w:pgMar w:left="240" w:top="291" w:right="10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4"/>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FIVE YEAR SUMMARY</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 MILLIONS EXCEPT PER SHARE AMOUNTS)</w:t>
            </w:r>
          </w:p>
        </w:tc>
        <w:tc>
          <w:tcPr>
            <w:tcW w:w="44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1999(4)</w:t>
            </w:r>
          </w:p>
        </w:tc>
        <w:tc>
          <w:tcPr>
            <w:tcW w:w="40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1998(3)</w:t>
            </w:r>
          </w:p>
        </w:tc>
        <w:tc>
          <w:tcPr>
            <w:tcW w:w="32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1997(2)</w:t>
            </w:r>
          </w:p>
        </w:tc>
        <w:tc>
          <w:tcPr>
            <w:tcW w:w="40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1995(1)</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1,648.3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899.3</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750.4</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731.1</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659.2</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325.7</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238.0</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232.3</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Income from operations (5)</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196.1</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94.1</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94.8</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Income (loss) before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extraordinary items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Income (loss) applicable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to common shareholders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29.7</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30.4</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Working capital (6)</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274.8</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135.3</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146.5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181.1</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227.0</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property,</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plant and equipment</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28.6</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Property, plant and</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equipment, net</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259.4</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146.1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148.8</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1,769.6</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787.6</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731.7</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809.0</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debt</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950.0</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221.3</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272.5</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389.2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364.3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operating</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investing</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(192.1)</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Cash flows from financing</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513.9</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(61.1)</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Operating margin</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3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Current ratio</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debt to total book</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capitalization</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68.2%</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48.0%</w:t>
            </w:r>
          </w:p>
        </w:tc>
        <w:tc>
          <w:tcPr>
            <w:tcW w:w="3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36.2%</w:t>
            </w:r>
          </w:p>
        </w:tc>
        <w:tc>
          <w:tcPr>
            <w:tcW w:w="4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38.2%</w:t>
            </w:r>
          </w:p>
        </w:tc>
        <w:tc>
          <w:tcPr>
            <w:tcW w:w="3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Return on average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c>
          <w:tcPr>
            <w:tcW w:w="3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3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(loss) per</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common share before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extraordinary items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(loss)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per common share</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(loss)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per common share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before extraordinary items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(loss)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per common share</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12.19</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11.44</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11.92</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Price to diluted earnings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per share, end of period</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w:t>
            </w:r>
          </w:p>
        </w:tc>
        <w:tc>
          <w:tcPr>
            <w:tcW w:w="3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w:t>
            </w:r>
          </w:p>
        </w:tc>
        <w:tc>
          <w:tcPr>
            <w:tcW w:w="4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nm</w:t>
            </w:r>
          </w:p>
        </w:tc>
        <w:tc>
          <w:tcPr>
            <w:tcW w:w="3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Stock price at year-end</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34.63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30.63</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19.25</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22.13</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Stock price range - High</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41.38</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30.56</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21.88</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23.88</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16.13</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14.75</w:t>
            </w:r>
          </w:p>
        </w:tc>
      </w:tr>
      <w:tr>
        <w:trPr>
          <w:trHeight w:val="173"/>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EBITDA (7)</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256.3</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131.9</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55.6</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86.6</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EBITDA margin</w:t>
            </w:r>
          </w:p>
        </w:tc>
        <w:tc>
          <w:tcPr>
            <w:tcW w:w="44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c>
          <w:tcPr>
            <w:tcW w:w="400" w:type="dxa"/>
            <w:vAlign w:val="bottom"/>
          </w:tcPr>
          <w:p>
            <w:pPr>
              <w:spacing w:after="0"/>
              <w:rPr>
                <w:sz w:val="15"/>
                <w:szCs w:val="15"/>
                <w:color w:val="auto"/>
              </w:rPr>
            </w:pP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w:t>
            </w:r>
          </w:p>
        </w:tc>
        <w:tc>
          <w:tcPr>
            <w:tcW w:w="32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40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w:t>
            </w:r>
          </w:p>
        </w:tc>
        <w:tc>
          <w:tcPr>
            <w:tcW w:w="3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Interest coverage</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(EBITDA/interest expense)</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w:t>
            </w:r>
          </w:p>
        </w:tc>
        <w:tc>
          <w:tcPr>
            <w:tcW w:w="40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3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Average common shares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c>
          <w:tcPr>
            <w:tcW w:w="40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3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18.6</w:t>
            </w:r>
          </w:p>
        </w:tc>
        <w:tc>
          <w:tcPr>
            <w:tcW w:w="40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c>
          <w:tcPr>
            <w:tcW w:w="3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used in</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diluted earnings (loss)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920" w:type="dxa"/>
            <w:vAlign w:val="bottom"/>
          </w:tcPr>
          <w:p>
            <w:pPr>
              <w:ind w:left="540"/>
              <w:spacing w:after="0"/>
              <w:rPr>
                <w:sz w:val="20"/>
                <w:szCs w:val="20"/>
                <w:color w:val="auto"/>
              </w:rPr>
            </w:pPr>
            <w:r>
              <w:rPr>
                <w:rFonts w:ascii="Courier New" w:cs="Courier New" w:eastAsia="Courier New" w:hAnsi="Courier New"/>
                <w:sz w:val="15"/>
                <w:szCs w:val="15"/>
                <w:color w:val="auto"/>
              </w:rPr>
              <w:t>per common share calculation</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400" w:type="dxa"/>
            <w:vAlign w:val="bottom"/>
          </w:tcPr>
          <w:p>
            <w:pPr>
              <w:spacing w:after="0"/>
              <w:rPr>
                <w:sz w:val="15"/>
                <w:szCs w:val="15"/>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32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w:t>
            </w:r>
          </w:p>
        </w:tc>
        <w:tc>
          <w:tcPr>
            <w:tcW w:w="40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w:t>
            </w:r>
          </w:p>
        </w:tc>
        <w:tc>
          <w:tcPr>
            <w:tcW w:w="3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w:t>
            </w:r>
          </w:p>
        </w:tc>
      </w:tr>
      <w:tr>
        <w:trPr>
          <w:trHeight w:val="173"/>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r>
      <w:tr>
        <w:trPr>
          <w:trHeight w:val="520"/>
        </w:trPr>
        <w:tc>
          <w:tcPr>
            <w:tcW w:w="3920" w:type="dxa"/>
            <w:vAlign w:val="bottom"/>
          </w:tcPr>
          <w:p>
            <w:pPr>
              <w:ind w:left="3500"/>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000"/>
          </w:cols>
          <w:pgMar w:left="240" w:top="291" w:right="659"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24" w:lineRule="exact"/>
        <w:rPr>
          <w:sz w:val="20"/>
          <w:szCs w:val="20"/>
          <w:color w:val="auto"/>
        </w:rPr>
      </w:pPr>
    </w:p>
    <w:p>
      <w:pPr>
        <w:ind w:left="808" w:right="3279" w:hanging="799"/>
        <w:spacing w:after="0" w:line="243" w:lineRule="auto"/>
        <w:tabs>
          <w:tab w:leader="none" w:pos="787"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Prior year presentations have been changed to conform to fiscal 1999 presentation; these changes did not impact net income.</w:t>
      </w:r>
    </w:p>
    <w:p>
      <w:pPr>
        <w:spacing w:after="0" w:line="175" w:lineRule="exact"/>
        <w:rPr>
          <w:sz w:val="20"/>
          <w:szCs w:val="20"/>
          <w:color w:val="auto"/>
        </w:rPr>
      </w:pPr>
    </w:p>
    <w:p>
      <w:pPr>
        <w:ind w:left="808" w:hanging="808"/>
        <w:spacing w:after="0"/>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 Miracle-Gro Products, Inc. from May 1995.</w:t>
      </w:r>
    </w:p>
    <w:p>
      <w:pPr>
        <w:spacing w:after="0" w:line="177" w:lineRule="exact"/>
        <w:rPr>
          <w:rFonts w:ascii="Courier New" w:cs="Courier New" w:eastAsia="Courier New" w:hAnsi="Courier New"/>
          <w:sz w:val="15"/>
          <w:szCs w:val="15"/>
          <w:color w:val="auto"/>
        </w:rPr>
      </w:pPr>
    </w:p>
    <w:p>
      <w:pPr>
        <w:ind w:left="808" w:right="3279"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 Holdings Limited (nka The Scotts Company (UK) Ltd.) from January 1997.</w:t>
      </w:r>
    </w:p>
    <w:p>
      <w:pPr>
        <w:spacing w:after="0" w:line="176" w:lineRule="exact"/>
        <w:rPr>
          <w:rFonts w:ascii="Courier New" w:cs="Courier New" w:eastAsia="Courier New" w:hAnsi="Courier New"/>
          <w:sz w:val="15"/>
          <w:szCs w:val="15"/>
          <w:color w:val="auto"/>
        </w:rPr>
      </w:pPr>
    </w:p>
    <w:p>
      <w:pPr>
        <w:ind w:left="808" w:right="3379"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Levington Group Limited (nka The Scotts Company (UK) Ltd.) from December 1997 and EarthGro, Inc. from February 1998.</w:t>
      </w:r>
    </w:p>
    <w:p>
      <w:pPr>
        <w:spacing w:after="0" w:line="176"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Rhone-Poulenc Jardin (nka Scotts France SAS) from October 1998, Asef Holdings BV from December 1998 and the non-Roundup ("Ortho") business from January 1999.</w:t>
      </w:r>
    </w:p>
    <w:p>
      <w:pPr>
        <w:spacing w:after="0" w:line="175" w:lineRule="exact"/>
        <w:rPr>
          <w:rFonts w:ascii="Courier New" w:cs="Courier New" w:eastAsia="Courier New" w:hAnsi="Courier New"/>
          <w:sz w:val="15"/>
          <w:szCs w:val="15"/>
          <w:color w:val="auto"/>
        </w:rPr>
      </w:pPr>
    </w:p>
    <w:p>
      <w:pPr>
        <w:ind w:left="808" w:right="3279"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for fiscal 1998 and 1996 includes $20.4 million and $17.7 million of restructuring and other charges, respectively.</w:t>
      </w:r>
    </w:p>
    <w:p>
      <w:pPr>
        <w:spacing w:after="0" w:line="176" w:lineRule="exact"/>
        <w:rPr>
          <w:rFonts w:ascii="Courier New" w:cs="Courier New" w:eastAsia="Courier New" w:hAnsi="Courier New"/>
          <w:sz w:val="15"/>
          <w:szCs w:val="15"/>
          <w:color w:val="auto"/>
        </w:rPr>
      </w:pPr>
    </w:p>
    <w:p>
      <w:pPr>
        <w:ind w:left="808" w:right="3199" w:hanging="808"/>
        <w:spacing w:after="0" w:line="243" w:lineRule="auto"/>
        <w:tabs>
          <w:tab w:leader="none" w:pos="8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is defined as total current assets less total current liabilities.</w:t>
      </w:r>
    </w:p>
    <w:p>
      <w:pPr>
        <w:spacing w:after="0" w:line="176" w:lineRule="exact"/>
        <w:rPr>
          <w:rFonts w:ascii="Courier New" w:cs="Courier New" w:eastAsia="Courier New" w:hAnsi="Courier New"/>
          <w:sz w:val="15"/>
          <w:szCs w:val="15"/>
          <w:color w:val="auto"/>
        </w:rPr>
      </w:pPr>
    </w:p>
    <w:p>
      <w:pPr>
        <w:ind w:left="908" w:right="3099" w:hanging="908"/>
        <w:spacing w:after="0" w:line="244" w:lineRule="auto"/>
        <w:tabs>
          <w:tab w:leader="none" w:pos="90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178"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nm</w:t>
      </w:r>
      <w:r>
        <w:rPr>
          <w:sz w:val="20"/>
          <w:szCs w:val="20"/>
          <w:color w:val="auto"/>
        </w:rPr>
        <w:tab/>
      </w:r>
      <w:r>
        <w:rPr>
          <w:rFonts w:ascii="Courier New" w:cs="Courier New" w:eastAsia="Courier New" w:hAnsi="Courier New"/>
          <w:sz w:val="15"/>
          <w:szCs w:val="15"/>
          <w:color w:val="auto"/>
        </w:rPr>
        <w:t>Not meaningful</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351"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 through the retail distribution channels. During fiscal 1999, we spent $189.0 million on advertising and promotional activities, which is a significant increase over fiscal 1998 spending levels. We have applied this consumer marketing focus over the past several years, and we believe that Scotts continues to receive a significant return on these increased marketing expenditures. For example, sales in our Consumer Lawns business group increased 24.9% from fiscal 1998 to fiscal 1999, after having increased 12.9% from fiscal 1997 to fiscal 1998.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create increased demand for pesticides. Periods of dry, hot weather can have the opposite effect on fertilizer and pesticide sales. We believe that our recent acquisitions diversify both our product line risk and geographic risk to weather conditions.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September 30, 1998, Scotts entered into a long-term marketing agreement with Monsanto for its consumer Roundup(R) herbicide products. Under the marketing agreement, Scotts and Monsanto will jointly develop global consumer and trade-marketing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further our strategic objective of significantly enhancing our position in the pesticides segment of the consumer lawn and garden category. These businesses make up the Ortho business group within the North American Consumer segment.</w:t>
      </w:r>
    </w:p>
    <w:p>
      <w:pPr>
        <w:spacing w:after="0" w:line="181"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consumer lawn and garden category: lawn fertilizer, garden fertilizer, growing media, grass seeds and pesticides. We believe that we are now positioned as the only national company with a complete offering of consumer products.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to support the Ortho(R) brand.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24"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Over the past several years, we have made several other acquisitions to strengthen our global market position in the lawn and garden category. In October 1998, we purchased Rhone-Poulenc Jardin, a leading European lawn and garden business, from Rhone-Poulenc for approximately $170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180"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In December 1998, we acquired Asef Holdings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the Company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180"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The following discussion and analysis of our consolidated results of operations and financial position should be read in conjunction with our Consolidated Financial Statements included elsewhere in this report. Dollars are in millions except per share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4420"/>
        <w:spacing w:after="0" w:line="243"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years ended September 30, 1999:</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FISCAL YEAR ENDED</w:t>
            </w:r>
          </w:p>
        </w:tc>
        <w:tc>
          <w:tcPr>
            <w:tcW w:w="1260" w:type="dxa"/>
            <w:vAlign w:val="bottom"/>
          </w:tcPr>
          <w:p>
            <w:pPr>
              <w:spacing w:after="0"/>
              <w:rPr>
                <w:sz w:val="14"/>
                <w:szCs w:val="14"/>
                <w:color w:val="auto"/>
              </w:rPr>
            </w:pPr>
          </w:p>
        </w:tc>
      </w:tr>
      <w:tr>
        <w:trPr>
          <w:trHeight w:val="173"/>
        </w:trPr>
        <w:tc>
          <w:tcPr>
            <w:tcW w:w="5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SEPTEMBER 30,</w:t>
            </w:r>
          </w:p>
        </w:tc>
        <w:tc>
          <w:tcPr>
            <w:tcW w:w="1260" w:type="dxa"/>
            <w:vAlign w:val="bottom"/>
          </w:tcPr>
          <w:p>
            <w:pPr>
              <w:spacing w:after="0"/>
              <w:rPr>
                <w:sz w:val="15"/>
                <w:szCs w:val="15"/>
                <w:color w:val="auto"/>
              </w:rPr>
            </w:pPr>
          </w:p>
        </w:tc>
      </w:tr>
      <w:tr>
        <w:trPr>
          <w:trHeight w:val="173"/>
        </w:trPr>
        <w:tc>
          <w:tcPr>
            <w:tcW w:w="5400" w:type="dxa"/>
            <w:vAlign w:val="bottom"/>
          </w:tcPr>
          <w:p>
            <w:pPr>
              <w:spacing w:after="0"/>
              <w:rPr>
                <w:sz w:val="15"/>
                <w:szCs w:val="15"/>
                <w:color w:val="auto"/>
              </w:rPr>
            </w:pP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694"/>
        </w:trPr>
        <w:tc>
          <w:tcPr>
            <w:tcW w:w="54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64.2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35.8</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Extraordinary loss on extinguishment of debt</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2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3"/>
        </w:trPr>
        <w:tc>
          <w:tcPr>
            <w:tcW w:w="5400" w:type="dxa"/>
            <w:vAlign w:val="bottom"/>
          </w:tcPr>
          <w:p>
            <w:pPr>
              <w:spacing w:after="0"/>
              <w:rPr>
                <w:sz w:val="15"/>
                <w:szCs w:val="15"/>
                <w:color w:val="auto"/>
              </w:rPr>
            </w:pP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900"/>
          </w:cols>
          <w:pgMar w:left="240" w:top="291" w:right="759"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351" w:lineRule="exact"/>
        <w:rPr>
          <w:sz w:val="20"/>
          <w:szCs w:val="20"/>
          <w:color w:val="auto"/>
        </w:rPr>
      </w:pPr>
    </w:p>
    <w:p>
      <w:pPr>
        <w:ind w:right="2340"/>
        <w:spacing w:after="0" w:line="243" w:lineRule="auto"/>
        <w:rPr>
          <w:sz w:val="20"/>
          <w:szCs w:val="20"/>
          <w:color w:val="auto"/>
        </w:rPr>
      </w:pPr>
      <w:r>
        <w:rPr>
          <w:rFonts w:ascii="Courier New" w:cs="Courier New" w:eastAsia="Courier New" w:hAnsi="Courier New"/>
          <w:sz w:val="15"/>
          <w:szCs w:val="15"/>
          <w:color w:val="auto"/>
        </w:rPr>
        <w:t>The following table sets forth sales by business segment for the three years ended September 30, 1999:</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4"/>
                <w:szCs w:val="14"/>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4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442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Lawns</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461.0</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369.1</w:t>
            </w:r>
          </w:p>
        </w:tc>
      </w:tr>
      <w:tr>
        <w:trPr>
          <w:trHeight w:val="173"/>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Gardens</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147.4</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133.0</w:t>
            </w:r>
          </w:p>
        </w:tc>
      </w:tr>
      <w:tr>
        <w:trPr>
          <w:trHeight w:val="173"/>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Growing Media</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264.3</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231.6</w:t>
            </w:r>
          </w:p>
        </w:tc>
      </w:tr>
      <w:tr>
        <w:trPr>
          <w:trHeight w:val="173"/>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Ortho</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224.3</w:t>
            </w:r>
          </w:p>
        </w:tc>
        <w:tc>
          <w:tcPr>
            <w:tcW w:w="460" w:type="dxa"/>
            <w:vAlign w:val="bottom"/>
          </w:tcPr>
          <w:p>
            <w:pPr>
              <w:spacing w:after="0"/>
              <w:rPr>
                <w:sz w:val="15"/>
                <w:szCs w:val="15"/>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34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1,097.0</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733.7</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159.4</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5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391.9</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420" w:type="dxa"/>
            <w:vAlign w:val="bottom"/>
          </w:tcPr>
          <w:p>
            <w:pPr>
              <w:spacing w:after="0"/>
              <w:rPr>
                <w:sz w:val="15"/>
                <w:szCs w:val="15"/>
                <w:color w:val="auto"/>
              </w:rPr>
            </w:pPr>
          </w:p>
        </w:tc>
        <w:tc>
          <w:tcPr>
            <w:tcW w:w="34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2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1,648.3</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1,113.0</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1999 COMPARED TO FISCAL 1998</w:t>
      </w:r>
    </w:p>
    <w:p>
      <w:pPr>
        <w:spacing w:after="0" w:line="178" w:lineRule="exact"/>
        <w:rPr>
          <w:sz w:val="20"/>
          <w:szCs w:val="20"/>
          <w:color w:val="auto"/>
        </w:rPr>
      </w:pPr>
    </w:p>
    <w:p>
      <w:pPr>
        <w:ind w:right="1980"/>
        <w:spacing w:after="0" w:line="244" w:lineRule="auto"/>
        <w:rPr>
          <w:sz w:val="20"/>
          <w:szCs w:val="20"/>
          <w:color w:val="auto"/>
        </w:rPr>
      </w:pPr>
      <w:r>
        <w:rPr>
          <w:rFonts w:ascii="Courier New" w:cs="Courier New" w:eastAsia="Courier New" w:hAnsi="Courier New"/>
          <w:sz w:val="15"/>
          <w:szCs w:val="15"/>
          <w:color w:val="auto"/>
        </w:rPr>
        <w:t>Sales for fiscal 1999 were $1.65 billion, an increase of 48.1% over fiscal 1998 sales of $1.1 billion. On a pro forma basis, assuming that the Ortho, Rhone-Poulenc Jardin, Levington and EarthGro acquisitions had occurred on October 1, 1997, pro forma sales for fiscal 1999 were $1.68 billion, an 11% increase over fiscal 1998 pro forma sales of $1.5 billion. As discussed below, the increase in sales on a pro forma basis was primarily driven by exceptional growth in the Consumer Lawns business group and strong revenue growth within the Consumer Gardens and Growing Media business groups.</w:t>
      </w:r>
    </w:p>
    <w:p>
      <w:pPr>
        <w:spacing w:after="0" w:line="178" w:lineRule="exact"/>
        <w:rPr>
          <w:sz w:val="20"/>
          <w:szCs w:val="20"/>
          <w:color w:val="auto"/>
        </w:rPr>
      </w:pPr>
    </w:p>
    <w:p>
      <w:pPr>
        <w:ind w:right="1980"/>
        <w:spacing w:after="0" w:line="263" w:lineRule="auto"/>
        <w:rPr>
          <w:sz w:val="20"/>
          <w:szCs w:val="20"/>
          <w:color w:val="auto"/>
        </w:rPr>
      </w:pPr>
      <w:r>
        <w:rPr>
          <w:rFonts w:ascii="Courier New" w:cs="Courier New" w:eastAsia="Courier New" w:hAnsi="Courier New"/>
          <w:sz w:val="14"/>
          <w:szCs w:val="14"/>
          <w:color w:val="auto"/>
        </w:rPr>
        <w:t>North American Consumer segment sales were $1.1 billion in fiscal 1999, an increase of nearly 50% over fiscal 1998 sales of $734 million and an increase of 16% over fiscal 1998 on a pro forma basis. Sales in the Consumer Lawns business group within this segment were $461.0 million in fiscal 1999, a 25% increase over fiscal 1998 sales of $369.1 million. The continued dramatic revenue growth in the Consumer Lawns business group is being driven by increases in consumer-oriented marketing efforts such as advertising, consumer research and packaging improvements, which have increased category growth and market share. Sales in the Consumer Gardens business group increased 11% to $147.4 million in fiscal 1999 due to several successful new product introductions and the extension of the advertising season for All-Purpose Miracle Gro(R). Sales in the Growing Media business group increased 14% to $264.3 million, or 11% on a pro forma basis. Significantly higher levels of advertising and promotional spending drove this revenue growth which resulted in increased sales for value-added potting soils in particular. Sales in the Ortho business group were $224.3 million in fiscal 1999 which is an increase of 10% on a pro forma basis.</w:t>
      </w:r>
    </w:p>
    <w:p>
      <w:pPr>
        <w:spacing w:after="0" w:line="341" w:lineRule="exact"/>
        <w:rPr>
          <w:sz w:val="20"/>
          <w:szCs w:val="20"/>
          <w:color w:val="auto"/>
        </w:rPr>
      </w:pPr>
    </w:p>
    <w:p>
      <w:pPr>
        <w:ind w:right="1980"/>
        <w:spacing w:after="0" w:line="244" w:lineRule="auto"/>
        <w:rPr>
          <w:sz w:val="20"/>
          <w:szCs w:val="20"/>
          <w:color w:val="auto"/>
        </w:rPr>
      </w:pPr>
      <w:r>
        <w:rPr>
          <w:rFonts w:ascii="Courier New" w:cs="Courier New" w:eastAsia="Courier New" w:hAnsi="Courier New"/>
          <w:sz w:val="15"/>
          <w:szCs w:val="15"/>
          <w:color w:val="auto"/>
        </w:rPr>
        <w:t>Professional segment sales were $159.4 million in fiscal 1999, a decrease of 11% from fiscal 1998. The Professional segment consists of two businesses: the ProTurf(R) business which provides turf care products to golf courses, athletic fields, and related facilities; and the Horticulture business which provides plant care products to professional nurseries and growers. The decrease in fiscal 1999 sales in this segment was reflected in the ProTurf(R) business, which changed its distribution model earlier in the year, electing to market and deliver products through distributors rather than directly to customers. Short-term interruptions associated with this change and the discontinuance of certain commodity products resulted in lower sales volumes in fiscal 1999.</w:t>
      </w:r>
    </w:p>
    <w:p>
      <w:pPr>
        <w:spacing w:after="0" w:line="180" w:lineRule="exact"/>
        <w:rPr>
          <w:sz w:val="20"/>
          <w:szCs w:val="20"/>
          <w:color w:val="auto"/>
        </w:rPr>
      </w:pPr>
    </w:p>
    <w:p>
      <w:pPr>
        <w:ind w:right="2060"/>
        <w:spacing w:after="0" w:line="244" w:lineRule="auto"/>
        <w:rPr>
          <w:sz w:val="20"/>
          <w:szCs w:val="20"/>
          <w:color w:val="auto"/>
        </w:rPr>
      </w:pPr>
      <w:r>
        <w:rPr>
          <w:rFonts w:ascii="Courier New" w:cs="Courier New" w:eastAsia="Courier New" w:hAnsi="Courier New"/>
          <w:sz w:val="15"/>
          <w:szCs w:val="15"/>
          <w:color w:val="auto"/>
        </w:rPr>
        <w:t>International segment sales increased to $391.9 million in fiscal 1999 compared to $199.9 million in fiscal 1998, primarily the result of the Rhone-Poulenc Jardin and Asef acquisitions in fiscal 1999. The increase in sales on a pro forma basis was 9% which was primarily due to revenue growth in the European Professional and Rhone-Poulenc Jardin businesses, partially offset by sales declines in the U.K. consumer business caused by supply chain interruptions resulting from the integration of the recently acquired businesses. Excluding the effects of foreign currency</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1"/>
        <w:spacing w:after="0"/>
        <w:rPr>
          <w:sz w:val="20"/>
          <w:szCs w:val="20"/>
          <w:color w:val="auto"/>
        </w:rPr>
      </w:pPr>
      <w:r>
        <w:rPr>
          <w:rFonts w:ascii="Courier New" w:cs="Courier New" w:eastAsia="Courier New" w:hAnsi="Courier New"/>
          <w:sz w:val="15"/>
          <w:szCs w:val="15"/>
          <w:color w:val="auto"/>
        </w:rPr>
        <w:t>1997</w:t>
      </w:r>
    </w:p>
    <w:p>
      <w:pPr>
        <w:spacing w:after="0" w:line="3" w:lineRule="exact"/>
        <w:rPr>
          <w:sz w:val="20"/>
          <w:szCs w:val="20"/>
          <w:color w:val="auto"/>
        </w:rPr>
      </w:pPr>
    </w:p>
    <w:p>
      <w:pPr>
        <w:ind w:left="46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721" w:hanging="721"/>
        <w:spacing w:after="0"/>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309.6</w:t>
      </w:r>
    </w:p>
    <w:p>
      <w:pPr>
        <w:spacing w:after="0" w:line="3" w:lineRule="exact"/>
        <w:rPr>
          <w:rFonts w:ascii="Courier New" w:cs="Courier New" w:eastAsia="Courier New" w:hAnsi="Courier New"/>
          <w:sz w:val="15"/>
          <w:szCs w:val="15"/>
          <w:color w:val="auto"/>
        </w:rPr>
      </w:pPr>
    </w:p>
    <w:p>
      <w:pPr>
        <w:ind w:left="72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127.0</w:t>
      </w:r>
    </w:p>
    <w:p>
      <w:pPr>
        <w:spacing w:after="0" w:line="3" w:lineRule="exact"/>
        <w:rPr>
          <w:rFonts w:ascii="Courier New" w:cs="Courier New" w:eastAsia="Courier New" w:hAnsi="Courier New"/>
          <w:sz w:val="15"/>
          <w:szCs w:val="15"/>
          <w:color w:val="auto"/>
        </w:rPr>
      </w:pPr>
    </w:p>
    <w:p>
      <w:pPr>
        <w:ind w:left="72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182.6</w:t>
      </w:r>
    </w:p>
    <w:p>
      <w:pPr>
        <w:spacing w:after="0" w:line="3" w:lineRule="exact"/>
        <w:rPr>
          <w:rFonts w:ascii="Courier New" w:cs="Courier New" w:eastAsia="Courier New" w:hAnsi="Courier New"/>
          <w:sz w:val="15"/>
          <w:szCs w:val="15"/>
          <w:color w:val="auto"/>
        </w:rPr>
      </w:pPr>
    </w:p>
    <w:p>
      <w:pPr>
        <w:ind w:left="10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619.2</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165.5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114.6</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1" w:hanging="721"/>
        <w:spacing w:after="0"/>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899.3</w:t>
      </w:r>
    </w:p>
    <w:p>
      <w:pPr>
        <w:sectPr>
          <w:pgSz w:w="11900" w:h="16838" w:orient="portrait"/>
          <w:cols w:equalWidth="0" w:num="2">
            <w:col w:w="9180" w:space="459"/>
            <w:col w:w="1181"/>
          </w:cols>
          <w:pgMar w:left="240" w:top="291" w:right="83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351"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translation, pro forma sales in fiscal 1999 would have been 10% higher than fiscal 1998.</w:t>
      </w:r>
    </w:p>
    <w:p>
      <w:pPr>
        <w:spacing w:after="0" w:line="176"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Selling price changes did not have a material impact on Scotts' results of operations for fiscal 1999.</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Gross profit increased to $659.2 million in fiscal 1999 compared to $398.0 million in fiscal 1998. On a pro forma basis, gross profit in fiscal 1999 was $671.1 million, or 40% of sales, compared to $569.2 million in fiscal 1998, or 38% of sales. The increase in gross profit as a percentage of sales was driven by improved raw material costs and improved manufacturing efficiencies from higher volumes in fiscal 1999. Fiscal 1998 gross profit also reflected the following charges: restructuring and other charges of $2.9 million as discussed below; start-up costs of $1.4 million associated with the upgrade of certain domestic manufacturing facilities; demolition costs of $1.4 million associated with the removal of certain old manufacturing facilities; unplanned production outsourcing costs of $2.8 million; the loss of a composting contract of $1.0 million; and unfavorable inventory adjustments of $0.8 million.</w:t>
      </w:r>
    </w:p>
    <w:p>
      <w:pPr>
        <w:spacing w:after="0" w:line="18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"commission earned from agency agreement" in fiscal 1999 of $30.3 million was generated from our marketing agreement with Monsanto for exclusive international marketing and agency rights to Monsanto's consumer Roundup(R) herbicide products. The commission earned under the agreement is based on EBIT (as defined by the agreement) generated annually, net of an annual fixed contribution payment, by the global Roundup(R) business.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Advertising and promotion expenses for fiscal 1999 were $189.0 million, an increase of $84.6 million over fiscal 1998 advertising and promotion expenses of $104.4 million. The recently acquired Ortho and Rhone-Poulenc Jardin businesses contributed $30.7 million and $20.5 million, respectively, to this increase. The remaining increase reflects continued emphasis on building consumer demand through consumer-oriented marketing efforts, and is highlighted by 28%, 26% and 64% increases in advertising and promotional spending in the Consumer Lawns, Consumer Gardens and Consumer Growing Media businesses, respectively. As a percentage of sales, advertising and promotion expenses increased to 11% in fiscal 1999 from 9% in fiscal 1998.</w:t>
      </w:r>
    </w:p>
    <w:p>
      <w:pPr>
        <w:spacing w:after="0" w:line="353"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Selling, general and administrative expenses were $281.2 million in fiscal 1999, an increase of $111.3 million over fiscal 1998 selling, general and administrative expenses of $169.9 million. The recently acquired Ortho and Rhone-Poulenc Jardin businesses contributed $30.2 million and $37.3 million, respectively, to this increase. The significant components of the remaining $43.8 million increase in selling, general and administrative expenses are: additional information systems expenses of $0.5 million for year 2000 remediation and $5.6 million for enterprise system implementation efforts; increased bad debt expenses of $4.6 million, primarily resulting from the bankruptcy of Hechinger; increased marketing, selling and administrative costs within the Consumer Lawns, Consumer Gardens, and Consumer Growing Media businesses of $8.7 million to support higher sales volumes; costs of $2.5 million associated with changes in distribution arrangements in France; costs to integrate the Ortho business of $8.4 million; increased research and development spending of $6.9 million, largely in support of the acquired Ortho business; and increased legal and environmental charges of $2.7 million, primarily for charges associated with the environmental matter at our Marysville site. Discussions with the Ohio Environmental Protection Agency during fiscal 1999 began to further define the sources of potential contamination and the sites that may require remediation at the Marysville site. The increased charges include costs incurred for the Company's voluntary remediation activities at the site as well as additions to the amounts reserved for possible future remediation.</w:t>
      </w:r>
    </w:p>
    <w:p>
      <w:pPr>
        <w:spacing w:after="0" w:line="200" w:lineRule="exact"/>
        <w:rPr>
          <w:sz w:val="20"/>
          <w:szCs w:val="20"/>
          <w:color w:val="auto"/>
        </w:rPr>
      </w:pPr>
    </w:p>
    <w:p>
      <w:pPr>
        <w:spacing w:after="0" w:line="311"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Amortization of goodwill and other intangibles increased to $25.4 million in fiscal 1999 compared to $12.9 million in fiscal 1998 due to additional intangibles resulting from the Ortho, Rhone-Poulenc Jardin and Asef acquisitions.</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Restructuring and other charges in fiscal 1999 were $1.4 million, which represents severance costs associated with the change in distribution methods within the ProTurf(R) business of the Professional segment. In connection with this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restructuring, approximately 60 in-house sales associates were terminated in fiscal 1999. Approximately $1.1 million of severance payments have been made to these former associates during fiscal 1999; the remaining $0.3 million is expected to be paid in fiscal 2000. Restructuring and other charges in fiscal 1998 were $20.4 million, $15.4 million of which is identified separately within operating expenses, $2.9 million of which is included in cost of sales and $2.1 million of which is included in selling, general and administrative expenses. See "Fiscal 1998 Compared to Fiscal 1997" below for further discussion of these restructuring and other charges.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Other income/expense for fiscal 1999 was income of $3.6 million compared to $1.3 million of expense for fiscal 1998. Other income in fiscal 1999 represents royalties received under license agreements for the use of some of our trademarks. Other expenses in fiscal 1998 represent losses on the sale of fixed assets and foreign currency, partially offset by royalty income described above. Legal and environmental provisions of $5.4 million and $2.7 million for fiscal 1999 and 1998, respectively, have been reclassified from other income/expense to selling, general and administrative expenses.</w:t>
      </w:r>
    </w:p>
    <w:p>
      <w:pPr>
        <w:spacing w:after="0" w:line="178"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Income from operations for fiscal 1999 was $196.1 million compared to $94.1 million for fiscal 1998, primarily due to operating income realized from the Ortho and Rhone-Poulenc Jardin businesses and significant improvements in the Consumer Lawns and Growing Media businesses, partially offset by increased selling, general and administrative and amortization expenses described above.</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expense for fiscal 1999 was $79.1 million, an increase of $46.9 million over fiscal 1998 interest expense of $32.2 million. The increase in interest expense was due to increased borrowings to fund the Ortho, Rhone-Poulenc Jardin and Asef acquisitions and higher working capital levels to support the growth of the businesses.</w:t>
      </w:r>
    </w:p>
    <w:p>
      <w:pPr>
        <w:spacing w:after="0" w:line="177" w:lineRule="exact"/>
        <w:rPr>
          <w:sz w:val="20"/>
          <w:szCs w:val="20"/>
          <w:color w:val="auto"/>
        </w:rPr>
      </w:pPr>
    </w:p>
    <w:p>
      <w:pPr>
        <w:jc w:val="both"/>
        <w:ind w:right="3199"/>
        <w:spacing w:after="0" w:line="262" w:lineRule="auto"/>
        <w:rPr>
          <w:sz w:val="20"/>
          <w:szCs w:val="20"/>
          <w:color w:val="auto"/>
        </w:rPr>
      </w:pPr>
      <w:r>
        <w:rPr>
          <w:rFonts w:ascii="Courier New" w:cs="Courier New" w:eastAsia="Courier New" w:hAnsi="Courier New"/>
          <w:sz w:val="14"/>
          <w:szCs w:val="14"/>
          <w:color w:val="auto"/>
        </w:rPr>
        <w:t>Income tax expense for fiscal 1999 was $47.9 million compared to $24.9 million in fiscal 1998. Our effective tax rate was 41.0% in fiscal 1999 compared to</w:t>
      </w:r>
    </w:p>
    <w:p>
      <w:pPr>
        <w:jc w:val="both"/>
        <w:ind w:right="3199"/>
        <w:spacing w:after="0" w:line="244" w:lineRule="auto"/>
        <w:rPr>
          <w:sz w:val="20"/>
          <w:szCs w:val="20"/>
          <w:color w:val="auto"/>
        </w:rPr>
      </w:pPr>
      <w:r>
        <w:rPr>
          <w:rFonts w:ascii="Courier New" w:cs="Courier New" w:eastAsia="Courier New" w:hAnsi="Courier New"/>
          <w:sz w:val="15"/>
          <w:szCs w:val="15"/>
          <w:color w:val="auto"/>
        </w:rPr>
        <w:t>40.3% in fiscal 1998. The increase in the effective tax rate was primarily due to a reduction in foreign dividends remitted which provided excess foreign tax credits in fiscal 1998.</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discussed below in "Liquidity and Capital Resources", in conjunction with the Ortho acquisition, in January 1999 we completed an offering of $330 million of 8 5/8% Senior Subordinated Notes due 2009. The net proceeds from this offering, together with borrowings under our bank facility, were used to fund the Ortho acquisition and repurchase our outstanding $100 million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reported net income of $63.2 million for fiscal 1999, or $2.08 per share on a diluted basis, compared to $36.3 million for fiscal 1998, or $1.20 per share on a diluted basis. Excluding the impact of the extraordinary loss discussed above, earnings per share for fiscal 1999 were $2.27 on a diluted basis. Excluding the impact of restructuring and other charges taken in fiscal 1998 as well as an extraordinary loss on early extinguishment of debt, earnings per share for fiscal 1998 were $1.62 on a diluted basis. The significant increase in diluted earnings per share reflects the tremendous revenue growth being experienced by many of our consumer businesses, the commission earned under the Roundup(R) marketing agreement and the accretion of the Ortho and Rhone-Poulenc Jardin businesses to earnings.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Sales in fiscal 1998 were $1.1 billion, an increase of 23.8% over fiscal 1997 sales of $899.3 million. On a pro forma basis, assuming that the Levington and EarthGro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acquisitions had occurred on October 1, 1996, fiscal 1998 sales would have been $1.1 billion, an increase of $100.1 million, or 9.7%, over fiscal 1997 pro forma sales of $1.0 billion. The increase in these pro forma sales was driven primarily by significant increases in sales in the Consumer Lawns business group and the Professional segment as discussed below.</w:t>
      </w:r>
    </w:p>
    <w:p>
      <w:pPr>
        <w:spacing w:after="0" w:line="35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North American Consumer segment sales were $733.7 million in fiscal 1998, an increase of $114.5 million, or 18.5%, over fiscal 1997 sales of $619.2 million. Sales in the Consumer Lawns business group within this segment increased $59.5 million, or 19.2%, from fiscal 1997 to fiscal 1998, reflecting significant volume growth year to year in our Turf Builder(R) line of products driven by increased consumer-oriented marketing efforts. Sales in the Consumer Gardens and Consumer Growing Media business groups increased $6.0 million, or 4.7%, and $49.0 million, or 26.8%, respectively, from fiscal 1997 to fiscal 1998. The increase in the Consumer Growing Media business group was primarily the result of the EarthGro acquisition made earlier in fiscal 1998. The increase in sales for the Consumer Gardens business group was driven primarily by strong volume, particularly in the Osmocote(R) and Miracle-Gro(R) product lines, which we believe was due to increased advertising. Increases were also due to the introduction of certain new products. On a pro forma basis, including the EarthGro acquisition, sales in the Consumer Growing Media business group increased 4.4% from fiscal 1997 to fiscal 1998. More importantly, we made a strategic decision to emphasize sales of higher margin, value-added products and to de-emphasize sales of lower margin landscape products. Selling price changes did not have a material impact in the North American Consumer segment in fiscal 1998.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segment sales were $179.4 million in fiscal 1998, an increase of</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$13.9 million, or 8.4%, over fiscal 1997 sales of $165.5 million. This increase in sales was primarily reflected in the ProTurf(R) business and resulted from increased volumes as a result of emphasizing more technological support for customers and new product introductions.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International segment sales were $199.9 million in fiscal 1998, an increase of $85.3 million, or 74.4%, over fiscal 1997 sales of $114.6 million. After considering the Levington acquisition, on a pro forma basis, sales in the International segment increased 11.4% from fiscal 1997 to fiscal 1998, primarily in the European professional business.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Gross profit increased to $398.0 million in fiscal 1998, an increase of 22.2% over fiscal 1997 gross profit of $325.7 million. As a percentage of sales, gross profit was 35.7% of sales for fiscal 1998, compared to 36.2% of sales for fiscal 1997. Fiscal 1998 gross profit reflects a charge of $2.9 million, or 0.3% of fiscal 1998 sales, for restructuring and other charges as discussed below. Also impacting fiscal 1998 gross margins were start-up costs of $1.1 million associated with the upgrade of certain domestic manufacturing facilities, demolition costs of $1.4 million associated with the removal of certain old manufacturing facilities, unplanned production outsourcing costs of $2.7 million, the loss of a composting contract of $0.6 million and unfavorable inventory adjustments of $0.8 million. The aggregate impact of these items, approximately $8.0 million, was offset by favorable raw material pricing of approximately $8.0 million.</w:t>
      </w:r>
    </w:p>
    <w:p>
      <w:pPr>
        <w:spacing w:after="0" w:line="18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Advertising and promotion expenses in fiscal 1998 were $104.4 million, an increase of $20.5 million, or 24.4%, over fiscal 1997 advertising and promotion expenses of $83.9 million. On a pro forma basis, including the Levington and EarthGro acquisitions, advertising and promotion expenses increased 17.3% from fiscal 1997 to fiscal 1998. This increase reflects continued emphasis on building consumer demand through consumer-oriented marketing efforts, and is highlighted by 18.5% and 58.9% increases in advertising and promotion expenses in the Consumer Lawns business group and International segment (excluding the Levington acquisition), respectively. As a percentage of sales, advertising and promotion increased slightly to 9.4%, compared to 9.3% for the prior year.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Selling, general and administrative expenses in fiscal 1998 were $167.2 million, an increase of $36.7 million, or 28.1%, over selling, general and administrative expenses in fiscal 1997 of $130.5 million. As a percentage of sales, selling, general and administrative expenses were 15.0% for fiscal 1998, compared to 14.5% for fiscal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44</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1997. On a pro forma basis, including the Levington and EarthGro acquisitions,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selling, general and administration expenses increased 13.1% from fiscal 1997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1998. The increase in selling, general and administrative expenses was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due to several factors: the assumption of selling, marketing, research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development and administrative functions related to acquired businesses;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information systems expenses of $1.9 million for Year 2000 compliance and $1.2</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for the enterprise system implementation efforts, as well as an increase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information systems spending to support the new initiatives and additional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businesses; a $2.1 million charge for costs to integrate the acquired Levington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as discussed below; and increased legal and environmental charges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$1.6 million, primarily due to costs incurred to defend or settle miscellaneous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legal and environmental matters, none of which exceeded $0.5 million.</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Amortization of goodwill and other intangibles increased to $12.9 million in fiscal 1998, compared to $10.2 million in fiscal 1997, as a result of the Levington and EarthGro acquisitions during the year.</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Restructuring and other charges in fiscal 1998 were $20.4 million, $15.4 million of which is identified separately within operating expenses, $2.9 million of which is included in cost of sales and $2.1 million of which is included in selling, general and administrative expenses. These charges were primarily associated with three restructuring activities: (1) the consolidation of our two U.K. operations into one lower-cost business; (2) the closure of nine composting operations in the U.S. that collect yard and compost waste for certain municipalities; and (3) the sale or closure of certain other U.S. plants or businesses.</w:t>
      </w:r>
    </w:p>
    <w:p>
      <w:pPr>
        <w:spacing w:after="0" w:line="179"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The charge for consolidation of our U.K. operations was $6.0 million and consisted of:</w:t>
      </w:r>
    </w:p>
    <w:p>
      <w:pPr>
        <w:spacing w:after="0" w:line="176" w:lineRule="exact"/>
        <w:rPr>
          <w:sz w:val="20"/>
          <w:szCs w:val="20"/>
          <w:color w:val="auto"/>
        </w:rPr>
      </w:pPr>
    </w:p>
    <w:p>
      <w:pPr>
        <w:ind w:left="908" w:right="3019" w:hanging="908"/>
        <w:spacing w:after="0" w:line="263" w:lineRule="auto"/>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$0.9 million to write-off the remaining carrying value of certain property and equipment. In connection with the integration of the Miracle Garden Care and Levington businesses, management elected to move certain production lines from a Miracle Garden Care facility in Howden to a Levington facility in Bramford. As a result, certain production equipment at the Howden facility will no longer be utilized. In addition, certain computer hardware and software equipment previously used by the Miracle Garden Care business would no longer be utilized as a result of electing to use acquired information systems of the Levington business. We ceased utilization of the production and computer equipment in the fourth quarter of 1998. The assets written-off had nominal value and were scrapped or abandoned.</w:t>
      </w:r>
    </w:p>
    <w:p>
      <w:pPr>
        <w:spacing w:after="0" w:line="341" w:lineRule="exact"/>
        <w:rPr>
          <w:rFonts w:ascii="Courier New" w:cs="Courier New" w:eastAsia="Courier New" w:hAnsi="Courier New"/>
          <w:sz w:val="15"/>
          <w:szCs w:val="15"/>
          <w:color w:val="auto"/>
        </w:rPr>
      </w:pPr>
    </w:p>
    <w:p>
      <w:pPr>
        <w:ind w:left="908" w:right="2839" w:hanging="908"/>
        <w:spacing w:after="0" w:line="244" w:lineRule="auto"/>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million to relaunch products under a single branding strategy and $0.8 million to write-off packaging materials rendered obsolete as a result of new packaging design. The charges associated with the relaunch were expensed as incurred in fiscal 1998. Cash outflow associated with the relaunch was complete in early fiscal 1999.</w:t>
      </w:r>
    </w:p>
    <w:p>
      <w:pPr>
        <w:spacing w:after="0" w:line="349" w:lineRule="exact"/>
        <w:rPr>
          <w:rFonts w:ascii="Courier New" w:cs="Courier New" w:eastAsia="Courier New" w:hAnsi="Courier New"/>
          <w:sz w:val="15"/>
          <w:szCs w:val="15"/>
          <w:color w:val="auto"/>
        </w:rPr>
      </w:pPr>
    </w:p>
    <w:p>
      <w:pPr>
        <w:ind w:left="908" w:right="2919" w:hanging="908"/>
        <w:spacing w:after="0" w:line="244" w:lineRule="auto"/>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million of severance costs associated with the termination of 25 employees made redundant by the integration of the two U.K. businesses. As of September 30, 1998, six employees had been terminated. The remaining employees were terminated in fiscal 1999. All severance costs accrued at September 30, 1998 have been paid (except for an adjustment of $0.3 million for over accrual).</w:t>
      </w:r>
    </w:p>
    <w:p>
      <w:pPr>
        <w:spacing w:after="0" w:line="350" w:lineRule="exact"/>
        <w:rPr>
          <w:rFonts w:ascii="Courier New" w:cs="Courier New" w:eastAsia="Courier New" w:hAnsi="Courier New"/>
          <w:sz w:val="15"/>
          <w:szCs w:val="15"/>
          <w:color w:val="auto"/>
        </w:rPr>
      </w:pPr>
    </w:p>
    <w:p>
      <w:pPr>
        <w:ind w:left="808" w:right="3019" w:hanging="808"/>
        <w:spacing w:after="0" w:line="244" w:lineRule="auto"/>
        <w:tabs>
          <w:tab w:leader="none" w:pos="17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write-off of inventory rendered obsolete by integration activities. The Company determined that certain SKU's of the combined product lines would not be sold under the Company's branding, marketing and selling strategies. The carrying value of the obsolete inventory was subsequently written-off and the inventory was disposed of in late fiscal 1998 and early fiscal 1999.</w:t>
      </w:r>
    </w:p>
    <w:p>
      <w:pPr>
        <w:spacing w:after="0" w:line="177" w:lineRule="exact"/>
        <w:rPr>
          <w:rFonts w:ascii="Courier New" w:cs="Courier New" w:eastAsia="Courier New" w:hAnsi="Courier New"/>
          <w:sz w:val="15"/>
          <w:szCs w:val="15"/>
          <w:color w:val="auto"/>
        </w:rPr>
      </w:pPr>
    </w:p>
    <w:p>
      <w:pPr>
        <w:ind w:left="808" w:right="3099" w:hanging="808"/>
        <w:spacing w:after="0" w:line="244" w:lineRule="auto"/>
        <w:tabs>
          <w:tab w:leader="none" w:pos="17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 million of costs which were expensed as incurred in fiscal 1998 for other integration-related activities. The components of the other integration costs include studies performed on combined logistics and manufacturing processes, costs to integrate the combined information technology of the businesses and legal costs associated with the integration of the two previously separate entities.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abandonment of property, equipment and obsolete inventory that resulted from the combination of our U.K. operations is not expected to produce future cost savings. However, the combination of the U.K. businesses into one common logistical, manufacturing and information system environment is expected to produce annual cost savings of 1.9 million British Pounds Sterling. The Company's actual experience in fiscal 1999 did not differ materially from the estimated savings.</w:t>
      </w:r>
    </w:p>
    <w:p>
      <w:pPr>
        <w:sectPr>
          <w:pgSz w:w="11900" w:h="16838" w:orient="portrait"/>
          <w:cols w:equalWidth="0" w:num="1">
            <w:col w:w="10227"/>
          </w:cols>
          <w:pgMar w:left="232" w:top="291" w:right="1440" w:bottom="902" w:gutter="0" w:footer="0" w:header="0"/>
        </w:sectPr>
      </w:pP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91" w:right="1440" w:bottom="902" w:gutter="0" w:footer="0" w:header="0"/>
          <w:type w:val="continuous"/>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24"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The charge for closure of nine of our composting operations was $9.3 million and consisted of:</w:t>
      </w:r>
    </w:p>
    <w:p>
      <w:pPr>
        <w:spacing w:after="0" w:line="176" w:lineRule="exact"/>
        <w:rPr>
          <w:sz w:val="20"/>
          <w:szCs w:val="20"/>
          <w:color w:val="auto"/>
        </w:rPr>
      </w:pPr>
    </w:p>
    <w:p>
      <w:pPr>
        <w:ind w:left="808" w:right="2839" w:hanging="808"/>
        <w:spacing w:after="0" w:line="244" w:lineRule="auto"/>
        <w:tabs>
          <w:tab w:leader="none" w:pos="17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for costs to be incurred under contractual commitments for which no future revenues will be realized. These costs are associated with the final processing of remaining compost materials, as required, through the end of the operating contract with the applicable municipality but after the time which revenue-producing activities cease. Six of the composting sites have operating contracts that ended in fiscal 1999 for which $2.9 million was accrued; the operating contracts for the three remaining sites will expire in fiscal 2000 for which $1.6 million was accrued.</w:t>
      </w:r>
    </w:p>
    <w:p>
      <w:pPr>
        <w:spacing w:after="0" w:line="352"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to write-down to estimated fair value certain machinery and equipment at the compost facilities scheduled for closure. In accordance with FAS 121, the Company concluded that the carrying amount of these assets would not be recovered through future anticipated cash flows. Given the determination of impairment, a charge was recorded equal to the difference between the carrying value of the asset at the end of the revenue producing period and the estimate of the fair value of the asset. In most cases, the fair value of the asset was determined to be zero as these assets were scheduled to be abandoned or scrapped. Depreciation will continue to be recognized during revenue-producing periods.</w:t>
      </w:r>
    </w:p>
    <w:p>
      <w:pPr>
        <w:spacing w:after="0" w:line="353"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to write-off inventory which must be disposed of as a result of closing the various composting sites. Such inventory must be removed from the applicable sites and has only nominal value.</w:t>
      </w:r>
    </w:p>
    <w:p>
      <w:pPr>
        <w:spacing w:after="0" w:line="175" w:lineRule="exact"/>
        <w:rPr>
          <w:rFonts w:ascii="Courier New" w:cs="Courier New" w:eastAsia="Courier New" w:hAnsi="Courier New"/>
          <w:sz w:val="15"/>
          <w:szCs w:val="15"/>
          <w:color w:val="auto"/>
        </w:rPr>
      </w:pPr>
    </w:p>
    <w:p>
      <w:pPr>
        <w:ind w:left="908" w:right="3019" w:hanging="908"/>
        <w:spacing w:after="0" w:line="243" w:lineRule="auto"/>
        <w:tabs>
          <w:tab w:leader="none" w:pos="18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million for remaining lease obligations after revenue-producing activities cease on certain machinery and equipment at the sites.</w:t>
      </w:r>
    </w:p>
    <w:p>
      <w:pPr>
        <w:spacing w:after="0" w:line="176"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The composting facilities being closed as part of these restructuring initiatives incurred losses of approximately $3.0 million and $2.0 million during fiscal 1998 and fiscal 1997, respectively, which were included in our consolidated results of operations for those years.</w:t>
      </w:r>
    </w:p>
    <w:p>
      <w:pPr>
        <w:spacing w:after="0" w:line="176"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charge for sale or closure of certain other U.S. plants or businesses was $5.1 million and consisted of:</w:t>
      </w:r>
    </w:p>
    <w:p>
      <w:pPr>
        <w:spacing w:after="0" w:line="349" w:lineRule="exact"/>
        <w:rPr>
          <w:sz w:val="20"/>
          <w:szCs w:val="20"/>
          <w:color w:val="auto"/>
        </w:rPr>
      </w:pPr>
    </w:p>
    <w:p>
      <w:pPr>
        <w:ind w:left="908" w:right="3019" w:hanging="908"/>
        <w:spacing w:after="0" w:line="244" w:lineRule="auto"/>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to write-down to net realizable value the assets associated with the Company's AgrEvo pesticides business. The Company elected to divest these assets in order to avoid potential trade conflicts associated with the Company's purchase of the Ortho business and the signing of the Roundup(R) marketing agreement. The charge was calculated as the difference between the Company's estimate of the proceeds to be received upon sale of the business, less the carrying value of the assets as of September 30, 1998. The business was subsequently sold in February 1999 and no material differences were experienced between actual selling proceeds and those used to determine the fiscal 1998 charge. The AgrEvo business incurred an operating loss of $0.8 million in fiscal 1998 and $0.5 million in fiscal 1999. The Company does not expect any future benefits to be gained from the sale of the AgrEvo business other than foregoing the operating losses incurred by this business during the Company's time of ownership</w:t>
      </w:r>
    </w:p>
    <w:p>
      <w:pPr>
        <w:spacing w:after="0" w:line="183" w:lineRule="exact"/>
        <w:rPr>
          <w:rFonts w:ascii="Courier New" w:cs="Courier New" w:eastAsia="Courier New" w:hAnsi="Courier New"/>
          <w:sz w:val="15"/>
          <w:szCs w:val="15"/>
          <w:color w:val="auto"/>
        </w:rPr>
      </w:pPr>
    </w:p>
    <w:p>
      <w:pPr>
        <w:ind w:left="908" w:right="2919" w:hanging="908"/>
        <w:spacing w:after="0" w:line="244" w:lineRule="auto"/>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to write-off and close a single growing media production facility in New York that was deemed to be redundant after the purchase of the Earthgro business in February 1998. The closure of this facility was completed in September 1998. The charge taken was equivalent to the carrying value of the assets which were abandoned or scrapped.</w:t>
      </w:r>
    </w:p>
    <w:p>
      <w:pPr>
        <w:spacing w:after="0" w:line="350"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does not expect any benefits to be gained by the closure of its compost sites, the sale of its AgrEvo business and the closure of its New York growing media site, other than foregoing the operating losses incurred by these entities during their period of operations.</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91" w:right="1440" w:bottom="1440" w:gutter="0" w:footer="0" w:header="0"/>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Other expenses for fiscal 1998 were $4.0 million, compared to $6.3 million in fiscal 1997. The decrease was primarily due to a reduction in charges provided for the disposal of assets and an increase in royalty income from licensing arrangements for some of our brand names, partially offset by increased foreign currency losses and legal and environmental provisions.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fiscal 1997, we recorded charges of $6.0 million to write-down certain long-lived assets to their estimated fair value. The components of these charges were as follows:</w:t>
      </w:r>
    </w:p>
    <w:p>
      <w:pPr>
        <w:spacing w:after="0" w:line="175" w:lineRule="exact"/>
        <w:rPr>
          <w:sz w:val="20"/>
          <w:szCs w:val="20"/>
          <w:color w:val="auto"/>
        </w:rPr>
      </w:pPr>
    </w:p>
    <w:p>
      <w:pPr>
        <w:ind w:left="908" w:right="2919" w:hanging="908"/>
        <w:spacing w:after="0" w:line="244" w:lineRule="auto"/>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$2.2 million to write-down the carrying value of our peat harvesting facility in Lafayette, New Jersey. Operations at this facility were discontinued at the order of the Philadelphia District of the U.S. Army Corps of Engineers in July 1990. While proceedings with the government are on-going, we do not expect to resume operations at this site. The charge reduced the carrying amount for this facility to its estimated fair value based on appraisal.</w:t>
      </w:r>
    </w:p>
    <w:p>
      <w:pPr>
        <w:spacing w:after="0" w:line="177"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$1.6 million to write-off the carrying value of certain paper packaging equipment that was rendered obsolete by management's decision to convert to plastic packaging. The equipment was considered to have only nominal value and has subsequently been abandoned or scrapped.</w:t>
      </w:r>
    </w:p>
    <w:p>
      <w:pPr>
        <w:spacing w:after="0" w:line="176"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$0.9 million to write-down the carrying value of our water-soluble fertilizer plant in Allentown, Pennsylvania. In fiscal 1997, management determined that the production capacity at this plant was unnecessary after completing the merger with Miracle-Gro in fiscal 1995. The Allentown facility was sold in July 1997.</w:t>
      </w:r>
    </w:p>
    <w:p>
      <w:pPr>
        <w:spacing w:after="0" w:line="176" w:lineRule="exact"/>
        <w:rPr>
          <w:rFonts w:ascii="Courier New" w:cs="Courier New" w:eastAsia="Courier New" w:hAnsi="Courier New"/>
          <w:sz w:val="15"/>
          <w:szCs w:val="15"/>
          <w:color w:val="auto"/>
        </w:rPr>
      </w:pPr>
    </w:p>
    <w:p>
      <w:pPr>
        <w:ind w:left="908" w:right="3199" w:hanging="908"/>
        <w:spacing w:after="0" w:line="266" w:lineRule="auto"/>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charge of $0.7 million to write-off certain spreader molding equipment that was considered obsolete. In fiscal 1997, management elected to upgrade the production line at its spreader manufacturing facility in Carlsbad, California. In connection with this change, certain production equipment was unusable and was scrapped.</w:t>
      </w:r>
    </w:p>
    <w:p>
      <w:pPr>
        <w:spacing w:after="0" w:line="161" w:lineRule="exact"/>
        <w:rPr>
          <w:rFonts w:ascii="Courier New" w:cs="Courier New" w:eastAsia="Courier New" w:hAnsi="Courier New"/>
          <w:sz w:val="15"/>
          <w:szCs w:val="15"/>
          <w:color w:val="auto"/>
        </w:rPr>
      </w:pPr>
    </w:p>
    <w:p>
      <w:pPr>
        <w:ind w:left="908" w:right="3099" w:hanging="908"/>
        <w:spacing w:after="0" w:line="244" w:lineRule="auto"/>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$0.6 million to write-off software costs that had been deferred under an enterprise-wide applications systems implementation project. In fiscal 1997, management elected to change the software platform that would be used for this project. Costs that had been deferred while configuring and installing the previous software were determined to have no future benefit and were written-off.</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Income from operations for fiscal 1998 was $94.1 million, compared to $94.8 million for fiscal 1997. Excluding the restructuring and other charges of $20.4 million discussed above, income from operations in fiscal 1998 was $114.5 million, or 10.3% of sales, which was just slightly below income from operations as a percentage of sales for fiscal 1997 of 10.5%.</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Interest expense for fiscal 1998 was $32.2 million, an increase of 27.8% over fiscal 1997 interest expense of $25.2 million. The increase in interest expense was due to increased borrowings to fund the Levington, EarthGro and Miracle Garden acquisitions, partially offset by lower average debt levels excluding the acquisition borrowings.</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Income tax expense was $24.9 million for fiscal 1998, a 17.3% decrease from income tax expense for fiscal 1997. Our effective tax rate decreased to 40.3% in fiscal 1998 from 43.2% in fiscal 1997 as a result of favorable tax planning strategies.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February 1998, we secured a new revolving credit facility to replace our then existing credit facility. Write-off of deferred financing costs associated with the then existing credit facility resulted in an extraordinary loss, net of income taxes, on the early extinguishment of debt of $0.7 million.</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We reported net income of $36.3 million for fiscal 1998, or $1.20 per common share on a diluted basis, compared to net income of $39.5 million for fiscal 1997, or $1.35 per common share on a diluted basis. Excluding the impact of the restructuring and other charges and extraordinary loss discussed above, we earned net income of $1.62 per share on a diluted basis, a 20% increase over fiscal 1997. This increase reflects the impact of strong sales volumes during fiscal 1998 as discussed above.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provided by operating activities was $78.2 million, $71.0 million and</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$121.1 million in fiscal 1999, 1998 and 1997, respectively. The decrease in cash provided from operations for fiscal 1999 and fiscal 1998 compared to fiscal 1997 was primarily due to increased working capital levels in fiscal 1999 and fiscal 1998 to support increased sales revenues. The fiscal 1997 improvement compared to fiscal 1996 was driven by higher earnings and improved working capital management. The seasonal nature of our sales results in a significant increase in working capital (primarily accounts receivable and inventory) during the first half of the fiscal year, with the third quarter being a significant cash collection period.</w:t>
      </w:r>
    </w:p>
    <w:p>
      <w:pPr>
        <w:sectPr>
          <w:pgSz w:w="11900" w:h="16838" w:orient="portrait"/>
          <w:cols w:equalWidth="0" w:num="1">
            <w:col w:w="10227"/>
          </w:cols>
          <w:pgMar w:left="232" w:top="291" w:right="1440" w:bottom="555" w:gutter="0" w:footer="0" w:header="0"/>
        </w:sectPr>
      </w:pP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91" w:right="1440" w:bottom="555"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Cash used in investing activities was $571.6 million, $192.1 million and $72.5 million in fiscal 1999, 1998 and 1997, respectively. The increase in cash used in investing activities in fiscal 1999 and fiscal 1998 was due to the cost of businesses acquired during those years and increases in capital expenditures to install our new enterprise-wide applications information system (see discussion below) and to upgrade some of our manufacturing facilities to more technologically advanced production capabilities. Our new credit facilities restrict annual capital investments to $70.0 million.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Financing activities generated cash of $513.9 million and $118.4 million in fiscal 1999 and 1998, respectively, and used cash of $46.2 million in fiscal 1997. Cash generated in fiscal 1999 was generally used to fund our acquisitions during fiscal 1999, to repay our then existing credit facility and Senior Subordinated Notes, and to fund increased working capital levels. Cash generated in fiscal 1998 was generally provided by our credit facilities in order to provide funds for the acquisitions during the year. The lower level of debt repayment in fiscal 1997 reflects the usage of higher operating cash flows to support the additional investment in Miracle Garden and higher net capital investments.</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Total debt as of September 30, 1999 was $950.0 million compared to $372.5 million at September 30, 1998. The increase in debt year to year was primarily due to borrowings to fund the Ortho, Rhone-Poulenc Jardin and Asef acquisitions and higher working capital levels to support the growth of the business.</w:t>
      </w:r>
    </w:p>
    <w:p>
      <w:pPr>
        <w:spacing w:after="0" w:line="17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Shareholders' equity as of September 30, 1999 was $443.3 million, a $39.4 million increase compared to September 30, 1998. This increase was primarily attributable to net income of $63.2 million, offset by convertible preferred stock dividends of $9.7 million and net treasury stock purchases of $10.0 million.</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primary sources of our liquidity are funds generated by operations and borrowings under our credit facilities. On December 4, 1998, we and most of our subsidiaries entered into new credit facilities which provide for borrowings in the aggregate principal amount of $1.025 billion and consist of term loan facilities in the aggregate amount of $525 million and a revolving credit facility in the amount of $500 million.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funded the Rhone-Poulenc Jardin and Asef acquisitions with borrowings under the new credit facilities. Proceeds from the private debt offering of the 8 5/8% Senior Subordinated Notes and borrowings under the new credit facilities were used to fund the Ortho acquisition and to repurchase our then outstanding 9 7/8% Senior Subordinated Notes.</w:t>
      </w:r>
    </w:p>
    <w:p>
      <w:pPr>
        <w:spacing w:after="0" w:line="35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8 5/8% Senior Subordinated Notes are guaranteed by all of the Company's existing and future wholly-owned [and significant] domestic subsidiaries. The subsidiary guarantors jointly and severally guarantee the Company's obligations under these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Capital expenditures were $66.7 million in fiscal 1999. We estimate that capital expenditures will approximate $70 million in fiscal 2000 and 2001 and $60 million to $70 million for each of the next several years. Included in these estimates are amounts to be spent on our information systems initiative in fiscal 2000 and fiscal 2001.</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July 1998, our Board of Directors of authorized the repurchase of up to $100 million of our common shares on the open market or in privately negotiated transactions on or prior to September 30, 2001. As of September 30, 1999, 494,195 common shares, or $16.7 million, have been repurchased under the new repurchase program limit. The timing and amount of any purchases under the new repurchase program will be at our discretion and will depend upon market conditions and our operating performance and liquidity. Any repurchase will also be subject to the covenants contained in our new credit facilities as well as our other debt instruments. The repurchased shares will be held in treasury and will thereafter be used for the exercise of employee stock options and for other valid corporate purposes. We anticipate that all repurchases will be made in the open market or in privately negotiated transactions, and that Hagedorn Partnership, L.P. will sell its pro rata share (41%) of such repurchased shares in the open market.</w:t>
      </w:r>
    </w:p>
    <w:p>
      <w:pPr>
        <w:spacing w:after="0" w:line="182"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the new credit facilities in amounts sufficient to pay indebtedness or fund other liquidity needs. Actual results of operations will depend on numerous factors, many of which are</w:t>
      </w:r>
    </w:p>
    <w:p>
      <w:pPr>
        <w:sectPr>
          <w:pgSz w:w="11900" w:h="16838" w:orient="portrait"/>
          <w:cols w:equalWidth="0" w:num="1">
            <w:col w:w="10219"/>
          </w:cols>
          <w:pgMar w:left="240" w:top="291" w:right="1440" w:bottom="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beyond our control. We cannot ensure that we will be able to refinance any indebtedness, including the new credit facilities, on commercially reasonable terms, or at all.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operating results. Additional information on environmental matters affecting us is provided in Note 15 to our Consolidated Financial Statements and in this Annual Report on Form 10-K under "ITEM 1. BUSINESS--Environmental and Regulatory Considerations" and "ITEM 3. LEGAL PROCEEDINGS."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may be impacted by the inability of our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has assessed the extent and impact of this issue and has implemented a readiness program to mitigate the possibility of business interruption or other risks. The readiness program includes all of our operations. Management believes that all significant business systems are compliant. Progress is being made on a limited number of open items, primarily relating to contingency planning, that will be completed before year-end.</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established a Year 2000 Program Office to oversee the readiness program. The Program Office functions include regular communication with Year 2000 project managers and site visits to our various businesses to monitor remediation efforts and verify progress toward stated compliance goals. The Program Office reports to senior management, who in turn reports regularly to Scotts' Board of Directors regarding our progress toward Year 2000 readiness.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SYSTEMS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Currently, computer operations at our Marysville, Ohio North American headquarters support all U.S. business groups with the exception of the Republic Tool (spreaders) manufacturing operations. Our foreign operations generally do not electronically interface with the U.S. headquarters.</w:t>
      </w:r>
    </w:p>
    <w:p>
      <w:pPr>
        <w:spacing w:after="0" w:line="17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North American headquarters mainframe operations consist primarily of internally developed systems that have been remediated. Other domestic and international operations utilize commercial packaged software which has been upgraded or replaced. Remediation of North American headquarters mainframe applications, which was our most complex and costly effort, was completed in April 1999.</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Personal computers are being made Year 2000 compliant by systematic upgrade through lease renewals and as part of the implementation of a company-wide enterprise resource planning project. Many other hardware/software upgrades have been executed under ongoing maintenance and support agreements with vendors. Testing of upgrades is being performed internally.</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support of our long-range strategic plans, an enterprise-wide application systems project is under way to link all business groups. This enterprise-wide system is being implemented in stages starting in July 1999. The primary software provider for the enterprise-wide system has represented that its software is Year 2000 compliant. Our Year 2000 compliance efforts are concentrated on the currently existing systems to ensure there is adequate information systems support until implementation of the enterprise-wide system is completed.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NON-INFORMATION TECHNOLOGY SYSTEMS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Non-information technology systems, consisting mainly of equipment and machinery operating and control systems, telecommunication systems, building air management systems, security and fire control systems, electrical and natural gas</w:t>
      </w:r>
    </w:p>
    <w:p>
      <w:pPr>
        <w:sectPr>
          <w:pgSz w:w="11900" w:h="16838" w:orient="portrait"/>
          <w:cols w:equalWidth="0" w:num="1">
            <w:col w:w="10219"/>
          </w:cols>
          <w:pgMar w:left="240" w:top="291" w:right="1440" w:bottom="902"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902"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8" w:lineRule="exact"/>
        <w:rPr>
          <w:sz w:val="20"/>
          <w:szCs w:val="20"/>
          <w:color w:val="auto"/>
        </w:rPr>
      </w:pPr>
    </w:p>
    <w:p>
      <w:pPr>
        <w:ind w:right="620"/>
        <w:spacing w:after="0" w:line="244" w:lineRule="auto"/>
        <w:rPr>
          <w:sz w:val="20"/>
          <w:szCs w:val="20"/>
          <w:color w:val="auto"/>
        </w:rPr>
      </w:pPr>
      <w:r>
        <w:rPr>
          <w:rFonts w:ascii="Courier New" w:cs="Courier New" w:eastAsia="Courier New" w:hAnsi="Courier New"/>
          <w:sz w:val="15"/>
          <w:szCs w:val="15"/>
          <w:color w:val="auto"/>
        </w:rPr>
        <w:t>systems, have been assessed by each business group with advice from the suppliers of these systems/services. Upgrades or replacements have been made as necessary.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PARTY SUPPLIERS</w:t>
      </w:r>
    </w:p>
    <w:p>
      <w:pPr>
        <w:spacing w:after="0" w:line="178"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We rely on third party suppliers for finished goods, raw materials, water, other utilities, transportation and a variety of other key services. Interruption of supplier operation due to Year 2000 issues could affect our operations. We continue to evaluate the status of suppliers' efforts through confirmation and follow-up procedures, including selected site assessments, to determine contingency planning where necessary.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READINESS</w:t>
      </w:r>
    </w:p>
    <w:p>
      <w:pPr>
        <w:spacing w:after="0" w:line="178" w:lineRule="exact"/>
        <w:rPr>
          <w:sz w:val="20"/>
          <w:szCs w:val="20"/>
          <w:color w:val="auto"/>
        </w:rPr>
      </w:pPr>
    </w:p>
    <w:p>
      <w:pPr>
        <w:ind w:right="620"/>
        <w:spacing w:after="0" w:line="244" w:lineRule="auto"/>
        <w:rPr>
          <w:sz w:val="20"/>
          <w:szCs w:val="20"/>
          <w:color w:val="auto"/>
        </w:rPr>
      </w:pPr>
      <w:r>
        <w:rPr>
          <w:rFonts w:ascii="Courier New" w:cs="Courier New" w:eastAsia="Courier New" w:hAnsi="Courier New"/>
          <w:sz w:val="15"/>
          <w:szCs w:val="15"/>
          <w:color w:val="auto"/>
        </w:rPr>
        <w:t>Each business group has completed an internal inventory and assessment to identify information technology and non-information technology systems that are susceptible to system failure or processing errors as a result of Year 2000 issues.</w:t>
      </w:r>
    </w:p>
    <w:p>
      <w:pPr>
        <w:spacing w:after="0" w:line="176"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The headquarters mainframe remediation project is complete, including testing. The upgrade or replacement and testing of information technology systems at other North American operations is substantially complete. Non-information technology efforts were performed concurrently and replacement and testing are substantially complete. Site visits have been conducted by the Program Office to verify year-to-date progress against plans.</w:t>
      </w:r>
    </w:p>
    <w:p>
      <w:pPr>
        <w:spacing w:after="0" w:line="177" w:lineRule="exact"/>
        <w:rPr>
          <w:sz w:val="20"/>
          <w:szCs w:val="20"/>
          <w:color w:val="auto"/>
        </w:rPr>
      </w:pPr>
    </w:p>
    <w:p>
      <w:pPr>
        <w:ind w:right="620"/>
        <w:spacing w:after="0" w:line="244" w:lineRule="auto"/>
        <w:rPr>
          <w:sz w:val="20"/>
          <w:szCs w:val="20"/>
          <w:color w:val="auto"/>
        </w:rPr>
      </w:pPr>
      <w:r>
        <w:rPr>
          <w:rFonts w:ascii="Courier New" w:cs="Courier New" w:eastAsia="Courier New" w:hAnsi="Courier New"/>
          <w:sz w:val="15"/>
          <w:szCs w:val="15"/>
          <w:color w:val="auto"/>
        </w:rPr>
        <w:t>Year 2000 readiness plans are being executed within the International segment. Upgrades of packaged software for the primary systems are complete. Site visits have been conducted by the Program Office to verify year-to-date progress against plans.</w:t>
      </w:r>
    </w:p>
    <w:p>
      <w:pPr>
        <w:spacing w:after="0" w:line="176" w:lineRule="exact"/>
        <w:rPr>
          <w:sz w:val="20"/>
          <w:szCs w:val="20"/>
          <w:color w:val="auto"/>
        </w:rPr>
      </w:pPr>
    </w:p>
    <w:p>
      <w:pPr>
        <w:ind w:right="720"/>
        <w:spacing w:after="0" w:line="244" w:lineRule="auto"/>
        <w:rPr>
          <w:sz w:val="20"/>
          <w:szCs w:val="20"/>
          <w:color w:val="auto"/>
        </w:rPr>
      </w:pPr>
      <w:r>
        <w:rPr>
          <w:rFonts w:ascii="Courier New" w:cs="Courier New" w:eastAsia="Courier New" w:hAnsi="Courier New"/>
          <w:sz w:val="15"/>
          <w:szCs w:val="15"/>
          <w:color w:val="auto"/>
        </w:rPr>
        <w:t>A confirmation process with respect to third party suppliers continues. Additionally, site visits were conducted with critical suppliers as necessary, to determine whether alternative sources are needed.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78"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We have been tracking incremental Year 2000 costs which exclude the costs of internally dedicated resources. The current estimate of incremental costs for the Year 2000 efforts (excluding those related to the enterprise-wide resource planning project) is approximately $5.7 million. Of this amount, $4.8 million has been incurred through September 30, 1999. These costs, with the exception of relatively small capital expenditures, are being expensed as incurred and are being funded through operating cash flows or from borrowings under our credit facility. A summary of the cost components follows ($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FISCAL</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LOCATION</w:t>
            </w:r>
          </w:p>
        </w:tc>
        <w:tc>
          <w:tcPr>
            <w:tcW w:w="24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(ACTUAL</w:t>
            </w:r>
          </w:p>
        </w:tc>
      </w:tr>
      <w:tr>
        <w:trPr>
          <w:trHeight w:val="520"/>
        </w:trPr>
        <w:tc>
          <w:tcPr>
            <w:tcW w:w="4420" w:type="dxa"/>
            <w:vAlign w:val="bottom"/>
          </w:tcPr>
          <w:p>
            <w:pPr>
              <w:spacing w:after="0"/>
              <w:rPr>
                <w:sz w:val="20"/>
                <w:szCs w:val="20"/>
                <w:color w:val="auto"/>
              </w:rPr>
            </w:pPr>
            <w:r>
              <w:rPr>
                <w:rFonts w:ascii="Courier New" w:cs="Courier New" w:eastAsia="Courier New" w:hAnsi="Courier New"/>
                <w:sz w:val="15"/>
                <w:szCs w:val="15"/>
                <w:color w:val="auto"/>
              </w:rPr>
              <w:t>Headquarters mainframe</w:t>
            </w:r>
          </w:p>
        </w:tc>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U. S. operations</w:t>
            </w:r>
          </w:p>
        </w:tc>
        <w:tc>
          <w:tcPr>
            <w:tcW w:w="2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International operations</w:t>
            </w:r>
          </w:p>
        </w:tc>
        <w:tc>
          <w:tcPr>
            <w:tcW w:w="2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442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3"/>
        </w:trPr>
        <w:tc>
          <w:tcPr>
            <w:tcW w:w="442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principal business risks relating to completion of Year 2000 efforts are:</w:t>
      </w:r>
    </w:p>
    <w:p>
      <w:pPr>
        <w:spacing w:after="0" w:line="178" w:lineRule="exact"/>
        <w:rPr>
          <w:sz w:val="20"/>
          <w:szCs w:val="20"/>
          <w:color w:val="auto"/>
        </w:rPr>
      </w:pPr>
    </w:p>
    <w:p>
      <w:pPr>
        <w:ind w:left="1520" w:right="540" w:hanging="716"/>
        <w:spacing w:after="0" w:line="244" w:lineRule="auto"/>
        <w:tabs>
          <w:tab w:leader="none" w:pos="1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key business partners to not have disruption in their ability to provide goods and services as a result of Year 2000 issues.</w:t>
      </w:r>
    </w:p>
    <w:p>
      <w:pPr>
        <w:spacing w:after="0" w:line="175" w:lineRule="exact"/>
        <w:rPr>
          <w:rFonts w:ascii="Courier New" w:cs="Courier New" w:eastAsia="Courier New" w:hAnsi="Courier New"/>
          <w:sz w:val="15"/>
          <w:szCs w:val="15"/>
          <w:color w:val="auto"/>
        </w:rPr>
      </w:pPr>
    </w:p>
    <w:p>
      <w:pPr>
        <w:ind w:left="1520" w:right="620" w:hanging="716"/>
        <w:spacing w:after="0" w:line="243" w:lineRule="auto"/>
        <w:tabs>
          <w:tab w:leader="none" w:pos="1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issues arising in connection with recent and future acquisitions/business partnerships.</w:t>
      </w:r>
    </w:p>
    <w:p>
      <w:pPr>
        <w:spacing w:after="0" w:line="176" w:lineRule="exact"/>
        <w:rPr>
          <w:rFonts w:ascii="Courier New" w:cs="Courier New" w:eastAsia="Courier New" w:hAnsi="Courier New"/>
          <w:sz w:val="15"/>
          <w:szCs w:val="15"/>
          <w:color w:val="auto"/>
        </w:rPr>
      </w:pPr>
    </w:p>
    <w:p>
      <w:pPr>
        <w:ind w:left="1520" w:right="900" w:hanging="716"/>
        <w:spacing w:after="0" w:line="243" w:lineRule="auto"/>
        <w:tabs>
          <w:tab w:leader="none" w:pos="1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Forecasting unreliability due to customers' departures from expected buying patterns.</w:t>
      </w:r>
    </w:p>
    <w:p>
      <w:pPr>
        <w:spacing w:after="0" w:line="176" w:lineRule="exact"/>
        <w:rPr>
          <w:rFonts w:ascii="Courier New" w:cs="Courier New" w:eastAsia="Courier New" w:hAnsi="Courier New"/>
          <w:sz w:val="15"/>
          <w:szCs w:val="15"/>
          <w:color w:val="auto"/>
        </w:rPr>
      </w:pPr>
    </w:p>
    <w:p>
      <w:pPr>
        <w:ind w:left="1520" w:right="1260" w:hanging="716"/>
        <w:spacing w:after="0" w:line="243" w:lineRule="auto"/>
        <w:tabs>
          <w:tab w:leader="none" w:pos="1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continue to focus on Year 2000 issues by internal and external resources.</w:t>
      </w:r>
    </w:p>
    <w:p>
      <w:pPr>
        <w:spacing w:after="0" w:line="176" w:lineRule="exact"/>
        <w:rPr>
          <w:sz w:val="20"/>
          <w:szCs w:val="20"/>
          <w:color w:val="auto"/>
        </w:rPr>
      </w:pPr>
    </w:p>
    <w:p>
      <w:pPr>
        <w:ind w:right="540"/>
        <w:spacing w:after="0" w:line="244" w:lineRule="auto"/>
        <w:rPr>
          <w:sz w:val="20"/>
          <w:szCs w:val="20"/>
          <w:color w:val="auto"/>
        </w:rPr>
      </w:pPr>
      <w:r>
        <w:rPr>
          <w:rFonts w:ascii="Courier New" w:cs="Courier New" w:eastAsia="Courier New" w:hAnsi="Courier New"/>
          <w:sz w:val="15"/>
          <w:szCs w:val="15"/>
          <w:color w:val="auto"/>
        </w:rPr>
        <w:t>Because our Year 2000 readiness is dependent upon key business partners also being Year 2000 ready, there can be no guarantee that our efforts will prevent a material adverse impact on our results of operations, financial condition and cash flows. The possible consequences to us of our key business partners' inability to provide goods and services as a result of Year 2000 issue include temporary plant closings; delays in delivery of finished products; delays in receipt of key raw materials, containers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w:t>
      </w:r>
    </w:p>
    <w:p>
      <w:pPr>
        <w:spacing w:after="0" w:line="3" w:lineRule="exact"/>
        <w:rPr>
          <w:sz w:val="20"/>
          <w:szCs w:val="20"/>
          <w:color w:val="auto"/>
        </w:rPr>
      </w:pPr>
    </w:p>
    <w:p>
      <w:pPr>
        <w:ind w:left="280"/>
        <w:spacing w:after="0"/>
        <w:tabs>
          <w:tab w:leader="none" w:pos="17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TOTAL</w:t>
      </w:r>
    </w:p>
    <w:p>
      <w:pPr>
        <w:spacing w:after="0" w:line="3" w:lineRule="exact"/>
        <w:rPr>
          <w:sz w:val="20"/>
          <w:szCs w:val="20"/>
          <w:color w:val="auto"/>
        </w:rPr>
      </w:pPr>
    </w:p>
    <w:p>
      <w:pPr>
        <w:ind w:left="1900" w:hanging="1442"/>
        <w:spacing w:after="0"/>
        <w:tabs>
          <w:tab w:leader="none" w:pos="1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46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w:t>
            </w:r>
          </w:p>
        </w:tc>
        <w:tc>
          <w:tcPr>
            <w:tcW w:w="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46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6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w:t>
            </w:r>
          </w:p>
        </w:tc>
        <w:tc>
          <w:tcPr>
            <w:tcW w:w="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684" w:lineRule="exact"/>
        <w:rPr>
          <w:sz w:val="20"/>
          <w:szCs w:val="20"/>
          <w:color w:val="auto"/>
        </w:rPr>
      </w:pPr>
    </w:p>
    <w:p>
      <w:pPr>
        <w:sectPr>
          <w:pgSz w:w="11900" w:h="16838" w:orient="portrait"/>
          <w:cols w:equalWidth="0" w:num="2">
            <w:col w:w="7740" w:space="540"/>
            <w:col w:w="2540"/>
          </w:cols>
          <w:pgMar w:left="240" w:top="291" w:right="839" w:bottom="208" w:gutter="0" w:footer="0" w:header="0"/>
        </w:sect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820"/>
          </w:cols>
          <w:pgMar w:left="240" w:top="291" w:right="839" w:bottom="208"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packaging supplies; invoice and collection errors; and inventory and supply obsolescence. We believe that our readiness efforts with critical partners, which include confirmation, site visits and contingency planning, should reduce the likelihood of such disruptions.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cannot identify all possible worst-case scenarios; however, the most reasonable worst-case scenario would be the failure of utilities and/or transportation systems that are critical to our operations and that could not quickly be replaced by other suppliers or through internal resources. In these situations, operations at the affected facility or facilities would be interrupted with adverse effects on our financial results. We are developing contingency plans; however, these plans do not contemplate extended disruptions by third-party suppliers of products or services to Scotts.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formal contingency planning process continues. We will continue to assess where alternative courses of action are needed as the information technology and non-information technology readiness plans are executed. Plans are in place to alleviate internal issues and minimize customer impact of the most likely and critical potential risks. Due to the nature of contingency planning, assessment and planning efforts will continue through the end of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ONGOING PROCESS</w:t>
      </w:r>
    </w:p>
    <w:p>
      <w:pPr>
        <w:spacing w:after="0" w:line="178" w:lineRule="exact"/>
        <w:rPr>
          <w:sz w:val="20"/>
          <w:szCs w:val="20"/>
          <w:color w:val="auto"/>
        </w:rPr>
      </w:pPr>
    </w:p>
    <w:p>
      <w:pPr>
        <w:jc w:val="both"/>
        <w:ind w:right="3559"/>
        <w:spacing w:after="0" w:line="244" w:lineRule="auto"/>
        <w:rPr>
          <w:sz w:val="20"/>
          <w:szCs w:val="20"/>
          <w:color w:val="auto"/>
        </w:rPr>
      </w:pPr>
      <w:r>
        <w:rPr>
          <w:rFonts w:ascii="Courier New" w:cs="Courier New" w:eastAsia="Courier New" w:hAnsi="Courier New"/>
          <w:sz w:val="15"/>
          <w:szCs w:val="15"/>
          <w:color w:val="auto"/>
        </w:rPr>
        <w:t>Our readiness program is an ongoing process and the estimates of costs and completion dates for various components of the program described above are subject to change.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July 1998, we announced a project designed to bring our information system resources in line with our current strategic objectives. The project will include the redesign of many key business processes in connection with the installation of new software on a world-wide basis over the course of the next several fiscal years. We anticipate that the North American businesses will be operating under the new information systems by the end of fiscal 2000. Our international businesses should be operational within the next two years thereafter. We estimate that the project will cost $53.2 million, approximately 75% of which will be capitalized over a period of four to eight years. SAP has been selected as the primary software provider for this project.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still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Fiscal 1999 was a very significant year for Scotts, as we reported record sales of $1.65 billion, achieved market share growth in every one of our major U. S. categories, and established a number one market share position in most of the significant lawn and garden categories across the world. The strategic acquisitions during fiscal 1999, most notably the Ortho and Rhone-Poulenc Jardin businesses, were critical in providing us with dominant market positions in the pesticides category as well as continental European lawn and garden markets. The year's performance reflected the successful continuation of our primary growth drivers: to emphasize consumer-oriented marketing efforts to pull demand through its distribution channels, and to make strategic acquisitions to increase market share in global markets and within segments of the lawn and garden category.</w:t>
      </w:r>
    </w:p>
    <w:p>
      <w:pPr>
        <w:spacing w:after="0" w:line="169"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Looking forward to fiscal 2000, the timing of the Ortho acquisition in fiscal 1999 must be considered. Because the Ortho business was acquired in January 1999, fiscal 1999 earnings did not reflect the loss that is traditionally incurred by the Ortho business during the October through December period, as well as the amortization of goodwill and interest charges associated with the acquisition. Management estimates that this one-time benefit was approximately 28 cents per share, which, when subtracted from fiscal 1999 reported earnings per share, more accurately reflects Scotts' current year performance.</w:t>
      </w:r>
    </w:p>
    <w:p>
      <w:pPr>
        <w:sectPr>
          <w:pgSz w:w="11900" w:h="16838" w:orient="portrait"/>
          <w:cols w:equalWidth="0" w:num="1">
            <w:col w:w="10219"/>
          </w:cols>
          <w:pgMar w:left="240" w:top="291" w:right="1440" w:bottom="1440" w:gutter="0" w:footer="0" w:header="0"/>
        </w:sectPr>
      </w:pP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1"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forward, we maintain the following broad tenets to our strategic plan:</w:t>
      </w:r>
    </w:p>
    <w:p>
      <w:pPr>
        <w:spacing w:after="0" w:line="178" w:lineRule="exact"/>
        <w:rPr>
          <w:sz w:val="20"/>
          <w:szCs w:val="20"/>
          <w:color w:val="auto"/>
        </w:rPr>
      </w:pPr>
    </w:p>
    <w:p>
      <w:pPr>
        <w:ind w:left="1520" w:right="3099" w:hanging="716"/>
        <w:spacing w:after="0" w:line="244" w:lineRule="auto"/>
        <w:tabs>
          <w:tab w:leader="none" w:pos="1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179" w:lineRule="exact"/>
        <w:rPr>
          <w:rFonts w:ascii="Courier New" w:cs="Courier New" w:eastAsia="Courier New" w:hAnsi="Courier New"/>
          <w:sz w:val="15"/>
          <w:szCs w:val="15"/>
          <w:color w:val="auto"/>
        </w:rPr>
      </w:pPr>
    </w:p>
    <w:p>
      <w:pPr>
        <w:ind w:left="1520" w:right="3559" w:hanging="716"/>
        <w:spacing w:after="0" w:line="243" w:lineRule="auto"/>
        <w:tabs>
          <w:tab w:leader="none" w:pos="1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176" w:lineRule="exact"/>
        <w:rPr>
          <w:rFonts w:ascii="Courier New" w:cs="Courier New" w:eastAsia="Courier New" w:hAnsi="Courier New"/>
          <w:sz w:val="15"/>
          <w:szCs w:val="15"/>
          <w:color w:val="auto"/>
        </w:rPr>
      </w:pPr>
    </w:p>
    <w:p>
      <w:pPr>
        <w:ind w:left="1520" w:right="3099" w:hanging="716"/>
        <w:spacing w:after="0" w:line="244" w:lineRule="auto"/>
        <w:tabs>
          <w:tab w:leader="none" w:pos="1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175" w:lineRule="exact"/>
        <w:rPr>
          <w:rFonts w:ascii="Courier New" w:cs="Courier New" w:eastAsia="Courier New" w:hAnsi="Courier New"/>
          <w:sz w:val="15"/>
          <w:szCs w:val="15"/>
          <w:color w:val="auto"/>
        </w:rPr>
      </w:pPr>
    </w:p>
    <w:p>
      <w:pPr>
        <w:ind w:left="1520" w:right="3199" w:hanging="716"/>
        <w:spacing w:after="0" w:line="244" w:lineRule="auto"/>
        <w:tabs>
          <w:tab w:leader="none" w:pos="1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As part of our ongoing strategic plans, management has established challenging, but realistic, financial goals, including:</w:t>
      </w:r>
    </w:p>
    <w:p>
      <w:pPr>
        <w:spacing w:after="0" w:line="175" w:lineRule="exact"/>
        <w:rPr>
          <w:sz w:val="20"/>
          <w:szCs w:val="20"/>
          <w:color w:val="auto"/>
        </w:rPr>
      </w:pPr>
    </w:p>
    <w:p>
      <w:pPr>
        <w:ind w:left="1520" w:hanging="716"/>
        <w:spacing w:after="0"/>
        <w:tabs>
          <w:tab w:leader="none" w:pos="1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6% to 8% in core businesses;</w:t>
      </w:r>
    </w:p>
    <w:p>
      <w:pPr>
        <w:spacing w:after="0" w:line="177" w:lineRule="exact"/>
        <w:rPr>
          <w:rFonts w:ascii="Courier New" w:cs="Courier New" w:eastAsia="Courier New" w:hAnsi="Courier New"/>
          <w:sz w:val="15"/>
          <w:szCs w:val="15"/>
          <w:color w:val="auto"/>
        </w:rPr>
      </w:pPr>
    </w:p>
    <w:p>
      <w:pPr>
        <w:ind w:left="1520" w:right="3199" w:hanging="716"/>
        <w:spacing w:after="0" w:line="243" w:lineRule="auto"/>
        <w:tabs>
          <w:tab w:leader="none" w:pos="1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at least 2% over the next four years; and</w:t>
      </w:r>
    </w:p>
    <w:p>
      <w:pPr>
        <w:spacing w:after="0" w:line="176" w:lineRule="exact"/>
        <w:rPr>
          <w:rFonts w:ascii="Courier New" w:cs="Courier New" w:eastAsia="Courier New" w:hAnsi="Courier New"/>
          <w:sz w:val="15"/>
          <w:szCs w:val="15"/>
          <w:color w:val="auto"/>
        </w:rPr>
      </w:pPr>
    </w:p>
    <w:p>
      <w:pPr>
        <w:ind w:left="1520" w:right="3199" w:hanging="716"/>
        <w:spacing w:after="0" w:line="243" w:lineRule="auto"/>
        <w:tabs>
          <w:tab w:leader="none" w:pos="1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compounded annual earnings per share growth of 15% to 20%.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have has made and will make "forward-looking statements" within the meaning of Section 27A of the Securities Act of 1933 and Section 21E of the Securities Exchange Act of 1934 in our Annual Report,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the Act.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forward-looking statements that we make in our Annual Report,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set forth below. All forward-looking statements attributable to us or persons working on our behalf are expressly qualified in their entirety by the following cautionary statements.</w:t>
      </w:r>
    </w:p>
    <w:p>
      <w:pPr>
        <w:spacing w:after="0" w:line="178" w:lineRule="exact"/>
        <w:rPr>
          <w:sz w:val="20"/>
          <w:szCs w:val="20"/>
          <w:color w:val="auto"/>
        </w:rPr>
      </w:pPr>
    </w:p>
    <w:p>
      <w:pPr>
        <w:ind w:left="1520" w:right="3379" w:hanging="716"/>
        <w:spacing w:after="0" w:line="243" w:lineRule="auto"/>
        <w:tabs>
          <w:tab w:leader="none" w:pos="1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WEATHER CONDITIONS COULD ADVERSELY IMPACT FINANCIAL RESULTS.</w:t>
      </w:r>
    </w:p>
    <w:p>
      <w:pPr>
        <w:spacing w:after="0" w:line="176" w:lineRule="exact"/>
        <w:rPr>
          <w:rFonts w:ascii="Courier New" w:cs="Courier New" w:eastAsia="Courier New" w:hAnsi="Courier New"/>
          <w:sz w:val="15"/>
          <w:szCs w:val="15"/>
          <w:color w:val="auto"/>
        </w:rPr>
      </w:pPr>
    </w:p>
    <w:p>
      <w:pPr>
        <w:ind w:left="152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78" w:lineRule="exact"/>
        <w:rPr>
          <w:rFonts w:ascii="Courier New" w:cs="Courier New" w:eastAsia="Courier New" w:hAnsi="Courier New"/>
          <w:sz w:val="15"/>
          <w:szCs w:val="15"/>
          <w:color w:val="auto"/>
        </w:rPr>
      </w:pPr>
    </w:p>
    <w:p>
      <w:pPr>
        <w:ind w:left="1520" w:right="3379" w:hanging="716"/>
        <w:spacing w:after="0" w:line="243" w:lineRule="auto"/>
        <w:tabs>
          <w:tab w:leader="none" w:pos="1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MAKE INTEREST PAYMENTS ON INDEBTEDNESS.</w:t>
      </w:r>
    </w:p>
    <w:p>
      <w:pPr>
        <w:spacing w:after="0" w:line="176" w:lineRule="exact"/>
        <w:rPr>
          <w:rFonts w:ascii="Courier New" w:cs="Courier New" w:eastAsia="Courier New" w:hAnsi="Courier New"/>
          <w:sz w:val="15"/>
          <w:szCs w:val="15"/>
          <w:color w:val="auto"/>
        </w:rPr>
      </w:pPr>
    </w:p>
    <w:p>
      <w:pPr>
        <w:ind w:left="152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near the end of our first fiscal quarter because we are generating fewer revenues while incurring expenditures in preparation for the spring selling season. If cash on hand is insufficient to cover interest payments due on our indebtedness at a time when we are unable to</w:t>
      </w:r>
    </w:p>
    <w:p>
      <w:pPr>
        <w:sectPr>
          <w:pgSz w:w="11900" w:h="16838" w:orient="portrait"/>
          <w:cols w:equalWidth="0" w:num="1">
            <w:col w:w="10219"/>
          </w:cols>
          <w:pgMar w:left="240" w:top="291" w:right="1440" w:bottom="0" w:gutter="0" w:footer="0" w:header="0"/>
        </w:sectPr>
      </w:pP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1" w:right="1440" w:bottom="0" w:gutter="0" w:footer="0" w:header="0"/>
          <w:type w:val="continuous"/>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left="1260" w:right="3099"/>
        <w:spacing w:after="0" w:line="244" w:lineRule="auto"/>
        <w:rPr>
          <w:sz w:val="20"/>
          <w:szCs w:val="20"/>
          <w:color w:val="auto"/>
        </w:rPr>
      </w:pPr>
      <w:r>
        <w:rPr>
          <w:rFonts w:ascii="Courier New" w:cs="Courier New" w:eastAsia="Courier New" w:hAnsi="Courier New"/>
          <w:sz w:val="15"/>
          <w:szCs w:val="15"/>
          <w:color w:val="auto"/>
        </w:rPr>
        <w:t>draw on our credit facilities, this seasonality could adversely affect our ability to make interest payments as required by our indebtedness. Adverse weather conditions could heighten this risk.</w:t>
      </w:r>
    </w:p>
    <w:p>
      <w:pPr>
        <w:spacing w:after="0" w:line="176" w:lineRule="exact"/>
        <w:rPr>
          <w:sz w:val="20"/>
          <w:szCs w:val="20"/>
          <w:color w:val="auto"/>
        </w:rPr>
      </w:pPr>
    </w:p>
    <w:p>
      <w:pPr>
        <w:ind w:left="1260" w:right="3099" w:hanging="716"/>
        <w:spacing w:after="0" w:line="243" w:lineRule="auto"/>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6"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178" w:lineRule="exact"/>
        <w:rPr>
          <w:rFonts w:ascii="Courier New" w:cs="Courier New" w:eastAsia="Courier New" w:hAnsi="Courier New"/>
          <w:sz w:val="15"/>
          <w:szCs w:val="15"/>
          <w:color w:val="auto"/>
        </w:rPr>
      </w:pPr>
    </w:p>
    <w:p>
      <w:pPr>
        <w:ind w:left="1260" w:right="3739" w:hanging="716"/>
        <w:spacing w:after="0" w:line="244" w:lineRule="auto"/>
        <w:tabs>
          <w:tab w:leader="none" w:pos="1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w:t>
      </w:r>
    </w:p>
    <w:p>
      <w:pPr>
        <w:spacing w:after="0" w:line="177" w:lineRule="exact"/>
        <w:rPr>
          <w:rFonts w:ascii="Courier New" w:cs="Courier New" w:eastAsia="Courier New" w:hAnsi="Courier New"/>
          <w:sz w:val="15"/>
          <w:szCs w:val="15"/>
          <w:color w:val="auto"/>
        </w:rPr>
      </w:pPr>
    </w:p>
    <w:p>
      <w:pPr>
        <w:ind w:left="2080" w:right="3919" w:hanging="815"/>
        <w:spacing w:after="0" w:line="243"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6" w:lineRule="exact"/>
        <w:rPr>
          <w:rFonts w:ascii="Courier New" w:cs="Courier New" w:eastAsia="Courier New" w:hAnsi="Courier New"/>
          <w:sz w:val="15"/>
          <w:szCs w:val="15"/>
          <w:color w:val="auto"/>
        </w:rPr>
      </w:pPr>
    </w:p>
    <w:p>
      <w:pPr>
        <w:ind w:left="2080" w:right="3019" w:hanging="815"/>
        <w:spacing w:after="0" w:line="243"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6" w:lineRule="exact"/>
        <w:rPr>
          <w:rFonts w:ascii="Courier New" w:cs="Courier New" w:eastAsia="Courier New" w:hAnsi="Courier New"/>
          <w:sz w:val="15"/>
          <w:szCs w:val="15"/>
          <w:color w:val="auto"/>
        </w:rPr>
      </w:pPr>
    </w:p>
    <w:p>
      <w:pPr>
        <w:ind w:left="2080" w:right="3199" w:hanging="815"/>
        <w:spacing w:after="0" w:line="244"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75" w:lineRule="exact"/>
        <w:rPr>
          <w:rFonts w:ascii="Courier New" w:cs="Courier New" w:eastAsia="Courier New" w:hAnsi="Courier New"/>
          <w:sz w:val="15"/>
          <w:szCs w:val="15"/>
          <w:color w:val="auto"/>
        </w:rPr>
      </w:pPr>
    </w:p>
    <w:p>
      <w:pPr>
        <w:ind w:left="2080" w:right="3099" w:hanging="815"/>
        <w:spacing w:after="0" w:line="244"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177" w:lineRule="exact"/>
        <w:rPr>
          <w:rFonts w:ascii="Courier New" w:cs="Courier New" w:eastAsia="Courier New" w:hAnsi="Courier New"/>
          <w:sz w:val="15"/>
          <w:szCs w:val="15"/>
          <w:color w:val="auto"/>
        </w:rPr>
      </w:pPr>
    </w:p>
    <w:p>
      <w:pPr>
        <w:ind w:left="2080" w:right="3019" w:hanging="815"/>
        <w:spacing w:after="0" w:line="244"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5" w:lineRule="exact"/>
        <w:rPr>
          <w:rFonts w:ascii="Courier New" w:cs="Courier New" w:eastAsia="Courier New" w:hAnsi="Courier New"/>
          <w:sz w:val="15"/>
          <w:szCs w:val="15"/>
          <w:color w:val="auto"/>
        </w:rPr>
      </w:pPr>
    </w:p>
    <w:p>
      <w:pPr>
        <w:ind w:left="2080" w:right="3019" w:hanging="815"/>
        <w:spacing w:after="0" w:line="243" w:lineRule="auto"/>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175" w:lineRule="exact"/>
        <w:rPr>
          <w:rFonts w:ascii="Courier New" w:cs="Courier New" w:eastAsia="Courier New" w:hAnsi="Courier New"/>
          <w:sz w:val="15"/>
          <w:szCs w:val="15"/>
          <w:color w:val="auto"/>
        </w:rPr>
      </w:pPr>
    </w:p>
    <w:p>
      <w:pPr>
        <w:ind w:left="2080" w:hanging="815"/>
        <w:spacing w:after="0"/>
        <w:tabs>
          <w:tab w:leader="none" w:pos="20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178" w:lineRule="exact"/>
        <w:rPr>
          <w:sz w:val="20"/>
          <w:szCs w:val="20"/>
          <w:color w:val="auto"/>
        </w:rPr>
      </w:pPr>
    </w:p>
    <w:p>
      <w:pPr>
        <w:ind w:left="1260" w:right="3099"/>
        <w:spacing w:after="0" w:line="244" w:lineRule="auto"/>
        <w:rPr>
          <w:sz w:val="20"/>
          <w:szCs w:val="20"/>
          <w:color w:val="auto"/>
        </w:rPr>
      </w:pPr>
      <w:r>
        <w:rPr>
          <w:rFonts w:ascii="Courier New" w:cs="Courier New" w:eastAsia="Courier New" w:hAnsi="Courier New"/>
          <w:sz w:val="15"/>
          <w:szCs w:val="15"/>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959"/>
          </w:cols>
          <w:pgMar w:left="500" w:top="29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24" w:lineRule="exact"/>
        <w:rPr>
          <w:sz w:val="20"/>
          <w:szCs w:val="20"/>
          <w:color w:val="auto"/>
        </w:rPr>
      </w:pPr>
    </w:p>
    <w:p>
      <w:pPr>
        <w:ind w:left="1260" w:right="3459" w:hanging="716"/>
        <w:spacing w:after="0" w:line="243" w:lineRule="auto"/>
        <w:tabs>
          <w:tab w:leader="none" w:pos="1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176"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183" w:lineRule="exact"/>
        <w:rPr>
          <w:rFonts w:ascii="Courier New" w:cs="Courier New" w:eastAsia="Courier New" w:hAnsi="Courier New"/>
          <w:sz w:val="15"/>
          <w:szCs w:val="15"/>
          <w:color w:val="auto"/>
        </w:rPr>
      </w:pPr>
    </w:p>
    <w:p>
      <w:pPr>
        <w:ind w:left="1260" w:right="3099" w:hanging="716"/>
        <w:spacing w:after="0" w:line="243" w:lineRule="auto"/>
        <w:tabs>
          <w:tab w:leader="none" w:pos="1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176" w:lineRule="exact"/>
        <w:rPr>
          <w:rFonts w:ascii="Courier New" w:cs="Courier New" w:eastAsia="Courier New" w:hAnsi="Courier New"/>
          <w:sz w:val="15"/>
          <w:szCs w:val="15"/>
          <w:color w:val="auto"/>
        </w:rPr>
      </w:pPr>
    </w:p>
    <w:p>
      <w:pPr>
        <w:ind w:left="126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83" w:lineRule="exact"/>
        <w:rPr>
          <w:rFonts w:ascii="Courier New" w:cs="Courier New" w:eastAsia="Courier New" w:hAnsi="Courier New"/>
          <w:sz w:val="15"/>
          <w:szCs w:val="15"/>
          <w:color w:val="auto"/>
        </w:rPr>
      </w:pPr>
    </w:p>
    <w:p>
      <w:pPr>
        <w:jc w:val="both"/>
        <w:ind w:left="1260" w:right="3099" w:hanging="716"/>
        <w:spacing w:after="0" w:line="244" w:lineRule="auto"/>
        <w:tabs>
          <w:tab w:leader="none" w:pos="1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5"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1" w:lineRule="exact"/>
        <w:rPr>
          <w:rFonts w:ascii="Courier New" w:cs="Courier New" w:eastAsia="Courier New" w:hAnsi="Courier New"/>
          <w:sz w:val="15"/>
          <w:szCs w:val="15"/>
          <w:color w:val="auto"/>
        </w:rPr>
      </w:pPr>
    </w:p>
    <w:p>
      <w:pPr>
        <w:jc w:val="both"/>
        <w:ind w:left="1260" w:right="3559" w:hanging="716"/>
        <w:spacing w:after="0" w:line="244" w:lineRule="auto"/>
        <w:tabs>
          <w:tab w:leader="none" w:pos="1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5" w:lineRule="exact"/>
        <w:rPr>
          <w:rFonts w:ascii="Courier New" w:cs="Courier New" w:eastAsia="Courier New" w:hAnsi="Courier New"/>
          <w:sz w:val="15"/>
          <w:szCs w:val="15"/>
          <w:color w:val="auto"/>
        </w:rPr>
      </w:pPr>
    </w:p>
    <w:p>
      <w:pPr>
        <w:ind w:left="126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178" w:lineRule="exact"/>
        <w:rPr>
          <w:rFonts w:ascii="Courier New" w:cs="Courier New" w:eastAsia="Courier New" w:hAnsi="Courier New"/>
          <w:sz w:val="15"/>
          <w:szCs w:val="15"/>
          <w:color w:val="auto"/>
        </w:rPr>
      </w:pPr>
    </w:p>
    <w:p>
      <w:pPr>
        <w:ind w:left="2080" w:hanging="815"/>
        <w:spacing w:after="0"/>
        <w:tabs>
          <w:tab w:leader="none" w:pos="20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year fiscal year period; or</w:t>
      </w:r>
    </w:p>
    <w:p>
      <w:pPr>
        <w:spacing w:after="0" w:line="177" w:lineRule="exact"/>
        <w:rPr>
          <w:rFonts w:ascii="Courier New" w:cs="Courier New" w:eastAsia="Courier New" w:hAnsi="Courier New"/>
          <w:sz w:val="15"/>
          <w:szCs w:val="15"/>
          <w:color w:val="auto"/>
        </w:rPr>
      </w:pPr>
    </w:p>
    <w:p>
      <w:pPr>
        <w:ind w:left="2080" w:right="3019" w:hanging="815"/>
        <w:spacing w:after="0" w:line="265" w:lineRule="auto"/>
        <w:tabs>
          <w:tab w:leader="none" w:pos="208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more than 5% for each of two consecutive fiscal years. 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ectPr>
          <w:pgSz w:w="11900" w:h="16838" w:orient="portrait"/>
          <w:cols w:equalWidth="0" w:num="1">
            <w:col w:w="9959"/>
          </w:cols>
          <w:pgMar w:left="500" w:top="291" w:right="1440" w:bottom="728" w:gutter="0" w:footer="0" w:header="0"/>
        </w:sectPr>
      </w:pP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91" w:right="1440" w:bottom="728"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24" w:lineRule="exact"/>
        <w:rPr>
          <w:sz w:val="20"/>
          <w:szCs w:val="20"/>
          <w:color w:val="auto"/>
        </w:rPr>
      </w:pPr>
    </w:p>
    <w:p>
      <w:pPr>
        <w:ind w:left="1260" w:right="3019" w:hanging="716"/>
        <w:spacing w:after="0" w:line="244" w:lineRule="auto"/>
        <w:tabs>
          <w:tab w:leader="none" w:pos="12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5"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w:t>
      </w:r>
    </w:p>
    <w:p>
      <w:pPr>
        <w:spacing w:after="0" w:line="179" w:lineRule="exact"/>
        <w:rPr>
          <w:rFonts w:ascii="Courier New" w:cs="Courier New" w:eastAsia="Courier New" w:hAnsi="Courier New"/>
          <w:sz w:val="15"/>
          <w:szCs w:val="15"/>
          <w:color w:val="auto"/>
        </w:rPr>
      </w:pPr>
    </w:p>
    <w:p>
      <w:pPr>
        <w:ind w:left="126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178" w:lineRule="exact"/>
        <w:rPr>
          <w:rFonts w:ascii="Courier New" w:cs="Courier New" w:eastAsia="Courier New" w:hAnsi="Courier New"/>
          <w:sz w:val="15"/>
          <w:szCs w:val="15"/>
          <w:color w:val="auto"/>
        </w:rPr>
      </w:pPr>
    </w:p>
    <w:p>
      <w:pPr>
        <w:ind w:left="1260" w:right="3459" w:hanging="716"/>
        <w:spacing w:after="0" w:line="243" w:lineRule="auto"/>
        <w:tabs>
          <w:tab w:leader="none" w:pos="12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THE FORMER MIRACLE-GRO SHAREHOLDERS COULD CONFLICT WITH THOSE OF OUR OTHER SHAREHOLDERS.</w:t>
      </w:r>
    </w:p>
    <w:p>
      <w:pPr>
        <w:spacing w:after="0" w:line="176"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179" w:lineRule="exact"/>
        <w:rPr>
          <w:rFonts w:ascii="Courier New" w:cs="Courier New" w:eastAsia="Courier New" w:hAnsi="Courier New"/>
          <w:sz w:val="15"/>
          <w:szCs w:val="15"/>
          <w:color w:val="auto"/>
        </w:rPr>
      </w:pPr>
    </w:p>
    <w:p>
      <w:pPr>
        <w:ind w:left="1260" w:right="3819" w:hanging="716"/>
        <w:spacing w:after="0" w:line="243" w:lineRule="auto"/>
        <w:tabs>
          <w:tab w:leader="none" w:pos="12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6"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United States Environmental Protection Agency and, in many cases,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competitors were similarly affected. We attempt to anticipate regulatory developments and maintain registrations of, and access to, substitute chemicals. We may not always be able to avoid or minimize these risks.</w:t>
      </w:r>
    </w:p>
    <w:p>
      <w:pPr>
        <w:spacing w:after="0" w:line="181"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184"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ectPr>
          <w:pgSz w:w="11900" w:h="16838" w:orient="portrait"/>
          <w:cols w:equalWidth="0" w:num="1">
            <w:col w:w="9959"/>
          </w:cols>
          <w:pgMar w:left="500" w:top="291" w:right="1440" w:bottom="35" w:gutter="0" w:footer="0" w:header="0"/>
        </w:sectPr>
      </w:pPr>
    </w:p>
    <w:p>
      <w:pPr>
        <w:spacing w:after="0" w:line="18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91" w:right="1440" w:bottom="35"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55</w:t>
      </w:r>
    </w:p>
    <w:p>
      <w:pPr>
        <w:spacing w:after="0" w:line="178" w:lineRule="exact"/>
        <w:rPr>
          <w:sz w:val="20"/>
          <w:szCs w:val="20"/>
          <w:color w:val="auto"/>
        </w:rPr>
      </w:pPr>
    </w:p>
    <w:p>
      <w:pPr>
        <w:ind w:left="1260" w:right="3019"/>
        <w:spacing w:after="0" w:line="244"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182" w:lineRule="exact"/>
        <w:rPr>
          <w:sz w:val="20"/>
          <w:szCs w:val="20"/>
          <w:color w:val="auto"/>
        </w:rPr>
      </w:pPr>
    </w:p>
    <w:p>
      <w:pPr>
        <w:ind w:left="1260" w:right="3019"/>
        <w:spacing w:after="0" w:line="244"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183" w:lineRule="exact"/>
        <w:rPr>
          <w:sz w:val="20"/>
          <w:szCs w:val="20"/>
          <w:color w:val="auto"/>
        </w:rPr>
      </w:pPr>
    </w:p>
    <w:p>
      <w:pPr>
        <w:ind w:left="1260" w:right="3019"/>
        <w:spacing w:after="0" w:line="244"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180" w:lineRule="exact"/>
        <w:rPr>
          <w:sz w:val="20"/>
          <w:szCs w:val="20"/>
          <w:color w:val="auto"/>
        </w:rPr>
      </w:pPr>
    </w:p>
    <w:p>
      <w:pPr>
        <w:ind w:left="1260" w:right="3099" w:hanging="716"/>
        <w:spacing w:after="0" w:line="244" w:lineRule="auto"/>
        <w:tabs>
          <w:tab w:leader="none" w:pos="1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OR THE FAILURE OF OUR SUPPLIERS OR CUSTOMERS, TO ADDRESS INFORMATION TECHNOLOGY ISSUES RELATED TO THE YEAR 2000 COULD ADVERSELY AFFECT OUR OPERATIONS.</w:t>
      </w:r>
    </w:p>
    <w:p>
      <w:pPr>
        <w:spacing w:after="0" w:line="175" w:lineRule="exact"/>
        <w:rPr>
          <w:rFonts w:ascii="Courier New" w:cs="Courier New" w:eastAsia="Courier New" w:hAnsi="Courier New"/>
          <w:sz w:val="15"/>
          <w:szCs w:val="15"/>
          <w:color w:val="auto"/>
        </w:rPr>
      </w:pPr>
    </w:p>
    <w:p>
      <w:pPr>
        <w:ind w:left="126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Like other business entities, we must address the inability of our computer software applications and other business systems to properly identify the year 2000 due to a commonly used programming convention of using only two digits to identify a year. Unless modified or replaced, these systems could fail or create erroneous results when referencing the year 2000.</w:t>
      </w:r>
    </w:p>
    <w:p>
      <w:pPr>
        <w:spacing w:after="0" w:line="177"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rely on third party suppliers for finished goods, raw materials, water, other utilities, transportation and a variety of other key services. If one or more of our suppliers fail to address the year 2000 problem adequately, their operations could be interrupted. This interruption, in turn, could adversely affect our operations. In addition, the failure of our retailer customers adequately to address the year 2000 problem could adversely affect our financial results.</w:t>
      </w:r>
    </w:p>
    <w:p>
      <w:pPr>
        <w:spacing w:after="0" w:line="178" w:lineRule="exact"/>
        <w:rPr>
          <w:rFonts w:ascii="Courier New" w:cs="Courier New" w:eastAsia="Courier New" w:hAnsi="Courier New"/>
          <w:sz w:val="15"/>
          <w:szCs w:val="15"/>
          <w:color w:val="auto"/>
        </w:rPr>
      </w:pPr>
    </w:p>
    <w:p>
      <w:pPr>
        <w:ind w:left="1260" w:right="3459" w:hanging="716"/>
        <w:spacing w:after="0" w:line="243" w:lineRule="auto"/>
        <w:tabs>
          <w:tab w:leader="none" w:pos="1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BETWEEN 1999 AND 2002 COULD ADVERSELY AFFECT US.</w:t>
      </w:r>
    </w:p>
    <w:p>
      <w:pPr>
        <w:spacing w:after="0" w:line="176"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182" w:lineRule="exact"/>
        <w:rPr>
          <w:rFonts w:ascii="Courier New" w:cs="Courier New" w:eastAsia="Courier New" w:hAnsi="Courier New"/>
          <w:sz w:val="15"/>
          <w:szCs w:val="15"/>
          <w:color w:val="auto"/>
        </w:rPr>
      </w:pPr>
    </w:p>
    <w:p>
      <w:pPr>
        <w:ind w:left="1260" w:right="3199" w:hanging="716"/>
        <w:spacing w:after="0" w:line="244" w:lineRule="auto"/>
        <w:tabs>
          <w:tab w:leader="none" w:pos="1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5" w:lineRule="exact"/>
        <w:rPr>
          <w:rFonts w:ascii="Courier New" w:cs="Courier New" w:eastAsia="Courier New" w:hAnsi="Courier New"/>
          <w:sz w:val="15"/>
          <w:szCs w:val="15"/>
          <w:color w:val="auto"/>
        </w:rPr>
      </w:pPr>
    </w:p>
    <w:p>
      <w:pPr>
        <w:ind w:left="12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w:t>
      </w:r>
    </w:p>
    <w:p>
      <w:pPr>
        <w:sectPr>
          <w:pgSz w:w="11900" w:h="16838" w:orient="portrait"/>
          <w:cols w:equalWidth="0" w:num="1">
            <w:col w:w="9959"/>
          </w:cols>
          <w:pgMar w:left="500" w:top="291" w:right="1440" w:bottom="0" w:gutter="0" w:footer="0" w:header="0"/>
        </w:sectPr>
      </w:pP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91" w:right="1440" w:bottom="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left="1260" w:right="3019"/>
        <w:spacing w:after="0" w:line="244" w:lineRule="auto"/>
        <w:rPr>
          <w:sz w:val="20"/>
          <w:szCs w:val="20"/>
          <w:color w:val="auto"/>
        </w:rPr>
      </w:pPr>
      <w:r>
        <w:rPr>
          <w:rFonts w:ascii="Courier New" w:cs="Courier New" w:eastAsia="Courier New" w:hAnsi="Courier New"/>
          <w:sz w:val="15"/>
          <w:szCs w:val="15"/>
          <w:color w:val="auto"/>
        </w:rPr>
        <w:t>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177" w:lineRule="exact"/>
        <w:rPr>
          <w:sz w:val="20"/>
          <w:szCs w:val="20"/>
          <w:color w:val="auto"/>
        </w:rPr>
      </w:pPr>
    </w:p>
    <w:p>
      <w:pPr>
        <w:ind w:left="1260" w:hanging="716"/>
        <w:spacing w:after="0"/>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7" w:lineRule="exact"/>
        <w:rPr>
          <w:rFonts w:ascii="Courier New" w:cs="Courier New" w:eastAsia="Courier New" w:hAnsi="Courier New"/>
          <w:sz w:val="15"/>
          <w:szCs w:val="15"/>
          <w:color w:val="auto"/>
        </w:rPr>
      </w:pPr>
    </w:p>
    <w:p>
      <w:pPr>
        <w:ind w:left="1260" w:right="3199" w:hanging="716"/>
        <w:spacing w:after="0" w:line="243" w:lineRule="auto"/>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6" w:lineRule="exact"/>
        <w:rPr>
          <w:rFonts w:ascii="Courier New" w:cs="Courier New" w:eastAsia="Courier New" w:hAnsi="Courier New"/>
          <w:sz w:val="15"/>
          <w:szCs w:val="15"/>
          <w:color w:val="auto"/>
        </w:rPr>
      </w:pPr>
    </w:p>
    <w:p>
      <w:pPr>
        <w:ind w:left="1260" w:right="3199" w:hanging="716"/>
        <w:spacing w:after="0" w:line="243" w:lineRule="auto"/>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5" w:lineRule="exact"/>
        <w:rPr>
          <w:rFonts w:ascii="Courier New" w:cs="Courier New" w:eastAsia="Courier New" w:hAnsi="Courier New"/>
          <w:sz w:val="15"/>
          <w:szCs w:val="15"/>
          <w:color w:val="auto"/>
        </w:rPr>
      </w:pPr>
    </w:p>
    <w:p>
      <w:pPr>
        <w:ind w:left="1260" w:hanging="716"/>
        <w:spacing w:after="0"/>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7" w:lineRule="exact"/>
        <w:rPr>
          <w:rFonts w:ascii="Courier New" w:cs="Courier New" w:eastAsia="Courier New" w:hAnsi="Courier New"/>
          <w:sz w:val="15"/>
          <w:szCs w:val="15"/>
          <w:color w:val="auto"/>
        </w:rPr>
      </w:pPr>
    </w:p>
    <w:p>
      <w:pPr>
        <w:ind w:left="1260" w:right="3459" w:hanging="716"/>
        <w:spacing w:after="0" w:line="243" w:lineRule="auto"/>
        <w:tabs>
          <w:tab w:leader="none" w:pos="12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6" w:lineRule="exact"/>
        <w:rPr>
          <w:rFonts w:ascii="Courier New" w:cs="Courier New" w:eastAsia="Courier New" w:hAnsi="Courier New"/>
          <w:sz w:val="15"/>
          <w:szCs w:val="15"/>
          <w:color w:val="auto"/>
        </w:rPr>
      </w:pPr>
    </w:p>
    <w:p>
      <w:pPr>
        <w:ind w:left="1260" w:right="3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959"/>
          </w:cols>
          <w:pgMar w:left="50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various debt instruments outstanding at September 30, 1999 that are impacted by changes in interest rates. As a means of managing our interest rate risk on these debt instruments, we have entered into the following interest rate swap agreements to effectively convert certain variable rate debt obligations to fixed rates:</w:t>
      </w:r>
    </w:p>
    <w:p>
      <w:pPr>
        <w:spacing w:after="0" w:line="177" w:lineRule="exact"/>
        <w:rPr>
          <w:sz w:val="20"/>
          <w:szCs w:val="20"/>
          <w:color w:val="auto"/>
        </w:rPr>
      </w:pPr>
    </w:p>
    <w:p>
      <w:pPr>
        <w:ind w:left="1520" w:right="3199" w:hanging="716"/>
        <w:spacing w:after="0" w:line="244" w:lineRule="auto"/>
        <w:tabs>
          <w:tab w:leader="none" w:pos="1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20 million British Pounds Sterling notional amount swap to convert variable-rate debt obligations denominated in British Pounds Sterling to a fixed rate. The exchange rate used to convert British Pounds Sterling to U.S. dollars at September 30, 1999 was $1.65: 1 Pound Sterling.</w:t>
      </w:r>
    </w:p>
    <w:p>
      <w:pPr>
        <w:spacing w:after="0" w:line="176" w:lineRule="exact"/>
        <w:rPr>
          <w:rFonts w:ascii="Courier New" w:cs="Courier New" w:eastAsia="Courier New" w:hAnsi="Courier New"/>
          <w:sz w:val="15"/>
          <w:szCs w:val="15"/>
          <w:color w:val="auto"/>
        </w:rPr>
      </w:pPr>
    </w:p>
    <w:p>
      <w:pPr>
        <w:ind w:left="1520" w:right="3019" w:hanging="716"/>
        <w:spacing w:after="0" w:line="244" w:lineRule="auto"/>
        <w:tabs>
          <w:tab w:leader="none" w:pos="1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interest rate swaps with a total notional amount of $105.0 million which are used to hedge certain variable-rate obligations under our credit facility. The credit facility requires that we enter into hedge agreements to the extent necessary to provide that at least 50% of the aggregate principal amount of the 8 5/8% Senior Subordinated Notes due 2009 and term loan facilities is subject to a fixed rate.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p>
      <w:pPr>
        <w:ind w:right="3800"/>
        <w:spacing w:after="0" w:line="244" w:lineRule="auto"/>
        <w:rPr>
          <w:sz w:val="20"/>
          <w:szCs w:val="20"/>
          <w:color w:val="auto"/>
        </w:rPr>
      </w:pPr>
      <w:r>
        <w:rPr>
          <w:rFonts w:ascii="Courier New" w:cs="Courier New" w:eastAsia="Courier New" w:hAnsi="Courier New"/>
          <w:sz w:val="15"/>
          <w:szCs w:val="15"/>
          <w:color w:val="auto"/>
        </w:rPr>
        <w:t>The following table summarizes information about our derivative financial instruments and debt instruments that are sensitive to changes in interest rates as of September 30, 1999.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1999. The information is presented in U.S. dollars (in millions):</w:t>
      </w:r>
    </w:p>
    <w:p>
      <w:pPr>
        <w:spacing w:after="0" w:line="200" w:lineRule="exact"/>
        <w:rPr>
          <w:sz w:val="20"/>
          <w:szCs w:val="20"/>
          <w:color w:val="auto"/>
        </w:rPr>
      </w:pPr>
    </w:p>
    <w:p>
      <w:pPr>
        <w:spacing w:after="0" w:line="325"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EXPECTED MATURITY DATE</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000"/>
          </w:cols>
          <w:pgMar w:left="240" w:top="291" w:right="659" w:bottom="1440" w:gutter="0" w:footer="0" w:header="0"/>
        </w:sectPr>
      </w:pP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78" w:lineRule="auto"/>
        <w:rPr>
          <w:sz w:val="20"/>
          <w:szCs w:val="20"/>
          <w:color w:val="auto"/>
        </w:rPr>
      </w:pPr>
      <w:r>
        <w:rPr>
          <w:rFonts w:ascii="Courier New" w:cs="Courier New" w:eastAsia="Courier New" w:hAnsi="Courier New"/>
          <w:sz w:val="14"/>
          <w:szCs w:val="14"/>
          <w:color w:val="auto"/>
        </w:rPr>
        <w:t>THEREAFTER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24" w:lineRule="exact"/>
        <w:rPr>
          <w:sz w:val="20"/>
          <w:szCs w:val="20"/>
          <w:color w:val="auto"/>
        </w:rPr>
      </w:pPr>
    </w:p>
    <w:p>
      <w:pPr>
        <w:sectPr>
          <w:pgSz w:w="11900" w:h="16838" w:orient="portrait"/>
          <w:cols w:equalWidth="0" w:num="8">
            <w:col w:w="3500" w:space="720"/>
            <w:col w:w="380" w:space="620"/>
            <w:col w:w="460" w:space="720"/>
            <w:col w:w="360" w:space="620"/>
            <w:col w:w="360" w:space="280"/>
            <w:col w:w="900" w:space="360"/>
            <w:col w:w="440" w:space="640"/>
            <w:col w:w="640"/>
          </w:cols>
          <w:pgMar w:left="240" w:top="291" w:right="65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Long-term</w:t>
            </w:r>
          </w:p>
        </w:tc>
        <w:tc>
          <w:tcPr>
            <w:tcW w:w="18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debt:</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Fixed rate debt</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330.0</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330.0</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316.0</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Average</w:t>
            </w: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rate</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Variable</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rate debt</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26.2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33.3</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44.3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48.4</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573.3</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573.3</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Average</w:t>
            </w: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rate</w:t>
            </w:r>
          </w:p>
        </w:tc>
        <w:tc>
          <w:tcPr>
            <w:tcW w:w="5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6.77%</w:t>
            </w:r>
          </w:p>
        </w:tc>
        <w:tc>
          <w:tcPr>
            <w:tcW w:w="3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6.74%</w:t>
            </w:r>
          </w:p>
        </w:tc>
        <w:tc>
          <w:tcPr>
            <w:tcW w:w="3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6.71%</w:t>
            </w:r>
          </w:p>
        </w:tc>
        <w:tc>
          <w:tcPr>
            <w:tcW w:w="3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6.70%</w:t>
            </w:r>
          </w:p>
        </w:tc>
        <w:tc>
          <w:tcPr>
            <w:tcW w:w="32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6.70%</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rate derivatives:</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rate swap</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on GBP</w:t>
            </w: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7"/>
              </w:rPr>
              <w:t>LIBOR</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3"/>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Average</w:t>
            </w: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rate</w:t>
            </w:r>
          </w:p>
        </w:tc>
        <w:tc>
          <w:tcPr>
            <w:tcW w:w="50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7.62%</w:t>
            </w:r>
          </w:p>
        </w:tc>
        <w:tc>
          <w:tcPr>
            <w:tcW w:w="3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7.62%</w:t>
            </w:r>
          </w:p>
        </w:tc>
        <w:tc>
          <w:tcPr>
            <w:tcW w:w="3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7.62%</w:t>
            </w: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Interest rate swaps</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3"/>
        </w:trPr>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on USD LIBOR</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1.4</w:t>
            </w:r>
          </w:p>
        </w:tc>
        <w:tc>
          <w:tcPr>
            <w:tcW w:w="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0.6</w:t>
            </w:r>
          </w:p>
        </w:tc>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3"/>
        </w:trPr>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Average rate</w:t>
            </w:r>
          </w:p>
        </w:tc>
        <w:tc>
          <w:tcPr>
            <w:tcW w:w="84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5.10%</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5.10%</w:t>
            </w:r>
          </w:p>
        </w:tc>
        <w:tc>
          <w:tcPr>
            <w:tcW w:w="42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5.11%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5.16%</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5.18%</w:t>
            </w:r>
          </w:p>
        </w:tc>
        <w:tc>
          <w:tcPr>
            <w:tcW w:w="7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5.11%</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MARKET RISKS</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351" w:lineRule="exact"/>
        <w:rPr>
          <w:sz w:val="20"/>
          <w:szCs w:val="20"/>
          <w:color w:val="auto"/>
        </w:rPr>
      </w:pPr>
    </w:p>
    <w:p>
      <w:pPr>
        <w:ind w:right="3800"/>
        <w:spacing w:after="0" w:line="244" w:lineRule="auto"/>
        <w:rPr>
          <w:sz w:val="20"/>
          <w:szCs w:val="20"/>
          <w:color w:val="auto"/>
        </w:rPr>
      </w:pPr>
      <w:r>
        <w:rPr>
          <w:rFonts w:ascii="Courier New" w:cs="Courier New" w:eastAsia="Courier New" w:hAnsi="Courier New"/>
          <w:sz w:val="15"/>
          <w:szCs w:val="15"/>
          <w:color w:val="auto"/>
        </w:rPr>
        <w:t>Our market risk associated with foreign currency rates is not considered to be material. Through fiscal 1999, we had only minor amounts of transactions that were denominated in foreign currencies.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000"/>
          </w:cols>
          <w:pgMar w:left="240" w:top="291" w:right="659"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to Consolidated Financial Statements and Financial Statement Schedules on page 68 herein.</w:t>
      </w:r>
    </w:p>
    <w:p>
      <w:pPr>
        <w:spacing w:after="0" w:line="176"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1"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--Section 16(a) Beneficial Ownership Reporting Compliance" and "PROPOSAL NO. 1 - ELECTION OF DIRECTORS" in Scotts' definitive Proxy Statement for the 2000 Annual Meeting of Shareholders to be held on February 15, 2000 to be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"EXECUTIVE COMPENSATION" and "ELECTION OF DIRECTORS--Compensation of Directors" in Scotts' Proxy Statement, is incorporated herein by reference. Neither the report of the Compensation and Organization Committee of the Registrant's Board of Directors on executive compensation nor the performance graph included in Scotts' Proxy Statement shall be deemed to be incorporated herein by reference.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 "BENEFICIAL OWNERSHIP OF SECURITIES OF THE COMPANY" in Scotts' Proxy Statement,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and "CERTAIN RELATIONSHIPS AND RELATED TRANSACTIONS" in Scotts' Proxy Statement, is incorporated herein by reference.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DOCUMENTS FILED AS PART OF THIS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and 2. Financial Statements and Financial Statement Schedules: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Reference is made to "Index to Consolidated Financial Statements and Financial Statement Schedules" on page 68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EXHIBITS: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Exhibits filed with this Annual Report on Form 10-K are attached hereto. For a list of such exhibits, see "Index to Exhibits" beginning at page E-1. The following table provides certain information concerning executive compensation plans and arrangements required to be filed as exhibits to this Annual Report on Form 10-K.</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350"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The O.M. Scott &amp; Sons Company Excess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Benefit Plan, effective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40" w:right="154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8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1999 Executive and Management Incentive Plan</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The Scotts Company 1996 Stock</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Option Plan (as amended through</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December 8, 1999)</w:t>
      </w:r>
    </w:p>
    <w:p>
      <w:pPr>
        <w:spacing w:after="0" w:line="178" w:lineRule="exact"/>
        <w:rPr>
          <w:sz w:val="20"/>
          <w:szCs w:val="20"/>
          <w:color w:val="auto"/>
        </w:rPr>
      </w:pPr>
    </w:p>
    <w:p>
      <w:pPr>
        <w:ind w:left="1340" w:right="200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Scotts Company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260" w:hanging="1339"/>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340" w:right="820" w:hanging="1339"/>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Consulting Agreement, dated July 9, 1997, among Scotts Miracle-Gro Products, Inc., the Registrant and Horace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 Form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for the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September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1993, of The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(File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 [Exhibit 10(h)]</w:t>
      </w:r>
    </w:p>
    <w:p>
      <w:pPr>
        <w:spacing w:after="0" w:line="188" w:lineRule="exact"/>
        <w:rPr>
          <w:sz w:val="20"/>
          <w:szCs w:val="20"/>
          <w:color w:val="auto"/>
        </w:rPr>
      </w:pPr>
    </w:p>
    <w:p>
      <w:pPr>
        <w:ind w:right="1219"/>
        <w:spacing w:after="0" w:line="244" w:lineRule="auto"/>
        <w:rPr>
          <w:sz w:val="20"/>
          <w:szCs w:val="20"/>
          <w:color w:val="auto"/>
        </w:rPr>
      </w:pPr>
      <w:r>
        <w:rPr>
          <w:rFonts w:ascii="Courier New" w:cs="Courier New" w:eastAsia="Courier New" w:hAnsi="Courier New"/>
          <w:sz w:val="15"/>
          <w:szCs w:val="15"/>
          <w:color w:val="auto"/>
        </w:rPr>
        <w:t>Incorporated herein by reference to Scotts Delaware's Registration Statement on Form S-8 filed on March 26, 1993 (Registration No. 33-60056) [Exhibit 4(f)]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right="1219"/>
        <w:spacing w:after="0" w:line="265"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1998 (File No. 1-11593) [Exhibit 10(j)]</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10(1)]</w:t>
      </w:r>
    </w:p>
    <w:p>
      <w:pPr>
        <w:sectPr>
          <w:pgSz w:w="11900" w:h="16838" w:orient="portrait"/>
          <w:cols w:equalWidth="0" w:num="2">
            <w:col w:w="5860" w:space="720"/>
            <w:col w:w="3639"/>
          </w:cols>
          <w:pgMar w:left="240" w:top="29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63</w:t>
            </w:r>
          </w:p>
        </w:tc>
        <w:tc>
          <w:tcPr>
            <w:tcW w:w="24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67"/>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4700" w:type="dxa"/>
            <w:vAlign w:val="bottom"/>
            <w:gridSpan w:val="2"/>
          </w:tcPr>
          <w:p>
            <w:pPr>
              <w:ind w:left="190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 ---</w:t>
            </w:r>
          </w:p>
        </w:tc>
        <w:tc>
          <w:tcPr>
            <w:tcW w:w="4700" w:type="dxa"/>
            <w:vAlign w:val="bottom"/>
            <w:gridSpan w:val="2"/>
          </w:tcPr>
          <w:p>
            <w:pPr>
              <w:ind w:left="2080"/>
              <w:spacing w:after="0"/>
              <w:rPr>
                <w:sz w:val="20"/>
                <w:szCs w:val="20"/>
                <w:color w:val="auto"/>
              </w:rPr>
            </w:pPr>
            <w:r>
              <w:rPr>
                <w:rFonts w:ascii="Courier New" w:cs="Courier New" w:eastAsia="Courier New" w:hAnsi="Courier New"/>
                <w:sz w:val="15"/>
                <w:szCs w:val="15"/>
                <w:color w:val="auto"/>
              </w:rPr>
              <w:t>-----------</w:t>
            </w:r>
          </w:p>
        </w:tc>
      </w:tr>
      <w:tr>
        <w:trPr>
          <w:trHeight w:val="520"/>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10(h)</w:t>
            </w: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Employment Agreement, dated as of May 19,</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1995, among Stern's Miracle-Gro</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Products, Inc. (nka Scotts Miracle-Gro</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Products, Inc.), the Registrant and John Kenlon</w:t>
            </w:r>
          </w:p>
        </w:tc>
      </w:tr>
      <w:tr>
        <w:trPr>
          <w:trHeight w:val="1040"/>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10(i)</w:t>
            </w: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Employment Agreement, dated as of</w:t>
            </w:r>
          </w:p>
        </w:tc>
      </w:tr>
      <w:tr>
        <w:trPr>
          <w:trHeight w:val="173"/>
        </w:trPr>
        <w:tc>
          <w:tcPr>
            <w:tcW w:w="98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August 7, 1998, between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Charles M. Berger, and three attached</w:t>
            </w:r>
          </w:p>
        </w:tc>
      </w:tr>
      <w:tr>
        <w:trPr>
          <w:trHeight w:val="173"/>
        </w:trPr>
        <w:tc>
          <w:tcPr>
            <w:tcW w:w="98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Stock Option Agreements</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with the following</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effective dates: September 23, 1998; October 21,</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 and September 24, 1999</w:t>
            </w:r>
          </w:p>
        </w:tc>
      </w:tr>
      <w:tr>
        <w:trPr>
          <w:trHeight w:val="694"/>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10(j)</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Stock Option Agreement,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dated as of</w:t>
            </w:r>
          </w:p>
        </w:tc>
      </w:tr>
      <w:tr>
        <w:trPr>
          <w:trHeight w:val="173"/>
        </w:trPr>
        <w:tc>
          <w:tcPr>
            <w:tcW w:w="98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August 7, 1996, between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173"/>
        </w:trPr>
        <w:tc>
          <w:tcPr>
            <w:tcW w:w="98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and Charles M. Berger</w:t>
            </w:r>
          </w:p>
        </w:tc>
        <w:tc>
          <w:tcPr>
            <w:tcW w:w="2220" w:type="dxa"/>
            <w:vAlign w:val="bottom"/>
          </w:tcPr>
          <w:p>
            <w:pPr>
              <w:spacing w:after="0"/>
              <w:rPr>
                <w:sz w:val="15"/>
                <w:szCs w:val="15"/>
                <w:color w:val="auto"/>
              </w:rPr>
            </w:pPr>
          </w:p>
        </w:tc>
      </w:tr>
      <w:tr>
        <w:trPr>
          <w:trHeight w:val="1214"/>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10(k)</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dated</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December 23, 1996,</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between the Registrant and Jean H. Mordo</w:t>
            </w:r>
          </w:p>
        </w:tc>
      </w:tr>
      <w:tr>
        <w:trPr>
          <w:trHeight w:val="138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10(l)</w:t>
            </w: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Specimen form of Stock Option Agreement</w:t>
            </w:r>
          </w:p>
        </w:tc>
      </w:tr>
      <w:tr>
        <w:trPr>
          <w:trHeight w:val="173"/>
        </w:trPr>
        <w:tc>
          <w:tcPr>
            <w:tcW w:w="980" w:type="dxa"/>
            <w:vAlign w:val="bottom"/>
          </w:tcPr>
          <w:p>
            <w:pPr>
              <w:spacing w:after="0"/>
              <w:rPr>
                <w:sz w:val="15"/>
                <w:szCs w:val="15"/>
                <w:color w:val="auto"/>
              </w:rPr>
            </w:pP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for Non-Qualified Stock</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r>
      <w:tr>
        <w:trPr>
          <w:trHeight w:val="34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10(m)</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dated</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April 10, 1997,</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between the Registrant and G. Robert Lucas</w:t>
            </w:r>
          </w:p>
        </w:tc>
      </w:tr>
      <w:tr>
        <w:trPr>
          <w:trHeight w:val="1387"/>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10(n)</w:t>
            </w:r>
          </w:p>
        </w:tc>
        <w:tc>
          <w:tcPr>
            <w:tcW w:w="248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dated</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December 17, 1997,</w:t>
            </w:r>
          </w:p>
        </w:tc>
      </w:tr>
      <w:tr>
        <w:trPr>
          <w:trHeight w:val="173"/>
        </w:trPr>
        <w:tc>
          <w:tcPr>
            <w:tcW w:w="980" w:type="dxa"/>
            <w:vAlign w:val="bottom"/>
          </w:tcPr>
          <w:p>
            <w:pPr>
              <w:spacing w:after="0"/>
              <w:rPr>
                <w:sz w:val="15"/>
                <w:szCs w:val="15"/>
                <w:color w:val="auto"/>
              </w:rPr>
            </w:pP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between the Registrant and William R. Radon</w:t>
            </w:r>
          </w:p>
        </w:tc>
      </w:tr>
      <w:tr>
        <w:trPr>
          <w:trHeight w:val="1560"/>
        </w:trPr>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63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 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 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10(s)]</w:t>
      </w:r>
    </w:p>
    <w:p>
      <w:pPr>
        <w:sectPr>
          <w:pgSz w:w="11900" w:h="16838" w:orient="portrait"/>
          <w:cols w:equalWidth="0" w:num="2">
            <w:col w:w="5860" w:space="720"/>
            <w:col w:w="3639"/>
          </w:cols>
          <w:pgMar w:left="240" w:top="29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50"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Letter Agreement, dated March 30, 1998,</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between the Registrant and William A. Dittman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40" w:right="126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Letter Agreement, dated March 16, 1999, between the Registrant and Hadia Lefavre</w:t>
      </w:r>
    </w:p>
    <w:p>
      <w:pPr>
        <w:spacing w:after="0" w:line="176" w:lineRule="exact"/>
        <w:rPr>
          <w:sz w:val="20"/>
          <w:szCs w:val="20"/>
          <w:color w:val="auto"/>
        </w:rPr>
      </w:pPr>
    </w:p>
    <w:p>
      <w:pPr>
        <w:ind w:left="1340" w:right="90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Letter Agreement, dated July 21, 1999, between the Registrant and David D. Harrison</w:t>
      </w:r>
    </w:p>
    <w:p>
      <w:pPr>
        <w:spacing w:after="0" w:line="176" w:lineRule="exact"/>
        <w:rPr>
          <w:sz w:val="20"/>
          <w:szCs w:val="20"/>
          <w:color w:val="auto"/>
        </w:rPr>
      </w:pPr>
    </w:p>
    <w:p>
      <w:pPr>
        <w:ind w:left="1340" w:right="640" w:hanging="1339"/>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Contract of Employment dated February 28, 1996, between Rhodic (assumed by Scotts France SAS) and Christian Ringuet</w:t>
      </w:r>
    </w:p>
    <w:p>
      <w:pPr>
        <w:spacing w:after="0" w:line="175" w:lineRule="exact"/>
        <w:rPr>
          <w:sz w:val="20"/>
          <w:szCs w:val="20"/>
          <w:color w:val="auto"/>
        </w:rPr>
      </w:pPr>
    </w:p>
    <w:p>
      <w:pPr>
        <w:ind w:left="1340" w:right="280" w:hanging="1339"/>
        <w:spacing w:after="0" w:line="243" w:lineRule="auto"/>
        <w:tabs>
          <w:tab w:leader="none" w:pos="1320" w:val="left"/>
        </w:tabs>
        <w:rPr>
          <w:sz w:val="20"/>
          <w:szCs w:val="20"/>
          <w:color w:val="auto"/>
        </w:rPr>
      </w:pPr>
      <w:r>
        <w:rPr>
          <w:rFonts w:ascii="Courier New" w:cs="Courier New" w:eastAsia="Courier New" w:hAnsi="Courier New"/>
          <w:sz w:val="15"/>
          <w:szCs w:val="15"/>
          <w:color w:val="auto"/>
        </w:rPr>
        <w:t>10(s)</w:t>
      </w:r>
      <w:r>
        <w:rPr>
          <w:sz w:val="20"/>
          <w:szCs w:val="20"/>
          <w:color w:val="auto"/>
        </w:rPr>
        <w:tab/>
      </w:r>
      <w:r>
        <w:rPr>
          <w:rFonts w:ascii="Courier New" w:cs="Courier New" w:eastAsia="Courier New" w:hAnsi="Courier New"/>
          <w:sz w:val="15"/>
          <w:szCs w:val="15"/>
          <w:color w:val="auto"/>
        </w:rPr>
        <w:t>Employment Agreement, dated August 17, 1995, between Scotts Europe B.V. and Laurens J.M. de Kort</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Service Agreement, dated September 9, 1998,</w:t>
      </w:r>
    </w:p>
    <w:p>
      <w:pPr>
        <w:spacing w:after="0" w:line="4" w:lineRule="exact"/>
        <w:rPr>
          <w:sz w:val="20"/>
          <w:szCs w:val="20"/>
          <w:color w:val="auto"/>
        </w:rPr>
      </w:pPr>
    </w:p>
    <w:p>
      <w:pPr>
        <w:ind w:left="1340"/>
        <w:spacing w:after="0" w:line="243" w:lineRule="auto"/>
        <w:rPr>
          <w:sz w:val="20"/>
          <w:szCs w:val="20"/>
          <w:color w:val="auto"/>
        </w:rPr>
      </w:pPr>
      <w:r>
        <w:rPr>
          <w:rFonts w:ascii="Courier New" w:cs="Courier New" w:eastAsia="Courier New" w:hAnsi="Courier New"/>
          <w:sz w:val="15"/>
          <w:szCs w:val="15"/>
          <w:color w:val="auto"/>
        </w:rPr>
        <w:t>between Levington Horticulture Limited (nka The Scotts Company (UK) Ltd.) and Nicholas Kirkbride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Filed herewith</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LOCATION</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1579"/>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220" w:space="360"/>
            <w:col w:w="3639"/>
          </w:cols>
          <w:pgMar w:left="240" w:top="291" w:right="1440" w:bottom="1440" w:gutter="0" w:footer="0" w:header="0"/>
        </w:sectPr>
      </w:pPr>
    </w:p>
    <w:bookmarkStart w:id="64" w:name="page65"/>
    <w:bookmarkEnd w:id="64"/>
    <w:p>
      <w:pPr>
        <w:ind w:left="268"/>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8" w:hanging="808"/>
        <w:spacing w:after="0"/>
        <w:tabs>
          <w:tab w:leader="none" w:pos="8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The Registrant filed no Current Reports on Form 8-K during the last quarter of the period covered by this Report.</w:t>
      </w:r>
    </w:p>
    <w:p>
      <w:pPr>
        <w:spacing w:after="0" w:line="175" w:lineRule="exact"/>
        <w:rPr>
          <w:sz w:val="20"/>
          <w:szCs w:val="20"/>
          <w:color w:val="auto"/>
        </w:rPr>
      </w:pPr>
    </w:p>
    <w:p>
      <w:pPr>
        <w:ind w:left="808" w:hanging="808"/>
        <w:spacing w:after="0"/>
        <w:tabs>
          <w:tab w:leader="none" w:pos="8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Item 14(a)(3) above.</w:t>
      </w:r>
    </w:p>
    <w:p>
      <w:pPr>
        <w:spacing w:after="0" w:line="177" w:lineRule="exact"/>
        <w:rPr>
          <w:sz w:val="20"/>
          <w:szCs w:val="20"/>
          <w:color w:val="auto"/>
        </w:rPr>
      </w:pPr>
    </w:p>
    <w:p>
      <w:pPr>
        <w:ind w:left="808" w:hanging="808"/>
        <w:spacing w:after="0"/>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7"/>
          </w:cols>
          <w:pgMar w:left="232" w:top="291"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4420"/>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THE SCOTTS COMPANY</w:t>
      </w:r>
    </w:p>
    <w:p>
      <w:pPr>
        <w:sectPr>
          <w:pgSz w:w="11900" w:h="16838" w:orient="portrait"/>
          <w:cols w:equalWidth="0" w:num="1">
            <w:col w:w="11440"/>
          </w:cols>
          <w:pgMar w:left="240" w:top="291" w:right="219"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December 22, 1999</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 Chairman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Board, 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78" w:lineRule="exact"/>
        <w:rPr>
          <w:sz w:val="20"/>
          <w:szCs w:val="20"/>
          <w:color w:val="auto"/>
        </w:rPr>
      </w:pPr>
    </w:p>
    <w:p>
      <w:pPr>
        <w:sectPr>
          <w:pgSz w:w="11900" w:h="16838" w:orient="portrait"/>
          <w:cols w:equalWidth="0" w:num="3">
            <w:col w:w="4780" w:space="720"/>
            <w:col w:w="260" w:space="540"/>
            <w:col w:w="5140"/>
          </w:cols>
          <w:pgMar w:left="240" w:top="291" w:right="219" w:bottom="1440" w:gutter="0" w:footer="0" w:header="0"/>
          <w:type w:val="continuous"/>
        </w:sectPr>
      </w:pPr>
    </w:p>
    <w:p>
      <w:pPr>
        <w:spacing w:after="0" w:line="243"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5040" w:type="dxa"/>
            <w:vAlign w:val="bottom"/>
          </w:tcPr>
          <w:p>
            <w:pPr>
              <w:ind w:left="2380"/>
              <w:spacing w:after="0"/>
              <w:rPr>
                <w:sz w:val="20"/>
                <w:szCs w:val="20"/>
                <w:color w:val="auto"/>
              </w:rPr>
            </w:pPr>
            <w:r>
              <w:rPr>
                <w:rFonts w:ascii="Courier New" w:cs="Courier New" w:eastAsia="Courier New" w:hAnsi="Courier New"/>
                <w:sz w:val="15"/>
                <w:szCs w:val="15"/>
                <w:color w:val="auto"/>
              </w:rPr>
              <w:t>TITLE</w:t>
            </w:r>
          </w:p>
        </w:tc>
        <w:tc>
          <w:tcPr>
            <w:tcW w:w="2940" w:type="dxa"/>
            <w:vAlign w:val="bottom"/>
          </w:tcPr>
          <w:p>
            <w:pPr>
              <w:ind w:left="184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4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c>
          <w:tcPr>
            <w:tcW w:w="294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r>
      <w:tr>
        <w:trPr>
          <w:trHeight w:val="347"/>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JAMES B BEARD, PH.D.</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B Beard, Ph.D.</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CHARLES M. BERGER</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Chairman of the Board/President/</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Chief Executive Officer</w:t>
            </w: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JOSEPH P. FLANNERY</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HORACE HAGEDORN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Vice Chairman/Director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President, Scotts North America/</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Hagedorn Director</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ALBERT E. HARRIS</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Albert E. Harris</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JOHN KENLON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KAREN GORDON MILLS</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DAVID D. HARRISON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Executive Vice President/Chief</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David D. Harrison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Financial Officer/Principal</w:t>
            </w: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15"/>
                <w:szCs w:val="15"/>
                <w:color w:val="auto"/>
              </w:rPr>
            </w:pP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Accounting Officer</w:t>
            </w: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PATRICK J. NORTON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Patrick J. Norton</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JOHN M. SULLIVAN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L. JACK VAN FOSSEN</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JOHN WALKER, PH.D.</w:t>
            </w:r>
          </w:p>
        </w:tc>
        <w:tc>
          <w:tcPr>
            <w:tcW w:w="5040" w:type="dxa"/>
            <w:vAlign w:val="bottom"/>
          </w:tcPr>
          <w:p>
            <w:pPr>
              <w:ind w:left="760"/>
              <w:spacing w:after="0"/>
              <w:rPr>
                <w:sz w:val="20"/>
                <w:szCs w:val="20"/>
                <w:color w:val="auto"/>
              </w:rPr>
            </w:pPr>
            <w:r>
              <w:rPr>
                <w:rFonts w:ascii="Courier New" w:cs="Courier New" w:eastAsia="Courier New" w:hAnsi="Courier New"/>
                <w:sz w:val="15"/>
                <w:szCs w:val="15"/>
                <w:color w:val="auto"/>
              </w:rPr>
              <w:t>Director</w:t>
            </w:r>
          </w:p>
        </w:tc>
        <w:tc>
          <w:tcPr>
            <w:tcW w:w="2940" w:type="dxa"/>
            <w:vAlign w:val="bottom"/>
          </w:tcPr>
          <w:p>
            <w:pPr>
              <w:ind w:left="1400"/>
              <w:spacing w:after="0"/>
              <w:rPr>
                <w:sz w:val="20"/>
                <w:szCs w:val="20"/>
                <w:color w:val="auto"/>
              </w:rPr>
            </w:pPr>
            <w:r>
              <w:rPr>
                <w:rFonts w:ascii="Courier New" w:cs="Courier New" w:eastAsia="Courier New" w:hAnsi="Courier New"/>
                <w:sz w:val="15"/>
                <w:szCs w:val="15"/>
                <w:color w:val="auto"/>
                <w:w w:val="99"/>
              </w:rPr>
              <w:t>December 22, 1999</w:t>
            </w:r>
          </w:p>
        </w:tc>
      </w:tr>
      <w:tr>
        <w:trPr>
          <w:trHeight w:val="173"/>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Walker, Ph.D.</w:t>
            </w:r>
          </w:p>
        </w:tc>
        <w:tc>
          <w:tcPr>
            <w:tcW w:w="504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520"/>
        </w:trPr>
        <w:tc>
          <w:tcPr>
            <w:tcW w:w="2840" w:type="dxa"/>
            <w:vAlign w:val="bottom"/>
          </w:tcPr>
          <w:p>
            <w:pPr>
              <w:spacing w:after="0"/>
              <w:rPr>
                <w:sz w:val="24"/>
                <w:szCs w:val="24"/>
                <w:color w:val="auto"/>
              </w:rPr>
            </w:pPr>
          </w:p>
        </w:tc>
        <w:tc>
          <w:tcPr>
            <w:tcW w:w="5040" w:type="dxa"/>
            <w:vAlign w:val="bottom"/>
          </w:tcPr>
          <w:p>
            <w:pPr>
              <w:ind w:left="660"/>
              <w:spacing w:after="0"/>
              <w:rPr>
                <w:sz w:val="20"/>
                <w:szCs w:val="20"/>
                <w:color w:val="auto"/>
              </w:rPr>
            </w:pPr>
            <w:r>
              <w:rPr>
                <w:rFonts w:ascii="Courier New" w:cs="Courier New" w:eastAsia="Courier New" w:hAnsi="Courier New"/>
                <w:sz w:val="15"/>
                <w:szCs w:val="15"/>
                <w:color w:val="auto"/>
              </w:rPr>
              <w:t>66</w:t>
            </w:r>
          </w:p>
        </w:tc>
        <w:tc>
          <w:tcPr>
            <w:tcW w:w="2940" w:type="dxa"/>
            <w:vAlign w:val="bottom"/>
          </w:tcPr>
          <w:p>
            <w:pPr>
              <w:spacing w:after="0"/>
              <w:rPr>
                <w:sz w:val="24"/>
                <w:szCs w:val="24"/>
                <w:color w:val="auto"/>
              </w:rPr>
            </w:pPr>
          </w:p>
        </w:tc>
      </w:tr>
    </w:tbl>
    <w:p>
      <w:pPr>
        <w:sectPr>
          <w:pgSz w:w="11900" w:h="16838" w:orient="portrait"/>
          <w:cols w:equalWidth="0" w:num="1">
            <w:col w:w="11440"/>
          </w:cols>
          <w:pgMar w:left="240" w:top="291" w:right="219"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of The Scotts Company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4" w:lineRule="exact"/>
        <w:rPr>
          <w:sz w:val="20"/>
          <w:szCs w:val="20"/>
          <w:color w:val="auto"/>
        </w:rPr>
      </w:pPr>
    </w:p>
    <w:p>
      <w:pPr>
        <w:ind w:left="260" w:right="3960" w:hanging="270"/>
        <w:spacing w:after="0" w:line="243" w:lineRule="auto"/>
        <w:rPr>
          <w:sz w:val="20"/>
          <w:szCs w:val="20"/>
          <w:color w:val="auto"/>
        </w:rPr>
      </w:pPr>
      <w:r>
        <w:rPr>
          <w:rFonts w:ascii="Courier New" w:cs="Courier New" w:eastAsia="Courier New" w:hAnsi="Courier New"/>
          <w:sz w:val="15"/>
          <w:szCs w:val="15"/>
          <w:color w:val="auto"/>
        </w:rPr>
        <w:t>Consolidated Statements of Operations for the years ended September 30, 1999, 1998 and 1997</w:t>
      </w:r>
    </w:p>
    <w:p>
      <w:pPr>
        <w:spacing w:after="0" w:line="3" w:lineRule="exact"/>
        <w:rPr>
          <w:sz w:val="20"/>
          <w:szCs w:val="20"/>
          <w:color w:val="auto"/>
        </w:rPr>
      </w:pPr>
    </w:p>
    <w:p>
      <w:pPr>
        <w:ind w:right="2160"/>
        <w:spacing w:after="0" w:line="244" w:lineRule="auto"/>
        <w:rPr>
          <w:sz w:val="20"/>
          <w:szCs w:val="20"/>
          <w:color w:val="auto"/>
        </w:rPr>
      </w:pPr>
      <w:r>
        <w:rPr>
          <w:rFonts w:ascii="Courier New" w:cs="Courier New" w:eastAsia="Courier New" w:hAnsi="Courier New"/>
          <w:sz w:val="15"/>
          <w:szCs w:val="15"/>
          <w:color w:val="auto"/>
        </w:rPr>
        <w:t>Consolidated Statements of Cash Flows for the years ended September 30, 1999, 1998 and 1997 Consolidated Balance Sheets at September 30, 1999 and 1998 Consolidated Statements of Changes in Shareholders' Equity for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years ended September 30, 1999, 1998 and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4" w:lineRule="exact"/>
        <w:rPr>
          <w:sz w:val="20"/>
          <w:szCs w:val="20"/>
          <w:color w:val="auto"/>
        </w:rPr>
      </w:pPr>
    </w:p>
    <w:p>
      <w:pPr>
        <w:ind w:right="3060"/>
        <w:spacing w:after="0" w:line="244" w:lineRule="auto"/>
        <w:rPr>
          <w:sz w:val="20"/>
          <w:szCs w:val="20"/>
          <w:color w:val="auto"/>
        </w:rPr>
      </w:pPr>
      <w:r>
        <w:rPr>
          <w:rFonts w:ascii="Courier New" w:cs="Courier New" w:eastAsia="Courier New" w:hAnsi="Courier New"/>
          <w:sz w:val="15"/>
          <w:szCs w:val="15"/>
          <w:color w:val="auto"/>
        </w:rPr>
        <w:t>Schedules Supporting the Consolidated Financial Statements: Report of Independent Accountants on Financial Statement Schedules Valuation and Qualifying Accounts for the years ended September 30,</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1999, 1998 and 1997</w:t>
      </w:r>
    </w:p>
    <w:p>
      <w:pPr>
        <w:spacing w:after="0" w:line="351" w:lineRule="exact"/>
        <w:rPr>
          <w:sz w:val="20"/>
          <w:szCs w:val="20"/>
          <w:color w:val="auto"/>
        </w:rPr>
      </w:pPr>
    </w:p>
    <w:p>
      <w:pPr>
        <w:jc w:val="both"/>
        <w:ind w:right="1980"/>
        <w:spacing w:after="0" w:line="244"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FORM 10-K</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ANNUAL REPORT</w:t>
      </w:r>
    </w:p>
    <w:p>
      <w:pPr>
        <w:sectPr>
          <w:pgSz w:w="11900" w:h="16838" w:orient="portrait"/>
          <w:cols w:equalWidth="0" w:num="2">
            <w:col w:w="9100" w:space="720"/>
            <w:col w:w="1180"/>
          </w:cols>
          <w:pgMar w:left="240" w:top="291" w:right="65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178" w:lineRule="exact"/>
        <w:rPr>
          <w:sz w:val="20"/>
          <w:szCs w:val="20"/>
          <w:color w:val="auto"/>
        </w:rPr>
      </w:pPr>
    </w:p>
    <w:p>
      <w:pPr>
        <w:ind w:right="3379"/>
        <w:spacing w:after="0" w:line="265" w:lineRule="auto"/>
        <w:rPr>
          <w:sz w:val="20"/>
          <w:szCs w:val="20"/>
          <w:color w:val="auto"/>
        </w:rPr>
      </w:pPr>
      <w:r>
        <w:rPr>
          <w:rFonts w:ascii="Courier New" w:cs="Courier New" w:eastAsia="Courier New" w:hAnsi="Courier New"/>
          <w:sz w:val="14"/>
          <w:szCs w:val="14"/>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cash flows and changes in shareholders' equity present fairly, in all material respects, the financial position of The Scotts Company at September 30, 1999 and 1998, and the results of its operations and its cash flows for each of the three years in the period ended September 30,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1999</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1"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70</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0"/>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94"/>
        </w:trPr>
        <w:tc>
          <w:tcPr>
            <w:tcW w:w="522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SEPTEMBER 30, 1999, 1998 AND 1997 (IN MILLIONS)</w:t>
            </w:r>
          </w:p>
        </w:tc>
        <w:tc>
          <w:tcPr>
            <w:tcW w:w="1080" w:type="dxa"/>
            <w:vAlign w:val="bottom"/>
          </w:tcPr>
          <w:p>
            <w:pPr>
              <w:spacing w:after="0"/>
              <w:rPr>
                <w:sz w:val="15"/>
                <w:szCs w:val="15"/>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5"/>
                <w:szCs w:val="15"/>
                <w:color w:val="auto"/>
              </w:rPr>
            </w:pPr>
          </w:p>
        </w:tc>
        <w:tc>
          <w:tcPr>
            <w:tcW w:w="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5"/>
                <w:szCs w:val="15"/>
                <w:color w:val="auto"/>
              </w:rPr>
            </w:pPr>
          </w:p>
        </w:tc>
        <w:tc>
          <w:tcPr>
            <w:tcW w:w="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694"/>
        </w:trPr>
        <w:tc>
          <w:tcPr>
            <w:tcW w:w="52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1,648.3</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1,113.0</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899.3</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989.1</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715.0</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573.6</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659.2</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398.0</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325.7</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w:t>
            </w:r>
          </w:p>
        </w:tc>
        <w:tc>
          <w:tcPr>
            <w:tcW w:w="108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30.3</w:t>
            </w:r>
          </w:p>
        </w:tc>
        <w:tc>
          <w:tcPr>
            <w:tcW w:w="500" w:type="dxa"/>
            <w:vAlign w:val="bottom"/>
          </w:tcPr>
          <w:p>
            <w:pPr>
              <w:spacing w:after="0"/>
              <w:rPr>
                <w:sz w:val="24"/>
                <w:szCs w:val="24"/>
                <w:color w:val="auto"/>
              </w:rPr>
            </w:pPr>
          </w:p>
        </w:tc>
        <w:tc>
          <w:tcPr>
            <w:tcW w:w="14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w:t>
            </w:r>
          </w:p>
        </w:tc>
        <w:tc>
          <w:tcPr>
            <w:tcW w:w="108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108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Advertising and promotion</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189.0</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104.4</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281.2</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169.9</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131.6</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23.8</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12.9</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15.4</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Other (income) expense, net</w:t>
            </w:r>
          </w:p>
        </w:tc>
        <w:tc>
          <w:tcPr>
            <w:tcW w:w="108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8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196.1</w:t>
            </w:r>
          </w:p>
        </w:tc>
        <w:tc>
          <w:tcPr>
            <w:tcW w:w="500" w:type="dxa"/>
            <w:vAlign w:val="bottom"/>
          </w:tcPr>
          <w:p>
            <w:pPr>
              <w:spacing w:after="0"/>
              <w:rPr>
                <w:sz w:val="24"/>
                <w:szCs w:val="24"/>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94.1</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79.1</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32.2</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117.0</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61.9</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47.9</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24.9</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69.1</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37.0</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of debt, net of income tax benefit</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0.7</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63.2</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36.3</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9.8</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applicable to common shareholders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53.5</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26.5</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0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500" w:type="dxa"/>
            <w:vAlign w:val="bottom"/>
          </w:tcPr>
          <w:p>
            <w:pPr>
              <w:spacing w:after="0"/>
              <w:rPr>
                <w:sz w:val="15"/>
                <w:szCs w:val="15"/>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0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(0.19)</w:t>
            </w:r>
          </w:p>
        </w:tc>
        <w:tc>
          <w:tcPr>
            <w:tcW w:w="500" w:type="dxa"/>
            <w:vAlign w:val="bottom"/>
          </w:tcPr>
          <w:p>
            <w:pPr>
              <w:spacing w:after="0"/>
              <w:rPr>
                <w:sz w:val="15"/>
                <w:szCs w:val="15"/>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(0.02)</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per share calculation</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in diluted earnings per share calculation</w:t>
            </w:r>
          </w:p>
        </w:tc>
        <w:tc>
          <w:tcPr>
            <w:tcW w:w="1080" w:type="dxa"/>
            <w:vAlign w:val="bottom"/>
          </w:tcPr>
          <w:p>
            <w:pPr>
              <w:spacing w:after="0"/>
              <w:rPr>
                <w:sz w:val="15"/>
                <w:szCs w:val="15"/>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30.5</w:t>
            </w:r>
          </w:p>
        </w:tc>
        <w:tc>
          <w:tcPr>
            <w:tcW w:w="500" w:type="dxa"/>
            <w:vAlign w:val="bottom"/>
          </w:tcPr>
          <w:p>
            <w:pPr>
              <w:spacing w:after="0"/>
              <w:rPr>
                <w:sz w:val="15"/>
                <w:szCs w:val="15"/>
                <w:color w:val="auto"/>
              </w:rPr>
            </w:pP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30.3</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720"/>
          </w:cols>
          <w:pgMar w:left="240" w:top="291" w:right="9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94"/>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SEPTEMBER 30, 1999, 1998 AND 1997 (IN MILLIONS)</w:t>
            </w:r>
          </w:p>
        </w:tc>
        <w:tc>
          <w:tcPr>
            <w:tcW w:w="98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spacing w:after="0"/>
              <w:rPr>
                <w:sz w:val="15"/>
                <w:szCs w:val="15"/>
                <w:color w:val="auto"/>
              </w:rPr>
            </w:pP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63.2</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Depreciation</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29.0</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21.6</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16.2</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Extraordinary loss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0.7</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Restructuring and other charges</w:t>
            </w:r>
          </w:p>
        </w:tc>
        <w:tc>
          <w:tcPr>
            <w:tcW w:w="98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19.3</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Loss on sale of fixed assets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Changes in assets and liabilities, net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900"/>
              <w:spacing w:after="0"/>
              <w:rPr>
                <w:sz w:val="20"/>
                <w:szCs w:val="20"/>
                <w:color w:val="auto"/>
              </w:rPr>
            </w:pPr>
            <w:r>
              <w:rPr>
                <w:rFonts w:ascii="Courier New" w:cs="Courier New" w:eastAsia="Courier New" w:hAnsi="Courier New"/>
                <w:sz w:val="15"/>
                <w:szCs w:val="15"/>
                <w:color w:val="auto"/>
              </w:rPr>
              <w:t>of acquired businesses: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Accounts receivable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23.7</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(8.6)</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Inventories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Prepaid and other current assets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Accrued taxes and liabilities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Other assets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3"/>
        </w:trPr>
        <w:tc>
          <w:tcPr>
            <w:tcW w:w="5320" w:type="dxa"/>
            <w:vAlign w:val="bottom"/>
          </w:tcPr>
          <w:p>
            <w:pPr>
              <w:ind w:left="1160"/>
              <w:spacing w:after="0"/>
              <w:rPr>
                <w:sz w:val="20"/>
                <w:szCs w:val="20"/>
                <w:color w:val="auto"/>
              </w:rPr>
            </w:pPr>
            <w:r>
              <w:rPr>
                <w:rFonts w:ascii="Courier New" w:cs="Courier New" w:eastAsia="Courier New" w:hAnsi="Courier New"/>
                <w:sz w:val="15"/>
                <w:szCs w:val="15"/>
                <w:color w:val="auto"/>
              </w:rPr>
              <w:t>Other liabilities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Other, net</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78.2</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71.0</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121.1</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(41.3)</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0.6</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 net of</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cash acquired</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(506.2)</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(151.4)</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Net cash used in investing activities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(571.6)</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(192.1)</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under revolving and bank</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lines of credit</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65.3</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140.0</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Gross borrowings under term loans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525.0</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Gross repayments under term loans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 previous</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credit facility</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(241.0)</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 subordinated notes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330.0</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 senior subordinated</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notes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(107.1)</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440" w:type="dxa"/>
            <w:vAlign w:val="bottom"/>
          </w:tcPr>
          <w:p>
            <w:pPr>
              <w:spacing w:after="0"/>
              <w:rPr>
                <w:sz w:val="15"/>
                <w:szCs w:val="15"/>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(15.3)</w:t>
            </w:r>
          </w:p>
        </w:tc>
        <w:tc>
          <w:tcPr>
            <w:tcW w:w="72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98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(0.7)</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cash provided by (used in) financing</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activities</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513.9</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118.4</w:t>
            </w:r>
          </w:p>
        </w:tc>
        <w:tc>
          <w:tcPr>
            <w:tcW w:w="7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9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19.7</w:t>
            </w:r>
          </w:p>
        </w:tc>
        <w:tc>
          <w:tcPr>
            <w:tcW w:w="44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9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w:t>
            </w:r>
          </w:p>
        </w:tc>
        <w:tc>
          <w:tcPr>
            <w:tcW w:w="44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13.0</w:t>
            </w:r>
          </w:p>
        </w:tc>
        <w:tc>
          <w:tcPr>
            <w:tcW w:w="72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30.3</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5320" w:type="dxa"/>
            <w:vAlign w:val="bottom"/>
          </w:tcPr>
          <w:p>
            <w:pPr>
              <w:spacing w:after="0"/>
              <w:rPr>
                <w:sz w:val="15"/>
                <w:szCs w:val="15"/>
                <w:color w:val="auto"/>
              </w:rPr>
            </w:pPr>
          </w:p>
        </w:tc>
        <w:tc>
          <w:tcPr>
            <w:tcW w:w="2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640"/>
          </w:cols>
          <w:pgMar w:left="240" w:top="291" w:right="1019"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640"/>
          </w:cols>
          <w:pgMar w:left="240" w:top="291" w:right="101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72</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64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4"/>
        </w:trPr>
        <w:tc>
          <w:tcPr>
            <w:tcW w:w="6480" w:type="dxa"/>
            <w:vAlign w:val="bottom"/>
          </w:tcPr>
          <w:p>
            <w:pPr>
              <w:spacing w:after="0"/>
              <w:rPr>
                <w:sz w:val="20"/>
                <w:szCs w:val="20"/>
                <w:color w:val="auto"/>
              </w:rPr>
            </w:pPr>
            <w:r>
              <w:rPr>
                <w:rFonts w:ascii="Courier New" w:cs="Courier New" w:eastAsia="Courier New" w:hAnsi="Courier New"/>
                <w:sz w:val="15"/>
                <w:szCs w:val="15"/>
                <w:color w:val="auto"/>
              </w:rPr>
              <w:t>SEPTEMBER 30, 1999 AND 198 (IN MILLIONS)</w:t>
            </w:r>
          </w:p>
        </w:tc>
        <w:tc>
          <w:tcPr>
            <w:tcW w:w="1720" w:type="dxa"/>
            <w:vAlign w:val="bottom"/>
          </w:tcPr>
          <w:p>
            <w:pPr>
              <w:spacing w:after="0"/>
              <w:rPr>
                <w:sz w:val="24"/>
                <w:szCs w:val="2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6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7"/>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30.3</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 for uncollectible</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accounts of $16.4 in 1999 and $6.3 in 1998</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201.4</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146.6</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313.2</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177.7</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29.3</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67.5</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720"/>
              <w:spacing w:after="0"/>
              <w:rPr>
                <w:sz w:val="20"/>
                <w:szCs w:val="20"/>
                <w:color w:val="auto"/>
              </w:rPr>
            </w:pPr>
            <w:r>
              <w:rPr>
                <w:rFonts w:ascii="Courier New" w:cs="Courier New" w:eastAsia="Courier New" w:hAnsi="Courier New"/>
                <w:sz w:val="15"/>
                <w:szCs w:val="15"/>
                <w:color w:val="auto"/>
              </w:rPr>
              <w:t>Total current assets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641.7</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367.2</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259.4</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197.0</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794.1</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435.1</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74.4</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1,769.6</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1,035.2</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56.4</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133.5</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157.7</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124.9</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19.3</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366.9</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231.9</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893.6</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359.2</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65.8</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1,326.3</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631.3</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Class A Convertible Preferred Stock, no par value</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173.9</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177.3</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 $.01 stated</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value per share, 21.3 shares issued in 1999,</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21.1 shares issued in 1998</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213.9</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208.9</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130.1</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2.9 shares in 1999 and 2.8 shares in</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1998, at cost</w:t>
            </w:r>
          </w:p>
        </w:tc>
        <w:tc>
          <w:tcPr>
            <w:tcW w:w="17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r>
      <w:tr>
        <w:trPr>
          <w:trHeight w:val="173"/>
        </w:trPr>
        <w:tc>
          <w:tcPr>
            <w:tcW w:w="64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17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540"/>
              <w:spacing w:after="0"/>
              <w:rPr>
                <w:sz w:val="20"/>
                <w:szCs w:val="20"/>
                <w:color w:val="auto"/>
              </w:rPr>
            </w:pPr>
            <w:r>
              <w:rPr>
                <w:rFonts w:ascii="Courier New" w:cs="Courier New" w:eastAsia="Courier New" w:hAnsi="Courier New"/>
                <w:sz w:val="15"/>
                <w:szCs w:val="15"/>
                <w:color w:val="auto"/>
              </w:rPr>
              <w:t>Total shareholders' equity</w:t>
            </w:r>
          </w:p>
        </w:tc>
        <w:tc>
          <w:tcPr>
            <w:tcW w:w="172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443.3</w:t>
            </w:r>
          </w:p>
        </w:tc>
        <w:tc>
          <w:tcPr>
            <w:tcW w:w="5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403.9</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1,769.6</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1,035.2</w:t>
            </w:r>
          </w:p>
        </w:tc>
      </w:tr>
      <w:tr>
        <w:trPr>
          <w:trHeight w:val="173"/>
        </w:trPr>
        <w:tc>
          <w:tcPr>
            <w:tcW w:w="6480" w:type="dxa"/>
            <w:vAlign w:val="bottom"/>
          </w:tcPr>
          <w:p>
            <w:pPr>
              <w:spacing w:after="0"/>
              <w:rPr>
                <w:sz w:val="15"/>
                <w:szCs w:val="15"/>
                <w:color w:val="auto"/>
              </w:rPr>
            </w:pPr>
          </w:p>
        </w:tc>
        <w:tc>
          <w:tcPr>
            <w:tcW w:w="28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720"/>
          </w:cols>
          <w:pgMar w:left="240" w:top="291" w:right="939"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248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CLASS A CONVERTIBLE</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CAPITAL IN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SEPTEMBER 30, 1999, 1998 AND</w:t>
            </w:r>
          </w:p>
        </w:tc>
        <w:tc>
          <w:tcPr>
            <w:tcW w:w="248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PREFERRED STOCK</w:t>
            </w:r>
          </w:p>
        </w:tc>
        <w:tc>
          <w:tcPr>
            <w:tcW w:w="2540" w:type="dxa"/>
            <w:vAlign w:val="bottom"/>
            <w:gridSpan w:val="3"/>
          </w:tcPr>
          <w:p>
            <w:pPr>
              <w:jc w:val="right"/>
              <w:ind w:right="525"/>
              <w:spacing w:after="0"/>
              <w:rPr>
                <w:sz w:val="20"/>
                <w:szCs w:val="20"/>
                <w:color w:val="auto"/>
              </w:rPr>
            </w:pPr>
            <w:r>
              <w:rPr>
                <w:rFonts w:ascii="Courier New" w:cs="Courier New" w:eastAsia="Courier New" w:hAnsi="Courier New"/>
                <w:sz w:val="15"/>
                <w:szCs w:val="15"/>
                <w:color w:val="auto"/>
              </w:rPr>
              <w:t>COMMON SHARES</w:t>
            </w:r>
          </w:p>
        </w:tc>
        <w:tc>
          <w:tcPr>
            <w:tcW w:w="4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EXCESS OF</w:t>
            </w:r>
          </w:p>
        </w:tc>
        <w:tc>
          <w:tcPr>
            <w:tcW w:w="12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RETAINED</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1997 (IN MILLIONS)</w:t>
            </w: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AMOUNT</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PAR VALUE</w:t>
            </w:r>
          </w:p>
        </w:tc>
        <w:tc>
          <w:tcPr>
            <w:tcW w:w="12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EARNINGS</w:t>
            </w:r>
          </w:p>
        </w:tc>
      </w:tr>
      <w:tr>
        <w:trPr>
          <w:trHeight w:val="347"/>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177.3</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207.6</w:t>
            </w: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September 30, 1997</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177.3</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207.8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177.3</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208.9</w:t>
            </w:r>
          </w:p>
        </w:tc>
        <w:tc>
          <w:tcPr>
            <w:tcW w:w="6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76.6</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3"/>
        </w:trPr>
        <w:tc>
          <w:tcPr>
            <w:tcW w:w="3860" w:type="dxa"/>
            <w:vAlign w:val="bottom"/>
          </w:tcPr>
          <w:p>
            <w:pPr>
              <w:spacing w:after="0"/>
              <w:rPr>
                <w:sz w:val="15"/>
                <w:szCs w:val="15"/>
                <w:color w:val="auto"/>
              </w:rPr>
            </w:pPr>
          </w:p>
        </w:tc>
        <w:tc>
          <w:tcPr>
            <w:tcW w:w="9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173.9</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213.9</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130.1</w:t>
            </w:r>
          </w:p>
        </w:tc>
      </w:tr>
      <w:tr>
        <w:trPr>
          <w:trHeight w:val="173"/>
        </w:trPr>
        <w:tc>
          <w:tcPr>
            <w:tcW w:w="48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SEPTEMBER 30, 1999, 1998 AND</w:t>
            </w:r>
          </w:p>
        </w:tc>
        <w:tc>
          <w:tcPr>
            <w:tcW w:w="2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TREASURY STOCK</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1997 (IN MILLIONS)</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AMOUNT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September 30, 1997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(61.9)</w:t>
            </w:r>
          </w:p>
        </w:tc>
      </w:tr>
      <w:tr>
        <w:trPr>
          <w:trHeight w:val="173"/>
        </w:trPr>
        <w:tc>
          <w:tcPr>
            <w:tcW w:w="4140" w:type="dxa"/>
            <w:vAlign w:val="bottom"/>
          </w:tcPr>
          <w:p>
            <w:pPr>
              <w:spacing w:after="0"/>
              <w:rPr>
                <w:sz w:val="15"/>
                <w:szCs w:val="15"/>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4140" w:type="dxa"/>
            <w:vAlign w:val="bottom"/>
          </w:tcPr>
          <w:p>
            <w:pPr>
              <w:ind w:left="3500"/>
              <w:spacing w:after="0"/>
              <w:rPr>
                <w:sz w:val="20"/>
                <w:szCs w:val="20"/>
                <w:color w:val="auto"/>
              </w:rPr>
            </w:pPr>
            <w:r>
              <w:rPr>
                <w:rFonts w:ascii="Courier New" w:cs="Courier New" w:eastAsia="Courier New" w:hAnsi="Courier New"/>
                <w:sz w:val="15"/>
                <w:szCs w:val="15"/>
                <w:color w:val="auto"/>
              </w:rPr>
              <w:t>73</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30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ACCUMULATED OTHER</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00" w:type="dxa"/>
            <w:vAlign w:val="bottom"/>
            <w:gridSpan w:val="4"/>
          </w:tcPr>
          <w:p>
            <w:pPr>
              <w:jc w:val="right"/>
              <w:ind w:right="705"/>
              <w:spacing w:after="0"/>
              <w:rPr>
                <w:sz w:val="20"/>
                <w:szCs w:val="20"/>
                <w:color w:val="auto"/>
              </w:rPr>
            </w:pPr>
            <w:r>
              <w:rPr>
                <w:rFonts w:ascii="Courier New" w:cs="Courier New" w:eastAsia="Courier New" w:hAnsi="Courier New"/>
                <w:sz w:val="15"/>
                <w:szCs w:val="15"/>
                <w:color w:val="auto"/>
              </w:rPr>
              <w:t>COMPREHENSIVE INCOME</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 THE FISCAL YEARS ENDED</w:t>
            </w: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MINIMUM PENSION</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FOREIGN</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SEPTEMBER 30, 1999, 1998 AND</w:t>
            </w:r>
          </w:p>
        </w:tc>
        <w:tc>
          <w:tcPr>
            <w:tcW w:w="116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LIABILITY</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CURRENCY</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1997 (IN MILLIONS)</w:t>
            </w:r>
          </w:p>
        </w:tc>
        <w:tc>
          <w:tcPr>
            <w:tcW w:w="116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ADJUSTMENT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TRANSLATION</w:t>
            </w:r>
          </w:p>
        </w:tc>
        <w:tc>
          <w:tcPr>
            <w:tcW w:w="5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1160" w:type="dxa"/>
            <w:vAlign w:val="bottom"/>
          </w:tcPr>
          <w:p>
            <w:pPr>
              <w:ind w:left="10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2.2</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September 30, 1997</w:t>
            </w:r>
          </w:p>
        </w:tc>
        <w:tc>
          <w:tcPr>
            <w:tcW w:w="1160" w:type="dxa"/>
            <w:vAlign w:val="bottom"/>
          </w:tcPr>
          <w:p>
            <w:pPr>
              <w:ind w:left="10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w:t>
            </w:r>
          </w:p>
        </w:tc>
        <w:tc>
          <w:tcPr>
            <w:tcW w:w="50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389.2</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1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4780" w:type="dxa"/>
            <w:vAlign w:val="bottom"/>
          </w:tcPr>
          <w:p>
            <w:pPr>
              <w:spacing w:after="0"/>
              <w:rPr>
                <w:sz w:val="15"/>
                <w:szCs w:val="15"/>
                <w:color w:val="auto"/>
              </w:rPr>
            </w:pPr>
          </w:p>
        </w:tc>
        <w:tc>
          <w:tcPr>
            <w:tcW w:w="242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160" w:type="dxa"/>
            <w:vAlign w:val="bottom"/>
          </w:tcPr>
          <w:p>
            <w:pPr>
              <w:ind w:left="10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50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403.9</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(5.7)</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1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 treasury</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Conversion of Preferred Stock</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160" w:type="dxa"/>
            <w:vAlign w:val="bottom"/>
          </w:tcPr>
          <w:p>
            <w:pPr>
              <w:ind w:left="10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(8.7)</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443.3</w:t>
            </w:r>
          </w:p>
        </w:tc>
      </w:tr>
      <w:tr>
        <w:trPr>
          <w:trHeight w:val="173"/>
        </w:trPr>
        <w:tc>
          <w:tcPr>
            <w:tcW w:w="4780" w:type="dxa"/>
            <w:vAlign w:val="bottom"/>
          </w:tcPr>
          <w:p>
            <w:pPr>
              <w:spacing w:after="0"/>
              <w:rPr>
                <w:sz w:val="15"/>
                <w:szCs w:val="15"/>
                <w:color w:val="auto"/>
              </w:rPr>
            </w:pPr>
          </w:p>
        </w:tc>
        <w:tc>
          <w:tcPr>
            <w:tcW w:w="2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54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08" w:right="3780" w:hanging="808"/>
        <w:spacing w:after="0" w:line="243"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tax benefits of $2.9 million and $0.1 million for fiscal 1999 and 1998, respectively.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728"/>
          </w:cols>
          <w:pgMar w:left="232" w:top="291" w:right="939"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(collectively, the "Company"). All material intercompany transactions have been eliminated.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in writing ownership of the goods. Provisions for estimated returns and allowances are recorded at the time of shipment based on historical rates of return as a percentage of sales.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1999, 1998 and 1997 was $21.7 million, $14.8 million and $10.0 million,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promotions costs, except for production costs, are expensed within the fiscal year in which such costs are incurred. Production costs for advertising programs are deferred until the period in which the advertising is first aired.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9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76</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Although these estimates are based on management's best knowledge of current events and actions which the Company may undertake in the future, actual results ultimately may differ from the estimates.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however, certain growing media inventories are accounted for by the LIFO method. At September 30, 1999 and 1998, approximately 8% and 12% of inventories, respectively, are valued at the lower of LIFO cost or market. Inventories include the cost of raw materials, labor and manufacturing overhead. The Company makes provisions for obsolete or slow-moving inventories as necessary to properly reflect inventory value.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720" w:type="dxa"/>
            <w:vAlign w:val="bottom"/>
          </w:tcPr>
          <w:p>
            <w:pPr>
              <w:ind w:left="1280"/>
              <w:spacing w:after="0"/>
              <w:rPr>
                <w:sz w:val="20"/>
                <w:szCs w:val="20"/>
                <w:color w:val="auto"/>
              </w:rPr>
            </w:pPr>
            <w:r>
              <w:rPr>
                <w:rFonts w:ascii="Courier New" w:cs="Courier New" w:eastAsia="Courier New" w:hAnsi="Courier New"/>
                <w:sz w:val="15"/>
                <w:szCs w:val="15"/>
                <w:color w:val="auto"/>
                <w:w w:val="93"/>
              </w:rPr>
              <w:t>10-25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720" w:type="dxa"/>
            <w:vAlign w:val="bottom"/>
          </w:tcPr>
          <w:p>
            <w:pPr>
              <w:ind w:left="1280"/>
              <w:spacing w:after="0"/>
              <w:rPr>
                <w:sz w:val="20"/>
                <w:szCs w:val="20"/>
                <w:color w:val="auto"/>
              </w:rPr>
            </w:pPr>
            <w:r>
              <w:rPr>
                <w:rFonts w:ascii="Courier New" w:cs="Courier New" w:eastAsia="Courier New" w:hAnsi="Courier New"/>
                <w:sz w:val="15"/>
                <w:szCs w:val="15"/>
                <w:color w:val="auto"/>
                <w:w w:val="93"/>
              </w:rPr>
              <w:t>10-40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720" w:type="dxa"/>
            <w:vAlign w:val="bottom"/>
          </w:tcPr>
          <w:p>
            <w:pPr>
              <w:ind w:left="1280"/>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720" w:type="dxa"/>
            <w:vAlign w:val="bottom"/>
          </w:tcPr>
          <w:p>
            <w:pPr>
              <w:ind w:left="1280"/>
              <w:spacing w:after="0"/>
              <w:rPr>
                <w:sz w:val="20"/>
                <w:szCs w:val="20"/>
                <w:color w:val="auto"/>
              </w:rPr>
            </w:pPr>
            <w:r>
              <w:rPr>
                <w:rFonts w:ascii="Courier New" w:cs="Courier New" w:eastAsia="Courier New" w:hAnsi="Courier New"/>
                <w:sz w:val="15"/>
                <w:szCs w:val="15"/>
                <w:color w:val="auto"/>
              </w:rPr>
              <w:t>6-10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26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3-8 years</w:t>
            </w:r>
          </w:p>
        </w:tc>
      </w:tr>
    </w:tbl>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Interest is capitalized on all significant capital projects. The Company capitalized $1.8 million and $0.8 million of interest costs during fiscal 1999 and 1998, respectively.</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Goodwill arising from business acquisitions is amortized over its useful life, which is generally 40 years, on a straight-line basis. Intangible assets include patents and trademarks which are valued at acquisition through independent appraisals. Debt issuance costs are being amortized over the terms of the various agreements. Patents and trademarks are being amortized on a straight-line basis over periods varying from 7 to 40 years. Accumulated amortization at September 30, 1999 and 1998 was $96.2 million and $71.7 million, respectively.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July of fiscal 1998, the Company announced an initiative designed to enhance its information system resources. The project includes re-design of certain key business processes and the installation of new software on a world-wide basis over the next several years. SAP has been chosen as the primary software provider for this project. The Company is accounting for the costs of the project in accordance with Statement of Position 98-1, "Accounting for the Costs of Computer Software Developed or Obtained for Internal Use". Accordingly, costs other than reengineering are expensed or capitalized depending on whether they are incurred in the preliminary project stage, application development stage, or the post-implementation/operation stage. All reengineering costs are expensed as incurred.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BARTER CREDITS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occasionally exchanged excess or obsolete inventory for barter credits from an inventory broker. The barter credits would be recorded as an asset at the net book value of the inventory exchanged which would typically be less than the face value of the credits. The broker credits could be used in exchange for a variety of services, including advertising, telephone and freight. When a barter credit was utilized for face value, the charge for the service received would be recorded as the amount of cash paid plus the book value of the barter credits exchanged.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September 30, 1999, the Company had available barter credits with a face value of $2.3 million and with no carrying value on the Company's balance sheet. To the extent that the Company is able to utilize these barter credits in the future, the cost of the service received will be reduced by the face value of the barter credits exchanged.</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1999 classifications.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DETAIL OF CERTAIN FINANCIAL STATEMENT ACCOUNTS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1680" w:type="dxa"/>
            <w:vAlign w:val="bottom"/>
          </w:tcPr>
          <w:p>
            <w:pPr>
              <w:spacing w:after="0"/>
              <w:rPr>
                <w:sz w:val="14"/>
                <w:szCs w:val="14"/>
                <w:color w:val="auto"/>
              </w:rPr>
            </w:pPr>
          </w:p>
        </w:tc>
        <w:tc>
          <w:tcPr>
            <w:tcW w:w="102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4"/>
              </w:rPr>
              <w:t>1999</w:t>
            </w:r>
          </w:p>
        </w:tc>
        <w:tc>
          <w:tcPr>
            <w:tcW w:w="60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spacing w:after="0"/>
              <w:rPr>
                <w:sz w:val="15"/>
                <w:szCs w:val="15"/>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Finished Goods</w:t>
            </w:r>
          </w:p>
        </w:tc>
        <w:tc>
          <w:tcPr>
            <w:tcW w:w="1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206.4</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r>
      <w:tr>
        <w:trPr>
          <w:trHeight w:val="173"/>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Raw Materials</w:t>
            </w:r>
          </w:p>
        </w:tc>
        <w:tc>
          <w:tcPr>
            <w:tcW w:w="16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106.5</w:t>
            </w: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r>
      <w:tr>
        <w:trPr>
          <w:trHeight w:val="173"/>
        </w:trPr>
        <w:tc>
          <w:tcPr>
            <w:tcW w:w="2920" w:type="dxa"/>
            <w:vAlign w:val="bottom"/>
          </w:tcPr>
          <w:p>
            <w:pPr>
              <w:spacing w:after="0"/>
              <w:rPr>
                <w:sz w:val="15"/>
                <w:szCs w:val="15"/>
                <w:color w:val="auto"/>
              </w:rPr>
            </w:pPr>
          </w:p>
        </w:tc>
        <w:tc>
          <w:tcPr>
            <w:tcW w:w="2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FIFO Cost</w:t>
            </w:r>
          </w:p>
        </w:tc>
        <w:tc>
          <w:tcPr>
            <w:tcW w:w="16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312.9</w:t>
            </w: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176.8</w:t>
            </w:r>
          </w:p>
        </w:tc>
      </w:tr>
      <w:tr>
        <w:trPr>
          <w:trHeight w:val="173"/>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LIFO Reserve</w:t>
            </w:r>
          </w:p>
        </w:tc>
        <w:tc>
          <w:tcPr>
            <w:tcW w:w="16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0.3</w:t>
            </w:r>
          </w:p>
        </w:tc>
        <w:tc>
          <w:tcPr>
            <w:tcW w:w="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3"/>
        </w:trPr>
        <w:tc>
          <w:tcPr>
            <w:tcW w:w="2920" w:type="dxa"/>
            <w:vAlign w:val="bottom"/>
          </w:tcPr>
          <w:p>
            <w:pPr>
              <w:spacing w:after="0"/>
              <w:rPr>
                <w:sz w:val="15"/>
                <w:szCs w:val="15"/>
                <w:color w:val="auto"/>
              </w:rPr>
            </w:pPr>
          </w:p>
        </w:tc>
        <w:tc>
          <w:tcPr>
            <w:tcW w:w="2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2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313.2</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177.7</w:t>
            </w:r>
          </w:p>
        </w:tc>
      </w:tr>
      <w:tr>
        <w:trPr>
          <w:trHeight w:val="173"/>
        </w:trPr>
        <w:tc>
          <w:tcPr>
            <w:tcW w:w="2920" w:type="dxa"/>
            <w:vAlign w:val="bottom"/>
          </w:tcPr>
          <w:p>
            <w:pPr>
              <w:spacing w:after="0"/>
              <w:rPr>
                <w:sz w:val="15"/>
                <w:szCs w:val="15"/>
                <w:color w:val="auto"/>
              </w:rPr>
            </w:pPr>
          </w:p>
        </w:tc>
        <w:tc>
          <w:tcPr>
            <w:tcW w:w="2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Inventory balances are shown net of provisions for slow moving and obsolete inventory of $30.5 million and $12.0 million as of September 30, 1999 and 1998, respectively.</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91" w:right="1440"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70"/>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0"/>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24"/>
                <w:szCs w:val="2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Land and improvements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41.4</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41.1</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88.2</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70.9</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213.7</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169.7</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Furniture and fixtures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Software</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32.6</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26.3</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8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(162.6)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(134.2)</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259.4</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197.0</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24"/>
                <w:szCs w:val="2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508.6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268.1</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Trademarks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207.9</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144.0</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77.6</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794.1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435.1</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24"/>
                <w:szCs w:val="2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Payroll and other compensation accruals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Advertising and promotional accruals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56.4</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58.8</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78.0</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157.7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24"/>
                <w:szCs w:val="24"/>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24"/>
                <w:szCs w:val="2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Accrued pension and postretirement liabilities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50.4</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Environmental reserves</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65.8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w:t>
            </w:r>
          </w:p>
        </w:tc>
      </w:tr>
      <w:tr>
        <w:trPr>
          <w:trHeight w:val="173"/>
        </w:trPr>
        <w:tc>
          <w:tcPr>
            <w:tcW w:w="504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AGENCY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Effective September 30, 1998, the Company entered into an agreement with Monsanto Company for exclusive international marketing and agency rights to Monsanto's consumer Roundup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 business. Each year's percentage varies in accordance with the terms of the agreement based on the achievement of two earnings thresholds and commission rates that vary by threshold and program year.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agreement requires the Company to make fixed annual payments to Monsanto as a contribution against the overall expenses of the Roundup business. The annual fixed payment is defined as $20 million, however, portions of the annual payments for the first three years of the agreement are deferred. No payment was required for the first year (fiscal 1999), a payment of $5 million is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will recognize a charge each year associated with the annual contribution payments equal to the required payment for that year. The Company will not recognize a charge for the portions of the contribution payments that are deferred until such time that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amounts are never paid even if the agreement is not terminated prior to 2018 unless significant earnings targets are exceeded.</w:t>
      </w:r>
    </w:p>
    <w:p>
      <w:pPr>
        <w:spacing w:after="0" w:line="180"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w:t>
      </w:r>
    </w:p>
    <w:p>
      <w:pPr>
        <w:sectPr>
          <w:pgSz w:w="11900" w:h="16838" w:orient="portrait"/>
          <w:cols w:equalWidth="0" w:num="1">
            <w:col w:w="10219"/>
          </w:cols>
          <w:pgMar w:left="240" w:top="291" w:right="1440" w:bottom="0" w:gutter="0" w:footer="0" w:header="0"/>
        </w:sectPr>
      </w:pPr>
    </w:p>
    <w:bookmarkStart w:id="78" w:name="page79"/>
    <w:bookmarkEnd w:id="78"/>
    <w:p>
      <w:pPr>
        <w:ind w:right="3019"/>
        <w:spacing w:after="0" w:line="244" w:lineRule="auto"/>
        <w:rPr>
          <w:sz w:val="20"/>
          <w:szCs w:val="20"/>
          <w:color w:val="auto"/>
        </w:rPr>
      </w:pPr>
      <w:r>
        <w:rPr>
          <w:rFonts w:ascii="Courier New" w:cs="Courier New" w:eastAsia="Courier New" w:hAnsi="Courier New"/>
          <w:sz w:val="15"/>
          <w:szCs w:val="15"/>
          <w:color w:val="auto"/>
        </w:rPr>
        <w:t>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5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1999, contribution payments and related per annum charges of approximately $20.7 million had been deferred under the agreement. This amount is considered a contingent obligation and has not been reflected in the financial statements as of and for the year then ended.</w:t>
      </w:r>
    </w:p>
    <w:p>
      <w:pPr>
        <w:spacing w:after="0" w:line="16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141" w:right="1440" w:bottom="1440" w:gutter="0" w:footer="0" w:header="0"/>
        </w:sectPr>
      </w:pPr>
    </w:p>
    <w:bookmarkStart w:id="79" w:name="page80"/>
    <w:bookmarkEnd w:id="79"/>
    <w:p>
      <w:pPr>
        <w:ind w:left="268"/>
        <w:spacing w:after="0"/>
        <w:rPr>
          <w:sz w:val="20"/>
          <w:szCs w:val="20"/>
          <w:color w:val="auto"/>
        </w:rPr>
      </w:pPr>
      <w:r>
        <w:rPr>
          <w:rFonts w:ascii="Courier New" w:cs="Courier New" w:eastAsia="Courier New" w:hAnsi="Courier New"/>
          <w:sz w:val="15"/>
          <w:szCs w:val="15"/>
          <w:color w:val="auto"/>
        </w:rPr>
        <w:t>79</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For countries outside the European Union, the agreement continues indefinitely unless terminated by either party. The agreement provides Monsanto with the right to terminate the agreement for an event of default (as defined in the agreement) by the Company or a change in control of Monsanto or sale of the Roundup business. The agreement provides the Company with the right to terminate the agreement for an event of default by Monsanto or the sale of the Roundup business. Unless Monsanto terminates the agreement for an event of default by the Company or the Company terminates the agreement pursuant to a sale of the Roundup business, Monsanto is required to pay a termination fee to the Company that varies by program year. The termination fee is $150 million for each of the first five program years and declines to a minimum of $16 million for program years 11 through 20.</w:t>
      </w:r>
    </w:p>
    <w:p>
      <w:pPr>
        <w:spacing w:after="0" w:line="182"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the estimated likely term of the agreement.</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fiscal 1999, the Company recognized commission income under the agreement during interim periods based on the estimated percentage of EBIT that would be payable to the Company as commission for the year applied to the actual EBIT for the Roundup business for the interim period. Commission income recorded for the full year is calculated by applying the threshold commission structure for that year to the actual EBIT of Roundup business for the year, net of the annual contribution payment. Upon adoption of SEC Staff Accounting Bulletin No. 101, "Revenue Recognition in Financial Statements", the Company will not recognize commission income until actual Roundup EBIT reaches the first commission threshold for that year. The annual contribution payment is recognized evenly throughout the year. Although the Company is not required to adopt the provisions of SAB 101 until fiscal 2001, it anticipates adopting the requirements of SAB 101 for fiscal 2000.</w:t>
      </w:r>
    </w:p>
    <w:p>
      <w:pPr>
        <w:spacing w:after="0" w:line="35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4. RESTRUCTURING AND OTHER CHARGES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1999 CHARGES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fiscal 1999, the Company recorded $1.4 million of restructuring charges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associated with management's decision to reorganize the North American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Professional Business Group to strengthen distribution and technical sales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support, integrate brand management across market segments and reduce annual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expenses. These charges represent costs to sever approximately 60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in-house sales associates that were terminated in fiscal 1999. Approximately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 million of severance payments were made to these former associates during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fiscal 1999; the remaining $0.3 million is expected to be paid in fiscal 2000.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1998 CHARGES</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During fiscal 1998, the Company recorded $20.4 million of restructuring and other charges, $15.4 million of which is identified separately within operating expenses, $2.9 million of which is included in cost of sales and $2.1 million of which is included in selling, general and administrative expenses. These charges were primarily associated with three restructuring activities: (1) the consolidation of the Company's two U.K. operations into one lower-cost business;</w:t>
      </w:r>
    </w:p>
    <w:p>
      <w:pPr>
        <w:spacing w:after="0" w:line="1" w:lineRule="exact"/>
        <w:rPr>
          <w:sz w:val="20"/>
          <w:szCs w:val="20"/>
          <w:color w:val="auto"/>
        </w:rPr>
      </w:pPr>
    </w:p>
    <w:p>
      <w:pPr>
        <w:ind w:left="8" w:right="3019" w:hanging="8"/>
        <w:spacing w:after="0" w:line="244" w:lineRule="auto"/>
        <w:tabs>
          <w:tab w:leader="none" w:pos="3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closure of nine composting operations in the U.S. that collect yard and compost waste for certain municipalities; and (3) the sale or closure of certain other U.S. plants and businesses. Most of these restructuring efforts were completed during fiscal 1999, except as noted otherwise below.</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27"/>
          </w:cols>
          <w:pgMar w:left="232" w:top="291" w:right="1440" w:bottom="1440" w:gutter="0" w:footer="0" w:header="0"/>
        </w:sectPr>
      </w:pPr>
    </w:p>
    <w:bookmarkStart w:id="80" w:name="page81"/>
    <w:bookmarkEnd w:id="80"/>
    <w:p>
      <w:pPr>
        <w:ind w:left="268"/>
        <w:spacing w:after="0"/>
        <w:rPr>
          <w:sz w:val="20"/>
          <w:szCs w:val="20"/>
          <w:color w:val="auto"/>
        </w:rPr>
      </w:pPr>
      <w:r>
        <w:rPr>
          <w:rFonts w:ascii="Courier New" w:cs="Courier New" w:eastAsia="Courier New" w:hAnsi="Courier New"/>
          <w:sz w:val="15"/>
          <w:szCs w:val="15"/>
          <w:color w:val="auto"/>
        </w:rPr>
        <w:t>80</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 OF UK OPERATIONS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connection with management's decision in the second quarter of fiscal 1998 to consolidate the Company's two U.K. operations (Miracle Garden Care and Levington, into The Scotts Company (UK) Ltd.), the Company recorded charges of $6.0 million which consisted of:</w:t>
      </w:r>
    </w:p>
    <w:p>
      <w:pPr>
        <w:spacing w:after="0" w:line="176" w:lineRule="exact"/>
        <w:rPr>
          <w:sz w:val="20"/>
          <w:szCs w:val="20"/>
          <w:color w:val="auto"/>
        </w:rPr>
      </w:pPr>
    </w:p>
    <w:p>
      <w:pPr>
        <w:ind w:left="908" w:right="3019" w:hanging="908"/>
        <w:spacing w:after="0" w:line="244" w:lineRule="auto"/>
        <w:tabs>
          <w:tab w:leader="none" w:pos="9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 million to write-off the remaining carrying value of certain property and equipment. In connection with the integration of the U.K. businesses, management elected to move certain production lines from a Miracle Garden care facility in Howden to the newly acquired Levington facility in Bramford. As a result, certain production equipment at the Howden facility will no longer be utilized. In addition, certain computer hardware and software equipment previously used by the Miracle Garden Care business will no longer be utilized as a result of electing to use acquired information systems of the Levington business. The Company ceased utilization of the production and computer equipment in the fourth quarter of fiscal 1998. The assets written-off had nominal value and were scrapped or abandoned.</w:t>
      </w:r>
    </w:p>
    <w:p>
      <w:pPr>
        <w:spacing w:after="0" w:line="354" w:lineRule="exact"/>
        <w:rPr>
          <w:rFonts w:ascii="Courier New" w:cs="Courier New" w:eastAsia="Courier New" w:hAnsi="Courier New"/>
          <w:sz w:val="15"/>
          <w:szCs w:val="15"/>
          <w:color w:val="auto"/>
        </w:rPr>
      </w:pPr>
    </w:p>
    <w:p>
      <w:pPr>
        <w:ind w:left="908" w:right="3099" w:hanging="908"/>
        <w:spacing w:after="0" w:line="244" w:lineRule="auto"/>
        <w:tabs>
          <w:tab w:leader="none" w:pos="9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million to relaunch products under a single, integrated branding strategy and $0.8 million to write-off packaging materials rendered obsolete as a result of new packaging design. The charges associated with the relaunch were expensed as incurred in fiscal 1998. Cash outflow associated with the relaunch was complete in early fiscal 1999.</w:t>
      </w:r>
    </w:p>
    <w:p>
      <w:pPr>
        <w:spacing w:after="0" w:line="350" w:lineRule="exact"/>
        <w:rPr>
          <w:rFonts w:ascii="Courier New" w:cs="Courier New" w:eastAsia="Courier New" w:hAnsi="Courier New"/>
          <w:sz w:val="15"/>
          <w:szCs w:val="15"/>
          <w:color w:val="auto"/>
        </w:rPr>
      </w:pPr>
    </w:p>
    <w:p>
      <w:pPr>
        <w:ind w:left="908" w:right="3019" w:hanging="908"/>
        <w:spacing w:after="0" w:line="244" w:lineRule="auto"/>
        <w:tabs>
          <w:tab w:leader="none" w:pos="9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million of severance costs associated with the termination of 25 employees of the Company's Miracle Garden Care operation that were made redundant by the integration of the two U.K. businesses. As of September 30, 1998, six employees had been terminated. The remaining employees were terminated in fiscal 1999. All severance costs accrued at September 30, 1998 have been paid (except for an adjustment of $0.3 million for overaccrual).</w:t>
      </w:r>
    </w:p>
    <w:p>
      <w:pPr>
        <w:spacing w:after="0" w:line="351" w:lineRule="exact"/>
        <w:rPr>
          <w:rFonts w:ascii="Courier New" w:cs="Courier New" w:eastAsia="Courier New" w:hAnsi="Courier New"/>
          <w:sz w:val="15"/>
          <w:szCs w:val="15"/>
          <w:color w:val="auto"/>
        </w:rPr>
      </w:pPr>
    </w:p>
    <w:p>
      <w:pPr>
        <w:ind w:left="908" w:right="3099" w:hanging="908"/>
        <w:spacing w:after="0" w:line="244" w:lineRule="auto"/>
        <w:tabs>
          <w:tab w:leader="none" w:pos="9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to write-off inventory rendered obsolete by integration activities. The Company determined that certain SKU's of the combined product lines would not be sold under the Company's branding, marketing and selling strategies. The carrying value of the obsolete inventory was subsequently written-off and the inventory was disposed of in late fiscal 1998 and early fiscal 1999.</w:t>
      </w:r>
    </w:p>
    <w:p>
      <w:pPr>
        <w:spacing w:after="0" w:line="177" w:lineRule="exact"/>
        <w:rPr>
          <w:rFonts w:ascii="Courier New" w:cs="Courier New" w:eastAsia="Courier New" w:hAnsi="Courier New"/>
          <w:sz w:val="15"/>
          <w:szCs w:val="15"/>
          <w:color w:val="auto"/>
        </w:rPr>
      </w:pPr>
    </w:p>
    <w:p>
      <w:pPr>
        <w:ind w:left="808" w:right="3199" w:hanging="808"/>
        <w:spacing w:after="0" w:line="244" w:lineRule="auto"/>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 million for costs which were expensed as incurred in fiscal 1998 for other integration-related activities. The components of the other integration costs include studies performed on combined logistics and manufacturing processes, costs to integrate the combined information technology of the businesses and legal costs associated with the integration of the two previously separate entities.</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CLOSURE OF COMPOST SITES</w:t>
      </w:r>
    </w:p>
    <w:p>
      <w:pPr>
        <w:spacing w:after="0" w:line="178"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In connection with management's decision in the fourth quarter of fiscal 1998 to close nine composting sites, the Company recorded charges of $9.3 million which consisted of:</w:t>
      </w:r>
    </w:p>
    <w:p>
      <w:pPr>
        <w:spacing w:after="0" w:line="175" w:lineRule="exact"/>
        <w:rPr>
          <w:sz w:val="20"/>
          <w:szCs w:val="20"/>
          <w:color w:val="auto"/>
        </w:rPr>
      </w:pPr>
    </w:p>
    <w:p>
      <w:pPr>
        <w:ind w:left="808" w:right="3019" w:hanging="808"/>
        <w:spacing w:after="0" w:line="244" w:lineRule="auto"/>
        <w:tabs>
          <w:tab w:leader="none" w:pos="8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for costs to be incurred under contractual commitments for which no future revenues will be realized. These costs are associated with the final processing of remaining compost materials, as required, through the end of the operating contract with the applicable municipality but after the time when revenue-producing activities cease. Six of the composting sites have operating contracts that ended in fiscal 1999 for which $2.9 million was accrued; the operating contracts for the three remaining sites will expire in fiscal 2000 for which $1.6 million was accrued.</w:t>
      </w:r>
    </w:p>
    <w:p>
      <w:pPr>
        <w:spacing w:after="0" w:line="352" w:lineRule="exact"/>
        <w:rPr>
          <w:rFonts w:ascii="Courier New" w:cs="Courier New" w:eastAsia="Courier New" w:hAnsi="Courier New"/>
          <w:sz w:val="15"/>
          <w:szCs w:val="15"/>
          <w:color w:val="auto"/>
        </w:rPr>
      </w:pPr>
    </w:p>
    <w:p>
      <w:pPr>
        <w:ind w:left="908" w:right="3199" w:hanging="908"/>
        <w:spacing w:after="0" w:line="244" w:lineRule="auto"/>
        <w:tabs>
          <w:tab w:leader="none" w:pos="9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to write-down to estimated fair value certain machinery and equipment at the compost facilities scheduled for closure. In accordance with FAS 121, the Company concluded that the carrying amount of these assets would not be recovered through future anticipated cash flows. Given the impairment, a charge was recorded equal to the difference between the estimated carrying</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7"/>
          </w:cols>
          <w:pgMar w:left="232" w:top="291" w:right="1440" w:bottom="1440" w:gutter="0" w:footer="0" w:header="0"/>
          <w:type w:val="continuous"/>
        </w:sectPr>
      </w:pPr>
    </w:p>
    <w:bookmarkStart w:id="81" w:name="page82"/>
    <w:bookmarkEnd w:id="81"/>
    <w:p>
      <w:pPr>
        <w:ind w:left="268"/>
        <w:spacing w:after="0"/>
        <w:rPr>
          <w:sz w:val="20"/>
          <w:szCs w:val="20"/>
          <w:color w:val="auto"/>
        </w:rPr>
      </w:pPr>
      <w:r>
        <w:rPr>
          <w:rFonts w:ascii="Courier New" w:cs="Courier New" w:eastAsia="Courier New" w:hAnsi="Courier New"/>
          <w:sz w:val="15"/>
          <w:szCs w:val="15"/>
          <w:color w:val="auto"/>
        </w:rPr>
        <w:t>81</w:t>
      </w:r>
    </w:p>
    <w:p>
      <w:pPr>
        <w:spacing w:after="0" w:line="351" w:lineRule="exact"/>
        <w:rPr>
          <w:sz w:val="20"/>
          <w:szCs w:val="20"/>
          <w:color w:val="auto"/>
        </w:rPr>
      </w:pPr>
    </w:p>
    <w:p>
      <w:pPr>
        <w:ind w:left="908" w:right="3019"/>
        <w:spacing w:after="0" w:line="244" w:lineRule="auto"/>
        <w:rPr>
          <w:sz w:val="20"/>
          <w:szCs w:val="20"/>
          <w:color w:val="auto"/>
        </w:rPr>
      </w:pPr>
      <w:r>
        <w:rPr>
          <w:rFonts w:ascii="Courier New" w:cs="Courier New" w:eastAsia="Courier New" w:hAnsi="Courier New"/>
          <w:sz w:val="15"/>
          <w:szCs w:val="15"/>
          <w:color w:val="auto"/>
        </w:rPr>
        <w:t>value of the asset at the end of the revenue producing period and the estimate of the fair value of the asset. In most cases, the fair value of the asset was determined to be zero as these assets were scheduled to be abandoned or scrapped. Depreciation will continue to be recognized during revenue-producing periods.</w:t>
      </w:r>
    </w:p>
    <w:p>
      <w:pPr>
        <w:spacing w:after="0" w:line="350" w:lineRule="exact"/>
        <w:rPr>
          <w:sz w:val="20"/>
          <w:szCs w:val="20"/>
          <w:color w:val="auto"/>
        </w:rPr>
      </w:pPr>
    </w:p>
    <w:p>
      <w:pPr>
        <w:ind w:left="908" w:right="3019" w:hanging="908"/>
        <w:spacing w:after="0" w:line="244" w:lineRule="auto"/>
        <w:tabs>
          <w:tab w:leader="none" w:pos="9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million to write-off inventory which must be disposed of as a result of closing the various composting sites. Such inventory must be removed from the applicable sites and has only nominal value.</w:t>
      </w:r>
    </w:p>
    <w:p>
      <w:pPr>
        <w:spacing w:after="0" w:line="175" w:lineRule="exact"/>
        <w:rPr>
          <w:rFonts w:ascii="Courier New" w:cs="Courier New" w:eastAsia="Courier New" w:hAnsi="Courier New"/>
          <w:sz w:val="15"/>
          <w:szCs w:val="15"/>
          <w:color w:val="auto"/>
        </w:rPr>
      </w:pPr>
    </w:p>
    <w:p>
      <w:pPr>
        <w:ind w:left="908" w:right="3199" w:hanging="908"/>
        <w:spacing w:after="0" w:line="278" w:lineRule="auto"/>
        <w:tabs>
          <w:tab w:leader="none" w:pos="90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for remaining lease obligations after revenue-producing activities cease on certain machinery and equipment at the sites.</w:t>
      </w:r>
    </w:p>
    <w:p>
      <w:pPr>
        <w:spacing w:after="0" w:line="32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composting facilities being closed as part of these restructuring initiatives recorded losses included in the Company's consolidated results of operations of approximately $1.0, $3.0 and $2.0 for the fiscal years ended September 30, 1999, 1998 and 1997, respectively.</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 AND CLOSURE OF CERTAIN U.S. PLANTS AND BUSINESSES:</w:t>
      </w:r>
    </w:p>
    <w:p>
      <w:pPr>
        <w:spacing w:after="0" w:line="4"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charge for sale or closure of certain other U.S. plants or businesses was $5.1 million and consisted of:</w:t>
      </w:r>
    </w:p>
    <w:p>
      <w:pPr>
        <w:spacing w:after="0" w:line="349" w:lineRule="exact"/>
        <w:rPr>
          <w:sz w:val="20"/>
          <w:szCs w:val="20"/>
          <w:color w:val="auto"/>
        </w:rPr>
      </w:pPr>
    </w:p>
    <w:p>
      <w:pPr>
        <w:ind w:left="908" w:right="3019" w:hanging="908"/>
        <w:spacing w:after="0" w:line="244"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to write-down to net realizable value the assets associated with the Company's AgrEvo pesticides business. The Company elected to divest these assets in order to avoid potential trade conflicts associated with the Company's purchase of the Ortho business and the signing of the Roundup(R) marketing agreement. The charge was calculated as the difference between the Company's estimate of the proceeds to be received upon sale of the business, less the carrying value of the assets as of September 30, 1998. The business was subsequently sold in February 1999 and no material differences were experienced between actual selling proceeds and those used to determine the fiscal 1998 charge. The AgrEvo business incurred an operating loss of $0.8 million in fiscal 1998 and $0.5 million in fiscal 1999. The Company does not expect any future benefits to be gained from the sale of the AgrEvo business other than foregoing the operating losses incurred by this business during the Company's time of ownership.</w:t>
      </w:r>
    </w:p>
    <w:p>
      <w:pPr>
        <w:spacing w:after="0" w:line="183" w:lineRule="exact"/>
        <w:rPr>
          <w:rFonts w:ascii="Courier New" w:cs="Courier New" w:eastAsia="Courier New" w:hAnsi="Courier New"/>
          <w:sz w:val="15"/>
          <w:szCs w:val="15"/>
          <w:color w:val="auto"/>
        </w:rPr>
      </w:pPr>
    </w:p>
    <w:p>
      <w:pPr>
        <w:ind w:left="908" w:right="3019" w:hanging="908"/>
        <w:spacing w:after="0" w:line="244"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 million to write-off and close a single growing media production facility in New York that was deemed to be redundant after the purchase of the Earthgro business in February 1998. The closure of this facility was completed in September 1998. The charge taken was equivalent to the carrying value of the assets which were abandoned or scrapped.</w:t>
      </w: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7"/>
          </w:cols>
          <w:pgMar w:left="232" w:top="291" w:right="1440" w:bottom="1440" w:gutter="0" w:footer="0" w:header="0"/>
        </w:sectPr>
      </w:pPr>
    </w:p>
    <w:bookmarkStart w:id="82" w:name="page83"/>
    <w:bookmarkEnd w:id="82"/>
    <w:p>
      <w:pPr>
        <w:ind w:left="268"/>
        <w:spacing w:after="0"/>
        <w:rPr>
          <w:sz w:val="20"/>
          <w:szCs w:val="20"/>
          <w:color w:val="auto"/>
        </w:rPr>
      </w:pPr>
      <w:r>
        <w:rPr>
          <w:rFonts w:ascii="Courier New" w:cs="Courier New" w:eastAsia="Courier New" w:hAnsi="Courier New"/>
          <w:sz w:val="15"/>
          <w:szCs w:val="15"/>
          <w:color w:val="auto"/>
        </w:rPr>
        <w:t>82</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IS A ROLLFORWARD OF THE COMPANY'S 1998 RESTRUCTURING CHARGES: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FISCAL 1998 ACTIVITY</w:t>
            </w:r>
          </w:p>
        </w:tc>
        <w:tc>
          <w:tcPr>
            <w:tcW w:w="2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FISCAL 1999 ACTIVITY</w:t>
            </w:r>
          </w:p>
        </w:tc>
        <w:tc>
          <w:tcPr>
            <w:tcW w:w="580" w:type="dxa"/>
            <w:vAlign w:val="bottom"/>
          </w:tcPr>
          <w:p>
            <w:pPr>
              <w:spacing w:after="0"/>
              <w:rPr>
                <w:sz w:val="14"/>
                <w:szCs w:val="14"/>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TYPE</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CLASSIFICATION</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CHARGE</w:t>
            </w:r>
          </w:p>
        </w:tc>
        <w:tc>
          <w:tcPr>
            <w:tcW w:w="3740" w:type="dxa"/>
            <w:vAlign w:val="bottom"/>
            <w:gridSpan w:val="4"/>
          </w:tcPr>
          <w:p>
            <w:pPr>
              <w:jc w:val="right"/>
              <w:ind w:right="225"/>
              <w:spacing w:after="0"/>
              <w:rPr>
                <w:sz w:val="20"/>
                <w:szCs w:val="20"/>
                <w:color w:val="auto"/>
              </w:rPr>
            </w:pPr>
            <w:r>
              <w:rPr>
                <w:rFonts w:ascii="Courier New" w:cs="Courier New" w:eastAsia="Courier New" w:hAnsi="Courier New"/>
                <w:sz w:val="15"/>
                <w:szCs w:val="15"/>
                <w:color w:val="auto"/>
              </w:rPr>
              <w:t>PAYMENTS BALANCE PAYMENTS ADJUSTMENTS</w:t>
            </w: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740" w:type="dxa"/>
            <w:vAlign w:val="bottom"/>
            <w:gridSpan w:val="4"/>
          </w:tcPr>
          <w:p>
            <w:pPr>
              <w:jc w:val="right"/>
              <w:ind w:right="225"/>
              <w:spacing w:after="0"/>
              <w:rPr>
                <w:sz w:val="20"/>
                <w:szCs w:val="20"/>
                <w:color w:val="auto"/>
              </w:rPr>
            </w:pPr>
            <w:r>
              <w:rPr>
                <w:rFonts w:ascii="Courier New" w:cs="Courier New" w:eastAsia="Courier New" w:hAnsi="Courier New"/>
                <w:sz w:val="15"/>
                <w:szCs w:val="15"/>
                <w:color w:val="auto"/>
              </w:rPr>
              <w:t>-------- ------- -------- -----------</w:t>
            </w: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BALANCE</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47"/>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Consolidation of UK operations</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demolition</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Product relaunch costs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SG&amp;A</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Severance costs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(0.3)</w:t>
            </w: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Other integration costs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SG&amp;A</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(0.4)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Obsolete packaging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Cost of sales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Other inventory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Cost of sales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Closure of compost sites</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Costs under contractual commitments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Lease obligations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Inventory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Cost of sales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businesses/plants</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Sale of Agrevo business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Inventory write-offs</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Non-cash</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Cost of sales</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3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$ 5.1</w:t>
            </w: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351" w:lineRule="exact"/>
        <w:rPr>
          <w:sz w:val="20"/>
          <w:szCs w:val="20"/>
          <w:color w:val="auto"/>
        </w:rPr>
      </w:pPr>
    </w:p>
    <w:p>
      <w:pPr>
        <w:ind w:left="8" w:right="4400"/>
        <w:spacing w:after="0" w:line="244" w:lineRule="auto"/>
        <w:rPr>
          <w:sz w:val="20"/>
          <w:szCs w:val="20"/>
          <w:color w:val="auto"/>
        </w:rPr>
      </w:pPr>
      <w:r>
        <w:rPr>
          <w:rFonts w:ascii="Courier New" w:cs="Courier New" w:eastAsia="Courier New" w:hAnsi="Courier New"/>
          <w:sz w:val="15"/>
          <w:szCs w:val="15"/>
          <w:color w:val="auto"/>
        </w:rPr>
        <w:t>During fiscal 1999, the restructuring reserve established to integrate the U.K. businesses was reduced by $0.3 for overestimates of severance costs. The reserves remaining at September 30, 1999 associated with the closure of certain compost sites are expected to be paid in fiscal 2000.</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1996 CHARGES</w:t>
      </w:r>
    </w:p>
    <w:p>
      <w:pPr>
        <w:spacing w:after="0" w:line="178" w:lineRule="exact"/>
        <w:rPr>
          <w:sz w:val="20"/>
          <w:szCs w:val="20"/>
          <w:color w:val="auto"/>
        </w:rPr>
      </w:pPr>
    </w:p>
    <w:p>
      <w:pPr>
        <w:ind w:left="8" w:right="4320"/>
        <w:spacing w:after="0" w:line="244" w:lineRule="auto"/>
        <w:rPr>
          <w:sz w:val="20"/>
          <w:szCs w:val="20"/>
          <w:color w:val="auto"/>
        </w:rPr>
      </w:pPr>
      <w:r>
        <w:rPr>
          <w:rFonts w:ascii="Courier New" w:cs="Courier New" w:eastAsia="Courier New" w:hAnsi="Courier New"/>
          <w:sz w:val="15"/>
          <w:szCs w:val="15"/>
          <w:color w:val="auto"/>
        </w:rPr>
        <w:t>During fiscal 1996, the Company recorded a restructuring charge of $17.7 million for costs associated with management's plan to reduce costs, improve operating efficiencies and rationalize production capacity. Included in this charge was $4.9 million for severance payments resulting from a planned headcount reduction. A total of 125 associates were terminated and 20 open positions were not filled as part of this plan. The terminated associates worked in all parts of the Company, including business units, operations and corporate functions. Severance payments of $2.5 million, $2.0 million and $0.4 million were made in fiscal 1996, 1997 and 1998, respectively.</w:t>
      </w:r>
    </w:p>
    <w:p>
      <w:pPr>
        <w:spacing w:after="0" w:line="179" w:lineRule="exact"/>
        <w:rPr>
          <w:sz w:val="20"/>
          <w:szCs w:val="20"/>
          <w:color w:val="auto"/>
        </w:rPr>
      </w:pPr>
    </w:p>
    <w:p>
      <w:pPr>
        <w:ind w:left="8" w:right="4320"/>
        <w:spacing w:after="0" w:line="244" w:lineRule="auto"/>
        <w:rPr>
          <w:sz w:val="20"/>
          <w:szCs w:val="20"/>
          <w:color w:val="auto"/>
        </w:rPr>
      </w:pPr>
      <w:r>
        <w:rPr>
          <w:rFonts w:ascii="Courier New" w:cs="Courier New" w:eastAsia="Courier New" w:hAnsi="Courier New"/>
          <w:sz w:val="15"/>
          <w:szCs w:val="15"/>
          <w:color w:val="auto"/>
        </w:rPr>
        <w:t>Also included in the restructuring charge was $3.5 million to write-off deferred packaging costs and $9.3 million to write-down or write-off idle or underutilized assets of $9.3 million. During fiscal 1996, management approved three initiatives which affected the recoverability of the deferred packaging costs: (i) the planned reduction in the number of product SKUs (stock keeping units); (ii) the conversion from paper to plastic packaging; and (iii) the resizing of packages to allow for improved pallet stacking. Due to the packaging redesign required to implement these initiatives, it was determined that packaging costs that had been previously deferred would no longer provide a future benefit and were written off.</w:t>
      </w:r>
    </w:p>
    <w:p>
      <w:pPr>
        <w:spacing w:after="0" w:line="180" w:lineRule="exact"/>
        <w:rPr>
          <w:sz w:val="20"/>
          <w:szCs w:val="20"/>
          <w:color w:val="auto"/>
        </w:rPr>
      </w:pPr>
    </w:p>
    <w:p>
      <w:pPr>
        <w:ind w:left="8" w:right="4940"/>
        <w:spacing w:after="0" w:line="243" w:lineRule="auto"/>
        <w:rPr>
          <w:sz w:val="20"/>
          <w:szCs w:val="20"/>
          <w:color w:val="auto"/>
        </w:rPr>
      </w:pPr>
      <w:r>
        <w:rPr>
          <w:rFonts w:ascii="Courier New" w:cs="Courier New" w:eastAsia="Courier New" w:hAnsi="Courier New"/>
          <w:sz w:val="15"/>
          <w:szCs w:val="15"/>
          <w:color w:val="auto"/>
        </w:rPr>
        <w:t>The $9.3 million charge for idle or underutilized assets consisted of the following:</w:t>
      </w:r>
    </w:p>
    <w:p>
      <w:pPr>
        <w:spacing w:after="0" w:line="176" w:lineRule="exact"/>
        <w:rPr>
          <w:sz w:val="20"/>
          <w:szCs w:val="20"/>
          <w:color w:val="auto"/>
        </w:rPr>
      </w:pPr>
    </w:p>
    <w:p>
      <w:pPr>
        <w:ind w:left="808" w:right="4500" w:hanging="808"/>
        <w:spacing w:after="0" w:line="244"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$2.0 million to write-off the net book value of a production line at the Company's Charleston, South Carolina facility. These production assets utilized a new and developing technology for encapsulating fertilizer with a polymer based on water rather than mineral spirits. The Company obtained these assets through its acquisition of Grace-Sierra Horticulture Products Company in December 1993. The Company had been developing similar production capability with similar technology at its Marysville production facility and in fiscal 1996 management determined that the production line in Charleston was redundant. The assets were dismantled and idled in fiscal 1996.</w:t>
      </w:r>
    </w:p>
    <w:p>
      <w:pPr>
        <w:spacing w:after="0" w:line="35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1528"/>
          </w:cols>
          <w:pgMar w:left="232" w:top="291" w:right="139" w:bottom="555" w:gutter="0" w:footer="0" w:header="0"/>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83</w:t>
      </w:r>
    </w:p>
    <w:p>
      <w:pPr>
        <w:spacing w:after="0" w:line="351" w:lineRule="exact"/>
        <w:rPr>
          <w:sz w:val="20"/>
          <w:szCs w:val="20"/>
          <w:color w:val="auto"/>
        </w:rPr>
      </w:pPr>
    </w:p>
    <w:p>
      <w:pPr>
        <w:ind w:left="808" w:right="301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 million to write-down the carrying value of production assets used to manufacture fertilizer using Poly-S technology for our Professional business unit. These assets were idled in fiscal 1995 when a new production line with increased capacity was put on-line. Initially, management contemplated that the smaller capacity production line might be restarted within a few years to provide for anticipated demand. However, in fiscal 1996 it was determined that restarting this line would be unlikely based on changes in the strategic direction of the Professional business.</w:t>
      </w:r>
    </w:p>
    <w:p>
      <w:pPr>
        <w:spacing w:after="0" w:line="5" w:lineRule="exact"/>
        <w:rPr>
          <w:rFonts w:ascii="Courier New" w:cs="Courier New" w:eastAsia="Courier New" w:hAnsi="Courier New"/>
          <w:sz w:val="15"/>
          <w:szCs w:val="15"/>
          <w:color w:val="auto"/>
        </w:rPr>
      </w:pPr>
    </w:p>
    <w:p>
      <w:pPr>
        <w:ind w:left="808" w:right="337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 million to write-down the carrying amount of eight organics and composting facilities that were considered to be underutilized.</w:t>
      </w:r>
    </w:p>
    <w:p>
      <w:pPr>
        <w:spacing w:after="0" w:line="1"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$0.6 million to write-down the carrying value of a seed production site in Marysville, Ohio to its estimated net realizable value. In fiscal 1996, the Company decided to outsource this production and sell the site.</w:t>
      </w:r>
    </w:p>
    <w:p>
      <w:pPr>
        <w:spacing w:after="0" w:line="2"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$0.5 million for costs to close a sales and administrative office that served our consumer business in the U.K. The office became redundant when the Company assumed its partial ownership of the Miracle Garden Care business in connection with the acquisition of Miracle Gro in 1995. The charge was for severance payments to three terminated associates, lease termination payments and the write-off of certain obsolete inventory being managed in a local warehouse by the employees of this sales office.</w:t>
      </w:r>
    </w:p>
    <w:p>
      <w:pPr>
        <w:spacing w:after="0" w:line="5"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$0.5 million to write-off certain molds and tooling at the Company's production facility in Carlsbad, California. After a review of production assets at the facility in fiscal 1996, management determined that these assets could not be used.</w:t>
      </w:r>
    </w:p>
    <w:p>
      <w:pPr>
        <w:spacing w:after="0" w:line="2" w:lineRule="exact"/>
        <w:rPr>
          <w:rFonts w:ascii="Courier New" w:cs="Courier New" w:eastAsia="Courier New" w:hAnsi="Courier New"/>
          <w:sz w:val="15"/>
          <w:szCs w:val="15"/>
          <w:color w:val="auto"/>
        </w:rPr>
      </w:pPr>
    </w:p>
    <w:p>
      <w:pPr>
        <w:ind w:left="808" w:right="301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1995, the Company initiated a new marketing strategy to utilize stand-up plastic bags for fertilizer products. To pursue this direction, the Company ordered and purchased a bagging machine that would accommodate stand-up plastic bags. The equipment was ordered from a manufacturer in Germany. However, prior to taking delivery of the machine, in fiscal 1996 the Company adopted a new marketing strategy that did not utilize stand-up bags for fertilizer products. The Company arranged with the manufacturer of the new bagging machine to attempt to find a buyer for the machine and, based on estimates of the net realizable value provided by the manufacturer wrote-down the carrying amount of the machine. After repeated efforts by the Company and the manufacturer to find a buyer for the machine, in fiscal 1997, the Company determined that it was unlikely to recover the remaining carrying amount of the machine and recorded a charge to write-off the asset.</w:t>
      </w:r>
    </w:p>
    <w:p>
      <w:pPr>
        <w:spacing w:after="0" w:line="9" w:lineRule="exact"/>
        <w:rPr>
          <w:rFonts w:ascii="Courier New" w:cs="Courier New" w:eastAsia="Courier New" w:hAnsi="Courier New"/>
          <w:sz w:val="15"/>
          <w:szCs w:val="15"/>
          <w:color w:val="auto"/>
        </w:rPr>
      </w:pPr>
    </w:p>
    <w:p>
      <w:pPr>
        <w:jc w:val="both"/>
        <w:ind w:left="808" w:right="337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$1.5 million to write-down the carrying value of barter credits that the Company has accumulated through that date to their estimated net realizable value.</w:t>
      </w:r>
    </w:p>
    <w:p>
      <w:pPr>
        <w:spacing w:after="0" w:line="1"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$0.7 million to write-off deferred consulting costs associated with the installation of software as an ERP application for the Company. During fiscal 1996, the Company determined that this software would not be utilized in a company-wide ERP capacity. Accordingly, it was determined that consulting charges that had been capitalized toward this application had no future benefit and were written-off.</w:t>
      </w:r>
    </w:p>
    <w:p>
      <w:pPr>
        <w:spacing w:after="0" w:line="4" w:lineRule="exact"/>
        <w:rPr>
          <w:rFonts w:ascii="Courier New" w:cs="Courier New" w:eastAsia="Courier New" w:hAnsi="Courier New"/>
          <w:sz w:val="15"/>
          <w:szCs w:val="15"/>
          <w:color w:val="auto"/>
        </w:rPr>
      </w:pPr>
    </w:p>
    <w:p>
      <w:pPr>
        <w:ind w:left="808" w:right="3099" w:hanging="808"/>
        <w:spacing w:after="0" w:line="244" w:lineRule="auto"/>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$0.9 million to write-off miscellaneous assets at our Marysville and Allentown production facilities. After reviewing the assets at these facilities in fiscal 1996, the Company determined that these assets were no longer being utilized.</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5. ACQUISITIONS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 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w:t>
      </w:r>
    </w:p>
    <w:p>
      <w:pPr>
        <w:spacing w:after="0" w:line="354" w:lineRule="exact"/>
        <w:rPr>
          <w:sz w:val="20"/>
          <w:szCs w:val="20"/>
          <w:color w:val="auto"/>
        </w:rPr>
      </w:pPr>
    </w:p>
    <w:p>
      <w:pPr>
        <w:ind w:left="8" w:right="3019"/>
        <w:spacing w:after="0" w:line="266" w:lineRule="auto"/>
        <w:rPr>
          <w:sz w:val="20"/>
          <w:szCs w:val="20"/>
          <w:color w:val="auto"/>
        </w:rPr>
      </w:pPr>
      <w:r>
        <w:rPr>
          <w:rFonts w:ascii="Courier New" w:cs="Courier New" w:eastAsia="Courier New" w:hAnsi="Courier New"/>
          <w:sz w:val="14"/>
          <w:szCs w:val="14"/>
          <w:color w:val="auto"/>
        </w:rPr>
        <w:t>In October 1998, the Company acquired Rhone-Poulenc Jardin, continental Europe's largest consumer lawn and garden products company. Management's initial estimate of the purchase price for Rhone-Poulenc Jardin was $192.8 million, however subsequent adjustments for reductions in acquired working capital have resulted in a final purchase price of approximately $146.8 million.</w:t>
      </w:r>
    </w:p>
    <w:p>
      <w:pPr>
        <w:spacing w:after="0" w:line="33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7"/>
          </w:cols>
          <w:pgMar w:left="232" w:top="291" w:right="1440" w:bottom="1075"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351"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In connection with the Rhone-Poulenc Jardin acquisition, the Company entered into a Research and Development Access Rights Agreement with Rhone-Poulenc. The agreement provides the Company with the royalty-free right to market products with current and future active ingredients developed by Rhone-Poulenc and the right to obtain research and development services from Rhone-Poulenc at a cost stipulated in the agreement. In exchange for these rights, the Company agreed to make four annual payments of 39 million French Francs each beginning on October 1, 1999 (present value of payments is approximately $23.2 million). The amounts payable under the agreement is being amortized over the minimum life of the agreement which is 15 years.</w:t>
      </w:r>
    </w:p>
    <w:p>
      <w:pPr>
        <w:spacing w:after="0" w:line="353" w:lineRule="exact"/>
        <w:rPr>
          <w:sz w:val="20"/>
          <w:szCs w:val="20"/>
          <w:color w:val="auto"/>
        </w:rPr>
      </w:pPr>
    </w:p>
    <w:p>
      <w:pPr>
        <w:ind w:right="1160"/>
        <w:spacing w:after="0" w:line="244" w:lineRule="auto"/>
        <w:rPr>
          <w:sz w:val="20"/>
          <w:szCs w:val="20"/>
          <w:color w:val="auto"/>
        </w:rPr>
      </w:pPr>
      <w:r>
        <w:rPr>
          <w:rFonts w:ascii="Courier New" w:cs="Courier New" w:eastAsia="Courier New" w:hAnsi="Courier New"/>
          <w:sz w:val="15"/>
          <w:szCs w:val="15"/>
          <w:color w:val="auto"/>
        </w:rPr>
        <w:t>In February 1998, the Company acquired all the shares of EarthGro, Inc. ("EarthGro"), a regional growing media company located in Glastonbury, Connecticut, for approximately $47.0 million, including deal costs and refinancing of certain assumed debt.</w:t>
      </w:r>
    </w:p>
    <w:p>
      <w:pPr>
        <w:spacing w:after="0" w:line="176"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In December 1997, the Company acquired all the shares of Levington Group Limited ("Levington"), a leading producer of consumer and professional lawn fertilizer and growing media in the United Kingdom, for approximately $94.0 million, including deal costs and refinancing of certain assumed debt.</w:t>
      </w:r>
    </w:p>
    <w:p>
      <w:pPr>
        <w:spacing w:after="0" w:line="176"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During fiscal 1999 and 1998, the Company also invested in or acquired other entities consistent with its long-term strategic plan. These investments include Asef Holdings BV, Scotts Lawn Service, Sanford Scientific, Inc. and certain intangible assets acquired in Ireland.</w:t>
      </w:r>
    </w:p>
    <w:p>
      <w:pPr>
        <w:spacing w:after="0" w:line="176" w:lineRule="exact"/>
        <w:rPr>
          <w:sz w:val="20"/>
          <w:szCs w:val="20"/>
          <w:color w:val="auto"/>
        </w:rPr>
      </w:pPr>
    </w:p>
    <w:p>
      <w:pPr>
        <w:ind w:right="440"/>
        <w:spacing w:after="0" w:line="244" w:lineRule="auto"/>
        <w:rPr>
          <w:sz w:val="20"/>
          <w:szCs w:val="20"/>
          <w:color w:val="auto"/>
        </w:rPr>
      </w:pPr>
      <w:r>
        <w:rPr>
          <w:rFonts w:ascii="Courier New" w:cs="Courier New" w:eastAsia="Courier New" w:hAnsi="Courier New"/>
          <w:sz w:val="15"/>
          <w:szCs w:val="15"/>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Intangible assets associated with the purchase of Rhone-Poulenc Jardin, EarthGro and Levington were $137.3 million, $23.3 million and $62.8 million, respectively. Final determination of the purchase price of the Ortho business, as well as the allocation of the purchase price to the net assets acquired, is not complete as of September 30, 1999. The excess of the estimated purchase price over the value of tangible assets acquired is currently recorded as an intangible asset and is being amortized over a period of 35 years. Intangible assets associated with the other acquisitions described above are approximately $37.0 million on a combined basis.</w:t>
      </w:r>
    </w:p>
    <w:p>
      <w:pPr>
        <w:spacing w:after="0" w:line="182" w:lineRule="exact"/>
        <w:rPr>
          <w:sz w:val="20"/>
          <w:szCs w:val="20"/>
          <w:color w:val="auto"/>
        </w:rPr>
      </w:pPr>
    </w:p>
    <w:p>
      <w:pPr>
        <w:ind w:right="900"/>
        <w:spacing w:after="0" w:line="270" w:lineRule="auto"/>
        <w:rPr>
          <w:sz w:val="20"/>
          <w:szCs w:val="20"/>
          <w:color w:val="auto"/>
        </w:rPr>
      </w:pPr>
      <w:r>
        <w:rPr>
          <w:rFonts w:ascii="Courier New" w:cs="Courier New" w:eastAsia="Courier New" w:hAnsi="Courier New"/>
          <w:sz w:val="14"/>
          <w:szCs w:val="14"/>
          <w:color w:val="auto"/>
        </w:rPr>
        <w:t>The following unaudited pro forma results of operations give effect to the Ortho, Rhone-Poulenc Jardin, EarthGro and Levington acquisitions and the Roundup(R) marketing agreement as if they had occurred on October 1, 1997.</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before extraordinary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earnings per share: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Before extraordinary loss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 extraordinary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earnings per share: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Before extraordinary loss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 extraordinary loss</w:t>
      </w:r>
    </w:p>
    <w:p>
      <w:pPr>
        <w:spacing w:after="0" w:line="351" w:lineRule="exact"/>
        <w:rPr>
          <w:sz w:val="20"/>
          <w:szCs w:val="20"/>
          <w:color w:val="auto"/>
        </w:rPr>
      </w:pPr>
    </w:p>
    <w:p>
      <w:pPr>
        <w:ind w:right="360"/>
        <w:spacing w:after="0" w:line="267" w:lineRule="auto"/>
        <w:rPr>
          <w:sz w:val="20"/>
          <w:szCs w:val="20"/>
          <w:color w:val="auto"/>
        </w:rPr>
      </w:pPr>
      <w:r>
        <w:rPr>
          <w:rFonts w:ascii="Courier New" w:cs="Courier New" w:eastAsia="Courier New" w:hAnsi="Courier New"/>
          <w:sz w:val="14"/>
          <w:szCs w:val="14"/>
          <w:color w:val="auto"/>
        </w:rPr>
        <w:t>The pro forma information provided does not purport to be indicative of actual results of operations if the Ortho, Rhone-Poulenc Jardin, EarthGro and Levington acquisitions and the Roundup(R) marketing agreement had occurred as of October 1, 1997 and is not intended to be indicative of future results or trends.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RETIREMENT PLANS</w:t>
      </w:r>
    </w:p>
    <w:p>
      <w:pPr>
        <w:spacing w:after="0" w:line="178"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In September 1997, in conjunction with the decision to offer a new defined contribution retirement savings plan to domestic Company associates, management decided to suspend benefits under its Scotts and Sierra defined benefit pension plans. The suspension of benefits under the defined benefit plans was accounted for as a curtailment under SFAS No. 88 ("Employers' Accounting for Settlements and Curtailments of Defined Benefit Pension Plans and for Termination Benefits"). The gain resulting from the curtailment of the qualified plans, as well as the curtailment of the non-qualified plan discussed below, was less than $0.1 million.</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8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1,681.3</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1,513.8</w:t>
            </w:r>
          </w:p>
        </w:tc>
      </w:tr>
      <w:tr>
        <w:trPr>
          <w:trHeight w:val="173"/>
        </w:trPr>
        <w:tc>
          <w:tcPr>
            <w:tcW w:w="1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60.7</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r>
      <w:tr>
        <w:trPr>
          <w:trHeight w:val="173"/>
        </w:trPr>
        <w:tc>
          <w:tcPr>
            <w:tcW w:w="1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54.8</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347"/>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3"/>
        </w:trPr>
        <w:tc>
          <w:tcPr>
            <w:tcW w:w="1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347"/>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73"/>
        </w:trPr>
        <w:tc>
          <w:tcPr>
            <w:tcW w:w="18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bl>
    <w:p>
      <w:pPr>
        <w:sectPr>
          <w:pgSz w:w="11900" w:h="16838" w:orient="portrait"/>
          <w:cols w:equalWidth="0" w:num="2">
            <w:col w:w="7560" w:space="720"/>
            <w:col w:w="2720"/>
          </w:cols>
          <w:pgMar w:left="240" w:top="291" w:right="659"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85</w:t>
      </w:r>
    </w:p>
    <w:p>
      <w:pPr>
        <w:spacing w:after="0" w:line="178" w:lineRule="exact"/>
        <w:rPr>
          <w:sz w:val="20"/>
          <w:szCs w:val="20"/>
          <w:color w:val="auto"/>
        </w:rPr>
      </w:pPr>
    </w:p>
    <w:p>
      <w:pPr>
        <w:ind w:right="3800"/>
        <w:spacing w:after="0" w:line="265" w:lineRule="auto"/>
        <w:rPr>
          <w:sz w:val="20"/>
          <w:szCs w:val="20"/>
          <w:color w:val="auto"/>
        </w:rPr>
      </w:pPr>
      <w:r>
        <w:rPr>
          <w:rFonts w:ascii="Courier New" w:cs="Courier New" w:eastAsia="Courier New" w:hAnsi="Courier New"/>
          <w:sz w:val="14"/>
          <w:szCs w:val="14"/>
          <w:color w:val="auto"/>
        </w:rPr>
        <w:t>The curtailed pension plans covered substantially all full-time U.S. associates who had completed one year of eligible service and reached the age of 21. The benefits under these plans are based on years of service and the associates' average final compensation for the Scotts plan employees and for Sierra salaried employees and on stated amounts for Sierra hourly employees. The Company's funding policy, consistent with statutory requirements and tax considerations, is based on actuarial computations using the Projected Unit Credit method.</w:t>
      </w:r>
    </w:p>
    <w:p>
      <w:pPr>
        <w:spacing w:after="0" w:line="161" w:lineRule="exact"/>
        <w:rPr>
          <w:sz w:val="20"/>
          <w:szCs w:val="20"/>
          <w:color w:val="auto"/>
        </w:rPr>
      </w:pPr>
    </w:p>
    <w:p>
      <w:pPr>
        <w:ind w:right="3880"/>
        <w:spacing w:after="0" w:line="243"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curtailed pension plans for fiscal 1999 and 1998:</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702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56.9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49.9</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520"/>
        </w:trPr>
        <w:tc>
          <w:tcPr>
            <w:tcW w:w="7020" w:type="dxa"/>
            <w:vAlign w:val="bottom"/>
          </w:tcPr>
          <w:p>
            <w:pPr>
              <w:spacing w:after="0"/>
              <w:rPr>
                <w:sz w:val="20"/>
                <w:szCs w:val="20"/>
                <w:color w:val="auto"/>
              </w:rPr>
            </w:pPr>
            <w:r>
              <w:rPr>
                <w:rFonts w:ascii="Courier New" w:cs="Courier New" w:eastAsia="Courier New" w:hAnsi="Courier New"/>
                <w:sz w:val="15"/>
                <w:szCs w:val="15"/>
                <w:color w:val="auto"/>
                <w:w w:val="99"/>
              </w:rPr>
              <w:t>The following table sets forth the changes in the fair value of the net assets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of the curtailed pension plans for fiscal 1999 and 1998:</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4"/>
        </w:trPr>
        <w:tc>
          <w:tcPr>
            <w:tcW w:w="702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24"/>
                <w:szCs w:val="24"/>
                <w:color w:val="auto"/>
              </w:rPr>
            </w:pP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702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56.8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58.0</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520"/>
        </w:trPr>
        <w:tc>
          <w:tcPr>
            <w:tcW w:w="716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table sets forth the plans' funded status and the related amounts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recognized in the Consolidated Balance Sheets: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4"/>
        </w:trPr>
        <w:tc>
          <w:tcPr>
            <w:tcW w:w="7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Actuarial present value of projected benefit obligations: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Vested benefits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(49.3)</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Nonvested benefits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(59.0)</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Plan assets at fair value, primarily corporate bonds,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U.S. Government bonds and cash equivalents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56.8</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Plan assets (less) greater than projected benefit obligations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Prepaid pension costs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Prepaid benefit costs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Prepaid pension costs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520"/>
        </w:trPr>
        <w:tc>
          <w:tcPr>
            <w:tcW w:w="7020" w:type="dxa"/>
            <w:vAlign w:val="bottom"/>
          </w:tcPr>
          <w:p>
            <w:pPr>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0"/>
        </w:trPr>
        <w:tc>
          <w:tcPr>
            <w:tcW w:w="7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FISCAL YEAR ENDED</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SEPTEMBER 30,</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4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640" w:type="dxa"/>
            <w:vAlign w:val="bottom"/>
          </w:tcPr>
          <w:p>
            <w:pPr>
              <w:spacing w:after="0"/>
              <w:rPr>
                <w:sz w:val="15"/>
                <w:szCs w:val="15"/>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70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$ 1.9</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4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640" w:type="dxa"/>
            <w:vAlign w:val="bottom"/>
          </w:tcPr>
          <w:p>
            <w:pPr>
              <w:spacing w:after="0"/>
              <w:rPr>
                <w:sz w:val="15"/>
                <w:szCs w:val="15"/>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4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640" w:type="dxa"/>
            <w:vAlign w:val="bottom"/>
          </w:tcPr>
          <w:p>
            <w:pPr>
              <w:spacing w:after="0"/>
              <w:rPr>
                <w:sz w:val="15"/>
                <w:szCs w:val="15"/>
                <w:color w:val="auto"/>
              </w:rPr>
            </w:pPr>
          </w:p>
        </w:tc>
        <w:tc>
          <w:tcPr>
            <w:tcW w:w="126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w:t>
            </w:r>
          </w:p>
        </w:tc>
        <w:tc>
          <w:tcPr>
            <w:tcW w:w="14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640" w:type="dxa"/>
            <w:vAlign w:val="bottom"/>
          </w:tcPr>
          <w:p>
            <w:pPr>
              <w:spacing w:after="0"/>
              <w:rPr>
                <w:sz w:val="15"/>
                <w:szCs w:val="15"/>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w:t>
            </w:r>
          </w:p>
        </w:tc>
      </w:tr>
      <w:tr>
        <w:trPr>
          <w:trHeight w:val="173"/>
        </w:trPr>
        <w:tc>
          <w:tcPr>
            <w:tcW w:w="7020" w:type="dxa"/>
            <w:vAlign w:val="bottom"/>
          </w:tcPr>
          <w:p>
            <w:pPr>
              <w:spacing w:after="0"/>
              <w:rPr>
                <w:sz w:val="15"/>
                <w:szCs w:val="15"/>
                <w:color w:val="auto"/>
              </w:rPr>
            </w:pPr>
          </w:p>
        </w:tc>
        <w:tc>
          <w:tcPr>
            <w:tcW w:w="8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640" w:type="dxa"/>
            <w:vAlign w:val="bottom"/>
          </w:tcPr>
          <w:p>
            <w:pPr>
              <w:spacing w:after="0"/>
              <w:rPr>
                <w:sz w:val="15"/>
                <w:szCs w:val="15"/>
                <w:color w:val="auto"/>
              </w:rPr>
            </w:pPr>
          </w:p>
        </w:tc>
        <w:tc>
          <w:tcPr>
            <w:tcW w:w="12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02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w:t>
            </w:r>
          </w:p>
        </w:tc>
        <w:tc>
          <w:tcPr>
            <w:tcW w:w="190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 (0.1)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r>
      <w:tr>
        <w:trPr>
          <w:trHeight w:val="173"/>
        </w:trPr>
        <w:tc>
          <w:tcPr>
            <w:tcW w:w="7020" w:type="dxa"/>
            <w:vAlign w:val="bottom"/>
          </w:tcPr>
          <w:p>
            <w:pPr>
              <w:spacing w:after="0"/>
              <w:rPr>
                <w:sz w:val="15"/>
                <w:szCs w:val="15"/>
                <w:color w:val="auto"/>
              </w:rPr>
            </w:pPr>
          </w:p>
        </w:tc>
        <w:tc>
          <w:tcPr>
            <w:tcW w:w="8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90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00"/>
          </w:cols>
          <w:pgMar w:left="240" w:top="291" w:right="659" w:bottom="35" w:gutter="0" w:footer="0" w:header="0"/>
        </w:sectPr>
      </w:pPr>
    </w:p>
    <w:bookmarkStart w:id="86" w:name="page87"/>
    <w:bookmarkEnd w:id="86"/>
    <w:p>
      <w:pPr>
        <w:ind w:left="23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9019"/>
          </w:cols>
          <w:pgMar w:left="1440" w:top="14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78" w:lineRule="exact"/>
        <w:rPr>
          <w:sz w:val="20"/>
          <w:szCs w:val="20"/>
          <w:color w:val="auto"/>
        </w:rPr>
      </w:pPr>
    </w:p>
    <w:p>
      <w:pPr>
        <w:ind w:right="440"/>
        <w:spacing w:after="0" w:line="244" w:lineRule="auto"/>
        <w:rPr>
          <w:sz w:val="20"/>
          <w:szCs w:val="20"/>
          <w:color w:val="auto"/>
        </w:rPr>
      </w:pPr>
      <w:r>
        <w:rPr>
          <w:rFonts w:ascii="Courier New" w:cs="Courier New" w:eastAsia="Courier New" w:hAnsi="Courier New"/>
          <w:sz w:val="15"/>
          <w:szCs w:val="15"/>
          <w:color w:val="auto"/>
        </w:rPr>
        <w:t>The weighted-average settlement rate used in determining the actuarial present value of the projected benefit obligation was 7.75% and 6.75% as of September 30, 1999 and 1998, respectively. Future compensation was assumed to increase 4% annually for fiscal 1997. The expected long-term rate of return on plan assets was 8.0% and 7.0% for fiscal 1999 and 1998, respectively.</w:t>
      </w:r>
    </w:p>
    <w:p>
      <w:pPr>
        <w:spacing w:after="0" w:line="177" w:lineRule="exact"/>
        <w:rPr>
          <w:sz w:val="20"/>
          <w:szCs w:val="20"/>
          <w:color w:val="auto"/>
        </w:rPr>
      </w:pPr>
    </w:p>
    <w:p>
      <w:pPr>
        <w:ind w:right="440"/>
        <w:spacing w:after="0" w:line="244" w:lineRule="auto"/>
        <w:rPr>
          <w:sz w:val="20"/>
          <w:szCs w:val="20"/>
          <w:color w:val="auto"/>
        </w:rPr>
      </w:pPr>
      <w:r>
        <w:rPr>
          <w:rFonts w:ascii="Courier New" w:cs="Courier New" w:eastAsia="Courier New" w:hAnsi="Courier New"/>
          <w:sz w:val="15"/>
          <w:szCs w:val="15"/>
          <w:color w:val="auto"/>
        </w:rPr>
        <w:t>The Company also sponsors the following pension plans associated with the international businesses it has acquired: Scotts Europe BV,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The Scotts Company UK and Miracle Garden Care are funded plans. The remaining international pension plans are not funded by separately held plan assets.</w:t>
      </w:r>
    </w:p>
    <w:p>
      <w:pPr>
        <w:spacing w:after="0" w:line="179" w:lineRule="exact"/>
        <w:rPr>
          <w:sz w:val="20"/>
          <w:szCs w:val="20"/>
          <w:color w:val="auto"/>
        </w:rPr>
      </w:pPr>
    </w:p>
    <w:p>
      <w:pPr>
        <w:ind w:right="440"/>
        <w:spacing w:after="0" w:line="243"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international plans on a combined basis for fiscal 1999 and 1998: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balance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contributions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Actuarial (gains) losses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paid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balance</w:t>
      </w:r>
    </w:p>
    <w:p>
      <w:pPr>
        <w:spacing w:after="0" w:line="200" w:lineRule="exact"/>
        <w:rPr>
          <w:sz w:val="20"/>
          <w:szCs w:val="20"/>
          <w:color w:val="auto"/>
        </w:rPr>
      </w:pPr>
    </w:p>
    <w:p>
      <w:pPr>
        <w:spacing w:after="0" w:line="324" w:lineRule="exact"/>
        <w:rPr>
          <w:sz w:val="20"/>
          <w:szCs w:val="20"/>
          <w:color w:val="auto"/>
        </w:rPr>
      </w:pPr>
    </w:p>
    <w:p>
      <w:pPr>
        <w:ind w:right="540"/>
        <w:spacing w:after="0" w:line="278" w:lineRule="auto"/>
        <w:rPr>
          <w:sz w:val="20"/>
          <w:szCs w:val="20"/>
          <w:color w:val="auto"/>
        </w:rPr>
      </w:pPr>
      <w:r>
        <w:rPr>
          <w:rFonts w:ascii="Courier New" w:cs="Courier New" w:eastAsia="Courier New" w:hAnsi="Courier New"/>
          <w:sz w:val="14"/>
          <w:szCs w:val="14"/>
          <w:color w:val="auto"/>
        </w:rPr>
        <w:t>The following table sets forth the changes in the fair value of the net assets of the international plans on a combined basis for fiscal 1999 and 1998: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balance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on plan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 contributions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contributions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Benefits paid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balance</w:t>
      </w:r>
    </w:p>
    <w:p>
      <w:pPr>
        <w:spacing w:after="0" w:line="200" w:lineRule="exact"/>
        <w:rPr>
          <w:sz w:val="20"/>
          <w:szCs w:val="20"/>
          <w:color w:val="auto"/>
        </w:rPr>
      </w:pPr>
    </w:p>
    <w:p>
      <w:pPr>
        <w:spacing w:after="0" w:line="324" w:lineRule="exact"/>
        <w:rPr>
          <w:sz w:val="20"/>
          <w:szCs w:val="20"/>
          <w:color w:val="auto"/>
        </w:rPr>
      </w:pPr>
    </w:p>
    <w:p>
      <w:pPr>
        <w:ind w:right="620"/>
        <w:spacing w:after="0" w:line="244" w:lineRule="auto"/>
        <w:rPr>
          <w:sz w:val="20"/>
          <w:szCs w:val="20"/>
          <w:color w:val="auto"/>
        </w:rPr>
      </w:pPr>
      <w:r>
        <w:rPr>
          <w:rFonts w:ascii="Courier New" w:cs="Courier New" w:eastAsia="Courier New" w:hAnsi="Courier New"/>
          <w:sz w:val="15"/>
          <w:szCs w:val="15"/>
          <w:color w:val="auto"/>
        </w:rPr>
        <w:t>The following table sets forth the funded status and net amount recognized in the Consolidated Balance Sheets for the Company's international plans on a combined basis at September 30, 1999 and 1998:</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benefit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assets at fair value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benefit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excess of plan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Unrecognized items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benefit costs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with benefit obligations in excess of plan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projected benefit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fair value of plan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with plan assets in excess of benefit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projected benefit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fair value of plan assets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61.7</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0.5</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1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73.2</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w:t>
            </w:r>
          </w:p>
        </w:tc>
      </w:tr>
      <w:tr>
        <w:trPr>
          <w:trHeight w:val="173"/>
        </w:trPr>
        <w:tc>
          <w:tcPr>
            <w:tcW w:w="11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0.6</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1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w:t>
            </w: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1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r>
      <w:tr>
        <w:trPr>
          <w:trHeight w:val="173"/>
        </w:trPr>
        <w:tc>
          <w:tcPr>
            <w:tcW w:w="11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2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0" w:type="dxa"/>
            <w:vAlign w:val="bottom"/>
          </w:tcPr>
          <w:p>
            <w:pPr>
              <w:spacing w:after="0"/>
              <w:rPr>
                <w:sz w:val="24"/>
                <w:szCs w:val="24"/>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(73.2)</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r>
      <w:tr>
        <w:trPr>
          <w:trHeight w:val="173"/>
        </w:trPr>
        <w:tc>
          <w:tcPr>
            <w:tcW w:w="12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140" w:type="dxa"/>
            <w:vAlign w:val="bottom"/>
          </w:tcPr>
          <w:p>
            <w:pPr>
              <w:spacing w:after="0"/>
              <w:rPr>
                <w:sz w:val="24"/>
                <w:szCs w:val="24"/>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(13.3)</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12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2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w w:val="97"/>
              </w:rPr>
              <w:t>$ (13.8)</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w:t>
            </w:r>
          </w:p>
        </w:tc>
      </w:tr>
      <w:tr>
        <w:trPr>
          <w:trHeight w:val="173"/>
        </w:trPr>
        <w:tc>
          <w:tcPr>
            <w:tcW w:w="12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140" w:type="dxa"/>
            <w:vAlign w:val="bottom"/>
          </w:tcPr>
          <w:p>
            <w:pPr>
              <w:spacing w:after="0"/>
              <w:rPr>
                <w:sz w:val="24"/>
                <w:szCs w:val="24"/>
                <w:color w:val="auto"/>
              </w:rPr>
            </w:pPr>
          </w:p>
        </w:tc>
        <w:tc>
          <w:tcPr>
            <w:tcW w:w="2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33.7</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$ 20.0</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w:t>
            </w:r>
          </w:p>
        </w:tc>
      </w:tr>
      <w:tr>
        <w:trPr>
          <w:trHeight w:val="347"/>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$ 32.0</w:t>
            </w:r>
          </w:p>
        </w:tc>
      </w:tr>
      <w:tr>
        <w:trPr>
          <w:trHeight w:val="173"/>
        </w:trPr>
        <w:tc>
          <w:tcPr>
            <w:tcW w:w="14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w:t>
            </w:r>
          </w:p>
        </w:tc>
      </w:tr>
    </w:tbl>
    <w:p>
      <w:pPr>
        <w:sectPr>
          <w:pgSz w:w="11900" w:h="16838" w:orient="portrait"/>
          <w:cols w:equalWidth="0" w:num="2">
            <w:col w:w="7560" w:space="720"/>
            <w:col w:w="2360"/>
          </w:cols>
          <w:pgMar w:left="240" w:top="291" w:right="1019" w:bottom="902"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87</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20"/>
        </w:trPr>
        <w:tc>
          <w:tcPr>
            <w:tcW w:w="7740" w:type="dxa"/>
            <w:vAlign w:val="bottom"/>
          </w:tcPr>
          <w:p>
            <w:pPr>
              <w:spacing w:after="0"/>
              <w:rPr>
                <w:sz w:val="20"/>
                <w:szCs w:val="20"/>
                <w:color w:val="auto"/>
              </w:rPr>
            </w:pPr>
            <w:r>
              <w:rPr>
                <w:rFonts w:ascii="Courier New" w:cs="Courier New" w:eastAsia="Courier New" w:hAnsi="Courier New"/>
                <w:sz w:val="15"/>
                <w:szCs w:val="15"/>
                <w:color w:val="auto"/>
              </w:rPr>
              <w:t>Pension costs for the international plans on a combined basis consisted of the</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following components for fiscal 1999 and 1998:</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7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FISCAL YEAR ENDED</w:t>
            </w: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r>
      <w:tr>
        <w:trPr>
          <w:trHeight w:val="347"/>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8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7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w:t>
            </w: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w:t>
            </w: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78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0.1</w:t>
            </w: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w:t>
            </w: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94"/>
        </w:trPr>
        <w:tc>
          <w:tcPr>
            <w:tcW w:w="7740" w:type="dxa"/>
            <w:vAlign w:val="bottom"/>
          </w:tcPr>
          <w:p>
            <w:pPr>
              <w:spacing w:after="0"/>
              <w:rPr>
                <w:sz w:val="20"/>
                <w:szCs w:val="20"/>
                <w:color w:val="auto"/>
              </w:rPr>
            </w:pPr>
            <w:r>
              <w:rPr>
                <w:rFonts w:ascii="Courier New" w:cs="Courier New" w:eastAsia="Courier New" w:hAnsi="Courier New"/>
                <w:sz w:val="15"/>
                <w:szCs w:val="15"/>
                <w:color w:val="auto"/>
              </w:rPr>
              <w:t>The range of actuarial assumptions used for the various international plans for</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the years presented were:</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7740" w:type="dxa"/>
            <w:vAlign w:val="bottom"/>
          </w:tcPr>
          <w:p>
            <w:pPr>
              <w:spacing w:after="0"/>
              <w:rPr>
                <w:sz w:val="20"/>
                <w:szCs w:val="20"/>
                <w:color w:val="auto"/>
              </w:rPr>
            </w:pPr>
            <w:r>
              <w:rPr>
                <w:rFonts w:ascii="Courier New" w:cs="Courier New" w:eastAsia="Courier New" w:hAnsi="Courier New"/>
                <w:sz w:val="15"/>
                <w:szCs w:val="15"/>
                <w:color w:val="auto"/>
              </w:rPr>
              <w:t>Settlement rates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 -</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Compensation increases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 -</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Rates of return on plan assets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 -</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c>
          <w:tcPr>
            <w:tcW w:w="360" w:type="dxa"/>
            <w:vAlign w:val="bottom"/>
          </w:tcPr>
          <w:p>
            <w:pPr>
              <w:spacing w:after="0"/>
              <w:rPr>
                <w:sz w:val="15"/>
                <w:szCs w:val="15"/>
                <w:color w:val="auto"/>
              </w:rPr>
            </w:pPr>
          </w:p>
        </w:tc>
      </w:tr>
      <w:tr>
        <w:trPr>
          <w:trHeight w:val="520"/>
        </w:trPr>
        <w:tc>
          <w:tcPr>
            <w:tcW w:w="7740" w:type="dxa"/>
            <w:vAlign w:val="bottom"/>
          </w:tcPr>
          <w:p>
            <w:pPr>
              <w:spacing w:after="0"/>
              <w:rPr>
                <w:sz w:val="20"/>
                <w:szCs w:val="20"/>
                <w:color w:val="auto"/>
              </w:rPr>
            </w:pPr>
            <w:r>
              <w:rPr>
                <w:rFonts w:ascii="Courier New" w:cs="Courier New" w:eastAsia="Courier New" w:hAnsi="Courier New"/>
                <w:sz w:val="15"/>
                <w:szCs w:val="15"/>
                <w:color w:val="auto"/>
              </w:rPr>
              <w:t>At September 30, 1997, the Company also curtailed its non-qualified supplemental</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pension plan which provides for incremental pension payments from the Company so</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that total pension payments equal amounts that would have been payable from the</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Company's pension plans if it were not for limitations imposed by income tax</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regulations.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7"/>
        </w:trPr>
        <w:tc>
          <w:tcPr>
            <w:tcW w:w="7740" w:type="dxa"/>
            <w:vAlign w:val="bottom"/>
          </w:tcPr>
          <w:p>
            <w:pPr>
              <w:spacing w:after="0"/>
              <w:rPr>
                <w:sz w:val="20"/>
                <w:szCs w:val="20"/>
                <w:color w:val="auto"/>
              </w:rPr>
            </w:pPr>
            <w:r>
              <w:rPr>
                <w:rFonts w:ascii="Courier New" w:cs="Courier New" w:eastAsia="Courier New" w:hAnsi="Courier New"/>
                <w:sz w:val="15"/>
                <w:szCs w:val="15"/>
                <w:color w:val="auto"/>
              </w:rPr>
              <w:t>The following table sets forth the changes in the projected benefit obligations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for the non-qualified plan for fiscal 1999 and 1998:</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80" w:type="dxa"/>
            <w:vAlign w:val="bottom"/>
          </w:tcPr>
          <w:p>
            <w:pPr>
              <w:spacing w:after="0"/>
              <w:rPr>
                <w:sz w:val="24"/>
                <w:szCs w:val="2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774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Actuarial losses</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r>
      <w:tr>
        <w:trPr>
          <w:trHeight w:val="520"/>
        </w:trPr>
        <w:tc>
          <w:tcPr>
            <w:tcW w:w="7740" w:type="dxa"/>
            <w:vAlign w:val="bottom"/>
          </w:tcPr>
          <w:p>
            <w:pPr>
              <w:spacing w:after="0"/>
              <w:rPr>
                <w:sz w:val="20"/>
                <w:szCs w:val="20"/>
                <w:color w:val="auto"/>
              </w:rPr>
            </w:pPr>
            <w:r>
              <w:rPr>
                <w:rFonts w:ascii="Courier New" w:cs="Courier New" w:eastAsia="Courier New" w:hAnsi="Courier New"/>
                <w:sz w:val="15"/>
                <w:szCs w:val="15"/>
                <w:color w:val="auto"/>
              </w:rPr>
              <w:t>The following table sets forth the funded status of the non-qualified plan at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September 30, 1999 and 1998:</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780" w:type="dxa"/>
            <w:vAlign w:val="bottom"/>
          </w:tcPr>
          <w:p>
            <w:pPr>
              <w:spacing w:after="0"/>
              <w:rPr>
                <w:sz w:val="24"/>
                <w:szCs w:val="2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4"/>
                <w:szCs w:val="24"/>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Vested benefits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r>
      <w:tr>
        <w:trPr>
          <w:trHeight w:val="173"/>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Nonvested benefits</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Plan assets less than projected benefit obligations</w:t>
            </w:r>
          </w:p>
        </w:tc>
        <w:tc>
          <w:tcPr>
            <w:tcW w:w="780" w:type="dxa"/>
            <w:vAlign w:val="bottom"/>
          </w:tcPr>
          <w:p>
            <w:pPr>
              <w:spacing w:after="0"/>
              <w:rPr>
                <w:sz w:val="15"/>
                <w:szCs w:val="15"/>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Unrecognized losses</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Net pension liability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7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20"/>
                <w:szCs w:val="20"/>
                <w:color w:val="auto"/>
              </w:rPr>
            </w:pPr>
            <w:r>
              <w:rPr>
                <w:rFonts w:ascii="Courier New" w:cs="Courier New" w:eastAsia="Courier New" w:hAnsi="Courier New"/>
                <w:sz w:val="15"/>
                <w:szCs w:val="15"/>
                <w:color w:val="auto"/>
              </w:rPr>
              <w:t>Net pension liability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r>
      <w:tr>
        <w:trPr>
          <w:trHeight w:val="173"/>
        </w:trPr>
        <w:tc>
          <w:tcPr>
            <w:tcW w:w="774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r>
    </w:tbl>
    <w:p>
      <w:pPr>
        <w:spacing w:after="0" w:line="351" w:lineRule="exact"/>
        <w:rPr>
          <w:sz w:val="20"/>
          <w:szCs w:val="20"/>
          <w:color w:val="auto"/>
        </w:rPr>
      </w:pPr>
    </w:p>
    <w:p>
      <w:pPr>
        <w:jc w:val="both"/>
        <w:ind w:right="3700"/>
        <w:spacing w:after="0" w:line="244" w:lineRule="auto"/>
        <w:rPr>
          <w:sz w:val="20"/>
          <w:szCs w:val="20"/>
          <w:color w:val="auto"/>
        </w:rPr>
      </w:pPr>
      <w:r>
        <w:rPr>
          <w:rFonts w:ascii="Courier New" w:cs="Courier New" w:eastAsia="Courier New" w:hAnsi="Courier New"/>
          <w:sz w:val="15"/>
          <w:szCs w:val="15"/>
          <w:color w:val="auto"/>
        </w:rPr>
        <w:t>Pension expense for the plan was $0.2 million, $0.1 million and $0.2 million in fiscal 1999, 1998 and 1997, respectively, consisting primarily of interest costs on the projected benefit obligations.</w:t>
      </w:r>
    </w:p>
    <w:p>
      <w:pPr>
        <w:spacing w:after="0" w:line="175" w:lineRule="exact"/>
        <w:rPr>
          <w:sz w:val="20"/>
          <w:szCs w:val="20"/>
          <w:color w:val="auto"/>
        </w:rPr>
      </w:pPr>
    </w:p>
    <w:p>
      <w:pPr>
        <w:ind w:right="3880"/>
        <w:spacing w:after="0" w:line="244" w:lineRule="auto"/>
        <w:rPr>
          <w:sz w:val="20"/>
          <w:szCs w:val="20"/>
          <w:color w:val="auto"/>
        </w:rPr>
      </w:pPr>
      <w:r>
        <w:rPr>
          <w:rFonts w:ascii="Courier New" w:cs="Courier New" w:eastAsia="Courier New" w:hAnsi="Courier New"/>
          <w:sz w:val="15"/>
          <w:szCs w:val="15"/>
          <w:color w:val="auto"/>
        </w:rPr>
        <w:t>The actuarial assumptions used for the non-qualified supplemental pension plan were the same as those used for the curtailed qualified plans as described above.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900"/>
          </w:cols>
          <w:pgMar w:left="240" w:top="291" w:right="759" w:bottom="35"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20"/>
        </w:trPr>
        <w:tc>
          <w:tcPr>
            <w:tcW w:w="6760" w:type="dxa"/>
            <w:vAlign w:val="bottom"/>
          </w:tcPr>
          <w:p>
            <w:pPr>
              <w:spacing w:after="0"/>
              <w:rPr>
                <w:sz w:val="20"/>
                <w:szCs w:val="20"/>
                <w:color w:val="auto"/>
              </w:rPr>
            </w:pPr>
            <w:r>
              <w:rPr>
                <w:rFonts w:ascii="Courier New" w:cs="Courier New" w:eastAsia="Courier New" w:hAnsi="Courier New"/>
                <w:sz w:val="15"/>
                <w:szCs w:val="15"/>
                <w:color w:val="auto"/>
              </w:rPr>
              <w:t>NOTE 7. ASSOCIATE BENEFITS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w w:val="99"/>
              </w:rPr>
              <w:t>The Company provides comprehensive major medical benefits to certain of its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w w:val="99"/>
              </w:rPr>
              <w:t>retired associates and their dependents. Substantially all of the Company's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domestic associates become eligible for these benefits if they retire at age 55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or older with more than ten years of service. The plan requires certain minimum</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contributions from retired associates and includes provisions to limit the</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overall cost increases the Company is required to cover. The Company funds its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portion of retiree medical benefits on a pay-as-you-go basis.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Prior to October 1, 1993, the Company effected several changes in plan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w w:val="99"/>
              </w:rPr>
              <w:t>provisions, primarily related to current and ultimate levels of retiree and</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dependent contributions. Retirees as of October 1, 1993 are entitled to benefits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existing prior to these plan changes. These plan changes resulted in a reduction</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in unrecognized prior service cost, which is being amortized over future years.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47"/>
        </w:trPr>
        <w:tc>
          <w:tcPr>
            <w:tcW w:w="69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following table sets forth the changes in the accumulated post retirement</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benefit obligation for the retiree medical plan for fiscal 1999 and 1998:</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694"/>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Contribution by participants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Actuarial loss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69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following table sets forth the changes in the fair value of the assets of</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the retiree medical plan for fiscal 1999 and 1998:</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694"/>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Contributions by participants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838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table sets forth the retiree medical plan status reconciled to the</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940" w:type="dxa"/>
            <w:vAlign w:val="bottom"/>
            <w:gridSpan w:val="2"/>
          </w:tcPr>
          <w:p>
            <w:pPr>
              <w:spacing w:after="0"/>
              <w:rPr>
                <w:sz w:val="20"/>
                <w:szCs w:val="20"/>
                <w:color w:val="auto"/>
              </w:rPr>
            </w:pPr>
            <w:r>
              <w:rPr>
                <w:rFonts w:ascii="Courier New" w:cs="Courier New" w:eastAsia="Courier New" w:hAnsi="Courier New"/>
                <w:sz w:val="15"/>
                <w:szCs w:val="15"/>
                <w:color w:val="auto"/>
                <w:w w:val="99"/>
              </w:rPr>
              <w:t>amounts included in the Consolidated Balance Sheets, as of September 30, 1999</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and 1998.</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694"/>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24"/>
                <w:szCs w:val="24"/>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Retirees</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Fully eligible active plan participants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r>
      <w:tr>
        <w:trPr>
          <w:trHeight w:val="173"/>
        </w:trPr>
        <w:tc>
          <w:tcPr>
            <w:tcW w:w="6760" w:type="dxa"/>
            <w:vAlign w:val="bottom"/>
          </w:tcPr>
          <w:p>
            <w:pPr>
              <w:ind w:left="260"/>
              <w:spacing w:after="0"/>
              <w:rPr>
                <w:sz w:val="20"/>
                <w:szCs w:val="20"/>
                <w:color w:val="auto"/>
              </w:rPr>
            </w:pPr>
            <w:r>
              <w:rPr>
                <w:rFonts w:ascii="Courier New" w:cs="Courier New" w:eastAsia="Courier New" w:hAnsi="Courier New"/>
                <w:sz w:val="15"/>
                <w:szCs w:val="15"/>
                <w:color w:val="auto"/>
              </w:rPr>
              <w:t>Other active plan participants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Total accumulated postretirement benefit obligation</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15.8</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Unrecognized net gains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Accrued postretirement liability</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26.4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6760" w:type="dxa"/>
            <w:vAlign w:val="bottom"/>
          </w:tcPr>
          <w:p>
            <w:pPr>
              <w:spacing w:after="0"/>
              <w:rPr>
                <w:sz w:val="20"/>
                <w:szCs w:val="20"/>
                <w:color w:val="auto"/>
              </w:rPr>
            </w:pPr>
            <w:r>
              <w:rPr>
                <w:rFonts w:ascii="Courier New" w:cs="Courier New" w:eastAsia="Courier New" w:hAnsi="Courier New"/>
                <w:sz w:val="15"/>
                <w:szCs w:val="15"/>
                <w:color w:val="auto"/>
                <w:w w:val="99"/>
              </w:rPr>
              <w:t>Net periodic postretirement benefit cost includes the following components: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94"/>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FISCAL YEAR ENDED</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 w:type="dxa"/>
            <w:vAlign w:val="bottom"/>
          </w:tcPr>
          <w:p>
            <w:pPr>
              <w:spacing w:after="0"/>
              <w:rPr>
                <w:sz w:val="15"/>
                <w:szCs w:val="15"/>
                <w:color w:val="auto"/>
              </w:rPr>
            </w:pPr>
          </w:p>
        </w:tc>
        <w:tc>
          <w:tcPr>
            <w:tcW w:w="144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4"/>
              </w:rPr>
              <w:t>1999</w:t>
            </w:r>
          </w:p>
        </w:tc>
        <w:tc>
          <w:tcPr>
            <w:tcW w:w="140" w:type="dxa"/>
            <w:vAlign w:val="bottom"/>
          </w:tcPr>
          <w:p>
            <w:pPr>
              <w:spacing w:after="0"/>
              <w:rPr>
                <w:sz w:val="15"/>
                <w:szCs w:val="15"/>
                <w:color w:val="auto"/>
              </w:rPr>
            </w:pP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5"/>
                <w:szCs w:val="15"/>
                <w:color w:val="auto"/>
              </w:rPr>
            </w:pPr>
          </w:p>
        </w:tc>
        <w:tc>
          <w:tcPr>
            <w:tcW w:w="14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w:t>
            </w:r>
          </w:p>
        </w:tc>
      </w:tr>
      <w:tr>
        <w:trPr>
          <w:trHeight w:val="347"/>
        </w:trPr>
        <w:tc>
          <w:tcPr>
            <w:tcW w:w="67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0.3</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1.1</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80" w:type="dxa"/>
            <w:vAlign w:val="bottom"/>
          </w:tcPr>
          <w:p>
            <w:pPr>
              <w:spacing w:after="0"/>
              <w:rPr>
                <w:sz w:val="15"/>
                <w:szCs w:val="15"/>
                <w:color w:val="auto"/>
              </w:rPr>
            </w:pPr>
          </w:p>
        </w:tc>
        <w:tc>
          <w:tcPr>
            <w:tcW w:w="14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5"/>
                <w:szCs w:val="15"/>
                <w:color w:val="auto"/>
              </w:rPr>
            </w:pP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6760" w:type="dxa"/>
            <w:vAlign w:val="bottom"/>
          </w:tcPr>
          <w:p>
            <w:pPr>
              <w:spacing w:after="0"/>
              <w:rPr>
                <w:sz w:val="15"/>
                <w:szCs w:val="15"/>
                <w:color w:val="auto"/>
              </w:rPr>
            </w:pPr>
          </w:p>
        </w:tc>
        <w:tc>
          <w:tcPr>
            <w:tcW w:w="16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676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0.5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0.2</w:t>
            </w:r>
          </w:p>
        </w:tc>
      </w:tr>
      <w:tr>
        <w:trPr>
          <w:trHeight w:val="173"/>
        </w:trPr>
        <w:tc>
          <w:tcPr>
            <w:tcW w:w="6760" w:type="dxa"/>
            <w:vAlign w:val="bottom"/>
          </w:tcPr>
          <w:p>
            <w:pPr>
              <w:spacing w:after="0"/>
              <w:rPr>
                <w:sz w:val="15"/>
                <w:szCs w:val="15"/>
                <w:color w:val="auto"/>
              </w:rPr>
            </w:pPr>
          </w:p>
        </w:tc>
        <w:tc>
          <w:tcPr>
            <w:tcW w:w="16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640"/>
          </w:cols>
          <w:pgMar w:left="240" w:top="291" w:right="1019" w:bottom="35" w:gutter="0" w:footer="0" w:header="0"/>
        </w:sectPr>
      </w:pPr>
    </w:p>
    <w:bookmarkStart w:id="90" w:name="page91"/>
    <w:bookmarkEnd w:id="90"/>
    <w:p>
      <w:pPr>
        <w:ind w:left="23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9019"/>
          </w:cols>
          <w:pgMar w:left="1440" w:top="14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89</w:t>
      </w:r>
    </w:p>
    <w:p>
      <w:pPr>
        <w:spacing w:after="0" w:line="178"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7.5% and 6.75% in fiscal 1999 and 1998, respectively. For measurement purposes, annual rates of increase in per capita cost of covered retiree medical benefits assumed for fiscal 1999 and 1998 were 7.25% and 7.75% respectively. The rate was assumed to decrease gradually to 5.5% through the year 2003 and remain at that level thereafter. A 1% increase in the health care cost trend rate assumptions would increase the accumulated postretirement benefit obligation (APBO) as of September 30, 1999 and 1998 by $0.5 million and $0.7 million, respectively. A 1% increase or decrease in the same rate would not have a material effect on service or interest costs.</w:t>
      </w:r>
    </w:p>
    <w:p>
      <w:pPr>
        <w:spacing w:after="0" w:line="180"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Effective January 1, 1998, the Scotts, Hyponex and Sierra defined contribution profit sharing and 401(k) plans were merged and the surviving plan was expanded and amended to serve as the sole, active retirement savings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2% automatic base contribution to employees' accounts regardless of whether employees are active in the plan. Participants become vested in the Company's 2% base contribution after three years of service. The Company recorded charges of $8.4 million and $4.7 million under the new plan in fiscal 1999 and 1998, respectively. Under the terminated profit sharing and 401(k) plans, the Company recorded charges of $2.3 million in fiscal 1997.</w:t>
      </w:r>
    </w:p>
    <w:p>
      <w:pPr>
        <w:spacing w:after="0" w:line="185"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The Company is self-insured for certain health benefits up to $0.2 million per occurrence per individual. The cost of such benefits is recognized as expense in the period the claim is incurred. This cost was $11.0 million, $8.6 million and $7.9 million in fiscal 1999, 1998 and 1997,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DEBT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loans under credit facility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loans under credit facility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to sellers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bank borrowings and term loans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lease obligations and other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current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43"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amounts representing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24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9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3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64.2</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253.5</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509.0</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318.0</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99.5</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37.0</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17.6</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3"/>
        </w:trPr>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950.0</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372.5</w:t>
            </w:r>
          </w:p>
        </w:tc>
      </w:tr>
      <w:tr>
        <w:trPr>
          <w:trHeight w:val="173"/>
        </w:trPr>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56.4</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3"/>
        </w:trPr>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893.6</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359.2</w:t>
            </w:r>
          </w:p>
        </w:tc>
      </w:tr>
      <w:tr>
        <w:trPr>
          <w:trHeight w:val="173"/>
        </w:trPr>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4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4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LEASES</w:t>
            </w:r>
          </w:p>
        </w:tc>
        <w:tc>
          <w:tcPr>
            <w:tcW w:w="4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DEBT</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57.0</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58.1</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702.7</w:t>
            </w:r>
          </w:p>
        </w:tc>
      </w:tr>
      <w:tr>
        <w:trPr>
          <w:trHeight w:val="173"/>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965.3</w:t>
            </w:r>
          </w:p>
        </w:tc>
      </w:tr>
      <w:tr>
        <w:trPr>
          <w:trHeight w:val="173"/>
        </w:trPr>
        <w:tc>
          <w:tcPr>
            <w:tcW w:w="46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3"/>
        </w:trPr>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947.4</w:t>
            </w:r>
          </w:p>
        </w:tc>
      </w:tr>
      <w:tr>
        <w:trPr>
          <w:trHeight w:val="173"/>
        </w:trPr>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2">
            <w:col w:w="7200" w:space="720"/>
            <w:col w:w="2720"/>
          </w:cols>
          <w:pgMar w:left="240" w:top="291" w:right="1019" w:bottom="555" w:gutter="0" w:footer="0" w:header="0"/>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640"/>
          </w:cols>
          <w:pgMar w:left="240" w:top="291" w:right="1019" w:bottom="555"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December 4, 1998, Scotts and certain of its subsidiaries entered into a new credit facility which provides for borrowings in the aggregate principal amount of $1.025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 The Company recorded a $0.4 million extraordinary loss, net of tax, in connection with the retirement of the previous facility.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February 1998, the Company had entered into a credit facility to replace its then existing credit facility, which resulted in an extraordinary loss of $0.7 million, net of tax, for the write-off of unamortized deferred financing costs. The term loan facilities consist of three tranches.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Tranche A Term Loan Facility consists of three sub-tranches of French Francs, German Deutschemarks and British Pounds Sterling in an aggregate principal amount of $265 million which are to be repaid quarterly over a 6-1/2 year period. The Tranche B Term Loan Facility is a 7-1/2 year term loan facility in an aggregate principal amount of $140 million, which is to be repaid in nominal quarterly installments for the first 6-1/2 years and in substantial quarterly installments in the final year. The Tranche C Term Loan Facility is a 8-1/2 year term loan facility in an aggregate principal amount of $120 million, which is to be repaid in nominal quarterly installments for the first 7-1/2 years and in substantial quarterly installments in the final year.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revolving credit facility provides for borrowings up to $500 million, which are available on a revolving basis over a term of 6-1/2 years. A portion of the revolving credit facility not to exceed $100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rates and commitment fees pursuant to the new credit facility vary according to the Company's leverage ratios and also within tranches. The weighted-average interest rate on the Company's variable rate borrowings at September 30, 1999 was 7.68%. In addition, the new credit facility requires that the Company enter into hedge agreements to the extent necessary to provide that at least 50% of the aggregate principal amount of the 8 5/8% Senior Subordinated Notes due 2009 and term loan facilities is subject to a fixed interest rate.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 The Company and all of its domestic subsidiaries pledged substantially all of their personal, real and intellectual property assets as collateral on the borrowings under the credit facility. The Company and its subsidiaries also pledged the stock in foreign subsidiaries that borrow under the credit facility.</w:t>
      </w:r>
    </w:p>
    <w:p>
      <w:pPr>
        <w:spacing w:after="0" w:line="18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Approximately $12.6 million of financing costs associated with the new credit facility have been deferred as of September 30, 1999 and are being amortized over a period of approximately 7 years.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Approximately $11.4 million of issuance costs associated with the Notes have been deferred as of September 30, 1999 and are being amortized over the term of the Notes.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August 1999, the Company repurchased the remaining $2.9 million of the 9 7/8% Senior Subordinated Notes, resulting in an extraordinary loss, net of tax, of $0.1 million.</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ectPr>
          <w:pgSz w:w="11900" w:h="16838" w:orient="portrait"/>
          <w:cols w:equalWidth="0" w:num="1">
            <w:col w:w="10219"/>
          </w:cols>
          <w:pgMar w:left="240" w:top="291" w:right="1440" w:bottom="1440" w:gutter="0" w:footer="0" w:header="0"/>
        </w:sectPr>
      </w:pP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91"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91</w:t>
      </w:r>
    </w:p>
    <w:p>
      <w:pPr>
        <w:spacing w:after="0" w:line="200" w:lineRule="exact"/>
        <w:rPr>
          <w:sz w:val="20"/>
          <w:szCs w:val="20"/>
          <w:color w:val="auto"/>
        </w:rPr>
      </w:pPr>
    </w:p>
    <w:p>
      <w:pPr>
        <w:spacing w:after="0" w:line="324" w:lineRule="exact"/>
        <w:rPr>
          <w:sz w:val="20"/>
          <w:szCs w:val="20"/>
          <w:color w:val="auto"/>
        </w:rPr>
      </w:pPr>
    </w:p>
    <w:p>
      <w:pPr>
        <w:ind w:right="3440"/>
        <w:spacing w:after="0" w:line="244"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notes were issued for certain portions of the total purchase price that are to be paid in annual installments over a four-year period. The present value of remaining note payments is $32.2 million and $4.8 million, respectively. The Company is imputing interest on the non-interest bearing notes using an interest rate prevalent for similar instruments at the time of acquisition (approximately 9% and 8%, respectively).</w:t>
      </w:r>
    </w:p>
    <w:p>
      <w:pPr>
        <w:spacing w:after="0" w:line="351" w:lineRule="exact"/>
        <w:rPr>
          <w:sz w:val="20"/>
          <w:szCs w:val="20"/>
          <w:color w:val="auto"/>
        </w:rPr>
      </w:pPr>
    </w:p>
    <w:p>
      <w:pPr>
        <w:ind w:right="3440"/>
        <w:spacing w:after="0" w:line="244" w:lineRule="auto"/>
        <w:rPr>
          <w:sz w:val="20"/>
          <w:szCs w:val="20"/>
          <w:color w:val="auto"/>
        </w:rPr>
      </w:pPr>
      <w:r>
        <w:rPr>
          <w:rFonts w:ascii="Courier New" w:cs="Courier New" w:eastAsia="Courier New" w:hAnsi="Courier New"/>
          <w:sz w:val="15"/>
          <w:szCs w:val="15"/>
          <w:color w:val="auto"/>
        </w:rPr>
        <w:t>The foreign term loans of $6.0 million issued on December 12, 1997, have an 8-year term and bear interest at 1% below LIBOR. The loans are denominated in Pounds Sterling and can be redeemed, on demand, by the note holder. The foreign bank borrowings of $11.6 million at September 30, 1999 represent lines of credit for foreign operations and are denominated in French Francs, Australian Dollars and Dutch Gilders.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SHAREHOLDERS' EQUITY</w:t>
      </w:r>
    </w:p>
    <w:p>
      <w:pPr>
        <w:spacing w:after="0" w:line="200" w:lineRule="exact"/>
        <w:rPr>
          <w:sz w:val="20"/>
          <w:szCs w:val="20"/>
          <w:color w:val="auto"/>
        </w:rPr>
      </w:pPr>
    </w:p>
    <w:p>
      <w:pPr>
        <w:spacing w:after="0" w:line="324" w:lineRule="exact"/>
        <w:rPr>
          <w:sz w:val="20"/>
          <w:szCs w:val="20"/>
          <w:color w:val="auto"/>
        </w:rPr>
      </w:pPr>
    </w:p>
    <w:p>
      <w:pPr>
        <w:spacing w:after="0"/>
        <w:tabs>
          <w:tab w:leader="none" w:pos="7460" w:val="left"/>
          <w:tab w:leader="none" w:pos="9700"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tabs>
          <w:tab w:leader="none" w:pos="7640" w:val="left"/>
          <w:tab w:leader="none" w:pos="9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Convertible Preferred Stock, no par value:</w:t>
      </w:r>
    </w:p>
    <w:p>
      <w:pPr>
        <w:spacing w:after="0" w:line="177" w:lineRule="exact"/>
        <w:rPr>
          <w:sz w:val="20"/>
          <w:szCs w:val="20"/>
          <w:color w:val="auto"/>
        </w:rPr>
      </w:pPr>
    </w:p>
    <w:p>
      <w:pPr>
        <w:ind w:left="260"/>
        <w:spacing w:after="0"/>
        <w:tabs>
          <w:tab w:leader="none" w:pos="7460" w:val="left"/>
          <w:tab w:leader="none" w:pos="9700" w:val="left"/>
        </w:tabs>
        <w:rPr>
          <w:sz w:val="20"/>
          <w:szCs w:val="20"/>
          <w:color w:val="auto"/>
        </w:rPr>
      </w:pPr>
      <w:r>
        <w:rPr>
          <w:rFonts w:ascii="Courier New" w:cs="Courier New" w:eastAsia="Courier New" w:hAnsi="Courier New"/>
          <w:sz w:val="15"/>
          <w:szCs w:val="15"/>
          <w:color w:val="auto"/>
        </w:rPr>
        <w:t>Authorized</w:t>
      </w:r>
      <w:r>
        <w:rPr>
          <w:sz w:val="20"/>
          <w:szCs w:val="20"/>
          <w:color w:val="auto"/>
        </w:rPr>
        <w:tab/>
      </w:r>
      <w:r>
        <w:rPr>
          <w:rFonts w:ascii="Courier New" w:cs="Courier New" w:eastAsia="Courier New" w:hAnsi="Courier New"/>
          <w:sz w:val="15"/>
          <w:szCs w:val="15"/>
          <w:color w:val="auto"/>
        </w:rPr>
        <w:t>0.2 shares</w:t>
      </w:r>
      <w:r>
        <w:rPr>
          <w:sz w:val="20"/>
          <w:szCs w:val="20"/>
          <w:color w:val="auto"/>
        </w:rPr>
        <w:tab/>
      </w:r>
      <w:r>
        <w:rPr>
          <w:rFonts w:ascii="Courier New" w:cs="Courier New" w:eastAsia="Courier New" w:hAnsi="Courier New"/>
          <w:sz w:val="15"/>
          <w:szCs w:val="15"/>
          <w:color w:val="auto"/>
        </w:rPr>
        <w:t>0.2 shares</w:t>
      </w:r>
    </w:p>
    <w:p>
      <w:pPr>
        <w:spacing w:after="0" w:line="3" w:lineRule="exact"/>
        <w:rPr>
          <w:sz w:val="20"/>
          <w:szCs w:val="20"/>
          <w:color w:val="auto"/>
        </w:rPr>
      </w:pPr>
    </w:p>
    <w:p>
      <w:pPr>
        <w:ind w:left="260"/>
        <w:spacing w:after="0"/>
        <w:tabs>
          <w:tab w:leader="none" w:pos="7460" w:val="left"/>
          <w:tab w:leader="none" w:pos="970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0.2 shares</w:t>
      </w:r>
      <w:r>
        <w:rPr>
          <w:sz w:val="20"/>
          <w:szCs w:val="20"/>
          <w:color w:val="auto"/>
        </w:rPr>
        <w:tab/>
      </w:r>
      <w:r>
        <w:rPr>
          <w:rFonts w:ascii="Courier New" w:cs="Courier New" w:eastAsia="Courier New" w:hAnsi="Courier New"/>
          <w:sz w:val="15"/>
          <w:szCs w:val="15"/>
          <w:color w:val="auto"/>
        </w:rPr>
        <w:t>0.2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 no par value</w:t>
      </w:r>
    </w:p>
    <w:p>
      <w:pPr>
        <w:spacing w:after="0" w:line="3" w:lineRule="exact"/>
        <w:rPr>
          <w:sz w:val="20"/>
          <w:szCs w:val="20"/>
          <w:color w:val="auto"/>
        </w:rPr>
      </w:pPr>
    </w:p>
    <w:p>
      <w:pPr>
        <w:ind w:left="260"/>
        <w:spacing w:after="0"/>
        <w:tabs>
          <w:tab w:leader="none" w:pos="7360" w:val="left"/>
          <w:tab w:leader="none" w:pos="9620" w:val="left"/>
        </w:tabs>
        <w:rPr>
          <w:sz w:val="20"/>
          <w:szCs w:val="20"/>
          <w:color w:val="auto"/>
        </w:rPr>
      </w:pPr>
      <w:r>
        <w:rPr>
          <w:rFonts w:ascii="Courier New" w:cs="Courier New" w:eastAsia="Courier New" w:hAnsi="Courier New"/>
          <w:sz w:val="15"/>
          <w:szCs w:val="15"/>
          <w:color w:val="auto"/>
        </w:rPr>
        <w:t>Authorized</w:t>
      </w:r>
      <w:r>
        <w:rPr>
          <w:sz w:val="20"/>
          <w:szCs w:val="20"/>
          <w:color w:val="auto"/>
        </w:rPr>
        <w:tab/>
      </w:r>
      <w:r>
        <w:rPr>
          <w:rFonts w:ascii="Courier New" w:cs="Courier New" w:eastAsia="Courier New" w:hAnsi="Courier New"/>
          <w:sz w:val="15"/>
          <w:szCs w:val="15"/>
          <w:color w:val="auto"/>
        </w:rPr>
        <w:t>50.0 shares</w:t>
      </w:r>
      <w:r>
        <w:rPr>
          <w:sz w:val="20"/>
          <w:szCs w:val="20"/>
          <w:color w:val="auto"/>
        </w:rPr>
        <w:tab/>
      </w:r>
      <w:r>
        <w:rPr>
          <w:rFonts w:ascii="Courier New" w:cs="Courier New" w:eastAsia="Courier New" w:hAnsi="Courier New"/>
          <w:sz w:val="15"/>
          <w:szCs w:val="15"/>
          <w:color w:val="auto"/>
        </w:rPr>
        <w:t>50.0 shares</w:t>
      </w:r>
    </w:p>
    <w:p>
      <w:pPr>
        <w:spacing w:after="0" w:line="3" w:lineRule="exact"/>
        <w:rPr>
          <w:sz w:val="20"/>
          <w:szCs w:val="20"/>
          <w:color w:val="auto"/>
        </w:rPr>
      </w:pPr>
    </w:p>
    <w:p>
      <w:pPr>
        <w:ind w:left="260"/>
        <w:spacing w:after="0"/>
        <w:tabs>
          <w:tab w:leader="none" w:pos="7360" w:val="left"/>
          <w:tab w:leader="none" w:pos="962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21.3 shares</w:t>
      </w:r>
      <w:r>
        <w:rPr>
          <w:sz w:val="20"/>
          <w:szCs w:val="20"/>
          <w:color w:val="auto"/>
        </w:rPr>
        <w:tab/>
      </w:r>
      <w:r>
        <w:rPr>
          <w:rFonts w:ascii="Courier New" w:cs="Courier New" w:eastAsia="Courier New" w:hAnsi="Courier New"/>
          <w:sz w:val="15"/>
          <w:szCs w:val="15"/>
          <w:color w:val="auto"/>
        </w:rPr>
        <w:t>21.1 shares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Convertible Preferred Stock ("Preferred Shares") with a face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$195.0 million was issued in conjunction with the 1995 Miracle-Gro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These Preferred Shares had a 5% dividend yield and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upon shareholder demand into common shares at any time and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option after May 2000 at $19.00 per common share. The conversion feature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 convertible preferred stock issued in connection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merger was negotiated as an integral part of the overall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The conversion price exceeded the fair market value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common shares on the date the two companies reached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therefore, the preferred stock did not provide for a beneficial conversion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feature. Additionally, warrants to purchase 3.0 million common shares of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issued as part of the purchase price. The warrants are exercisable upon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demand for 1.0 million common shares at $21.00 per share,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common shares at $25.00 per share and 1.0 million common shares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$29.00 per share. The exercise term for the warrants expires September 2003.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the warrants at issuance has been included in capital in excess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 value in the Company's Consolidated Balance Sheets.</w:t>
      </w:r>
    </w:p>
    <w:p>
      <w:pPr>
        <w:spacing w:after="0" w:line="351" w:lineRule="exact"/>
        <w:rPr>
          <w:sz w:val="20"/>
          <w:szCs w:val="20"/>
          <w:color w:val="auto"/>
        </w:rPr>
      </w:pPr>
    </w:p>
    <w:p>
      <w:pPr>
        <w:ind w:right="3440"/>
        <w:spacing w:after="0" w:line="244" w:lineRule="auto"/>
        <w:rPr>
          <w:sz w:val="20"/>
          <w:szCs w:val="20"/>
          <w:color w:val="auto"/>
        </w:rPr>
      </w:pPr>
      <w:r>
        <w:rPr>
          <w:rFonts w:ascii="Courier New" w:cs="Courier New" w:eastAsia="Courier New" w:hAnsi="Courier New"/>
          <w:sz w:val="15"/>
          <w:szCs w:val="15"/>
          <w:color w:val="auto"/>
        </w:rPr>
        <w:t>In October 1999, all of the then outstanding Preferred Shares were converted into 10.1 million common shares. In exchange for the early conversion, Scotts paid the holders of the Preferred Shares $6.4 million. The amount represents the dividends on the Preferred Shares that otherwise would have been payable through May 2000, the month during which the Preferred Shares could first be redeemed by Scotts. In addition, Scotts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Scotts' shareholders. Following the conversion and the termination of the standstill provisions described above, the former shareholders of Miracle-Gro own approximately 41% of Scotts' outstanding common shares and have the ability to significantly control the election of directors and approval of other actions requiring the approval of Scotts' shareholders. In fiscal 1999, certain of the Preferred Shares were converted into 0.2 million common shares at the holders' option.</w:t>
      </w:r>
    </w:p>
    <w:p>
      <w:pPr>
        <w:spacing w:after="0" w:line="185" w:lineRule="exact"/>
        <w:rPr>
          <w:sz w:val="20"/>
          <w:szCs w:val="20"/>
          <w:color w:val="auto"/>
        </w:rPr>
      </w:pPr>
    </w:p>
    <w:p>
      <w:pPr>
        <w:ind w:right="3440"/>
        <w:spacing w:after="0" w:line="244" w:lineRule="auto"/>
        <w:rPr>
          <w:sz w:val="20"/>
          <w:szCs w:val="20"/>
          <w:color w:val="auto"/>
        </w:rPr>
      </w:pPr>
      <w:r>
        <w:rPr>
          <w:rFonts w:ascii="Courier New" w:cs="Courier New" w:eastAsia="Courier New" w:hAnsi="Courier New"/>
          <w:sz w:val="15"/>
          <w:szCs w:val="15"/>
          <w:color w:val="auto"/>
        </w:rPr>
        <w:t>Under The Scotts Company 1992 Long Term Incentive Plan (the "1992 Plan"), stock options, stock appreciation rights and performance share awards were granted to officers and other key employees of the Company. The 1992 Plan also provided for the grant of stock options to non-employee directors of the Company. The maximum number of common shares that may be issued upon the exercise of options granted under the Plan is 1.7 million, plus the number of shares surrendered to exercise options (other than director options) granted under the 1992 Plan, up to a maximum of 1.0 million surrendered shares. Vesting periods under the 1992 Plan vary and are determined by the Compensation and Organization Committee of the Company's Board of Directors.</w:t>
      </w:r>
    </w:p>
    <w:p>
      <w:pPr>
        <w:sectPr>
          <w:pgSz w:w="11900" w:h="16838" w:orient="portrait"/>
          <w:cols w:equalWidth="0" w:num="1">
            <w:col w:w="10640"/>
          </w:cols>
          <w:pgMar w:left="240" w:top="291" w:right="1019" w:bottom="208" w:gutter="0" w:footer="0" w:header="0"/>
        </w:sectPr>
      </w:pP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640"/>
          </w:cols>
          <w:pgMar w:left="240" w:top="291" w:right="1019" w:bottom="208"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92</w:t>
      </w:r>
    </w:p>
    <w:p>
      <w:pPr>
        <w:spacing w:after="0" w:line="351"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other key employees and non-employee directors of the Company. The maximum number of common shares that may be issued under the 1996 Plan is 5.5 million. Vesting periods under the 1996 Plan vary and are determined by the Compensation and Organization Committee of the Company's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FISCAL YEAR ENDED SEPTEMBER 30,</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3"/>
        </w:trPr>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NUMBER OF</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WTD. AVG.</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NUMBER OF</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WTD. AVG.</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NUMBER OF</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WTD. AVG.</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w:t>
            </w:r>
          </w:p>
        </w:tc>
        <w:tc>
          <w:tcPr>
            <w:tcW w:w="4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SHARES</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PRICE</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Beginning balance</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18.35</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6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16.73</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Options granted</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29.43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20.18</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exercised</w:t>
            </w:r>
          </w:p>
        </w:tc>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16.51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16.60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12.72</w:t>
            </w: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Options canceled</w:t>
            </w:r>
          </w:p>
        </w:tc>
        <w:tc>
          <w:tcPr>
            <w:tcW w:w="1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30.94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29.63</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19.27</w:t>
            </w:r>
          </w:p>
        </w:tc>
      </w:tr>
      <w:tr>
        <w:trPr>
          <w:trHeight w:val="173"/>
        </w:trPr>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Ending balance</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26.33</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20.70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18.35</w:t>
            </w:r>
          </w:p>
        </w:tc>
      </w:tr>
      <w:tr>
        <w:trPr>
          <w:trHeight w:val="173"/>
        </w:trPr>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w:t>
            </w:r>
          </w:p>
        </w:tc>
        <w:tc>
          <w:tcPr>
            <w:tcW w:w="1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September</w:t>
            </w:r>
          </w:p>
        </w:tc>
        <w:tc>
          <w:tcPr>
            <w:tcW w:w="12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w:t>
            </w:r>
          </w:p>
        </w:tc>
        <w:tc>
          <w:tcPr>
            <w:tcW w:w="46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18.17</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spacing w:after="0"/>
              <w:rPr>
                <w:sz w:val="15"/>
                <w:szCs w:val="15"/>
                <w:color w:val="auto"/>
              </w:rPr>
            </w:pPr>
          </w:p>
        </w:tc>
        <w:tc>
          <w:tcPr>
            <w:tcW w:w="9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17.30</w:t>
            </w:r>
          </w:p>
        </w:tc>
      </w:tr>
    </w:tbl>
    <w:p>
      <w:pPr>
        <w:spacing w:after="0" w:line="351" w:lineRule="exact"/>
        <w:rPr>
          <w:sz w:val="20"/>
          <w:szCs w:val="20"/>
          <w:color w:val="auto"/>
        </w:rPr>
      </w:pPr>
    </w:p>
    <w:p>
      <w:pPr>
        <w:ind w:right="4420"/>
        <w:spacing w:after="0" w:line="243"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1999:</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OPTIONS OUTSTANDING</w:t>
            </w:r>
          </w:p>
        </w:tc>
        <w:tc>
          <w:tcPr>
            <w:tcW w:w="96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OPTIONS EXERCISABLE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2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WTD. AVG.</w:t>
            </w:r>
          </w:p>
        </w:tc>
        <w:tc>
          <w:tcPr>
            <w:tcW w:w="44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WTD. AVG.</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WTD. AVG.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340" w:type="dxa"/>
            <w:vAlign w:val="bottom"/>
          </w:tcPr>
          <w:p>
            <w:pPr>
              <w:ind w:left="1480"/>
              <w:spacing w:after="0"/>
              <w:rPr>
                <w:sz w:val="20"/>
                <w:szCs w:val="20"/>
                <w:color w:val="auto"/>
              </w:rPr>
            </w:pPr>
            <w:r>
              <w:rPr>
                <w:rFonts w:ascii="Courier New" w:cs="Courier New" w:eastAsia="Courier New" w:hAnsi="Courier New"/>
                <w:sz w:val="15"/>
                <w:szCs w:val="15"/>
                <w:color w:val="auto"/>
              </w:rPr>
              <w:t>NO. OF</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REMAINING</w:t>
            </w:r>
          </w:p>
        </w:tc>
        <w:tc>
          <w:tcPr>
            <w:tcW w:w="44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840" w:type="dxa"/>
            <w:vAlign w:val="bottom"/>
          </w:tcPr>
          <w:p>
            <w:pPr>
              <w:ind w:left="620"/>
              <w:spacing w:after="0"/>
              <w:rPr>
                <w:sz w:val="20"/>
                <w:szCs w:val="20"/>
                <w:color w:val="auto"/>
              </w:rPr>
            </w:pPr>
            <w:r>
              <w:rPr>
                <w:rFonts w:ascii="Courier New" w:cs="Courier New" w:eastAsia="Courier New" w:hAnsi="Courier New"/>
                <w:sz w:val="15"/>
                <w:szCs w:val="15"/>
                <w:color w:val="auto"/>
              </w:rPr>
              <w:t>NO. OF</w:t>
            </w:r>
          </w:p>
        </w:tc>
        <w:tc>
          <w:tcPr>
            <w:tcW w:w="22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EXERCISE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340" w:type="dxa"/>
            <w:vAlign w:val="bottom"/>
          </w:tcPr>
          <w:p>
            <w:pPr>
              <w:ind w:left="1480"/>
              <w:spacing w:after="0"/>
              <w:rPr>
                <w:sz w:val="20"/>
                <w:szCs w:val="20"/>
                <w:color w:val="auto"/>
              </w:rPr>
            </w:pPr>
            <w:r>
              <w:rPr>
                <w:rFonts w:ascii="Courier New" w:cs="Courier New" w:eastAsia="Courier New" w:hAnsi="Courier New"/>
                <w:sz w:val="15"/>
                <w:szCs w:val="15"/>
                <w:color w:val="auto"/>
              </w:rPr>
              <w:t>OPTIONS</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LIFE</w:t>
            </w:r>
          </w:p>
        </w:tc>
        <w:tc>
          <w:tcPr>
            <w:tcW w:w="44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1840" w:type="dxa"/>
            <w:vAlign w:val="bottom"/>
          </w:tcPr>
          <w:p>
            <w:pPr>
              <w:ind w:left="620"/>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660" w:type="dxa"/>
            <w:vAlign w:val="bottom"/>
          </w:tcPr>
          <w:p>
            <w:pPr>
              <w:spacing w:after="0"/>
              <w:rPr>
                <w:sz w:val="20"/>
                <w:szCs w:val="20"/>
                <w:color w:val="auto"/>
              </w:rPr>
            </w:pPr>
            <w:r>
              <w:rPr>
                <w:rFonts w:ascii="Courier New" w:cs="Courier New" w:eastAsia="Courier New" w:hAnsi="Courier New"/>
                <w:sz w:val="15"/>
                <w:szCs w:val="15"/>
                <w:color w:val="auto"/>
              </w:rPr>
              <w:t>$9.90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9.90</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9.90</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$15.00-$20.00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17.82</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17.12</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$20.00-$25.00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6.79</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21.32</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21.01</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$25.00-$30.00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8.18</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27.08</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26.64</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$30.00-$35.00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9.03</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31.77</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32.67</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$35.00-$40.00</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35.96</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20"/>
                <w:szCs w:val="20"/>
                <w:color w:val="auto"/>
              </w:rPr>
            </w:pPr>
            <w:r>
              <w:rPr>
                <w:rFonts w:ascii="Courier New" w:cs="Courier New" w:eastAsia="Courier New" w:hAnsi="Courier New"/>
                <w:sz w:val="15"/>
                <w:szCs w:val="15"/>
                <w:color w:val="auto"/>
              </w:rPr>
              <w:t>$40.00-$46.38</w:t>
            </w: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9.85</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42.11</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tcPr>
          <w:p>
            <w:pPr>
              <w:spacing w:after="0"/>
              <w:rPr>
                <w:sz w:val="15"/>
                <w:szCs w:val="15"/>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w:t>
            </w:r>
          </w:p>
        </w:tc>
        <w:tc>
          <w:tcPr>
            <w:tcW w:w="1440" w:type="dxa"/>
            <w:vAlign w:val="bottom"/>
          </w:tcPr>
          <w:p>
            <w:pPr>
              <w:spacing w:after="0"/>
              <w:rPr>
                <w:sz w:val="15"/>
                <w:szCs w:val="15"/>
                <w:color w:val="auto"/>
              </w:rPr>
            </w:pP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26.33</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r>
      <w:tr>
        <w:trPr>
          <w:trHeight w:val="173"/>
        </w:trPr>
        <w:tc>
          <w:tcPr>
            <w:tcW w:w="2660" w:type="dxa"/>
            <w:vAlign w:val="bottom"/>
          </w:tcPr>
          <w:p>
            <w:pPr>
              <w:spacing w:after="0"/>
              <w:rPr>
                <w:sz w:val="15"/>
                <w:szCs w:val="15"/>
                <w:color w:val="auto"/>
              </w:rPr>
            </w:pPr>
          </w:p>
        </w:tc>
        <w:tc>
          <w:tcPr>
            <w:tcW w:w="2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176"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The fair value of each option granted has been estimated on the grant date using the Black-Scholes option-pricing model based on the following assumptions for those granted in fiscal 1999, 1998 and 1997: (1) expected market-price volatility of 24.44 %, 23.23% and 22.48%, respectively; (2) risk-free interest rates of 6.0%, 4.3% and 6.6%, respectively; and (3) expected life of options of 6 years. The estimated weighted-average fair value per share of options granted during fiscal 1999, 1998 and 1997 was $13.64, $9.28 and $8.00, respectively.</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900"/>
          </w:cols>
          <w:pgMar w:left="240" w:top="291" w:right="759"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93</w:t>
      </w:r>
    </w:p>
    <w:p>
      <w:pPr>
        <w:spacing w:after="0" w:line="351" w:lineRule="exact"/>
        <w:rPr>
          <w:sz w:val="20"/>
          <w:szCs w:val="20"/>
          <w:color w:val="auto"/>
        </w:rPr>
      </w:pPr>
    </w:p>
    <w:p>
      <w:pPr>
        <w:ind w:right="3600"/>
        <w:spacing w:after="0" w:line="244" w:lineRule="auto"/>
        <w:rPr>
          <w:sz w:val="20"/>
          <w:szCs w:val="20"/>
          <w:color w:val="auto"/>
        </w:rPr>
      </w:pPr>
      <w:r>
        <w:rPr>
          <w:rFonts w:ascii="Courier New" w:cs="Courier New" w:eastAsia="Courier New" w:hAnsi="Courier New"/>
          <w:sz w:val="15"/>
          <w:szCs w:val="15"/>
          <w:color w:val="auto"/>
        </w:rPr>
        <w:t>Had compensation expense been recognized for fiscal 1999, 1998 and 1997 in accordance with provisions of SFAS No. 123, the Company would have recorded net income and earnings per share as follows: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40" w:type="dxa"/>
            <w:vAlign w:val="bottom"/>
          </w:tcPr>
          <w:p>
            <w:pPr>
              <w:spacing w:after="0"/>
              <w:rPr>
                <w:sz w:val="14"/>
                <w:szCs w:val="14"/>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15"/>
                <w:szCs w:val="15"/>
                <w:color w:val="auto"/>
              </w:rPr>
            </w:pP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 used in per share calculation</w:t>
            </w:r>
          </w:p>
        </w:tc>
        <w:tc>
          <w:tcPr>
            <w:tcW w:w="1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1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1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bl>
    <w:p>
      <w:pPr>
        <w:spacing w:after="0" w:line="351" w:lineRule="exact"/>
        <w:rPr>
          <w:sz w:val="20"/>
          <w:szCs w:val="20"/>
          <w:color w:val="auto"/>
        </w:rPr>
      </w:pPr>
    </w:p>
    <w:p>
      <w:pPr>
        <w:ind w:right="3880"/>
        <w:spacing w:after="0" w:line="244"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years as additional option grants may be made each year.</w:t>
      </w:r>
    </w:p>
    <w:p>
      <w:pPr>
        <w:spacing w:after="0" w:line="175"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In fiscal 1998, the Company sold 0.3 million put options which give the holder the option to sell the Company's common shares to the Company at a strike price of $35.32. The options could only be exercised on their expiration date in May 1999 and expired unused. The premium received on the sale of the put options was considered additional paid-in capital. The put options did not impact the Company's earnings per share calculation during fiscal 1999 since they would have been anti-dilutive. The impact of the put options on the fiscal 1998 earnings per share calculation was less than $0.01 per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EARNINGS PER COMMON SHARE</w:t>
      </w:r>
    </w:p>
    <w:p>
      <w:pPr>
        <w:spacing w:after="0" w:line="178" w:lineRule="exact"/>
        <w:rPr>
          <w:sz w:val="20"/>
          <w:szCs w:val="20"/>
          <w:color w:val="auto"/>
        </w:rPr>
      </w:pPr>
    </w:p>
    <w:p>
      <w:pPr>
        <w:ind w:right="4140"/>
        <w:spacing w:after="0" w:line="243"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share.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6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5"/>
                <w:szCs w:val="15"/>
                <w:color w:val="auto"/>
              </w:rPr>
            </w:pP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income before extraordinary loss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69.1</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63.2</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 Stock dividend</w:t>
            </w:r>
          </w:p>
        </w:tc>
        <w:tc>
          <w:tcPr>
            <w:tcW w:w="940" w:type="dxa"/>
            <w:vAlign w:val="bottom"/>
          </w:tcPr>
          <w:p>
            <w:pPr>
              <w:spacing w:after="0"/>
              <w:rPr>
                <w:sz w:val="15"/>
                <w:szCs w:val="15"/>
                <w:color w:val="auto"/>
              </w:rPr>
            </w:pP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612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available to common shareholders</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53.5</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26.5</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After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Net income used in diluted earnings per</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common share calculation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63.2</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Weighted-average common shares outstanding</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during the period</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Potential common shares: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Assuming conversion of Class A Convertible</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Preferred Stock</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Assuming exercise of options</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Assuming exercise of warrants</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6120" w:type="dxa"/>
            <w:vAlign w:val="bottom"/>
          </w:tcPr>
          <w:p>
            <w:pPr>
              <w:spacing w:after="0"/>
              <w:rPr>
                <w:sz w:val="15"/>
                <w:szCs w:val="15"/>
                <w:color w:val="auto"/>
              </w:rPr>
            </w:pPr>
          </w:p>
        </w:tc>
        <w:tc>
          <w:tcPr>
            <w:tcW w:w="1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Weighted-average number of common shares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outstanding and dilutive potential common shares</w:t>
            </w:r>
          </w:p>
        </w:tc>
        <w:tc>
          <w:tcPr>
            <w:tcW w:w="940" w:type="dxa"/>
            <w:vAlign w:val="bottom"/>
          </w:tcPr>
          <w:p>
            <w:pPr>
              <w:spacing w:after="0"/>
              <w:rPr>
                <w:sz w:val="15"/>
                <w:szCs w:val="15"/>
                <w:color w:val="auto"/>
              </w:rPr>
            </w:pP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30.5</w:t>
            </w:r>
          </w:p>
        </w:tc>
        <w:tc>
          <w:tcPr>
            <w:tcW w:w="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After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bl>
    <w:p>
      <w:pPr>
        <w:spacing w:after="0" w:line="351" w:lineRule="exact"/>
        <w:rPr>
          <w:sz w:val="20"/>
          <w:szCs w:val="20"/>
          <w:color w:val="auto"/>
        </w:rPr>
      </w:pPr>
    </w:p>
    <w:p>
      <w:pPr>
        <w:ind w:right="3600"/>
        <w:spacing w:after="0" w:line="244" w:lineRule="auto"/>
        <w:rPr>
          <w:sz w:val="20"/>
          <w:szCs w:val="20"/>
          <w:color w:val="auto"/>
        </w:rPr>
      </w:pPr>
      <w:r>
        <w:rPr>
          <w:rFonts w:ascii="Courier New" w:cs="Courier New" w:eastAsia="Courier New" w:hAnsi="Courier New"/>
          <w:sz w:val="15"/>
          <w:szCs w:val="15"/>
          <w:color w:val="auto"/>
        </w:rPr>
        <w:t>Basic earnings per common share is computed by dividing income available to common shareholders by the weighted average number of common shares outstanding during the period.</w:t>
      </w:r>
    </w:p>
    <w:p>
      <w:pPr>
        <w:sectPr>
          <w:pgSz w:w="11900" w:h="16838" w:orient="portrait"/>
          <w:cols w:equalWidth="0" w:num="1">
            <w:col w:w="10720"/>
          </w:cols>
          <w:pgMar w:left="240" w:top="291" w:right="939" w:bottom="1440" w:gutter="0" w:footer="0" w:header="0"/>
        </w:sectPr>
      </w:pP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720"/>
          </w:cols>
          <w:pgMar w:left="240" w:top="291" w:right="939"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94</w:t>
      </w:r>
    </w:p>
    <w:p>
      <w:pPr>
        <w:spacing w:after="0" w:line="178" w:lineRule="exact"/>
        <w:rPr>
          <w:sz w:val="20"/>
          <w:szCs w:val="20"/>
          <w:color w:val="auto"/>
        </w:rPr>
      </w:pPr>
    </w:p>
    <w:p>
      <w:pPr>
        <w:ind w:right="4060"/>
        <w:spacing w:after="0" w:line="244" w:lineRule="auto"/>
        <w:rPr>
          <w:sz w:val="20"/>
          <w:szCs w:val="20"/>
          <w:color w:val="auto"/>
        </w:rPr>
      </w:pPr>
      <w:r>
        <w:rPr>
          <w:rFonts w:ascii="Courier New" w:cs="Courier New" w:eastAsia="Courier New" w:hAnsi="Courier New"/>
          <w:sz w:val="15"/>
          <w:szCs w:val="15"/>
          <w:color w:val="auto"/>
        </w:rPr>
        <w:t>Diluted earnings per share is computed by dividing net income by the weighted-average number of common shares and dilutive potential common shares (stock options, Class A Convertible Preferred Stock and warrants) outstanding during each period.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INCOME TAXES</w:t>
      </w:r>
    </w:p>
    <w:p>
      <w:pPr>
        <w:spacing w:after="0" w:line="178" w:lineRule="exact"/>
        <w:rPr>
          <w:sz w:val="20"/>
          <w:szCs w:val="20"/>
          <w:color w:val="auto"/>
        </w:rPr>
      </w:pPr>
    </w:p>
    <w:p>
      <w:pPr>
        <w:ind w:right="3800"/>
        <w:spacing w:after="0" w:line="244" w:lineRule="auto"/>
        <w:rPr>
          <w:sz w:val="20"/>
          <w:szCs w:val="20"/>
          <w:color w:val="auto"/>
        </w:rPr>
      </w:pPr>
      <w:r>
        <w:rPr>
          <w:rFonts w:ascii="Courier New" w:cs="Courier New" w:eastAsia="Courier New" w:hAnsi="Courier New"/>
          <w:sz w:val="15"/>
          <w:szCs w:val="15"/>
          <w:color w:val="auto"/>
        </w:rPr>
        <w:t>The provision for income taxes, net of tax benefits associated with the 1999 and 1998 extraordinary losses of $4.1 million and $0.5 million, respectively, consists of the following:</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440" w:type="dxa"/>
            <w:vAlign w:val="bottom"/>
          </w:tcPr>
          <w:p>
            <w:pPr>
              <w:spacing w:after="0"/>
              <w:rPr>
                <w:sz w:val="15"/>
                <w:szCs w:val="15"/>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5"/>
                <w:szCs w:val="15"/>
                <w:color w:val="auto"/>
              </w:rPr>
            </w:pPr>
          </w:p>
        </w:tc>
        <w:tc>
          <w:tcPr>
            <w:tcW w:w="1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4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2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w:t>
            </w:r>
          </w:p>
        </w:tc>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24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24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w:t>
            </w:r>
          </w:p>
        </w:tc>
        <w:tc>
          <w:tcPr>
            <w:tcW w:w="28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24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460" w:type="dxa"/>
            <w:vAlign w:val="bottom"/>
          </w:tcPr>
          <w:p>
            <w:pPr>
              <w:spacing w:after="0"/>
              <w:rPr>
                <w:sz w:val="15"/>
                <w:szCs w:val="15"/>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24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460" w:type="dxa"/>
            <w:vAlign w:val="bottom"/>
          </w:tcPr>
          <w:p>
            <w:pPr>
              <w:spacing w:after="0"/>
              <w:rPr>
                <w:sz w:val="15"/>
                <w:szCs w:val="15"/>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4140" w:type="dxa"/>
            <w:vAlign w:val="bottom"/>
          </w:tcPr>
          <w:p>
            <w:pPr>
              <w:spacing w:after="0"/>
              <w:rPr>
                <w:sz w:val="15"/>
                <w:szCs w:val="15"/>
                <w:color w:val="auto"/>
              </w:rPr>
            </w:pPr>
          </w:p>
        </w:tc>
        <w:tc>
          <w:tcPr>
            <w:tcW w:w="3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Income tax expense</w:t>
            </w:r>
          </w:p>
        </w:tc>
        <w:tc>
          <w:tcPr>
            <w:tcW w:w="2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24.4</w:t>
            </w:r>
          </w:p>
        </w:tc>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w:t>
            </w:r>
          </w:p>
        </w:tc>
      </w:tr>
      <w:tr>
        <w:trPr>
          <w:trHeight w:val="173"/>
        </w:trPr>
        <w:tc>
          <w:tcPr>
            <w:tcW w:w="4140" w:type="dxa"/>
            <w:vAlign w:val="bottom"/>
          </w:tcPr>
          <w:p>
            <w:pPr>
              <w:spacing w:after="0"/>
              <w:rPr>
                <w:sz w:val="15"/>
                <w:szCs w:val="15"/>
                <w:color w:val="auto"/>
              </w:rPr>
            </w:pPr>
          </w:p>
        </w:tc>
        <w:tc>
          <w:tcPr>
            <w:tcW w:w="3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domestic and foreign components of income before taxes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62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1999</w:t>
            </w:r>
          </w:p>
        </w:tc>
        <w:tc>
          <w:tcPr>
            <w:tcW w:w="460" w:type="dxa"/>
            <w:vAlign w:val="bottom"/>
          </w:tcPr>
          <w:p>
            <w:pPr>
              <w:spacing w:after="0"/>
              <w:rPr>
                <w:sz w:val="15"/>
                <w:szCs w:val="15"/>
                <w:color w:val="auto"/>
              </w:rPr>
            </w:pPr>
          </w:p>
        </w:tc>
        <w:tc>
          <w:tcPr>
            <w:tcW w:w="1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57.1</w:t>
            </w:r>
          </w:p>
        </w:tc>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6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46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3"/>
        </w:trPr>
        <w:tc>
          <w:tcPr>
            <w:tcW w:w="4040" w:type="dxa"/>
            <w:vAlign w:val="bottom"/>
          </w:tcPr>
          <w:p>
            <w:pPr>
              <w:spacing w:after="0"/>
              <w:rPr>
                <w:sz w:val="15"/>
                <w:szCs w:val="15"/>
                <w:color w:val="auto"/>
              </w:rPr>
            </w:pPr>
          </w:p>
        </w:tc>
        <w:tc>
          <w:tcPr>
            <w:tcW w:w="3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2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106.9</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w:t>
            </w:r>
          </w:p>
        </w:tc>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173"/>
        </w:trPr>
        <w:tc>
          <w:tcPr>
            <w:tcW w:w="4040" w:type="dxa"/>
            <w:vAlign w:val="bottom"/>
          </w:tcPr>
          <w:p>
            <w:pPr>
              <w:spacing w:after="0"/>
              <w:rPr>
                <w:sz w:val="15"/>
                <w:szCs w:val="15"/>
                <w:color w:val="auto"/>
              </w:rPr>
            </w:pPr>
          </w:p>
        </w:tc>
        <w:tc>
          <w:tcPr>
            <w:tcW w:w="3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51" w:lineRule="exact"/>
        <w:rPr>
          <w:sz w:val="20"/>
          <w:szCs w:val="20"/>
          <w:color w:val="auto"/>
        </w:rPr>
      </w:pPr>
    </w:p>
    <w:p>
      <w:pPr>
        <w:ind w:right="3880"/>
        <w:spacing w:after="0" w:line="243"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w w:val="99"/>
              </w:rPr>
              <w:t>YEAR ENDED SEPTEMBER 30,</w:t>
            </w:r>
          </w:p>
        </w:tc>
        <w:tc>
          <w:tcPr>
            <w:tcW w:w="920" w:type="dxa"/>
            <w:vAlign w:val="bottom"/>
          </w:tcPr>
          <w:p>
            <w:pPr>
              <w:spacing w:after="0"/>
              <w:rPr>
                <w:sz w:val="14"/>
                <w:szCs w:val="14"/>
                <w:color w:val="auto"/>
              </w:rPr>
            </w:pPr>
          </w:p>
        </w:tc>
      </w:tr>
      <w:tr>
        <w:trPr>
          <w:trHeight w:val="173"/>
        </w:trPr>
        <w:tc>
          <w:tcPr>
            <w:tcW w:w="5400" w:type="dxa"/>
            <w:vAlign w:val="bottom"/>
          </w:tcPr>
          <w:p>
            <w:pPr>
              <w:spacing w:after="0"/>
              <w:rPr>
                <w:sz w:val="15"/>
                <w:szCs w:val="15"/>
                <w:color w:val="auto"/>
              </w:rPr>
            </w:pPr>
          </w:p>
        </w:tc>
        <w:tc>
          <w:tcPr>
            <w:tcW w:w="1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400" w:type="dxa"/>
            <w:vAlign w:val="bottom"/>
          </w:tcPr>
          <w:p>
            <w:pPr>
              <w:spacing w:after="0"/>
              <w:rPr>
                <w:sz w:val="15"/>
                <w:szCs w:val="15"/>
                <w:color w:val="auto"/>
              </w:rPr>
            </w:pPr>
          </w:p>
        </w:tc>
        <w:tc>
          <w:tcPr>
            <w:tcW w:w="1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 of foreign operations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spacing w:after="0"/>
              <w:rPr>
                <w:sz w:val="15"/>
                <w:szCs w:val="15"/>
                <w:color w:val="auto"/>
              </w:rPr>
            </w:pP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 effects resulting</w:t>
            </w:r>
          </w:p>
        </w:tc>
        <w:tc>
          <w:tcPr>
            <w:tcW w:w="1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3"/>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from purchase accounting</w:t>
            </w: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4.6</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5400" w:type="dxa"/>
            <w:vAlign w:val="bottom"/>
          </w:tcPr>
          <w:p>
            <w:pPr>
              <w:spacing w:after="0"/>
              <w:rPr>
                <w:sz w:val="15"/>
                <w:szCs w:val="15"/>
                <w:color w:val="auto"/>
              </w:rPr>
            </w:pP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3"/>
        </w:trPr>
        <w:tc>
          <w:tcPr>
            <w:tcW w:w="5400" w:type="dxa"/>
            <w:vAlign w:val="bottom"/>
          </w:tcPr>
          <w:p>
            <w:pPr>
              <w:spacing w:after="0"/>
              <w:rPr>
                <w:sz w:val="15"/>
                <w:szCs w:val="15"/>
                <w:color w:val="auto"/>
              </w:rPr>
            </w:pP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r>
    </w:tbl>
    <w:p>
      <w:pPr>
        <w:spacing w:after="0" w:line="351" w:lineRule="exact"/>
        <w:rPr>
          <w:sz w:val="20"/>
          <w:szCs w:val="20"/>
          <w:color w:val="auto"/>
        </w:rPr>
      </w:pPr>
    </w:p>
    <w:p>
      <w:pPr>
        <w:ind w:right="3980"/>
        <w:spacing w:after="0" w:line="243"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Consolidated Balance Sheets at September 30 are: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31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42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3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non-current asset (liability)</w:t>
            </w:r>
          </w:p>
        </w:tc>
        <w:tc>
          <w:tcPr>
            <w:tcW w:w="312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5800" w:type="dxa"/>
            <w:vAlign w:val="bottom"/>
          </w:tcPr>
          <w:p>
            <w:pPr>
              <w:spacing w:after="0"/>
              <w:rPr>
                <w:sz w:val="15"/>
                <w:szCs w:val="15"/>
                <w:color w:val="auto"/>
              </w:rPr>
            </w:pPr>
          </w:p>
        </w:tc>
        <w:tc>
          <w:tcPr>
            <w:tcW w:w="3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3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w:t>
            </w:r>
          </w:p>
        </w:tc>
      </w:tr>
      <w:tr>
        <w:trPr>
          <w:trHeight w:val="173"/>
        </w:trPr>
        <w:tc>
          <w:tcPr>
            <w:tcW w:w="5800" w:type="dxa"/>
            <w:vAlign w:val="bottom"/>
          </w:tcPr>
          <w:p>
            <w:pPr>
              <w:spacing w:after="0"/>
              <w:rPr>
                <w:sz w:val="15"/>
                <w:szCs w:val="15"/>
                <w:color w:val="auto"/>
              </w:rPr>
            </w:pPr>
          </w:p>
        </w:tc>
        <w:tc>
          <w:tcPr>
            <w:tcW w:w="3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000"/>
          </w:cols>
          <w:pgMar w:left="240" w:top="291" w:right="659" w:bottom="1075" w:gutter="0" w:footer="0" w:header="0"/>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1000"/>
          </w:cols>
          <w:pgMar w:left="240" w:top="291" w:right="659" w:bottom="1075"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net deferred tax asset are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Inventories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Accrued liabilities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Postretirement benefits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Foreign net operating losses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Other</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Gross deferred tax assets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Valuation allowance</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Net deferred tax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Property, plant and equipment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Net asset</w:t>
      </w:r>
    </w:p>
    <w:p>
      <w:pPr>
        <w:spacing w:after="0" w:line="200" w:lineRule="exact"/>
        <w:rPr>
          <w:sz w:val="20"/>
          <w:szCs w:val="20"/>
          <w:color w:val="auto"/>
        </w:rPr>
      </w:pPr>
    </w:p>
    <w:p>
      <w:pPr>
        <w:spacing w:after="0" w:line="324" w:lineRule="exact"/>
        <w:rPr>
          <w:sz w:val="20"/>
          <w:szCs w:val="20"/>
          <w:color w:val="auto"/>
        </w:rPr>
      </w:pPr>
    </w:p>
    <w:p>
      <w:pPr>
        <w:ind w:right="180"/>
        <w:spacing w:after="0" w:line="244" w:lineRule="auto"/>
        <w:rPr>
          <w:sz w:val="20"/>
          <w:szCs w:val="20"/>
          <w:color w:val="auto"/>
        </w:rPr>
      </w:pPr>
      <w:r>
        <w:rPr>
          <w:rFonts w:ascii="Courier New" w:cs="Courier New" w:eastAsia="Courier New" w:hAnsi="Courier New"/>
          <w:sz w:val="15"/>
          <w:szCs w:val="15"/>
          <w:color w:val="auto"/>
        </w:rPr>
        <w:t>Net operating loss carryforwards in foreign jurisdictions were $1.9 million and $6.0 million at September 30, 1999 and 1998, respectively. The use of these acquired carryforwards is subject to limitations imposed by the tax laws of each applicable country.</w:t>
      </w:r>
    </w:p>
    <w:p>
      <w:pPr>
        <w:spacing w:after="0" w:line="176" w:lineRule="exact"/>
        <w:rPr>
          <w:sz w:val="20"/>
          <w:szCs w:val="20"/>
          <w:color w:val="auto"/>
        </w:rPr>
      </w:pPr>
    </w:p>
    <w:p>
      <w:pPr>
        <w:ind w:right="180"/>
        <w:spacing w:after="0" w:line="244" w:lineRule="auto"/>
        <w:rPr>
          <w:sz w:val="20"/>
          <w:szCs w:val="20"/>
          <w:color w:val="auto"/>
        </w:rPr>
      </w:pPr>
      <w:r>
        <w:rPr>
          <w:rFonts w:ascii="Courier New" w:cs="Courier New" w:eastAsia="Courier New" w:hAnsi="Courier New"/>
          <w:sz w:val="15"/>
          <w:szCs w:val="15"/>
          <w:color w:val="auto"/>
        </w:rPr>
        <w:t>As a result of tax planning strategies developed and implemented in fiscal 1999, the Company realized $0.8 million of certain net operating losses during fiscal 1999. As a result of acquisitions and reorganizations during fiscal 1999, $4.1 million of foreign net operating losses are no longer available. These amounts and the corresponding valuation allowance have been removed from the accounts. The valuation allowance of $1.1 million at September 30, 1999 is to provide for operating losses for which the benefits are not expected to be realized. The foreign net operating losses of $1.9 million can be carried forward indefinitely.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Financial Instruments</w:t>
      </w:r>
    </w:p>
    <w:p>
      <w:pPr>
        <w:spacing w:after="0" w:line="178" w:lineRule="exact"/>
        <w:rPr>
          <w:sz w:val="20"/>
          <w:szCs w:val="20"/>
          <w:color w:val="auto"/>
        </w:rPr>
      </w:pPr>
    </w:p>
    <w:p>
      <w:pPr>
        <w:ind w:right="900"/>
        <w:spacing w:after="0" w:line="243"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are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8" w:lineRule="exact"/>
        <w:rPr>
          <w:sz w:val="20"/>
          <w:szCs w:val="20"/>
          <w:color w:val="auto"/>
        </w:rPr>
      </w:pPr>
    </w:p>
    <w:p>
      <w:pPr>
        <w:ind w:right="180"/>
        <w:spacing w:after="0" w:line="265" w:lineRule="auto"/>
        <w:rPr>
          <w:sz w:val="20"/>
          <w:szCs w:val="20"/>
          <w:color w:val="auto"/>
        </w:rPr>
      </w:pPr>
      <w:r>
        <w:rPr>
          <w:rFonts w:ascii="Courier New" w:cs="Courier New" w:eastAsia="Courier New" w:hAnsi="Courier New"/>
          <w:sz w:val="14"/>
          <w:szCs w:val="14"/>
          <w:color w:val="auto"/>
        </w:rPr>
        <w:t>At September 30, 1999, the Company had $330 million outstanding of 8 5/8% Senior Subordinated Notes due 2009 that were issued through a private offering. The fair value of these notes was estimated based on recent trading information. Variable rate debt outstanding at September 30, 1999 consists of revolving borrowings and term loans under the Company's credit facility and local bank borrowings for certain of the Company's foreign operations. The carrying amounts of these borrowings are considered to approximate their fair values.</w:t>
      </w:r>
    </w:p>
    <w:p>
      <w:pPr>
        <w:spacing w:after="0" w:line="161"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At September 30, 1998, the Company had outstanding $100.0 million in principal amount of 9 7/8% Senior Subordinated Notes due 2004. The fair value of these notes was based on the quoted market prices for the same or similar issues. Borrowings at September 30, 1998 under the credit facility were at variable rates. The carrying amounts of these borrowings were considered to approximate their fair values.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8" w:lineRule="exact"/>
        <w:rPr>
          <w:sz w:val="20"/>
          <w:szCs w:val="20"/>
          <w:color w:val="auto"/>
        </w:rPr>
      </w:pPr>
    </w:p>
    <w:p>
      <w:pPr>
        <w:ind w:right="180"/>
        <w:spacing w:after="0" w:line="244" w:lineRule="auto"/>
        <w:rPr>
          <w:sz w:val="20"/>
          <w:szCs w:val="20"/>
          <w:color w:val="auto"/>
        </w:rPr>
      </w:pPr>
      <w:r>
        <w:rPr>
          <w:rFonts w:ascii="Courier New" w:cs="Courier New" w:eastAsia="Courier New" w:hAnsi="Courier New"/>
          <w:sz w:val="15"/>
          <w:szCs w:val="15"/>
          <w:color w:val="auto"/>
        </w:rPr>
        <w:t>At September 30, 1999, the Company had outstanding five interest rate swaps with major financial institutions that effectively convert variable-rate debt to a fixed rate. One swap has a notional amount of 20.0 million British Pounds Sterling under a five-year term expiring in April 2002 whereby the Company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179" w:lineRule="exact"/>
        <w:rPr>
          <w:sz w:val="20"/>
          <w:szCs w:val="20"/>
          <w:color w:val="auto"/>
        </w:rPr>
      </w:pPr>
    </w:p>
    <w:p>
      <w:pPr>
        <w:jc w:val="both"/>
        <w:ind w:right="800"/>
        <w:spacing w:after="0" w:line="243" w:lineRule="auto"/>
        <w:rPr>
          <w:sz w:val="20"/>
          <w:szCs w:val="20"/>
          <w:color w:val="auto"/>
        </w:rPr>
      </w:pPr>
      <w:r>
        <w:rPr>
          <w:rFonts w:ascii="Courier New" w:cs="Courier New" w:eastAsia="Courier New" w:hAnsi="Courier New"/>
          <w:sz w:val="15"/>
          <w:szCs w:val="15"/>
          <w:color w:val="auto"/>
        </w:rPr>
        <w:t>At September 30, 1998, the Company had outstanding the interest rate swap agreement with a notional amount of 20.0 million British Pounds Sterling.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24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67.2</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w:t>
            </w:r>
          </w:p>
        </w:tc>
        <w:tc>
          <w:tcPr>
            <w:tcW w:w="3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w:t>
            </w:r>
          </w:p>
        </w:tc>
      </w:tr>
      <w:tr>
        <w:trPr>
          <w:trHeight w:val="347"/>
        </w:trPr>
        <w:tc>
          <w:tcPr>
            <w:tcW w:w="280" w:type="dxa"/>
            <w:vAlign w:val="bottom"/>
          </w:tcPr>
          <w:p>
            <w:pPr>
              <w:spacing w:after="0"/>
              <w:rPr>
                <w:sz w:val="24"/>
                <w:szCs w:val="2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173"/>
        </w:trPr>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w:t>
            </w:r>
          </w:p>
        </w:tc>
      </w:tr>
      <w:tr>
        <w:trPr>
          <w:trHeight w:val="173"/>
        </w:trPr>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9390" w:lineRule="exact"/>
        <w:rPr>
          <w:sz w:val="20"/>
          <w:szCs w:val="20"/>
          <w:color w:val="auto"/>
        </w:rPr>
      </w:pPr>
    </w:p>
    <w:p>
      <w:pPr>
        <w:sectPr>
          <w:pgSz w:w="11900" w:h="16838" w:orient="portrait"/>
          <w:cols w:equalWidth="0" w:num="2">
            <w:col w:w="7380" w:space="720"/>
            <w:col w:w="2720"/>
          </w:cols>
          <w:pgMar w:left="240" w:top="291" w:right="839" w:bottom="1440" w:gutter="0" w:footer="0" w:header="0"/>
        </w:sectPr>
      </w:pPr>
    </w:p>
    <w:p>
      <w:pPr>
        <w:spacing w:after="0" w:line="1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820"/>
          </w:cols>
          <w:pgMar w:left="240" w:top="291" w:right="839"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96</w:t>
      </w:r>
    </w:p>
    <w:p>
      <w:pPr>
        <w:spacing w:after="0" w:line="351" w:lineRule="exact"/>
        <w:rPr>
          <w:sz w:val="20"/>
          <w:szCs w:val="20"/>
          <w:color w:val="auto"/>
        </w:rPr>
      </w:pPr>
    </w:p>
    <w:p>
      <w:pPr>
        <w:ind w:right="3960"/>
        <w:spacing w:after="0" w:line="244" w:lineRule="auto"/>
        <w:rPr>
          <w:sz w:val="20"/>
          <w:szCs w:val="20"/>
          <w:color w:val="auto"/>
        </w:rPr>
      </w:pPr>
      <w:r>
        <w:rPr>
          <w:rFonts w:ascii="Courier New" w:cs="Courier New" w:eastAsia="Courier New" w:hAnsi="Courier New"/>
          <w:sz w:val="15"/>
          <w:szCs w:val="15"/>
          <w:color w:val="auto"/>
        </w:rPr>
        <w:t>The Company enters into interest rate swap agreements as a means to hedge its interest rate exposure on debt instruments. In addition, the Company's credit facility requires that the Company enter into hedge agreements to the extent necessary to provide that at least 50% of the aggregate principal amount of the Senior Subordinated Notes and term loans is subject to a fixed rate. Since the interest rate swaps have been designated as hedging instruments, their fair values are not reflected in the Company's Consolidated Balance Sheets. Net amounts to be received or paid under the swap agreements are reflected as adjustments to interest expense. The fair value of the swap agreements was determined based on the present value of the estimated future net cash flows using implied rates in the applicable yield curve as of the valuation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178" w:lineRule="exact"/>
        <w:rPr>
          <w:sz w:val="20"/>
          <w:szCs w:val="20"/>
          <w:color w:val="auto"/>
        </w:rPr>
      </w:pPr>
    </w:p>
    <w:p>
      <w:pPr>
        <w:ind w:right="3880"/>
        <w:spacing w:after="0" w:line="244" w:lineRule="auto"/>
        <w:rPr>
          <w:sz w:val="20"/>
          <w:szCs w:val="20"/>
          <w:color w:val="auto"/>
        </w:rPr>
      </w:pPr>
      <w:r>
        <w:rPr>
          <w:rFonts w:ascii="Courier New" w:cs="Courier New" w:eastAsia="Courier New" w:hAnsi="Courier New"/>
          <w:sz w:val="15"/>
          <w:szCs w:val="15"/>
          <w:color w:val="auto"/>
        </w:rPr>
        <w:t>In fiscal 1998, the Company entered into two contracts, each with notional amounts of $100.0 million to lock the treasury rate component of the Company's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177" w:lineRule="exact"/>
        <w:rPr>
          <w:sz w:val="20"/>
          <w:szCs w:val="20"/>
          <w:color w:val="auto"/>
        </w:rPr>
      </w:pPr>
    </w:p>
    <w:p>
      <w:pPr>
        <w:ind w:right="3880"/>
        <w:spacing w:after="0" w:line="264" w:lineRule="auto"/>
        <w:rPr>
          <w:sz w:val="20"/>
          <w:szCs w:val="20"/>
          <w:color w:val="auto"/>
        </w:rPr>
      </w:pPr>
      <w:r>
        <w:rPr>
          <w:rFonts w:ascii="Courier New" w:cs="Courier New" w:eastAsia="Courier New" w:hAnsi="Courier New"/>
          <w:sz w:val="14"/>
          <w:szCs w:val="14"/>
          <w:color w:val="auto"/>
        </w:rPr>
        <w:t>The Company entered into the interest rate locks to hedge its interest rate exposure on the offering of the 9 7/8% Senior Subordinated Notes. Since the interest rate locks were designated as hedging instruments, their fair value was not reflected in the Company's Consolidated Balance Sheets; net amounts to be received or paid under the interest rate locks will be reflected as an adjustment to the carrying amount of the future debt offering. The fair value of the interest rate locks was estimated based on the difference between the contracted interest rates and the yield on treasury notes at September 30, 1998.</w:t>
      </w:r>
    </w:p>
    <w:p>
      <w:pPr>
        <w:spacing w:after="0" w:line="165" w:lineRule="exact"/>
        <w:rPr>
          <w:sz w:val="20"/>
          <w:szCs w:val="20"/>
          <w:color w:val="auto"/>
        </w:rPr>
      </w:pPr>
    </w:p>
    <w:p>
      <w:pPr>
        <w:ind w:right="3960"/>
        <w:spacing w:after="0" w:line="243"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CARRYING</w:t>
            </w:r>
          </w:p>
        </w:tc>
        <w:tc>
          <w:tcPr>
            <w:tcW w:w="58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FAIR</w:t>
            </w:r>
          </w:p>
        </w:tc>
        <w:tc>
          <w:tcPr>
            <w:tcW w:w="3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CARRYING</w:t>
            </w:r>
          </w:p>
        </w:tc>
        <w:tc>
          <w:tcPr>
            <w:tcW w:w="720" w:type="dxa"/>
            <w:vAlign w:val="bottom"/>
          </w:tcPr>
          <w:p>
            <w:pPr>
              <w:spacing w:after="0"/>
              <w:rPr>
                <w:sz w:val="15"/>
                <w:szCs w:val="15"/>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AMOUNT</w:t>
            </w:r>
          </w:p>
        </w:tc>
        <w:tc>
          <w:tcPr>
            <w:tcW w:w="58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VALUE</w:t>
            </w:r>
          </w:p>
        </w:tc>
        <w:tc>
          <w:tcPr>
            <w:tcW w:w="3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AMOUNT</w:t>
            </w:r>
          </w:p>
        </w:tc>
        <w:tc>
          <w:tcPr>
            <w:tcW w:w="720" w:type="dxa"/>
            <w:vAlign w:val="bottom"/>
          </w:tcPr>
          <w:p>
            <w:pPr>
              <w:spacing w:after="0"/>
              <w:rPr>
                <w:sz w:val="15"/>
                <w:szCs w:val="15"/>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94"/>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Revolving and term loans under credit facility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573.2</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253.5</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Senior subordinated notes</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330.0</w:t>
            </w:r>
          </w:p>
        </w:tc>
        <w:tc>
          <w:tcPr>
            <w:tcW w:w="5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316.0</w:t>
            </w:r>
          </w:p>
        </w:tc>
        <w:tc>
          <w:tcPr>
            <w:tcW w:w="3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99.5</w:t>
            </w:r>
          </w:p>
        </w:tc>
        <w:tc>
          <w:tcPr>
            <w:tcW w:w="7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106.8</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5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17.6</w:t>
            </w:r>
          </w:p>
        </w:tc>
        <w:tc>
          <w:tcPr>
            <w:tcW w:w="3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w:t>
            </w:r>
          </w:p>
        </w:tc>
        <w:tc>
          <w:tcPr>
            <w:tcW w:w="7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rate swap agreement</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Interest rate locks</w:t>
            </w:r>
          </w:p>
        </w:tc>
        <w:tc>
          <w:tcPr>
            <w:tcW w:w="8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w:t>
            </w:r>
          </w:p>
        </w:tc>
      </w:tr>
    </w:tbl>
    <w:p>
      <w:pPr>
        <w:spacing w:after="0" w:line="351" w:lineRule="exact"/>
        <w:rPr>
          <w:sz w:val="20"/>
          <w:szCs w:val="20"/>
          <w:color w:val="auto"/>
        </w:rPr>
      </w:pPr>
    </w:p>
    <w:p>
      <w:pPr>
        <w:ind w:right="4140"/>
        <w:spacing w:after="0" w:line="243" w:lineRule="auto"/>
        <w:rPr>
          <w:sz w:val="20"/>
          <w:szCs w:val="20"/>
          <w:color w:val="auto"/>
        </w:rPr>
      </w:pPr>
      <w:r>
        <w:rPr>
          <w:rFonts w:ascii="Courier New" w:cs="Courier New" w:eastAsia="Courier New" w:hAnsi="Courier New"/>
          <w:sz w:val="15"/>
          <w:szCs w:val="15"/>
          <w:color w:val="auto"/>
        </w:rPr>
        <w:t>Excluded from the fair value table above are the following items that are included in the Company's total debt balances at September 30, 1999 and 1998:</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4460" w:type="dxa"/>
            <w:vAlign w:val="bottom"/>
            <w:gridSpan w:val="2"/>
          </w:tcPr>
          <w:p>
            <w:pPr>
              <w:ind w:left="3020"/>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5900" w:type="dxa"/>
            <w:vAlign w:val="bottom"/>
          </w:tcPr>
          <w:p>
            <w:pPr>
              <w:spacing w:after="0"/>
              <w:rPr>
                <w:sz w:val="15"/>
                <w:szCs w:val="15"/>
                <w:color w:val="auto"/>
              </w:rPr>
            </w:pPr>
          </w:p>
        </w:tc>
        <w:tc>
          <w:tcPr>
            <w:tcW w:w="3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5900" w:type="dxa"/>
            <w:vAlign w:val="bottom"/>
          </w:tcPr>
          <w:p>
            <w:pPr>
              <w:spacing w:after="0"/>
              <w:rPr>
                <w:sz w:val="15"/>
                <w:szCs w:val="15"/>
                <w:color w:val="auto"/>
              </w:rPr>
            </w:pPr>
          </w:p>
        </w:tc>
        <w:tc>
          <w:tcPr>
            <w:tcW w:w="3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w w:val="94"/>
              </w:rPr>
              <w:t>----</w:t>
            </w:r>
          </w:p>
        </w:tc>
      </w:tr>
      <w:tr>
        <w:trPr>
          <w:trHeight w:val="520"/>
        </w:trPr>
        <w:tc>
          <w:tcPr>
            <w:tcW w:w="5900" w:type="dxa"/>
            <w:vAlign w:val="bottom"/>
          </w:tcPr>
          <w:p>
            <w:pPr>
              <w:spacing w:after="0"/>
              <w:rPr>
                <w:sz w:val="20"/>
                <w:szCs w:val="20"/>
                <w:color w:val="auto"/>
              </w:rPr>
            </w:pPr>
            <w:r>
              <w:rPr>
                <w:rFonts w:ascii="Courier New" w:cs="Courier New" w:eastAsia="Courier New" w:hAnsi="Courier New"/>
                <w:sz w:val="15"/>
                <w:szCs w:val="15"/>
                <w:color w:val="auto"/>
              </w:rPr>
              <w:t>Amounts paid to settle treasury locks</w:t>
            </w:r>
          </w:p>
        </w:tc>
        <w:tc>
          <w:tcPr>
            <w:tcW w:w="3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(12.0)</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Non-interest bearing notes</w:t>
            </w:r>
          </w:p>
        </w:tc>
        <w:tc>
          <w:tcPr>
            <w:tcW w:w="3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37.0</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5.6</w:t>
            </w:r>
          </w:p>
        </w:tc>
      </w:tr>
      <w:tr>
        <w:trPr>
          <w:trHeight w:val="173"/>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3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4.2</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4.9</w:t>
            </w:r>
          </w:p>
        </w:tc>
      </w:tr>
    </w:tbl>
    <w:p>
      <w:pPr>
        <w:spacing w:after="0" w:line="351" w:lineRule="exact"/>
        <w:rPr>
          <w:sz w:val="20"/>
          <w:szCs w:val="20"/>
          <w:color w:val="auto"/>
        </w:rPr>
      </w:pPr>
    </w:p>
    <w:p>
      <w:pPr>
        <w:ind w:right="3960"/>
        <w:spacing w:after="0" w:line="244" w:lineRule="auto"/>
        <w:rPr>
          <w:sz w:val="20"/>
          <w:szCs w:val="20"/>
          <w:color w:val="auto"/>
        </w:rPr>
      </w:pPr>
      <w:r>
        <w:rPr>
          <w:rFonts w:ascii="Courier New" w:cs="Courier New" w:eastAsia="Courier New" w:hAnsi="Courier New"/>
          <w:sz w:val="15"/>
          <w:szCs w:val="15"/>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1080"/>
          </w:cols>
          <w:pgMar w:left="240" w:top="291" w:right="579"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OPERATING LEASES</w:t>
      </w:r>
    </w:p>
    <w:p>
      <w:pPr>
        <w:spacing w:after="0" w:line="178" w:lineRule="exact"/>
        <w:rPr>
          <w:sz w:val="20"/>
          <w:szCs w:val="20"/>
          <w:color w:val="auto"/>
        </w:rPr>
      </w:pPr>
    </w:p>
    <w:p>
      <w:pPr>
        <w:ind w:right="1440"/>
        <w:spacing w:after="0" w:line="266" w:lineRule="auto"/>
        <w:rPr>
          <w:sz w:val="20"/>
          <w:szCs w:val="20"/>
          <w:color w:val="auto"/>
        </w:rPr>
      </w:pPr>
      <w:r>
        <w:rPr>
          <w:rFonts w:ascii="Courier New" w:cs="Courier New" w:eastAsia="Courier New" w:hAnsi="Courier New"/>
          <w:sz w:val="14"/>
          <w:szCs w:val="14"/>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1999, future minimum lease payments were as follows: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minimum lease payments</w:t>
      </w:r>
    </w:p>
    <w:p>
      <w:pPr>
        <w:spacing w:after="0" w:line="200" w:lineRule="exact"/>
        <w:rPr>
          <w:sz w:val="20"/>
          <w:szCs w:val="20"/>
          <w:color w:val="auto"/>
        </w:rPr>
      </w:pPr>
    </w:p>
    <w:p>
      <w:pPr>
        <w:spacing w:after="0" w:line="324" w:lineRule="exact"/>
        <w:rPr>
          <w:sz w:val="20"/>
          <w:szCs w:val="20"/>
          <w:color w:val="auto"/>
        </w:rPr>
      </w:pPr>
    </w:p>
    <w:p>
      <w:pPr>
        <w:ind w:right="1620"/>
        <w:spacing w:after="0" w:line="244"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$18.5 million, $13.5 million and $12.3 million for fiscal 1999, 1998 and 1997, respectively. The total to be received from sublease rentals in place at September 30, 1999 is $4.1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COMMITMENTS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8" w:lineRule="exact"/>
        <w:rPr>
          <w:sz w:val="20"/>
          <w:szCs w:val="20"/>
          <w:color w:val="auto"/>
        </w:rPr>
      </w:pPr>
    </w:p>
    <w:p>
      <w:pPr>
        <w:ind w:right="1620"/>
        <w:spacing w:after="0" w:line="244"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At September 30, 1999, estimated annual seed purchase commitments were as follows: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351" w:lineRule="exact"/>
        <w:rPr>
          <w:sz w:val="20"/>
          <w:szCs w:val="20"/>
          <w:color w:val="auto"/>
        </w:rPr>
      </w:pPr>
    </w:p>
    <w:p>
      <w:pPr>
        <w:ind w:right="2160"/>
        <w:spacing w:after="0" w:line="243" w:lineRule="auto"/>
        <w:rPr>
          <w:sz w:val="20"/>
          <w:szCs w:val="20"/>
          <w:color w:val="auto"/>
        </w:rPr>
      </w:pPr>
      <w:r>
        <w:rPr>
          <w:rFonts w:ascii="Courier New" w:cs="Courier New" w:eastAsia="Courier New" w:hAnsi="Courier New"/>
          <w:sz w:val="15"/>
          <w:szCs w:val="15"/>
          <w:color w:val="auto"/>
        </w:rPr>
        <w:t>The Company made purchases of $13.2 million and $13.1 million under this obligation in fiscal 1999 and 1998, respectively.</w:t>
      </w:r>
    </w:p>
    <w:p>
      <w:pPr>
        <w:spacing w:after="0" w:line="176" w:lineRule="exact"/>
        <w:rPr>
          <w:sz w:val="20"/>
          <w:szCs w:val="20"/>
          <w:color w:val="auto"/>
        </w:rPr>
      </w:pPr>
    </w:p>
    <w:p>
      <w:pPr>
        <w:ind w:right="1440"/>
        <w:spacing w:after="0" w:line="244" w:lineRule="auto"/>
        <w:rPr>
          <w:sz w:val="20"/>
          <w:szCs w:val="20"/>
          <w:color w:val="auto"/>
        </w:rPr>
      </w:pPr>
      <w:r>
        <w:rPr>
          <w:rFonts w:ascii="Courier New" w:cs="Courier New" w:eastAsia="Courier New" w:hAnsi="Courier New"/>
          <w:sz w:val="15"/>
          <w:szCs w:val="15"/>
          <w:color w:val="auto"/>
        </w:rPr>
        <w:t>Urea: The Company is obligated to purchase 100,000 tons of urea annually. The value to the Company based on current market prices of urea is approximately $12.0 million. The purchase commitments expire December 31, 2001. The Company purchased 172,000 tons and 104,000 tons under this obligation in fiscal 1999 and 1998, respectively.</w:t>
      </w:r>
    </w:p>
    <w:p>
      <w:pPr>
        <w:spacing w:after="0" w:line="177" w:lineRule="exact"/>
        <w:rPr>
          <w:sz w:val="20"/>
          <w:szCs w:val="20"/>
          <w:color w:val="auto"/>
        </w:rPr>
      </w:pPr>
    </w:p>
    <w:p>
      <w:pPr>
        <w:ind w:right="1520"/>
        <w:spacing w:after="0" w:line="244" w:lineRule="auto"/>
        <w:rPr>
          <w:sz w:val="20"/>
          <w:szCs w:val="20"/>
          <w:color w:val="auto"/>
        </w:rPr>
      </w:pPr>
      <w:r>
        <w:rPr>
          <w:rFonts w:ascii="Courier New" w:cs="Courier New" w:eastAsia="Courier New" w:hAnsi="Courier New"/>
          <w:sz w:val="15"/>
          <w:szCs w:val="15"/>
          <w:color w:val="auto"/>
        </w:rPr>
        <w:t>Glufosinate Ammonium: Under the terms of the agreement to acquire the AgrEvo pesticides business, the Company is obligated to purchase glufosinate ammonium valued at $12.6 million (approximately 315,000 pounds) through September 2001. If the Company does not purchase product with a value of $12.6 million, the Company is required to provide cash settlement in an amount equal to 50% of the shortfall. In connection with the sale of this business in February 1999, the purchaser agreed to purchase a minimum of 50,000 pounds of glufosinate ammonium through September 2001. The Company has not purchased any glufosinate ammonium under this commitment through September 30, 1999.</w:t>
      </w:r>
    </w:p>
    <w:p>
      <w:pPr>
        <w:spacing w:after="0" w:line="179" w:lineRule="exact"/>
        <w:rPr>
          <w:sz w:val="20"/>
          <w:szCs w:val="20"/>
          <w:color w:val="auto"/>
        </w:rPr>
      </w:pPr>
    </w:p>
    <w:p>
      <w:pPr>
        <w:ind w:right="1440"/>
        <w:spacing w:after="0" w:line="244" w:lineRule="auto"/>
        <w:rPr>
          <w:sz w:val="20"/>
          <w:szCs w:val="20"/>
          <w:color w:val="auto"/>
        </w:rPr>
      </w:pPr>
      <w:r>
        <w:rPr>
          <w:rFonts w:ascii="Courier New" w:cs="Courier New" w:eastAsia="Courier New" w:hAnsi="Courier New"/>
          <w:sz w:val="15"/>
          <w:szCs w:val="15"/>
          <w:color w:val="auto"/>
        </w:rPr>
        <w:t>Peat: The Company is obligated to purchase 470,000 cubic meters annually (approximately $6.8 million based on average prices) for ten years. The arrangement can be extended another ten years at the Company's option. If the Company does not purchase required amounts, the Company will be required to provide cash settlement equal to 50% of the quantity shortfall multiplied by the average product price. The Company purchased 517,650 cubic meters of peat under this contract in fiscal 1999.</w:t>
      </w:r>
    </w:p>
    <w:p>
      <w:pPr>
        <w:spacing w:after="0" w:line="351" w:lineRule="exact"/>
        <w:rPr>
          <w:sz w:val="20"/>
          <w:szCs w:val="20"/>
          <w:color w:val="auto"/>
        </w:rPr>
      </w:pPr>
    </w:p>
    <w:p>
      <w:pPr>
        <w:ind w:right="1700"/>
        <w:spacing w:after="0" w:line="243" w:lineRule="auto"/>
        <w:rPr>
          <w:sz w:val="20"/>
          <w:szCs w:val="20"/>
          <w:color w:val="auto"/>
        </w:rPr>
      </w:pPr>
      <w:r>
        <w:rPr>
          <w:rFonts w:ascii="Courier New" w:cs="Courier New" w:eastAsia="Courier New" w:hAnsi="Courier New"/>
          <w:sz w:val="15"/>
          <w:szCs w:val="15"/>
          <w:color w:val="auto"/>
        </w:rPr>
        <w:t>Media Advertising: The Company has committed to purchase $27.0 million of airtime for both national and regional television advertising in fiscal 2000.</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hanging="911"/>
        <w:spacing w:after="0"/>
        <w:tabs>
          <w:tab w:leader="none" w:pos="9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18.6</w:t>
      </w:r>
    </w:p>
    <w:p>
      <w:pPr>
        <w:spacing w:after="0" w:line="3"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w:t>
      </w:r>
    </w:p>
    <w:p>
      <w:pPr>
        <w:spacing w:after="0" w:line="3"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8.9</w:t>
      </w:r>
    </w:p>
    <w:p>
      <w:pPr>
        <w:spacing w:after="0" w:line="3"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w:t>
      </w:r>
    </w:p>
    <w:p>
      <w:pPr>
        <w:spacing w:after="0" w:line="3"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20" w:hanging="911"/>
        <w:spacing w:after="0"/>
        <w:tabs>
          <w:tab w:leader="none" w:pos="9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53.5</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18.7</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16.4</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2">
            <w:col w:w="8640" w:space="720"/>
            <w:col w:w="1280"/>
          </w:cols>
          <w:pgMar w:left="240" w:top="291" w:right="1019" w:bottom="1075"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CONTINGENCIES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which is the focus of the current negotiations.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 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September 30, 1999, management estimates that the range of possible loss that could be incurred in connection with this matter is $2 million to $10 million. The Company has accrued for the amount it considers to be</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91" w:right="1440" w:bottom="555"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as of September 30, 1999. Furthermore, management believes the Company has sufficient raw material supplies available such that service to customers will not be materially adversely affected by continued closure of this peat harvesting operation.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September 1991, the Company was identified by the Ohio Environmental Protection Agency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with the Ohio Environmental Protection Agency, by which the named PRPs funded remedial action at the Hershberger site. Construction of the leachate collection system and reconstruction of the landfill cap was completed in August 1998. The Company expects its future obligation will consist primarily of its share of annual operating and maintenance expenses. Management does not believe that its obligations under the Administrative Order will have a material adverse effect on the Company's results of operations or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June 3, 1999, AgrEvo Environmental Health, Inc. ("AgrEvo") filed a complaint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18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AgreEvo moved to dismiss the Company's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91" w:right="1440" w:bottom="1440" w:gutter="0" w:footer="0" w:header="0"/>
          <w:type w:val="continuous"/>
        </w:sectPr>
      </w:pPr>
    </w:p>
    <w:bookmarkStart w:id="102" w:name="page103"/>
    <w:bookmarkEnd w:id="102"/>
    <w:p>
      <w:pPr>
        <w:ind w:left="268"/>
        <w:spacing w:after="0"/>
        <w:rPr>
          <w:sz w:val="20"/>
          <w:szCs w:val="20"/>
          <w:color w:val="auto"/>
        </w:rPr>
      </w:pPr>
      <w:r>
        <w:rPr>
          <w:rFonts w:ascii="Courier New" w:cs="Courier New" w:eastAsia="Courier New" w:hAnsi="Courier New"/>
          <w:sz w:val="15"/>
          <w:szCs w:val="15"/>
          <w:color w:val="auto"/>
        </w:rPr>
        <w:t>100</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counterclaims. The Company intends to vigorously defend against this action. Under the indemnification provisions of the Roundup(R) marketing agreement, Monsanto and the Company each have requested that the other indemnify against any losses arising from this lawsuit. The Company currently is unable to determine the potential impact of these proceedings on its future results of operations and financial condition.</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June 29, 1999, AgrEvo also filed a complaint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The Company's subsidiaries intend to vigorously defend the asserted claims.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BRAMFORD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The Company and the Environment Agency have not agreed on a final plan for remediating the lagoon and the landfill. The Company has reserved for its estimate of the probable loss to be incurred in connection with this matter as of September 30, 1999.</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 The Company has reserved for the estimate of costs to be incurred for this matter as of September 30, 1999.</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The Company has accrued $10.2 million at September 30, 1999 for the environmental matters described in Note 15. The significant components of the accrual are: (i) costs for site remediation of $6.9 million; (ii) costs for asbestos abatement of $2.8 million; and (iii) fines and penalties of $0.5 million. The significant portion of the costs accrued as of September 30, 1999 are expected to be paid in fiscal 2000 and 2001, however payments are expected to be made through fiscal 2003 and possibly for a period thereafter.</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believes that the amounts accrued as of September 30, 1999 are adequate to cover its known environmental expenses based on current facts and estimates of likely outcome. However, the adequacy of these accruals is based on several significant assumptions:</w:t>
      </w:r>
    </w:p>
    <w:p>
      <w:pPr>
        <w:spacing w:after="0" w:line="176" w:lineRule="exact"/>
        <w:rPr>
          <w:sz w:val="20"/>
          <w:szCs w:val="20"/>
          <w:color w:val="auto"/>
        </w:rPr>
      </w:pPr>
    </w:p>
    <w:p>
      <w:pPr>
        <w:ind w:left="808" w:right="3099" w:hanging="808"/>
        <w:spacing w:after="0" w:line="243"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Company has identified all of the significant sites that must be remediated;</w:t>
      </w:r>
    </w:p>
    <w:p>
      <w:pPr>
        <w:spacing w:after="0" w:line="2" w:lineRule="exact"/>
        <w:rPr>
          <w:rFonts w:ascii="Courier New" w:cs="Courier New" w:eastAsia="Courier New" w:hAnsi="Courier New"/>
          <w:sz w:val="15"/>
          <w:szCs w:val="15"/>
          <w:color w:val="auto"/>
        </w:rPr>
      </w:pPr>
    </w:p>
    <w:p>
      <w:pPr>
        <w:ind w:left="808" w:right="3379" w:hanging="808"/>
        <w:spacing w:after="0" w:line="243"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w:t>
      </w:r>
    </w:p>
    <w:p>
      <w:pPr>
        <w:spacing w:after="0" w:line="2" w:lineRule="exact"/>
        <w:rPr>
          <w:rFonts w:ascii="Courier New" w:cs="Courier New" w:eastAsia="Courier New" w:hAnsi="Courier New"/>
          <w:sz w:val="15"/>
          <w:szCs w:val="15"/>
          <w:color w:val="auto"/>
        </w:rPr>
      </w:pPr>
    </w:p>
    <w:p>
      <w:pPr>
        <w:ind w:left="808" w:right="3279" w:hanging="808"/>
        <w:spacing w:after="0" w:line="243"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potentially contaminated soil can be remediated in place rather than having to be removed; and</w:t>
      </w:r>
    </w:p>
    <w:p>
      <w:pPr>
        <w:spacing w:after="0" w:line="2" w:lineRule="exact"/>
        <w:rPr>
          <w:rFonts w:ascii="Courier New" w:cs="Courier New" w:eastAsia="Courier New" w:hAnsi="Courier New"/>
          <w:sz w:val="15"/>
          <w:szCs w:val="15"/>
          <w:color w:val="auto"/>
        </w:rPr>
      </w:pPr>
    </w:p>
    <w:p>
      <w:pPr>
        <w:ind w:left="808" w:right="3279" w:hanging="808"/>
        <w:spacing w:after="0" w:line="243"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only specific stream sediment sites with unacceptable levels of potential contaminant will be remediated.</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27"/>
          </w:cols>
          <w:pgMar w:left="232" w:top="291"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101</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CONCENTRATIONS OF CREDIT RISK</w:t>
      </w:r>
    </w:p>
    <w:p>
      <w:pPr>
        <w:spacing w:after="0" w:line="178"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pacing w:after="0" w:line="178" w:lineRule="exact"/>
        <w:rPr>
          <w:sz w:val="20"/>
          <w:szCs w:val="20"/>
          <w:color w:val="auto"/>
        </w:rPr>
      </w:pPr>
    </w:p>
    <w:p>
      <w:pPr>
        <w:ind w:right="3880"/>
        <w:spacing w:after="0" w:line="244" w:lineRule="auto"/>
        <w:rPr>
          <w:sz w:val="20"/>
          <w:szCs w:val="20"/>
          <w:color w:val="auto"/>
        </w:rPr>
      </w:pPr>
      <w:r>
        <w:rPr>
          <w:rFonts w:ascii="Courier New" w:cs="Courier New" w:eastAsia="Courier New" w:hAnsi="Courier New"/>
          <w:sz w:val="15"/>
          <w:szCs w:val="15"/>
          <w:color w:val="auto"/>
        </w:rPr>
        <w:t>At September 30, 1999, 66% of the Company's accounts receivable was due from customers in North America. Approximately two-thirds of these receivables were generated from the Company's North American consumer business. The most significant concentration of receivables within this segment was from home centers, which accounted for 19% of the Company's receivables balance at September 30, 1999. No other retail concentrations (e.g., mass merchandisers, independent hardware stores, etc. in similar markets) accounted for more than 10% of the Company's accounts receivable balance at September 30, 1999.</w:t>
      </w:r>
    </w:p>
    <w:p>
      <w:pPr>
        <w:spacing w:after="0" w:line="178" w:lineRule="exact"/>
        <w:rPr>
          <w:sz w:val="20"/>
          <w:szCs w:val="20"/>
          <w:color w:val="auto"/>
        </w:rPr>
      </w:pPr>
    </w:p>
    <w:p>
      <w:pPr>
        <w:ind w:right="3700"/>
        <w:spacing w:after="0" w:line="244" w:lineRule="auto"/>
        <w:rPr>
          <w:sz w:val="20"/>
          <w:szCs w:val="20"/>
          <w:color w:val="auto"/>
        </w:rPr>
      </w:pPr>
      <w:r>
        <w:rPr>
          <w:rFonts w:ascii="Courier New" w:cs="Courier New" w:eastAsia="Courier New" w:hAnsi="Courier New"/>
          <w:sz w:val="15"/>
          <w:szCs w:val="15"/>
          <w:color w:val="auto"/>
        </w:rPr>
        <w:t>The remaining one-third of North American accounts receivable was generated from the Company's North American Professional business. Due to seasonality, the Professional segment accounts for a share of the Company's receivable balance at September 30, 1999 that is disproportionate to its share of total company sales for the year. As a result of the changes in distribution methods made earlier in fiscal 1999 for the Professional business, nearly all products are sold through distributors. Accordingly, nearly all of the Professional business accounts receivable at September 30, 1999 is due from distributors.</w:t>
      </w:r>
    </w:p>
    <w:p>
      <w:pPr>
        <w:spacing w:after="0" w:line="178" w:lineRule="exact"/>
        <w:rPr>
          <w:sz w:val="20"/>
          <w:szCs w:val="20"/>
          <w:color w:val="auto"/>
        </w:rPr>
      </w:pPr>
    </w:p>
    <w:p>
      <w:pPr>
        <w:ind w:right="3960"/>
        <w:spacing w:after="0" w:line="244" w:lineRule="auto"/>
        <w:rPr>
          <w:sz w:val="20"/>
          <w:szCs w:val="20"/>
          <w:color w:val="auto"/>
        </w:rPr>
      </w:pPr>
      <w:r>
        <w:rPr>
          <w:rFonts w:ascii="Courier New" w:cs="Courier New" w:eastAsia="Courier New" w:hAnsi="Courier New"/>
          <w:sz w:val="15"/>
          <w:szCs w:val="15"/>
          <w:color w:val="auto"/>
        </w:rPr>
        <w:t>The 34% of accounts receivable generated outside of North America is due from retailers, distributors, nurseries and growers. No concentrations of or individual customers within this group account for more than 10% of the Company's accounts receivable balance at September 30, 1999.</w:t>
      </w:r>
    </w:p>
    <w:p>
      <w:pPr>
        <w:spacing w:after="0" w:line="176" w:lineRule="exact"/>
        <w:rPr>
          <w:sz w:val="20"/>
          <w:szCs w:val="20"/>
          <w:color w:val="auto"/>
        </w:rPr>
      </w:pPr>
    </w:p>
    <w:p>
      <w:pPr>
        <w:ind w:right="3780"/>
        <w:spacing w:after="0" w:line="244" w:lineRule="auto"/>
        <w:rPr>
          <w:sz w:val="20"/>
          <w:szCs w:val="20"/>
          <w:color w:val="auto"/>
        </w:rPr>
      </w:pPr>
      <w:r>
        <w:rPr>
          <w:rFonts w:ascii="Courier New" w:cs="Courier New" w:eastAsia="Courier New" w:hAnsi="Courier New"/>
          <w:sz w:val="15"/>
          <w:szCs w:val="15"/>
          <w:color w:val="auto"/>
        </w:rPr>
        <w:t>At September 30, 1998, the Company's concentrations of credit risk were similar to those existing at September 30, 1999 except that the North American professional business accounted for 47% of North American receivables at that time.</w:t>
      </w:r>
    </w:p>
    <w:p>
      <w:pPr>
        <w:spacing w:after="0" w:line="176" w:lineRule="exact"/>
        <w:rPr>
          <w:sz w:val="20"/>
          <w:szCs w:val="20"/>
          <w:color w:val="auto"/>
        </w:rPr>
      </w:pPr>
    </w:p>
    <w:p>
      <w:pPr>
        <w:ind w:right="3960"/>
        <w:spacing w:after="0" w:line="243" w:lineRule="auto"/>
        <w:rPr>
          <w:sz w:val="20"/>
          <w:szCs w:val="20"/>
          <w:color w:val="auto"/>
        </w:rPr>
      </w:pPr>
      <w:r>
        <w:rPr>
          <w:rFonts w:ascii="Courier New" w:cs="Courier New" w:eastAsia="Courier New" w:hAnsi="Courier New"/>
          <w:sz w:val="15"/>
          <w:szCs w:val="15"/>
          <w:color w:val="auto"/>
        </w:rPr>
        <w:t>The Company's two largest customers accounted for the following percentage of net sales in each respective period: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LARGEST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2ND LARGEST</w:t>
            </w:r>
          </w:p>
        </w:tc>
      </w:tr>
      <w:tr>
        <w:trPr>
          <w:trHeight w:val="173"/>
        </w:trPr>
        <w:tc>
          <w:tcPr>
            <w:tcW w:w="5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CUSTOMER</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CUSTOMER</w:t>
            </w:r>
          </w:p>
        </w:tc>
      </w:tr>
      <w:tr>
        <w:trPr>
          <w:trHeight w:val="173"/>
        </w:trPr>
        <w:tc>
          <w:tcPr>
            <w:tcW w:w="5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50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w:t>
            </w:r>
          </w:p>
        </w:tc>
      </w:tr>
      <w:tr>
        <w:trPr>
          <w:trHeight w:val="520"/>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99"/>
              </w:rPr>
              <w:t>Sales to the Company's two largest customers are reported within the Company's</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North American Consumer Segment. No other customers accounted for more than 10%</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of fiscal 1999, 1998 or 1997 net sales.</w:t>
            </w: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NOTE 17. OTHER EXPENSE (INCOME)</w:t>
            </w: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 (income) consisted of the following for the fiscal years ended</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694"/>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940" w:type="dxa"/>
            <w:vAlign w:val="bottom"/>
          </w:tcPr>
          <w:p>
            <w:pPr>
              <w:spacing w:after="0"/>
              <w:rPr>
                <w:sz w:val="24"/>
                <w:szCs w:val="2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1999</w:t>
            </w:r>
          </w:p>
        </w:tc>
        <w:tc>
          <w:tcPr>
            <w:tcW w:w="16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24"/>
                <w:szCs w:val="24"/>
                <w:color w:val="auto"/>
              </w:rPr>
            </w:pPr>
          </w:p>
        </w:tc>
        <w:tc>
          <w:tcPr>
            <w:tcW w:w="11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5"/>
                <w:szCs w:val="15"/>
                <w:color w:val="auto"/>
              </w:rPr>
            </w:pPr>
          </w:p>
        </w:tc>
        <w:tc>
          <w:tcPr>
            <w:tcW w:w="11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5080" w:type="dxa"/>
            <w:vAlign w:val="bottom"/>
          </w:tcPr>
          <w:p>
            <w:pPr>
              <w:spacing w:after="0"/>
              <w:rPr>
                <w:sz w:val="20"/>
                <w:szCs w:val="20"/>
                <w:color w:val="auto"/>
              </w:rPr>
            </w:pPr>
            <w:r>
              <w:rPr>
                <w:rFonts w:ascii="Courier New" w:cs="Courier New" w:eastAsia="Courier New" w:hAnsi="Courier New"/>
                <w:sz w:val="15"/>
                <w:szCs w:val="15"/>
                <w:color w:val="auto"/>
              </w:rPr>
              <w:t>Royalty income</w:t>
            </w:r>
          </w:p>
        </w:tc>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Asset valuation and write-off charges</w:t>
            </w:r>
          </w:p>
        </w:tc>
        <w:tc>
          <w:tcPr>
            <w:tcW w:w="194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Foreign currency losses</w:t>
            </w:r>
          </w:p>
        </w:tc>
        <w:tc>
          <w:tcPr>
            <w:tcW w:w="194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94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c>
          <w:tcPr>
            <w:tcW w:w="8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080" w:type="dxa"/>
            <w:vAlign w:val="bottom"/>
          </w:tcPr>
          <w:p>
            <w:pPr>
              <w:spacing w:after="0"/>
              <w:rPr>
                <w:sz w:val="15"/>
                <w:szCs w:val="15"/>
                <w:color w:val="auto"/>
              </w:rPr>
            </w:pPr>
          </w:p>
        </w:tc>
        <w:tc>
          <w:tcPr>
            <w:tcW w:w="2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4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w:t>
            </w:r>
          </w:p>
        </w:tc>
      </w:tr>
      <w:tr>
        <w:trPr>
          <w:trHeight w:val="173"/>
        </w:trPr>
        <w:tc>
          <w:tcPr>
            <w:tcW w:w="5080" w:type="dxa"/>
            <w:vAlign w:val="bottom"/>
          </w:tcPr>
          <w:p>
            <w:pPr>
              <w:spacing w:after="0"/>
              <w:rPr>
                <w:sz w:val="15"/>
                <w:szCs w:val="15"/>
                <w:color w:val="auto"/>
              </w:rPr>
            </w:pPr>
          </w:p>
        </w:tc>
        <w:tc>
          <w:tcPr>
            <w:tcW w:w="284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900"/>
          </w:cols>
          <w:pgMar w:left="240" w:top="291" w:right="759" w:bottom="1440" w:gutter="0" w:footer="0" w:header="0"/>
        </w:sectPr>
      </w:pPr>
    </w:p>
    <w:p>
      <w:pPr>
        <w:spacing w:after="0" w:line="1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900"/>
          </w:cols>
          <w:pgMar w:left="240" w:top="291" w:right="759" w:bottom="1440" w:gutter="0" w:footer="0" w:header="0"/>
          <w:type w:val="continuous"/>
        </w:sectPr>
      </w:pPr>
    </w:p>
    <w:bookmarkStart w:id="104" w:name="page105"/>
    <w:bookmarkEnd w:id="104"/>
    <w:p>
      <w:pPr>
        <w:ind w:left="268"/>
        <w:spacing w:after="0"/>
        <w:rPr>
          <w:sz w:val="20"/>
          <w:szCs w:val="20"/>
          <w:color w:val="auto"/>
        </w:rPr>
      </w:pPr>
      <w:r>
        <w:rPr>
          <w:rFonts w:ascii="Courier New" w:cs="Courier New" w:eastAsia="Courier New" w:hAnsi="Courier New"/>
          <w:sz w:val="15"/>
          <w:szCs w:val="15"/>
          <w:color w:val="auto"/>
        </w:rPr>
        <w:t>102</w:t>
      </w:r>
    </w:p>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fiscal 1997, the Company recorded charges of $6.0 million to write-down certain long-lived assets to their estimated fair value. The components of these charges were as follows:</w:t>
      </w:r>
    </w:p>
    <w:p>
      <w:pPr>
        <w:spacing w:after="0" w:line="349" w:lineRule="exact"/>
        <w:rPr>
          <w:sz w:val="20"/>
          <w:szCs w:val="20"/>
          <w:color w:val="auto"/>
        </w:rPr>
      </w:pPr>
    </w:p>
    <w:p>
      <w:pPr>
        <w:ind w:left="908" w:right="3019" w:hanging="908"/>
        <w:spacing w:after="0" w:line="244" w:lineRule="auto"/>
        <w:tabs>
          <w:tab w:leader="none" w:pos="1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$2.2 million to write-off the carrying value of the Company's peat harvesting facility in Lafayette, New Jersey. As disclosed in Note 15, operations at this facility, which was part of the North American Consumer Segment, were discontinued at the order of the Philadelphia District of the U.S. Army Corps of Engineers in July 1990. While proceedings with the government are ongoing, the Company does not expect to resume operations at this site. The Lafayette facility contributed operating income to the Company's results of operations of $0.3 million for fiscal 1997.</w:t>
      </w:r>
    </w:p>
    <w:p>
      <w:pPr>
        <w:spacing w:after="0" w:line="5" w:lineRule="exact"/>
        <w:rPr>
          <w:rFonts w:ascii="Courier New" w:cs="Courier New" w:eastAsia="Courier New" w:hAnsi="Courier New"/>
          <w:sz w:val="15"/>
          <w:szCs w:val="15"/>
          <w:color w:val="auto"/>
        </w:rPr>
      </w:pPr>
    </w:p>
    <w:p>
      <w:pPr>
        <w:ind w:left="908" w:right="3099" w:hanging="908"/>
        <w:spacing w:after="0" w:line="244" w:lineRule="auto"/>
        <w:tabs>
          <w:tab w:leader="none" w:pos="1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$1.6 million to write-off the carrying value of certain paper packaging equipment that was rendered obsolete by management's decision to convert to plastic packaging. The equipment, which was held in the North American Consumer Segment, was considered to have only nominal value and was subsequently disposed of by the end of the second quarter of fiscal 1998.</w:t>
      </w:r>
    </w:p>
    <w:p>
      <w:pPr>
        <w:spacing w:after="0" w:line="3"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$0.9 million to write-down the carrying value of the Company's water soluble fertilizer plant in Allentown, Pennsylvania. In fiscal 1997, management determined that the production capacity at this plant was unnecessary after completing the merger transactions with Miracle-Gro in fiscal 1995. The Allentown facility, which produced products for the North American Consumer Segment, was sold in July 1997. The charge reduced the then current carrying value of $3.3 million to its estimated net realizable value of $2.4 million. The final selling price for the plant did not differ materially from that used to determine the charge.</w:t>
      </w:r>
    </w:p>
    <w:p>
      <w:pPr>
        <w:spacing w:after="0" w:line="6" w:lineRule="exact"/>
        <w:rPr>
          <w:rFonts w:ascii="Courier New" w:cs="Courier New" w:eastAsia="Courier New" w:hAnsi="Courier New"/>
          <w:sz w:val="15"/>
          <w:szCs w:val="15"/>
          <w:color w:val="auto"/>
        </w:rPr>
      </w:pPr>
    </w:p>
    <w:p>
      <w:pPr>
        <w:ind w:left="908" w:right="3019" w:hanging="908"/>
        <w:spacing w:after="0" w:line="244" w:lineRule="auto"/>
        <w:tabs>
          <w:tab w:leader="none" w:pos="1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$0.7 million to write-off the carrying value of certain spreader molding equipment that was considered obsolete. In fiscal 1997, management elected to upgrade the production line at its spreader manufacturing facility in Carlsbad, California. In connection with this change, certain production equipment used by the North American Consumer Segment was unusable and was disposed of in fiscal 1997.</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$0.6 million to write-off the carrying value of</w:t>
      </w:r>
    </w:p>
    <w:p>
      <w:pPr>
        <w:spacing w:after="0" w:line="4" w:lineRule="exact"/>
        <w:rPr>
          <w:sz w:val="20"/>
          <w:szCs w:val="20"/>
          <w:color w:val="auto"/>
        </w:rPr>
      </w:pPr>
    </w:p>
    <w:p>
      <w:pPr>
        <w:ind w:left="908" w:right="3199"/>
        <w:spacing w:after="0" w:line="244" w:lineRule="auto"/>
        <w:rPr>
          <w:sz w:val="20"/>
          <w:szCs w:val="20"/>
          <w:color w:val="auto"/>
        </w:rPr>
      </w:pPr>
      <w:r>
        <w:rPr>
          <w:rFonts w:ascii="Courier New" w:cs="Courier New" w:eastAsia="Courier New" w:hAnsi="Courier New"/>
          <w:sz w:val="15"/>
          <w:szCs w:val="15"/>
          <w:color w:val="auto"/>
        </w:rPr>
        <w:t>certain software costs that had been deferred under an ERP implementation project. In fiscal 1997, management elected to change the software platform that would be used for the Company's ERP project. Software costs that had been deferred while configuring and installing the previous software were determined to have no future benefit and were written-off. These deferred costs were reported as corporate assets prior to their write-off.</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18. NEW ACCOUNTING STANDARDS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August 1998, the FASB issued SFAS No. 133, "Accounting For Derivative Instruments and Hedging Activities." SFAS NO. 133 (as amended) is effective for fiscal years beginning after June 15, 2000.</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will be required, however, to conform its interim period revenue recognition policies for the commission under the Roundup(R) marketing agreement to be consistent with the staff's views. In fiscal 1999, the Company recognized commission income during interim periods based on the estimated percentage of EBIT that would be payable to the Company as commission for the year, net of the annual contribution payment, applied to the actual EBIT for the Roundup business for the interim period. Commission income recorded for the full year is calculated by applying the threshold commission structure for that year to the actual EBIT of the Roundup business for the year, net of the annual contribution payment. Under the provisions of SAB 101, the Company will not recognize commission income until actual Roundup EBIT reaches the first commission threshold for that year. The Company is not required to adopt the interim period revenue recognition policies until the first quarter of the</w:t>
      </w:r>
    </w:p>
    <w:p>
      <w:pPr>
        <w:sectPr>
          <w:pgSz w:w="11900" w:h="16838" w:orient="portrait"/>
          <w:cols w:equalWidth="0" w:num="1">
            <w:col w:w="10227"/>
          </w:cols>
          <w:pgMar w:left="232" w:top="291" w:right="1440" w:bottom="912" w:gutter="0" w:footer="0" w:header="0"/>
        </w:sectPr>
      </w:pPr>
    </w:p>
    <w:p>
      <w:pPr>
        <w:spacing w:after="0" w:line="200" w:lineRule="exact"/>
        <w:rPr>
          <w:sz w:val="20"/>
          <w:szCs w:val="20"/>
          <w:color w:val="auto"/>
        </w:rPr>
      </w:pPr>
    </w:p>
    <w:p>
      <w:pPr>
        <w:spacing w:after="0" w:line="332"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27"/>
          </w:cols>
          <w:pgMar w:left="232" w:top="291" w:right="1440" w:bottom="912"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103</w:t>
      </w:r>
    </w:p>
    <w:p>
      <w:pPr>
        <w:spacing w:after="0" w:line="351" w:lineRule="exact"/>
        <w:rPr>
          <w:sz w:val="20"/>
          <w:szCs w:val="20"/>
          <w:color w:val="auto"/>
        </w:rPr>
      </w:pPr>
    </w:p>
    <w:p>
      <w:pPr>
        <w:ind w:right="1180"/>
        <w:spacing w:after="0" w:line="278" w:lineRule="auto"/>
        <w:rPr>
          <w:sz w:val="20"/>
          <w:szCs w:val="20"/>
          <w:color w:val="auto"/>
        </w:rPr>
      </w:pPr>
      <w:r>
        <w:rPr>
          <w:rFonts w:ascii="Courier New" w:cs="Courier New" w:eastAsia="Courier New" w:hAnsi="Courier New"/>
          <w:sz w:val="14"/>
          <w:szCs w:val="14"/>
          <w:color w:val="auto"/>
        </w:rPr>
        <w:t>fiscal year ending September 30, 2001 as permitted by the staff accounting bulletin, however the Company anticipates early adoption for fiscal 2000.</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SUPPLEMENTAL CASH FLOW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560" w:type="dxa"/>
            <w:vAlign w:val="bottom"/>
          </w:tcPr>
          <w:p>
            <w:pPr>
              <w:spacing w:after="0"/>
              <w:rPr>
                <w:sz w:val="14"/>
                <w:szCs w:val="14"/>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spacing w:after="0"/>
              <w:rPr>
                <w:sz w:val="15"/>
                <w:szCs w:val="15"/>
                <w:color w:val="auto"/>
              </w:rPr>
            </w:pP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paid (net of amount capitalized)</w:t>
            </w:r>
          </w:p>
        </w:tc>
        <w:tc>
          <w:tcPr>
            <w:tcW w:w="15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63.6</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50.3</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Dividends declared not paid</w:t>
            </w: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Businesses acquired:</w:t>
            </w: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Fair value of assets acquired, net of cash</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691.2</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Liabilities assumed</w:t>
            </w:r>
          </w:p>
        </w:tc>
        <w:tc>
          <w:tcPr>
            <w:tcW w:w="1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(149.3)</w:t>
            </w:r>
          </w:p>
        </w:tc>
      </w:tr>
      <w:tr>
        <w:trPr>
          <w:trHeight w:val="173"/>
        </w:trPr>
        <w:tc>
          <w:tcPr>
            <w:tcW w:w="5320" w:type="dxa"/>
            <w:vAlign w:val="bottom"/>
          </w:tcPr>
          <w:p>
            <w:pPr>
              <w:spacing w:after="0"/>
              <w:rPr>
                <w:sz w:val="15"/>
                <w:szCs w:val="15"/>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assets acquired</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541.9</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Cash paid</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Notes issued to seller</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Debt issued</w:t>
            </w:r>
          </w:p>
        </w:tc>
        <w:tc>
          <w:tcPr>
            <w:tcW w:w="15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501.4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SEGMENT INFORMATION</w:t>
      </w:r>
    </w:p>
    <w:p>
      <w:pPr>
        <w:spacing w:after="0" w:line="178" w:lineRule="exact"/>
        <w:rPr>
          <w:sz w:val="20"/>
          <w:szCs w:val="20"/>
          <w:color w:val="auto"/>
        </w:rPr>
      </w:pPr>
    </w:p>
    <w:p>
      <w:pPr>
        <w:jc w:val="both"/>
        <w:ind w:right="720"/>
        <w:spacing w:after="0" w:line="244" w:lineRule="auto"/>
        <w:rPr>
          <w:sz w:val="20"/>
          <w:szCs w:val="20"/>
          <w:color w:val="auto"/>
        </w:rPr>
      </w:pPr>
      <w:r>
        <w:rPr>
          <w:rFonts w:ascii="Courier New" w:cs="Courier New" w:eastAsia="Courier New" w:hAnsi="Courier New"/>
          <w:sz w:val="15"/>
          <w:szCs w:val="15"/>
          <w:color w:val="auto"/>
        </w:rPr>
        <w:t>The Company is divided into three reportable segments--North American Consumer, Professional and International. The North American Consumer segment consists of the Lawns, Gardens, Growing Media and Ortho business units.</w:t>
      </w:r>
    </w:p>
    <w:p>
      <w:pPr>
        <w:spacing w:after="0" w:line="175" w:lineRule="exact"/>
        <w:rPr>
          <w:sz w:val="20"/>
          <w:szCs w:val="20"/>
          <w:color w:val="auto"/>
        </w:rPr>
      </w:pPr>
    </w:p>
    <w:p>
      <w:pPr>
        <w:ind w:right="720"/>
        <w:spacing w:after="0" w:line="244" w:lineRule="auto"/>
        <w:rPr>
          <w:sz w:val="20"/>
          <w:szCs w:val="20"/>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178" w:lineRule="exact"/>
        <w:rPr>
          <w:sz w:val="20"/>
          <w:szCs w:val="20"/>
          <w:color w:val="auto"/>
        </w:rPr>
      </w:pPr>
    </w:p>
    <w:p>
      <w:pPr>
        <w:ind w:right="820"/>
        <w:spacing w:after="0" w:line="244" w:lineRule="auto"/>
        <w:rPr>
          <w:sz w:val="20"/>
          <w:szCs w:val="20"/>
          <w:color w:val="auto"/>
        </w:rPr>
      </w:pPr>
      <w:r>
        <w:rPr>
          <w:rFonts w:ascii="Courier New" w:cs="Courier New" w:eastAsia="Courier New" w:hAnsi="Courier New"/>
          <w:sz w:val="15"/>
          <w:szCs w:val="15"/>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177" w:lineRule="exact"/>
        <w:rPr>
          <w:sz w:val="20"/>
          <w:szCs w:val="20"/>
          <w:color w:val="auto"/>
        </w:rPr>
      </w:pPr>
    </w:p>
    <w:p>
      <w:pPr>
        <w:ind w:right="900"/>
        <w:spacing w:after="0" w:line="244" w:lineRule="auto"/>
        <w:rPr>
          <w:sz w:val="20"/>
          <w:szCs w:val="20"/>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20" w:type="dxa"/>
            <w:vAlign w:val="bottom"/>
          </w:tcPr>
          <w:p>
            <w:pPr>
              <w:spacing w:after="0"/>
              <w:rPr>
                <w:sz w:val="24"/>
                <w:szCs w:val="2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197.3</w:t>
            </w:r>
          </w:p>
        </w:tc>
        <w:tc>
          <w:tcPr>
            <w:tcW w:w="360" w:type="dxa"/>
            <w:vAlign w:val="bottom"/>
          </w:tcPr>
          <w:p>
            <w:pPr>
              <w:spacing w:after="0"/>
              <w:rPr>
                <w:sz w:val="24"/>
                <w:szCs w:val="24"/>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115.8</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3"/>
        </w:trPr>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151.4</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151.0</w:t>
            </w:r>
          </w:p>
        </w:tc>
        <w:tc>
          <w:tcPr>
            <w:tcW w:w="36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w:t>
            </w:r>
          </w:p>
        </w:tc>
      </w:tr>
    </w:tbl>
    <w:p>
      <w:pPr>
        <w:sectPr>
          <w:pgSz w:w="11900" w:h="16838" w:orient="portrait"/>
          <w:cols w:equalWidth="0" w:num="2">
            <w:col w:w="7840" w:space="360"/>
            <w:col w:w="2700"/>
          </w:cols>
          <w:pgMar w:left="240" w:top="291" w:right="759"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104</w:t>
      </w:r>
    </w:p>
    <w:p>
      <w:pPr>
        <w:spacing w:after="0" w:line="351" w:lineRule="exact"/>
        <w:rPr>
          <w:sz w:val="20"/>
          <w:szCs w:val="20"/>
          <w:color w:val="auto"/>
        </w:rPr>
      </w:pPr>
    </w:p>
    <w:p>
      <w:pPr>
        <w:ind w:right="820"/>
        <w:spacing w:after="0" w:line="244"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periods have been restated to conform to this basis of presentation.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N.A.</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CONSUMER</w:t>
            </w:r>
          </w:p>
        </w:tc>
        <w:tc>
          <w:tcPr>
            <w:tcW w:w="2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PROFESSIONAL INTERNATIONAL</w:t>
            </w:r>
          </w:p>
        </w:tc>
      </w:tr>
      <w:tr>
        <w:trPr>
          <w:trHeight w:val="520"/>
        </w:trPr>
        <w:tc>
          <w:tcPr>
            <w:tcW w:w="6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1,097.0</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391.9</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733.7</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179.4</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619.2</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114.6</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234.6</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r>
      <w:tr>
        <w:trPr>
          <w:trHeight w:val="173"/>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r>
      <w:tr>
        <w:trPr>
          <w:trHeight w:val="173"/>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3"/>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Long-Lived Assets:</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649.0</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322.7</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391.3</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103.1</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1,010.1</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176.9</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496.7</w:t>
            </w:r>
          </w:p>
        </w:tc>
      </w:tr>
      <w:tr>
        <w:trPr>
          <w:trHeight w:val="173"/>
        </w:trPr>
        <w:tc>
          <w:tcPr>
            <w:tcW w:w="660" w:type="dxa"/>
            <w:vAlign w:val="bottom"/>
          </w:tcPr>
          <w:p>
            <w:pPr>
              <w:spacing w:after="0"/>
              <w:rPr>
                <w:sz w:val="15"/>
                <w:szCs w:val="15"/>
                <w:color w:val="auto"/>
              </w:rPr>
            </w:pPr>
          </w:p>
        </w:tc>
        <w:tc>
          <w:tcPr>
            <w:tcW w:w="3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581.8</w:t>
            </w:r>
          </w:p>
        </w:tc>
        <w:tc>
          <w:tcPr>
            <w:tcW w:w="40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182.6</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246.0</w:t>
            </w:r>
          </w:p>
        </w:tc>
      </w:tr>
      <w:tr>
        <w:trPr>
          <w:trHeight w:val="520"/>
        </w:trPr>
        <w:tc>
          <w:tcPr>
            <w:tcW w:w="660" w:type="dxa"/>
            <w:vAlign w:val="bottom"/>
          </w:tcPr>
          <w:p>
            <w:pPr>
              <w:spacing w:after="0"/>
              <w:rPr>
                <w:sz w:val="20"/>
                <w:szCs w:val="20"/>
                <w:color w:val="auto"/>
              </w:rPr>
            </w:pPr>
            <w:r>
              <w:rPr>
                <w:rFonts w:ascii="Courier New" w:cs="Courier New" w:eastAsia="Courier New" w:hAnsi="Courier New"/>
                <w:sz w:val="15"/>
                <w:szCs w:val="15"/>
                <w:color w:val="auto"/>
              </w:rPr>
              <w:t>nm</w:t>
            </w:r>
          </w:p>
        </w:tc>
        <w:tc>
          <w:tcPr>
            <w:tcW w:w="3340" w:type="dxa"/>
            <w:vAlign w:val="bottom"/>
          </w:tcPr>
          <w:p>
            <w:pPr>
              <w:jc w:val="right"/>
              <w:ind w:right="1765"/>
              <w:spacing w:after="0"/>
              <w:rPr>
                <w:sz w:val="20"/>
                <w:szCs w:val="20"/>
                <w:color w:val="auto"/>
              </w:rPr>
            </w:pPr>
            <w:r>
              <w:rPr>
                <w:rFonts w:ascii="Courier New" w:cs="Courier New" w:eastAsia="Courier New" w:hAnsi="Courier New"/>
                <w:sz w:val="15"/>
                <w:szCs w:val="15"/>
                <w:color w:val="auto"/>
              </w:rPr>
              <w:t>Not meaningful.</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8" w:lineRule="exact"/>
        <w:rPr>
          <w:sz w:val="20"/>
          <w:szCs w:val="20"/>
          <w:color w:val="auto"/>
        </w:rPr>
      </w:pPr>
    </w:p>
    <w:p>
      <w:pPr>
        <w:ind w:right="640"/>
        <w:spacing w:after="0" w:line="244" w:lineRule="auto"/>
        <w:rPr>
          <w:sz w:val="20"/>
          <w:szCs w:val="20"/>
          <w:color w:val="auto"/>
        </w:rPr>
      </w:pPr>
      <w:r>
        <w:rPr>
          <w:rFonts w:ascii="Courier New" w:cs="Courier New" w:eastAsia="Courier New" w:hAnsi="Courier New"/>
          <w:sz w:val="15"/>
          <w:szCs w:val="15"/>
          <w:color w:val="auto"/>
        </w:rPr>
        <w:t>Operating income (loss) reported for the Company's three operating segments represents earnings before amortization of intangible assets since this is the measure of profitability used by management. Accordingly, Corporate operating loss for the fiscal years ended September 30, 1999, 1998 and 1997 includes amortization of certain intangible assets, corporate general and administrative expenses, research and development expense, interest expense, income tax expense and "other" income/expense not allocated to the business segments. Corporate operating income for fiscal 1998 includes $20.4 million of restructuring and other charges.</w:t>
      </w:r>
    </w:p>
    <w:p>
      <w:pPr>
        <w:spacing w:after="0" w:line="179" w:lineRule="exact"/>
        <w:rPr>
          <w:sz w:val="20"/>
          <w:szCs w:val="20"/>
          <w:color w:val="auto"/>
        </w:rPr>
      </w:pPr>
    </w:p>
    <w:p>
      <w:pPr>
        <w:ind w:right="640"/>
        <w:spacing w:after="0" w:line="266" w:lineRule="auto"/>
        <w:rPr>
          <w:sz w:val="20"/>
          <w:szCs w:val="20"/>
          <w:color w:val="auto"/>
        </w:rPr>
      </w:pPr>
      <w:r>
        <w:rPr>
          <w:rFonts w:ascii="Courier New" w:cs="Courier New" w:eastAsia="Courier New" w:hAnsi="Courier New"/>
          <w:sz w:val="14"/>
          <w:szCs w:val="14"/>
          <w:color w:val="auto"/>
        </w:rPr>
        <w:t>Long-lived assets and total assets reported for the Company's operating segments include the intangible assets for the acquired businesses within those segments. Depreciation and amortization for the segments includes the amortization of these intangibles. Corporate assets primarily include deferred financing and debt issuance costs, corporate fixed assets as well as deferred tax assets.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CORPORATE</w:t>
            </w:r>
          </w:p>
        </w:tc>
        <w:tc>
          <w:tcPr>
            <w:tcW w:w="40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694"/>
        </w:trPr>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1,648.3</w:t>
            </w:r>
          </w:p>
        </w:tc>
      </w:tr>
      <w:tr>
        <w:trPr>
          <w:trHeight w:val="173"/>
        </w:trPr>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1,113.0</w:t>
            </w:r>
          </w:p>
        </w:tc>
      </w:tr>
      <w:tr>
        <w:trPr>
          <w:trHeight w:val="173"/>
        </w:trPr>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899.3</w:t>
            </w:r>
          </w:p>
        </w:tc>
      </w:tr>
      <w:tr>
        <w:trPr>
          <w:trHeight w:val="520"/>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(85.9)</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94.1</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r>
      <w:tr>
        <w:trPr>
          <w:trHeight w:val="347"/>
        </w:trPr>
        <w:tc>
          <w:tcPr>
            <w:tcW w:w="140" w:type="dxa"/>
            <w:vAlign w:val="bottom"/>
          </w:tcPr>
          <w:p>
            <w:pPr>
              <w:spacing w:after="0"/>
              <w:rPr>
                <w:sz w:val="24"/>
                <w:szCs w:val="2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nm</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nm</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nm</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347"/>
        </w:trPr>
        <w:tc>
          <w:tcPr>
            <w:tcW w:w="14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520"/>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r>
        <w:trPr>
          <w:trHeight w:val="347"/>
        </w:trPr>
        <w:tc>
          <w:tcPr>
            <w:tcW w:w="14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1,127.9</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668.0</w:t>
            </w:r>
          </w:p>
        </w:tc>
      </w:tr>
      <w:tr>
        <w:trPr>
          <w:trHeight w:val="520"/>
        </w:trPr>
        <w:tc>
          <w:tcPr>
            <w:tcW w:w="14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1,769.6</w:t>
            </w:r>
          </w:p>
        </w:tc>
      </w:tr>
      <w:tr>
        <w:trPr>
          <w:trHeight w:val="173"/>
        </w:trPr>
        <w:tc>
          <w:tcPr>
            <w:tcW w:w="14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1,035.2</w:t>
            </w:r>
          </w:p>
        </w:tc>
      </w:tr>
    </w:tbl>
    <w:p>
      <w:pPr>
        <w:sectPr>
          <w:pgSz w:w="11900" w:h="16838" w:orient="portrait"/>
          <w:cols w:equalWidth="0" w:num="2">
            <w:col w:w="7840" w:space="360"/>
            <w:col w:w="2520"/>
          </w:cols>
          <w:pgMar w:left="240" w:top="291" w:right="939"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QUARTERLY CONSOLIDATED FINANCIAL INFORMATION (UNAUDITED)</w:t>
      </w:r>
    </w:p>
    <w:p>
      <w:pPr>
        <w:spacing w:after="0" w:line="178" w:lineRule="exact"/>
        <w:rPr>
          <w:sz w:val="20"/>
          <w:szCs w:val="20"/>
          <w:color w:val="auto"/>
        </w:rPr>
      </w:pPr>
    </w:p>
    <w:p>
      <w:pPr>
        <w:ind w:right="3880"/>
        <w:spacing w:after="0" w:line="243"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1999 and 1998:</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(IN MILLIONS EXCEPT FOR SHARE DATA)</w:t>
            </w:r>
          </w:p>
        </w:tc>
        <w:tc>
          <w:tcPr>
            <w:tcW w:w="5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1ST QTR</w:t>
            </w:r>
          </w:p>
        </w:tc>
        <w:tc>
          <w:tcPr>
            <w:tcW w:w="32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2ND QTR</w:t>
            </w:r>
          </w:p>
        </w:tc>
        <w:tc>
          <w:tcPr>
            <w:tcW w:w="400" w:type="dxa"/>
            <w:vAlign w:val="bottom"/>
          </w:tcPr>
          <w:p>
            <w:pPr>
              <w:spacing w:after="0"/>
              <w:rPr>
                <w:sz w:val="14"/>
                <w:szCs w:val="14"/>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3RD QTR</w:t>
            </w:r>
          </w:p>
        </w:tc>
        <w:tc>
          <w:tcPr>
            <w:tcW w:w="30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4TH QTR</w:t>
            </w:r>
          </w:p>
        </w:tc>
        <w:tc>
          <w:tcPr>
            <w:tcW w:w="320" w:type="dxa"/>
            <w:vAlign w:val="bottom"/>
          </w:tcPr>
          <w:p>
            <w:pPr>
              <w:spacing w:after="0"/>
              <w:rPr>
                <w:sz w:val="14"/>
                <w:szCs w:val="14"/>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62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184.4</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631.5</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586.2</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246.2</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1,648.3</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64.7</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268.9</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236.4</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89.2</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659.2</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(loss) before extraordinary</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item</w:t>
            </w:r>
          </w:p>
        </w:tc>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5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(0.70)</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2.14</w:t>
            </w:r>
          </w:p>
        </w:tc>
        <w:tc>
          <w:tcPr>
            <w:tcW w:w="30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used in basic</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EPS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5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(0.70)</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w:t>
            </w:r>
          </w:p>
        </w:tc>
        <w:tc>
          <w:tcPr>
            <w:tcW w:w="30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used in diluted EPS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calculation</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30.5</w:t>
            </w:r>
          </w:p>
        </w:tc>
      </w:tr>
      <w:tr>
        <w:trPr>
          <w:trHeight w:val="34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(IN MILLIONS EXCEPT FOR SHARE DATA)</w:t>
            </w:r>
          </w:p>
        </w:tc>
        <w:tc>
          <w:tcPr>
            <w:tcW w:w="540" w:type="dxa"/>
            <w:vAlign w:val="bottom"/>
          </w:tcPr>
          <w:p>
            <w:pPr>
              <w:spacing w:after="0"/>
              <w:rPr>
                <w:sz w:val="24"/>
                <w:szCs w:val="2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1ST QTR</w:t>
            </w:r>
          </w:p>
        </w:tc>
        <w:tc>
          <w:tcPr>
            <w:tcW w:w="32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2ND QTR</w:t>
            </w:r>
          </w:p>
        </w:tc>
        <w:tc>
          <w:tcPr>
            <w:tcW w:w="400" w:type="dxa"/>
            <w:vAlign w:val="bottom"/>
          </w:tcPr>
          <w:p>
            <w:pPr>
              <w:spacing w:after="0"/>
              <w:rPr>
                <w:sz w:val="24"/>
                <w:szCs w:val="24"/>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3RD QTR</w:t>
            </w:r>
          </w:p>
        </w:tc>
        <w:tc>
          <w:tcPr>
            <w:tcW w:w="30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4TH QTR</w:t>
            </w:r>
          </w:p>
        </w:tc>
        <w:tc>
          <w:tcPr>
            <w:tcW w:w="320" w:type="dxa"/>
            <w:vAlign w:val="bottom"/>
          </w:tcPr>
          <w:p>
            <w:pPr>
              <w:spacing w:after="0"/>
              <w:rPr>
                <w:sz w:val="24"/>
                <w:szCs w:val="24"/>
                <w:color w:val="auto"/>
              </w:rPr>
            </w:pP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FULL YEAR</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124.8</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430.1</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367.0</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191.1</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1,113.0</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41.3</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170.5</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131.3</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398.0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extraordinary item</w:t>
            </w:r>
          </w:p>
        </w:tc>
        <w:tc>
          <w:tcPr>
            <w:tcW w:w="5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37.0</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w:t>
            </w:r>
          </w:p>
        </w:tc>
        <w:tc>
          <w:tcPr>
            <w:tcW w:w="30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(loss)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used in basic</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EPS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18.6</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(loss)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per</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20"/>
                <w:szCs w:val="20"/>
                <w:color w:val="auto"/>
              </w:rPr>
            </w:pPr>
            <w:r>
              <w:rPr>
                <w:rFonts w:ascii="Courier New" w:cs="Courier New" w:eastAsia="Courier New" w:hAnsi="Courier New"/>
                <w:sz w:val="15"/>
                <w:szCs w:val="15"/>
                <w:color w:val="auto"/>
              </w:rPr>
              <w:t>used in diluted EPS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calculation</w:t>
            </w:r>
          </w:p>
        </w:tc>
        <w:tc>
          <w:tcPr>
            <w:tcW w:w="5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w:t>
            </w:r>
          </w:p>
        </w:tc>
        <w:tc>
          <w:tcPr>
            <w:tcW w:w="40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30.6</w:t>
            </w:r>
          </w:p>
        </w:tc>
        <w:tc>
          <w:tcPr>
            <w:tcW w:w="3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18.6</w:t>
            </w:r>
          </w:p>
        </w:tc>
        <w:tc>
          <w:tcPr>
            <w:tcW w:w="3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178" w:lineRule="exact"/>
        <w:rPr>
          <w:sz w:val="20"/>
          <w:szCs w:val="20"/>
          <w:color w:val="auto"/>
        </w:rPr>
      </w:pPr>
    </w:p>
    <w:p>
      <w:pPr>
        <w:ind w:right="4420"/>
        <w:spacing w:after="0" w:line="243" w:lineRule="auto"/>
        <w:rPr>
          <w:sz w:val="20"/>
          <w:szCs w:val="20"/>
          <w:color w:val="auto"/>
        </w:rPr>
      </w:pPr>
      <w:r>
        <w:rPr>
          <w:rFonts w:ascii="Courier New" w:cs="Courier New" w:eastAsia="Courier New" w:hAnsi="Courier New"/>
          <w:sz w:val="15"/>
          <w:szCs w:val="15"/>
          <w:color w:val="auto"/>
        </w:rPr>
        <w:t>The Company's business is highly seasonal with approximately 72% of sales occurring in the second and third fiscal quarters combined.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FINANCIAL INFORMATION FOR SUBSIDIARY GUARANTORS AND NON-GUARANTORS</w:t>
      </w:r>
    </w:p>
    <w:p>
      <w:pPr>
        <w:spacing w:after="0" w:line="178" w:lineRule="exact"/>
        <w:rPr>
          <w:sz w:val="20"/>
          <w:szCs w:val="20"/>
          <w:color w:val="auto"/>
        </w:rPr>
      </w:pPr>
    </w:p>
    <w:p>
      <w:pPr>
        <w:ind w:right="3880"/>
        <w:spacing w:after="0" w:line="244" w:lineRule="auto"/>
        <w:rPr>
          <w:sz w:val="20"/>
          <w:szCs w:val="20"/>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1993. The Company intends to register these Notes under the Securities Act.</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1000"/>
          </w:cols>
          <w:pgMar w:left="240" w:top="291" w:right="659"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324"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Notes are general obligations of the Company and are guaranteed by all of the existing wholly-owned, domestic subsidiaries (and all future wholly-owned, significant (as defined in Regulation S-X)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33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information presents consolidating Statements of Operations, Statements of Cash Flows and Balance Sheets for the three years ended September 30, 1999</w:t>
      </w:r>
    </w:p>
    <w:p>
      <w:pPr>
        <w:spacing w:after="0" w:line="34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Separate 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1999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SUBSIDIARY</w:t>
            </w:r>
          </w:p>
        </w:tc>
        <w:tc>
          <w:tcPr>
            <w:tcW w:w="2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NON-</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PARENT</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GUARANTORS</w:t>
            </w:r>
          </w:p>
        </w:tc>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GUARANTORS</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CONSOLIDATED</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831.6</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405.8</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1,648.3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515.2</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249.3</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224.6</w:t>
            </w:r>
          </w:p>
        </w:tc>
        <w:tc>
          <w:tcPr>
            <w:tcW w:w="6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989.1</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316.4</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161.6</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181.2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659.2</w:t>
            </w:r>
          </w:p>
        </w:tc>
      </w:tr>
      <w:tr>
        <w:trPr>
          <w:trHeight w:val="520"/>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commission earned from</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agency agreement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Costs associated with agency agreement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Net commission earned from</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ind w:left="620"/>
              <w:spacing w:after="0"/>
              <w:rPr>
                <w:sz w:val="20"/>
                <w:szCs w:val="20"/>
                <w:color w:val="auto"/>
              </w:rPr>
            </w:pPr>
            <w:r>
              <w:rPr>
                <w:rFonts w:ascii="Courier New" w:cs="Courier New" w:eastAsia="Courier New" w:hAnsi="Courier New"/>
                <w:sz w:val="15"/>
                <w:szCs w:val="15"/>
                <w:color w:val="auto"/>
              </w:rPr>
              <w:t>Agency agreement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27.0</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620" w:type="dxa"/>
            <w:vAlign w:val="bottom"/>
          </w:tcPr>
          <w:p>
            <w:pPr>
              <w:spacing w:after="0"/>
              <w:rPr>
                <w:sz w:val="24"/>
                <w:szCs w:val="24"/>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101.5</w:t>
            </w:r>
          </w:p>
        </w:tc>
        <w:tc>
          <w:tcPr>
            <w:tcW w:w="5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38.7</w:t>
            </w:r>
          </w:p>
        </w:tc>
        <w:tc>
          <w:tcPr>
            <w:tcW w:w="28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174.3</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88.1</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281.2</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intangibles</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Equity income</w:t>
            </w:r>
          </w:p>
        </w:tc>
        <w:tc>
          <w:tcPr>
            <w:tcW w:w="620" w:type="dxa"/>
            <w:vAlign w:val="bottom"/>
          </w:tcPr>
          <w:p>
            <w:pPr>
              <w:spacing w:after="0"/>
              <w:rPr>
                <w:sz w:val="15"/>
                <w:szCs w:val="15"/>
                <w:color w:val="auto"/>
              </w:rPr>
            </w:pP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(55.7)</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55.7</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620" w:type="dxa"/>
            <w:vAlign w:val="bottom"/>
          </w:tcPr>
          <w:p>
            <w:pPr>
              <w:spacing w:after="0"/>
              <w:rPr>
                <w:sz w:val="15"/>
                <w:szCs w:val="15"/>
                <w:color w:val="auto"/>
              </w:rPr>
            </w:pPr>
          </w:p>
        </w:tc>
        <w:tc>
          <w:tcPr>
            <w:tcW w:w="11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5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6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20" w:type="dxa"/>
            <w:vAlign w:val="bottom"/>
          </w:tcPr>
          <w:p>
            <w:pPr>
              <w:spacing w:after="0"/>
              <w:rPr>
                <w:sz w:val="24"/>
                <w:szCs w:val="24"/>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136.1</w:t>
            </w:r>
          </w:p>
        </w:tc>
        <w:tc>
          <w:tcPr>
            <w:tcW w:w="54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86.1</w:t>
            </w:r>
          </w:p>
        </w:tc>
        <w:tc>
          <w:tcPr>
            <w:tcW w:w="28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w:t>
            </w:r>
          </w:p>
        </w:tc>
        <w:tc>
          <w:tcPr>
            <w:tcW w:w="68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(55.7)</w:t>
            </w:r>
          </w:p>
        </w:tc>
        <w:tc>
          <w:tcPr>
            <w:tcW w:w="4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55.3</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23.6</w:t>
            </w:r>
          </w:p>
        </w:tc>
        <w:tc>
          <w:tcPr>
            <w:tcW w:w="6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79.1</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80.8</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85.9</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w:t>
            </w:r>
          </w:p>
        </w:tc>
        <w:tc>
          <w:tcPr>
            <w:tcW w:w="6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(55.7)</w:t>
            </w: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34.2</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w:t>
            </w:r>
          </w:p>
        </w:tc>
        <w:tc>
          <w:tcPr>
            <w:tcW w:w="6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69.1</w:t>
            </w:r>
          </w:p>
        </w:tc>
        <w:tc>
          <w:tcPr>
            <w:tcW w:w="5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51.7</w:t>
            </w:r>
          </w:p>
        </w:tc>
        <w:tc>
          <w:tcPr>
            <w:tcW w:w="2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(55.7)</w:t>
            </w: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Extraordinary loss on early</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debt, net</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of income tax benefit</w:t>
            </w:r>
          </w:p>
        </w:tc>
        <w:tc>
          <w:tcPr>
            <w:tcW w:w="6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w:t>
            </w:r>
          </w:p>
        </w:tc>
        <w:tc>
          <w:tcPr>
            <w:tcW w:w="54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63.2</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867"/>
        </w:trPr>
        <w:tc>
          <w:tcPr>
            <w:tcW w:w="3420" w:type="dxa"/>
            <w:vAlign w:val="bottom"/>
          </w:tcPr>
          <w:p>
            <w:pPr>
              <w:spacing w:after="0"/>
              <w:rPr>
                <w:sz w:val="24"/>
                <w:szCs w:val="24"/>
                <w:color w:val="auto"/>
              </w:rPr>
            </w:pP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107</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000"/>
          </w:cols>
          <w:pgMar w:left="240" w:top="291" w:right="65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 1999 (IN MILLIONS)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20"/>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GUARANTORS</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to net cash provided by operating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Equity income</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(55.7)</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55.7</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r>
      <w:tr>
        <w:trPr>
          <w:trHeight w:val="173"/>
        </w:trPr>
        <w:tc>
          <w:tcPr>
            <w:tcW w:w="63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19.6</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(16.5)</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Accrued taxes and other liabilities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25.7</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(35.4)</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120.2</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and equipment</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(48.1)</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(350.1)</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(398.2)</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(167.5)</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Gross borrowings under term loans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265.0</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Gross repayments under term loans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under revolving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and bank lines of credit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160.7</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Repayment of outstanding balance on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old credit facility</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(241.0)</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Issuance of 8 5/8% Senior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Subordinated Notes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330.0</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9 7/8% Senior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Subordinated Notes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(107.1)</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Settlement of interest rate locks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Financing and issuance fees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Repurchase of treasury shares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received from exercise of</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stock options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Intracompany financing</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76.7</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(109.1)</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423.0</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(109.1)</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513.9</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w:t>
            </w:r>
          </w:p>
        </w:tc>
        <w:tc>
          <w:tcPr>
            <w:tcW w:w="400" w:type="dxa"/>
            <w:vAlign w:val="bottom"/>
          </w:tcPr>
          <w:p>
            <w:pPr>
              <w:spacing w:after="0"/>
              <w:rPr>
                <w:sz w:val="24"/>
                <w:szCs w:val="24"/>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r>
      <w:tr>
        <w:trPr>
          <w:trHeight w:val="173"/>
        </w:trPr>
        <w:tc>
          <w:tcPr>
            <w:tcW w:w="532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w:t>
            </w:r>
          </w:p>
        </w:tc>
        <w:tc>
          <w:tcPr>
            <w:tcW w:w="42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080"/>
          </w:cols>
          <w:pgMar w:left="240" w:top="291" w:right="579" w:bottom="1440" w:gutter="0" w:footer="0" w:header="0"/>
        </w:sect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1080"/>
          </w:cols>
          <w:pgMar w:left="240" w:top="291" w:right="579" w:bottom="1440"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1999 (IN MILLIONS, EXCEPT SHARE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4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960" w:type="dxa"/>
            <w:vAlign w:val="bottom"/>
          </w:tcPr>
          <w:p>
            <w:pPr>
              <w:ind w:left="8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201.4</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69.2</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313.2</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381.9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178.6</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641.7</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259.4</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295.3</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794.1</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64.7</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706.6</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(706.6)</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960" w:type="dxa"/>
            <w:vAlign w:val="bottom"/>
          </w:tcPr>
          <w:p>
            <w:pPr>
              <w:spacing w:after="0"/>
              <w:rPr>
                <w:sz w:val="15"/>
                <w:szCs w:val="15"/>
                <w:color w:val="auto"/>
              </w:rPr>
            </w:pP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294.6</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(294.6)</w:t>
            </w:r>
          </w:p>
        </w:tc>
        <w:tc>
          <w:tcPr>
            <w:tcW w:w="26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8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1,540.0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(1,001.2)</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1,769.6</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133.5</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157.7</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96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106.7</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366.9</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594.4</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299.2</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893.6</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289.3</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1,088.0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1,326.3</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Class A Convertible Preferred</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540"/>
              <w:spacing w:after="0"/>
              <w:rPr>
                <w:sz w:val="20"/>
                <w:szCs w:val="20"/>
                <w:color w:val="auto"/>
              </w:rPr>
            </w:pPr>
            <w:r>
              <w:rPr>
                <w:rFonts w:ascii="Courier New" w:cs="Courier New" w:eastAsia="Courier New" w:hAnsi="Courier New"/>
                <w:sz w:val="15"/>
                <w:szCs w:val="15"/>
                <w:color w:val="auto"/>
              </w:rPr>
              <w:t>Stock, no par value</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173.9</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(471.0)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540"/>
              <w:spacing w:after="0"/>
              <w:rPr>
                <w:sz w:val="20"/>
                <w:szCs w:val="20"/>
                <w:color w:val="auto"/>
              </w:rPr>
            </w:pPr>
            <w:r>
              <w:rPr>
                <w:rFonts w:ascii="Courier New" w:cs="Courier New" w:eastAsia="Courier New" w:hAnsi="Courier New"/>
                <w:sz w:val="15"/>
                <w:szCs w:val="15"/>
                <w:color w:val="auto"/>
              </w:rPr>
              <w:t>$.01 stated value per share</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213.9</w:t>
            </w: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192.3</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130.1</w:t>
            </w:r>
          </w:p>
        </w:tc>
      </w:tr>
      <w:tr>
        <w:trPr>
          <w:trHeight w:val="347"/>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2.9 shares at cost</w:t>
            </w:r>
          </w:p>
        </w:tc>
        <w:tc>
          <w:tcPr>
            <w:tcW w:w="960" w:type="dxa"/>
            <w:vAlign w:val="bottom"/>
          </w:tcPr>
          <w:p>
            <w:pPr>
              <w:spacing w:after="0"/>
              <w:rPr>
                <w:sz w:val="24"/>
                <w:szCs w:val="2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(61.9)</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(61.9)</w:t>
            </w:r>
          </w:p>
        </w:tc>
      </w:tr>
      <w:tr>
        <w:trPr>
          <w:trHeight w:val="347"/>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540" w:type="dxa"/>
            <w:vAlign w:val="bottom"/>
          </w:tcPr>
          <w:p>
            <w:pPr>
              <w:ind w:left="540"/>
              <w:spacing w:after="0"/>
              <w:rPr>
                <w:sz w:val="20"/>
                <w:szCs w:val="20"/>
                <w:color w:val="auto"/>
              </w:rPr>
            </w:pPr>
            <w:r>
              <w:rPr>
                <w:rFonts w:ascii="Courier New" w:cs="Courier New" w:eastAsia="Courier New" w:hAnsi="Courier New"/>
                <w:sz w:val="15"/>
                <w:szCs w:val="15"/>
                <w:color w:val="auto"/>
              </w:rPr>
              <w:t>income</w:t>
            </w:r>
          </w:p>
        </w:tc>
        <w:tc>
          <w:tcPr>
            <w:tcW w:w="96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96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605.9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(706.6)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443.3</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540" w:type="dxa"/>
            <w:vAlign w:val="bottom"/>
          </w:tcPr>
          <w:p>
            <w:pPr>
              <w:ind w:left="260"/>
              <w:spacing w:after="0"/>
              <w:rPr>
                <w:sz w:val="20"/>
                <w:szCs w:val="20"/>
                <w:color w:val="auto"/>
              </w:rPr>
            </w:pPr>
            <w:r>
              <w:rPr>
                <w:rFonts w:ascii="Courier New" w:cs="Courier New" w:eastAsia="Courier New" w:hAnsi="Courier New"/>
                <w:sz w:val="15"/>
                <w:szCs w:val="15"/>
                <w:color w:val="auto"/>
              </w:rPr>
              <w:t>Equity</w:t>
            </w: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$1,540.0</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704.6</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526.2</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$(1,001.2)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$ 1,769.6</w:t>
            </w:r>
          </w:p>
        </w:tc>
      </w:tr>
      <w:tr>
        <w:trPr>
          <w:trHeight w:val="173"/>
        </w:trPr>
        <w:tc>
          <w:tcPr>
            <w:tcW w:w="4540" w:type="dxa"/>
            <w:vAlign w:val="bottom"/>
          </w:tcPr>
          <w:p>
            <w:pPr>
              <w:spacing w:after="0"/>
              <w:rPr>
                <w:sz w:val="15"/>
                <w:szCs w:val="15"/>
                <w:color w:val="auto"/>
              </w:rPr>
            </w:pPr>
          </w:p>
        </w:tc>
        <w:tc>
          <w:tcPr>
            <w:tcW w:w="1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4540" w:type="dxa"/>
            <w:vAlign w:val="bottom"/>
          </w:tcPr>
          <w:p>
            <w:pPr>
              <w:ind w:left="3420"/>
              <w:spacing w:after="0"/>
              <w:rPr>
                <w:sz w:val="20"/>
                <w:szCs w:val="20"/>
                <w:color w:val="auto"/>
              </w:rPr>
            </w:pPr>
            <w:r>
              <w:rPr>
                <w:rFonts w:ascii="Courier New" w:cs="Courier New" w:eastAsia="Courier New" w:hAnsi="Courier New"/>
                <w:sz w:val="15"/>
                <w:szCs w:val="15"/>
                <w:color w:val="auto"/>
              </w:rPr>
              <w:t>109</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1998 (IN MILLIONS)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3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32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461.3</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444.6</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207.1</w:t>
            </w:r>
          </w:p>
        </w:tc>
        <w:tc>
          <w:tcPr>
            <w:tcW w:w="1220" w:type="dxa"/>
            <w:vAlign w:val="bottom"/>
          </w:tcPr>
          <w:p>
            <w:pPr>
              <w:spacing w:after="0"/>
              <w:rPr>
                <w:sz w:val="24"/>
                <w:szCs w:val="2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$ 1,113.0</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116.9</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715.0</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398.0</w:t>
            </w:r>
          </w:p>
        </w:tc>
      </w:tr>
      <w:tr>
        <w:trPr>
          <w:trHeight w:val="52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222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w:t>
            </w:r>
          </w:p>
        </w:tc>
        <w:tc>
          <w:tcPr>
            <w:tcW w:w="4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w:t>
            </w:r>
          </w:p>
        </w:tc>
        <w:tc>
          <w:tcPr>
            <w:tcW w:w="32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104.4</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169.9</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w:t>
            </w:r>
          </w:p>
        </w:tc>
        <w:tc>
          <w:tcPr>
            <w:tcW w:w="2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intangibles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Equity income</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37.7</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expenses, net</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94.1</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Extraordinary loss on early</w:t>
            </w:r>
          </w:p>
        </w:tc>
        <w:tc>
          <w:tcPr>
            <w:tcW w:w="2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extinguishment of debt, net</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of income tax benefit</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(37.7)</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3280" w:type="dxa"/>
            <w:vAlign w:val="bottom"/>
          </w:tcPr>
          <w:p>
            <w:pPr>
              <w:spacing w:after="0"/>
              <w:rPr>
                <w:sz w:val="24"/>
                <w:szCs w:val="24"/>
                <w:color w:val="auto"/>
              </w:rPr>
            </w:pPr>
          </w:p>
        </w:tc>
        <w:tc>
          <w:tcPr>
            <w:tcW w:w="222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110</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 1998 (IN MILLIONS)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94"/>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24"/>
                <w:szCs w:val="2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(37.7)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to net cash provided by operating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Equity income</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37.7</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of acquired businesses: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Accrued taxes and other liabilities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and equipment</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of cash acquired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(63.8)</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(68.4)</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(93.0)</w:t>
            </w:r>
          </w:p>
        </w:tc>
        <w:tc>
          <w:tcPr>
            <w:tcW w:w="40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(192.1)</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under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revolving and bank lines of credit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Repurchase of common shares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Intracompany financing</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0.0</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32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w:t>
            </w:r>
          </w:p>
        </w:tc>
        <w:tc>
          <w:tcPr>
            <w:tcW w:w="400" w:type="dxa"/>
            <w:vAlign w:val="bottom"/>
          </w:tcPr>
          <w:p>
            <w:pPr>
              <w:spacing w:after="0"/>
              <w:rPr>
                <w:sz w:val="15"/>
                <w:szCs w:val="15"/>
                <w:color w:val="auto"/>
              </w:rPr>
            </w:pP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5320" w:type="dxa"/>
            <w:vAlign w:val="bottom"/>
          </w:tcPr>
          <w:p>
            <w:pPr>
              <w:ind w:left="3500"/>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1998 (IN MILLIONS, EXCEPT SHARE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3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2120" w:type="dxa"/>
            <w:vAlign w:val="bottom"/>
          </w:tcPr>
          <w:p>
            <w:pPr>
              <w:ind w:left="20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w:t>
            </w:r>
          </w:p>
        </w:tc>
        <w:tc>
          <w:tcPr>
            <w:tcW w:w="1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 net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146.6</w:t>
            </w: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Inventories, net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177.7</w:t>
            </w: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Current deferred tax asset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w:t>
            </w: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Prepaid and other assets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367.2</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197.0</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435.1</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652.0</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212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3380" w:type="dxa"/>
            <w:vAlign w:val="bottom"/>
          </w:tcPr>
          <w:p>
            <w:pPr>
              <w:spacing w:after="0"/>
              <w:rPr>
                <w:sz w:val="15"/>
                <w:szCs w:val="15"/>
                <w:color w:val="auto"/>
              </w:rPr>
            </w:pPr>
          </w:p>
        </w:tc>
        <w:tc>
          <w:tcPr>
            <w:tcW w:w="2960" w:type="dxa"/>
            <w:vAlign w:val="bottom"/>
            <w:gridSpan w:val="2"/>
          </w:tcPr>
          <w:p>
            <w:pPr>
              <w:ind w:left="202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(875.6)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1,035.2</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3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124.9</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21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231.9</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359.2</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223.6</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575.4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Class A Convertible Preferred</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Stock, no par value</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177.3</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(472.1)</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share, $.01 stated value per</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share, issued 21.1 shares in</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1998 and 1997</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208.9</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2.8 shares at cost</w:t>
            </w:r>
          </w:p>
        </w:tc>
        <w:tc>
          <w:tcPr>
            <w:tcW w:w="21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(55.9)</w:t>
            </w: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540"/>
              <w:spacing w:after="0"/>
              <w:rPr>
                <w:sz w:val="20"/>
                <w:szCs w:val="20"/>
                <w:color w:val="auto"/>
              </w:rPr>
            </w:pPr>
            <w:r>
              <w:rPr>
                <w:rFonts w:ascii="Courier New" w:cs="Courier New" w:eastAsia="Courier New" w:hAnsi="Courier New"/>
                <w:sz w:val="15"/>
                <w:szCs w:val="15"/>
                <w:color w:val="auto"/>
              </w:rPr>
              <w:t>income</w:t>
            </w:r>
          </w:p>
        </w:tc>
        <w:tc>
          <w:tcPr>
            <w:tcW w:w="21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21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(652.0)</w:t>
            </w:r>
          </w:p>
        </w:tc>
        <w:tc>
          <w:tcPr>
            <w:tcW w:w="26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403.9</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equity</w:t>
            </w:r>
          </w:p>
        </w:tc>
        <w:tc>
          <w:tcPr>
            <w:tcW w:w="2120" w:type="dxa"/>
            <w:vAlign w:val="bottom"/>
          </w:tcPr>
          <w:p>
            <w:pPr>
              <w:ind w:left="20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982.3</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(875.6)</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$ 1,035.2</w:t>
            </w:r>
          </w:p>
        </w:tc>
      </w:tr>
      <w:tr>
        <w:trPr>
          <w:trHeight w:val="173"/>
        </w:trPr>
        <w:tc>
          <w:tcPr>
            <w:tcW w:w="3380" w:type="dxa"/>
            <w:vAlign w:val="bottom"/>
          </w:tcPr>
          <w:p>
            <w:pPr>
              <w:spacing w:after="0"/>
              <w:rPr>
                <w:sz w:val="15"/>
                <w:szCs w:val="15"/>
                <w:color w:val="auto"/>
              </w:rPr>
            </w:pPr>
          </w:p>
        </w:tc>
        <w:tc>
          <w:tcPr>
            <w:tcW w:w="29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3380" w:type="dxa"/>
            <w:vAlign w:val="bottom"/>
          </w:tcPr>
          <w:p>
            <w:pPr>
              <w:spacing w:after="0"/>
              <w:rPr>
                <w:sz w:val="24"/>
                <w:szCs w:val="24"/>
                <w:color w:val="auto"/>
              </w:rPr>
            </w:pPr>
          </w:p>
        </w:tc>
        <w:tc>
          <w:tcPr>
            <w:tcW w:w="212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112</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 ENDED SEPTEMBER 30, 1997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14"/>
                <w:szCs w:val="14"/>
                <w:color w:val="auto"/>
              </w:rPr>
            </w:pPr>
          </w:p>
        </w:tc>
        <w:tc>
          <w:tcPr>
            <w:tcW w:w="8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NON-</w:t>
            </w: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3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GUARANTORS</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32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393.6</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114.6</w:t>
            </w:r>
          </w:p>
        </w:tc>
        <w:tc>
          <w:tcPr>
            <w:tcW w:w="1260" w:type="dxa"/>
            <w:vAlign w:val="bottom"/>
          </w:tcPr>
          <w:p>
            <w:pPr>
              <w:spacing w:after="0"/>
              <w:rPr>
                <w:sz w:val="24"/>
                <w:szCs w:val="24"/>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899.3</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266.4</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573.6</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124.7</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56.2</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325.7</w:t>
            </w:r>
          </w:p>
        </w:tc>
      </w:tr>
      <w:tr>
        <w:trPr>
          <w:trHeight w:val="52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222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47.3</w:t>
            </w:r>
          </w:p>
        </w:tc>
        <w:tc>
          <w:tcPr>
            <w:tcW w:w="4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w:t>
            </w:r>
          </w:p>
        </w:tc>
        <w:tc>
          <w:tcPr>
            <w:tcW w:w="32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131.6</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w:t>
            </w:r>
          </w:p>
        </w:tc>
        <w:tc>
          <w:tcPr>
            <w:tcW w:w="2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ind w:left="260"/>
              <w:spacing w:after="0"/>
              <w:rPr>
                <w:sz w:val="20"/>
                <w:szCs w:val="20"/>
                <w:color w:val="auto"/>
              </w:rPr>
            </w:pPr>
            <w:r>
              <w:rPr>
                <w:rFonts w:ascii="Courier New" w:cs="Courier New" w:eastAsia="Courier New" w:hAnsi="Courier New"/>
                <w:sz w:val="15"/>
                <w:szCs w:val="15"/>
                <w:color w:val="auto"/>
              </w:rPr>
              <w:t>Intangibles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Equity income</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w:t>
            </w: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expenses (income), net</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94.8</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Interest expense (income)</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2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54.4</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2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c>
          <w:tcPr>
            <w:tcW w:w="3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(29.8)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3280" w:type="dxa"/>
            <w:vAlign w:val="bottom"/>
          </w:tcPr>
          <w:p>
            <w:pPr>
              <w:spacing w:after="0"/>
              <w:rPr>
                <w:sz w:val="15"/>
                <w:szCs w:val="15"/>
                <w:color w:val="auto"/>
              </w:rPr>
            </w:pPr>
          </w:p>
        </w:tc>
        <w:tc>
          <w:tcPr>
            <w:tcW w:w="3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694"/>
        </w:trPr>
        <w:tc>
          <w:tcPr>
            <w:tcW w:w="3280" w:type="dxa"/>
            <w:vAlign w:val="bottom"/>
          </w:tcPr>
          <w:p>
            <w:pPr>
              <w:spacing w:after="0"/>
              <w:rPr>
                <w:sz w:val="24"/>
                <w:szCs w:val="24"/>
                <w:color w:val="auto"/>
              </w:rPr>
            </w:pPr>
          </w:p>
        </w:tc>
        <w:tc>
          <w:tcPr>
            <w:tcW w:w="222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113</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114</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STATEMENT OF CASH FLOWS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 1997 (IN MILLIONS)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94"/>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24"/>
                <w:szCs w:val="2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to net cash provided by operating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Equity income</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Loss (gain) on sale of fixed assets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net of acquired businesses: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Accrued taxes and other liabilities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121.1</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 in property, plant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and equipment</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acquired businesses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from non-guarantors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w:t>
            </w:r>
          </w:p>
        </w:tc>
        <w:tc>
          <w:tcPr>
            <w:tcW w:w="40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(72.5)</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Net borrowings (repayments) under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540"/>
              <w:spacing w:after="0"/>
              <w:rPr>
                <w:sz w:val="20"/>
                <w:szCs w:val="20"/>
                <w:color w:val="auto"/>
              </w:rPr>
            </w:pPr>
            <w:r>
              <w:rPr>
                <w:rFonts w:ascii="Courier New" w:cs="Courier New" w:eastAsia="Courier New" w:hAnsi="Courier New"/>
                <w:sz w:val="15"/>
                <w:szCs w:val="15"/>
                <w:color w:val="auto"/>
              </w:rPr>
              <w:t>revolving and bank lines of credit</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on Class A Convertible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Dividends to parent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Intracompany financing</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59.9</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400" w:type="dxa"/>
            <w:vAlign w:val="bottom"/>
          </w:tcPr>
          <w:p>
            <w:pPr>
              <w:spacing w:after="0"/>
              <w:rPr>
                <w:sz w:val="24"/>
                <w:szCs w:val="24"/>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532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5"/>
                <w:szCs w:val="15"/>
                <w:color w:val="auto"/>
              </w:rPr>
            </w:pP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5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7"/>
        </w:trPr>
        <w:tc>
          <w:tcPr>
            <w:tcW w:w="5320" w:type="dxa"/>
            <w:vAlign w:val="bottom"/>
          </w:tcPr>
          <w:p>
            <w:pPr>
              <w:ind w:left="3500"/>
              <w:spacing w:after="0"/>
              <w:rPr>
                <w:sz w:val="20"/>
                <w:szCs w:val="20"/>
                <w:color w:val="auto"/>
              </w:rPr>
            </w:pPr>
            <w:r>
              <w:rPr>
                <w:rFonts w:ascii="Courier New" w:cs="Courier New" w:eastAsia="Courier New" w:hAnsi="Courier New"/>
                <w:sz w:val="15"/>
                <w:szCs w:val="15"/>
                <w:color w:val="auto"/>
              </w:rPr>
              <w:t>114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80"/>
          </w:cols>
          <w:pgMar w:left="240" w:top="291" w:right="579"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1997 (IN MILLIONS, EXCEPT SHARE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SUBSIDIARY</w:t>
            </w:r>
          </w:p>
        </w:tc>
        <w:tc>
          <w:tcPr>
            <w:tcW w:w="320" w:type="dxa"/>
            <w:vAlign w:val="bottom"/>
          </w:tcPr>
          <w:p>
            <w:pPr>
              <w:spacing w:after="0"/>
              <w:rPr>
                <w:sz w:val="14"/>
                <w:szCs w:val="14"/>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PARENT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GUARANTORS</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ELIMINATIONS CONSOLIDATED</w:t>
            </w:r>
          </w:p>
        </w:tc>
      </w:tr>
      <w:tr>
        <w:trPr>
          <w:trHeight w:val="520"/>
        </w:trPr>
        <w:tc>
          <w:tcPr>
            <w:tcW w:w="4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900" w:type="dxa"/>
            <w:vAlign w:val="bottom"/>
          </w:tcPr>
          <w:p>
            <w:pPr>
              <w:ind w:left="80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w:t>
            </w:r>
          </w:p>
        </w:tc>
        <w:tc>
          <w:tcPr>
            <w:tcW w:w="1220" w:type="dxa"/>
            <w:vAlign w:val="bottom"/>
          </w:tcPr>
          <w:p>
            <w:pPr>
              <w:spacing w:after="0"/>
              <w:rPr>
                <w:sz w:val="15"/>
                <w:szCs w:val="15"/>
                <w:color w:val="auto"/>
              </w:rPr>
            </w:pP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104.3</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146.1</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Current deferred tax asset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Prepaid and other assets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165.7</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146.1</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259.5</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77.5</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352.2</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 affiliates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598.8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(598.8)</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Intracompany assets</w:t>
            </w:r>
          </w:p>
        </w:tc>
        <w:tc>
          <w:tcPr>
            <w:tcW w:w="90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600" w:type="dxa"/>
            <w:vAlign w:val="bottom"/>
          </w:tcPr>
          <w:p>
            <w:pPr>
              <w:spacing w:after="0"/>
              <w:rPr>
                <w:sz w:val="15"/>
                <w:szCs w:val="15"/>
                <w:color w:val="auto"/>
              </w:rPr>
            </w:pPr>
          </w:p>
        </w:tc>
        <w:tc>
          <w:tcPr>
            <w:tcW w:w="17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862.9</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(810.5)</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787.6</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Short-term debt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Accrued taxes</w:t>
            </w:r>
          </w:p>
        </w:tc>
        <w:tc>
          <w:tcPr>
            <w:tcW w:w="9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71.3</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152.0</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67.8</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Intracompany liabilities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211.7</w:t>
            </w:r>
          </w:p>
        </w:tc>
        <w:tc>
          <w:tcPr>
            <w:tcW w:w="460" w:type="dxa"/>
            <w:vAlign w:val="bottom"/>
          </w:tcPr>
          <w:p>
            <w:pPr>
              <w:spacing w:after="0"/>
              <w:rPr>
                <w:sz w:val="15"/>
                <w:szCs w:val="15"/>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469.4</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Class A Convertible Preferred</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Stock, no par value</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177.3</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Investment from parent</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(456.6)</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share, $.01 stated value per</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share, issued 21.1 shares in</w:t>
            </w: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1998 and 1997</w:t>
            </w:r>
          </w:p>
        </w:tc>
        <w:tc>
          <w:tcPr>
            <w:tcW w:w="90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207.8</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106.4</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(142.2)</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2.4 shares at cost</w:t>
            </w:r>
          </w:p>
        </w:tc>
        <w:tc>
          <w:tcPr>
            <w:tcW w:w="9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(41.9)</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900" w:type="dxa"/>
            <w:vAlign w:val="bottom"/>
          </w:tcPr>
          <w:p>
            <w:pPr>
              <w:spacing w:after="0"/>
              <w:rPr>
                <w:sz w:val="24"/>
                <w:szCs w:val="2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r>
        <w:trPr>
          <w:trHeight w:val="173"/>
        </w:trPr>
        <w:tc>
          <w:tcPr>
            <w:tcW w:w="4600" w:type="dxa"/>
            <w:vAlign w:val="bottom"/>
          </w:tcPr>
          <w:p>
            <w:pPr>
              <w:spacing w:after="0"/>
              <w:rPr>
                <w:sz w:val="15"/>
                <w:szCs w:val="15"/>
                <w:color w:val="auto"/>
              </w:rPr>
            </w:pPr>
          </w:p>
        </w:tc>
        <w:tc>
          <w:tcPr>
            <w:tcW w:w="17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9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393.5</w:t>
            </w:r>
          </w:p>
        </w:tc>
        <w:tc>
          <w:tcPr>
            <w:tcW w:w="4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547.8</w:t>
            </w:r>
          </w:p>
        </w:tc>
        <w:tc>
          <w:tcPr>
            <w:tcW w:w="32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(598.8)</w:t>
            </w:r>
          </w:p>
        </w:tc>
        <w:tc>
          <w:tcPr>
            <w:tcW w:w="36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389.2</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900" w:type="dxa"/>
            <w:vAlign w:val="bottom"/>
          </w:tcPr>
          <w:p>
            <w:pPr>
              <w:ind w:left="80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862.9</w:t>
            </w:r>
          </w:p>
        </w:tc>
        <w:tc>
          <w:tcPr>
            <w:tcW w:w="4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138.8</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(810.5)</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787.6</w:t>
            </w:r>
          </w:p>
        </w:tc>
      </w:tr>
      <w:tr>
        <w:trPr>
          <w:trHeight w:val="173"/>
        </w:trPr>
        <w:tc>
          <w:tcPr>
            <w:tcW w:w="4600" w:type="dxa"/>
            <w:vAlign w:val="bottom"/>
          </w:tcPr>
          <w:p>
            <w:pPr>
              <w:spacing w:after="0"/>
              <w:rPr>
                <w:sz w:val="15"/>
                <w:szCs w:val="15"/>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291" w:right="579"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 ON FINANCIAL STATEMENT SCHEDULES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The Scotts Company</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October 21, 1999 appearing in Item 14(a)(1) of this Annual Report on Form 10-K, also included an audit of the financial statement schedules listed in Item 14 (a)(2) of this Form 10-K. In our opinion, these financial statement schedules present fairly, in all material respects, the information set forth therein when read in conjunction with the related consolidated financial statements.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1999</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291"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20"/>
        </w:trPr>
        <w:tc>
          <w:tcPr>
            <w:tcW w:w="5680" w:type="dxa"/>
            <w:vAlign w:val="bottom"/>
          </w:tcPr>
          <w:p>
            <w:pPr>
              <w:ind w:left="2060"/>
              <w:spacing w:after="0"/>
              <w:rPr>
                <w:sz w:val="20"/>
                <w:szCs w:val="20"/>
                <w:color w:val="auto"/>
              </w:rPr>
            </w:pPr>
            <w:r>
              <w:rPr>
                <w:rFonts w:ascii="Courier New" w:cs="Courier New" w:eastAsia="Courier New" w:hAnsi="Courier New"/>
                <w:sz w:val="15"/>
                <w:szCs w:val="15"/>
                <w:color w:val="auto"/>
              </w:rPr>
              <w:t>THE SCOTTS COMPANY AND SUBSIDIARIES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ind w:left="80"/>
              <w:spacing w:after="0"/>
              <w:rPr>
                <w:sz w:val="20"/>
                <w:szCs w:val="20"/>
                <w:color w:val="auto"/>
              </w:rPr>
            </w:pPr>
            <w:r>
              <w:rPr>
                <w:rFonts w:ascii="Courier New" w:cs="Courier New" w:eastAsia="Courier New" w:hAnsi="Courier New"/>
                <w:sz w:val="15"/>
                <w:szCs w:val="15"/>
                <w:color w:val="auto"/>
              </w:rPr>
              <w:t>SCHEDULE II--VALUATION AND QUALIFYING ACCOUNTS FOR THE FISCAL</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SEPTEMBER 30, 1999</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COLUMN B</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C</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COLUMN 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COLUMN E</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F</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ADDITIONS DEDUCTIONS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15"/>
                <w:szCs w:val="15"/>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CHARGED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CREDITED</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RESERVES</w:t>
            </w:r>
          </w:p>
        </w:tc>
        <w:tc>
          <w:tcPr>
            <w:tcW w:w="260" w:type="dxa"/>
            <w:vAlign w:val="bottom"/>
          </w:tcPr>
          <w:p>
            <w:pPr>
              <w:spacing w:after="0"/>
              <w:rPr>
                <w:sz w:val="15"/>
                <w:szCs w:val="15"/>
                <w:color w:val="auto"/>
              </w:rPr>
            </w:pP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AND</w:t>
            </w:r>
          </w:p>
        </w:tc>
        <w:tc>
          <w:tcPr>
            <w:tcW w:w="5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5"/>
                <w:szCs w:val="15"/>
                <w:color w:val="auto"/>
                <w:w w:val="99"/>
              </w:rPr>
              <w:t>AT END</w:t>
            </w: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OF PERIOD</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ACQUIRED</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EXPENSE</w:t>
            </w:r>
          </w:p>
        </w:tc>
        <w:tc>
          <w:tcPr>
            <w:tcW w:w="114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WRITE-OFFS</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PERIOD</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from the assets to which they apply:</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Inventory reserve</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$ 12.0</w:t>
            </w:r>
          </w:p>
        </w:tc>
        <w:tc>
          <w:tcPr>
            <w:tcW w:w="10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$ 19.0</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$ 12.9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30.5</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(4.4)</w:t>
            </w:r>
          </w:p>
        </w:tc>
        <w:tc>
          <w:tcPr>
            <w:tcW w:w="6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16.4</w:t>
            </w:r>
          </w:p>
        </w:tc>
      </w:tr>
      <w:tr>
        <w:trPr>
          <w:trHeight w:val="520"/>
        </w:trPr>
        <w:tc>
          <w:tcPr>
            <w:tcW w:w="568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SCHEDULE II--VALUATION AND QUALIFYING ACCOUNTS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jc w:val="center"/>
              <w:ind w:left="1445"/>
              <w:spacing w:after="0"/>
              <w:rPr>
                <w:sz w:val="20"/>
                <w:szCs w:val="20"/>
                <w:color w:val="auto"/>
              </w:rPr>
            </w:pPr>
            <w:r>
              <w:rPr>
                <w:rFonts w:ascii="Courier New" w:cs="Courier New" w:eastAsia="Courier New" w:hAnsi="Courier New"/>
                <w:sz w:val="15"/>
                <w:szCs w:val="15"/>
                <w:color w:val="auto"/>
                <w:w w:val="99"/>
              </w:rPr>
              <w:t>FOR THE FISCAL YEAR ENDED SEPTEMBER 30, 1998</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COLUMN B</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C</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COLUMN 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COLUMN E</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F</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ADDITIONS DEDUCTIONS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15"/>
                <w:szCs w:val="15"/>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CHARGED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CREDITED</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RESERVES</w:t>
            </w:r>
          </w:p>
        </w:tc>
        <w:tc>
          <w:tcPr>
            <w:tcW w:w="260" w:type="dxa"/>
            <w:vAlign w:val="bottom"/>
          </w:tcPr>
          <w:p>
            <w:pPr>
              <w:spacing w:after="0"/>
              <w:rPr>
                <w:sz w:val="15"/>
                <w:szCs w:val="15"/>
                <w:color w:val="auto"/>
              </w:rPr>
            </w:pP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AND</w:t>
            </w:r>
          </w:p>
        </w:tc>
        <w:tc>
          <w:tcPr>
            <w:tcW w:w="5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5"/>
                <w:szCs w:val="15"/>
                <w:color w:val="auto"/>
                <w:w w:val="99"/>
              </w:rPr>
              <w:t>AT END</w:t>
            </w: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OF PERIOD</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ACQUIRED</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EXPENSE</w:t>
            </w:r>
          </w:p>
        </w:tc>
        <w:tc>
          <w:tcPr>
            <w:tcW w:w="114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WRITE-OFFS</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PERIOD</w:t>
            </w:r>
          </w:p>
        </w:tc>
      </w:tr>
      <w:tr>
        <w:trPr>
          <w:trHeight w:val="520"/>
        </w:trPr>
        <w:tc>
          <w:tcPr>
            <w:tcW w:w="568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deducted from the assets to which</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they apply: Inventory reserve</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$ 11.8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(5.1)</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12.0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(2.8)</w:t>
            </w:r>
          </w:p>
        </w:tc>
        <w:tc>
          <w:tcPr>
            <w:tcW w:w="6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520"/>
        </w:trPr>
        <w:tc>
          <w:tcPr>
            <w:tcW w:w="5680" w:type="dxa"/>
            <w:vAlign w:val="bottom"/>
          </w:tcPr>
          <w:p>
            <w:pPr>
              <w:jc w:val="center"/>
              <w:ind w:left="1445"/>
              <w:spacing w:after="0"/>
              <w:rPr>
                <w:sz w:val="20"/>
                <w:szCs w:val="20"/>
                <w:color w:val="auto"/>
              </w:rPr>
            </w:pPr>
            <w:r>
              <w:rPr>
                <w:rFonts w:ascii="Courier New" w:cs="Courier New" w:eastAsia="Courier New" w:hAnsi="Courier New"/>
                <w:sz w:val="15"/>
                <w:szCs w:val="15"/>
                <w:color w:val="auto"/>
              </w:rPr>
              <w:t>SCHEDULE II--VALUATION AND QUALIFYING ACCOUNTS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jc w:val="center"/>
              <w:ind w:left="1445"/>
              <w:spacing w:after="0"/>
              <w:rPr>
                <w:sz w:val="20"/>
                <w:szCs w:val="20"/>
                <w:color w:val="auto"/>
              </w:rPr>
            </w:pPr>
            <w:r>
              <w:rPr>
                <w:rFonts w:ascii="Courier New" w:cs="Courier New" w:eastAsia="Courier New" w:hAnsi="Courier New"/>
                <w:sz w:val="15"/>
                <w:szCs w:val="15"/>
                <w:color w:val="auto"/>
                <w:w w:val="99"/>
              </w:rPr>
              <w:t>FOR THE FISCAL YEAR ENDED SEPTEMBER 30, 1997</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ind w:left="3060"/>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69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COLUMN B</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C</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COLUMN 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COLUMN E</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COLUMN F</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ADDITIONS DEDUCTIONS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15"/>
                <w:szCs w:val="15"/>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AT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CHARGED</w:t>
            </w:r>
          </w:p>
        </w:tc>
        <w:tc>
          <w:tcPr>
            <w:tcW w:w="11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CREDITED</w:t>
            </w:r>
          </w:p>
        </w:tc>
        <w:tc>
          <w:tcPr>
            <w:tcW w:w="10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BALANCE</w:t>
            </w:r>
          </w:p>
        </w:tc>
      </w:tr>
      <w:tr>
        <w:trPr>
          <w:trHeight w:val="173"/>
        </w:trPr>
        <w:tc>
          <w:tcPr>
            <w:tcW w:w="568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RESERVES</w:t>
            </w:r>
          </w:p>
        </w:tc>
        <w:tc>
          <w:tcPr>
            <w:tcW w:w="260" w:type="dxa"/>
            <w:vAlign w:val="bottom"/>
          </w:tcPr>
          <w:p>
            <w:pPr>
              <w:spacing w:after="0"/>
              <w:rPr>
                <w:sz w:val="15"/>
                <w:szCs w:val="15"/>
                <w:color w:val="auto"/>
              </w:rPr>
            </w:pP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AND</w:t>
            </w:r>
          </w:p>
        </w:tc>
        <w:tc>
          <w:tcPr>
            <w:tcW w:w="5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5"/>
                <w:szCs w:val="15"/>
                <w:color w:val="auto"/>
                <w:w w:val="99"/>
              </w:rPr>
              <w:t>AT END</w:t>
            </w: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940" w:type="dxa"/>
            <w:vAlign w:val="bottom"/>
          </w:tcPr>
          <w:p>
            <w:pPr>
              <w:spacing w:after="0"/>
              <w:rPr>
                <w:sz w:val="20"/>
                <w:szCs w:val="20"/>
                <w:color w:val="auto"/>
              </w:rPr>
            </w:pPr>
            <w:r>
              <w:rPr>
                <w:rFonts w:ascii="Courier New" w:cs="Courier New" w:eastAsia="Courier New" w:hAnsi="Courier New"/>
                <w:sz w:val="15"/>
                <w:szCs w:val="15"/>
                <w:color w:val="auto"/>
              </w:rPr>
              <w:t>OF PERIOD</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ACQUIRED</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EXPENSE</w:t>
            </w:r>
          </w:p>
        </w:tc>
        <w:tc>
          <w:tcPr>
            <w:tcW w:w="114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WRITE-OFFS</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PERIOD</w:t>
            </w:r>
          </w:p>
        </w:tc>
      </w:tr>
      <w:tr>
        <w:trPr>
          <w:trHeight w:val="520"/>
        </w:trPr>
        <w:tc>
          <w:tcPr>
            <w:tcW w:w="568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from the assets to which they apply:</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Inventory reserve</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  8.7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(7.4)</w:t>
            </w:r>
          </w:p>
        </w:tc>
        <w:tc>
          <w:tcPr>
            <w:tcW w:w="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11.8</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(0.9)</w:t>
            </w:r>
          </w:p>
        </w:tc>
        <w:tc>
          <w:tcPr>
            <w:tcW w:w="6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520"/>
        </w:trPr>
        <w:tc>
          <w:tcPr>
            <w:tcW w:w="5680" w:type="dxa"/>
            <w:vAlign w:val="bottom"/>
          </w:tcPr>
          <w:p>
            <w:pPr>
              <w:ind w:left="3420"/>
              <w:spacing w:after="0"/>
              <w:rPr>
                <w:sz w:val="20"/>
                <w:szCs w:val="20"/>
                <w:color w:val="auto"/>
              </w:rPr>
            </w:pPr>
            <w:r>
              <w:rPr>
                <w:rFonts w:ascii="Courier New" w:cs="Courier New" w:eastAsia="Courier New" w:hAnsi="Courier New"/>
                <w:sz w:val="15"/>
                <w:szCs w:val="15"/>
                <w:color w:val="auto"/>
              </w:rPr>
              <w:t>117</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820"/>
          </w:cols>
          <w:pgMar w:left="240" w:top="291" w:right="8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118</w:t>
            </w:r>
          </w:p>
        </w:tc>
        <w:tc>
          <w:tcPr>
            <w:tcW w:w="206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520"/>
        </w:trPr>
        <w:tc>
          <w:tcPr>
            <w:tcW w:w="1940" w:type="dxa"/>
            <w:vAlign w:val="bottom"/>
          </w:tcPr>
          <w:p>
            <w:pPr>
              <w:spacing w:after="0"/>
              <w:rPr>
                <w:sz w:val="24"/>
                <w:szCs w:val="24"/>
                <w:color w:val="auto"/>
              </w:rPr>
            </w:pPr>
          </w:p>
        </w:tc>
        <w:tc>
          <w:tcPr>
            <w:tcW w:w="4900" w:type="dxa"/>
            <w:vAlign w:val="bottom"/>
            <w:gridSpan w:val="2"/>
          </w:tcPr>
          <w:p>
            <w:pPr>
              <w:jc w:val="right"/>
              <w:ind w:right="2345"/>
              <w:spacing w:after="0"/>
              <w:rPr>
                <w:sz w:val="20"/>
                <w:szCs w:val="20"/>
                <w:color w:val="auto"/>
              </w:rPr>
            </w:pPr>
            <w:r>
              <w:rPr>
                <w:rFonts w:ascii="Courier New" w:cs="Courier New" w:eastAsia="Courier New" w:hAnsi="Courier New"/>
                <w:sz w:val="15"/>
                <w:szCs w:val="15"/>
                <w:color w:val="auto"/>
              </w:rPr>
              <w:t>THE SCOTTS COMPANY</w:t>
            </w:r>
          </w:p>
        </w:tc>
      </w:tr>
      <w:tr>
        <w:trPr>
          <w:trHeight w:val="347"/>
        </w:trPr>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ANNUAL REPORT ON</w:t>
            </w:r>
          </w:p>
        </w:tc>
        <w:tc>
          <w:tcPr>
            <w:tcW w:w="4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FORM 10-K FOR THE FISCAL YEAR ENDED SEPTEMBER 30, 1999</w:t>
            </w:r>
          </w:p>
        </w:tc>
      </w:tr>
      <w:tr>
        <w:trPr>
          <w:trHeight w:val="173"/>
        </w:trPr>
        <w:tc>
          <w:tcPr>
            <w:tcW w:w="1940" w:type="dxa"/>
            <w:vAlign w:val="bottom"/>
          </w:tcPr>
          <w:p>
            <w:pPr>
              <w:spacing w:after="0"/>
              <w:rPr>
                <w:sz w:val="15"/>
                <w:szCs w:val="15"/>
                <w:color w:val="auto"/>
              </w:rPr>
            </w:pPr>
          </w:p>
        </w:tc>
        <w:tc>
          <w:tcPr>
            <w:tcW w:w="4900" w:type="dxa"/>
            <w:vAlign w:val="bottom"/>
            <w:gridSpan w:val="2"/>
          </w:tcPr>
          <w:p>
            <w:pPr>
              <w:jc w:val="right"/>
              <w:ind w:right="2345"/>
              <w:spacing w:after="0"/>
              <w:rPr>
                <w:sz w:val="20"/>
                <w:szCs w:val="20"/>
                <w:color w:val="auto"/>
              </w:rPr>
            </w:pPr>
            <w:r>
              <w:rPr>
                <w:rFonts w:ascii="Courier New" w:cs="Courier New" w:eastAsia="Courier New" w:hAnsi="Courier New"/>
                <w:sz w:val="15"/>
                <w:szCs w:val="15"/>
                <w:color w:val="auto"/>
              </w:rPr>
              <w:t>INDEX TO EXHIBITS</w:t>
            </w:r>
          </w:p>
        </w:tc>
      </w:tr>
      <w:tr>
        <w:trPr>
          <w:trHeight w:val="694"/>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900" w:type="dxa"/>
            <w:vAlign w:val="bottom"/>
            <w:gridSpan w:val="2"/>
          </w:tcPr>
          <w:p>
            <w:pPr>
              <w:ind w:left="1920"/>
              <w:spacing w:after="0"/>
              <w:rPr>
                <w:sz w:val="20"/>
                <w:szCs w:val="20"/>
                <w:color w:val="auto"/>
              </w:rPr>
            </w:pPr>
            <w:r>
              <w:rPr>
                <w:rFonts w:ascii="Courier New" w:cs="Courier New" w:eastAsia="Courier New" w:hAnsi="Courier New"/>
                <w:sz w:val="15"/>
                <w:szCs w:val="15"/>
                <w:color w:val="auto"/>
              </w:rPr>
              <w:t>DESCRIPTION</w:t>
            </w:r>
          </w:p>
        </w:tc>
      </w:tr>
      <w:tr>
        <w:trPr>
          <w:trHeight w:val="347"/>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2(a) Amended and Restated Agreement and Plan</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3"/>
        </w:trPr>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Merger, dated as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of May 19, 1995, among</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Stern's</w:t>
            </w:r>
          </w:p>
        </w:tc>
      </w:tr>
      <w:tr>
        <w:trPr>
          <w:trHeight w:val="173"/>
        </w:trPr>
        <w:tc>
          <w:tcPr>
            <w:tcW w:w="6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Miracle-Gro Products, Inc., Stern's Nurseries, Inc.,</w:t>
            </w:r>
          </w:p>
        </w:tc>
      </w:tr>
      <w:tr>
        <w:trPr>
          <w:trHeight w:val="173"/>
        </w:trPr>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Miracle-Gro Lawn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Products, Inc., Report</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r>
      <w:tr>
        <w:trPr>
          <w:trHeight w:val="173"/>
        </w:trPr>
        <w:tc>
          <w:tcPr>
            <w:tcW w:w="4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Miracle-Gro Products Limited, Hagedorn</w:t>
            </w:r>
          </w:p>
        </w:tc>
        <w:tc>
          <w:tcPr>
            <w:tcW w:w="2840" w:type="dxa"/>
            <w:vAlign w:val="bottom"/>
          </w:tcPr>
          <w:p>
            <w:pPr>
              <w:spacing w:after="0"/>
              <w:rPr>
                <w:sz w:val="15"/>
                <w:szCs w:val="15"/>
                <w:color w:val="auto"/>
              </w:rPr>
            </w:pPr>
          </w:p>
        </w:tc>
      </w:tr>
      <w:tr>
        <w:trPr>
          <w:trHeight w:val="173"/>
        </w:trPr>
        <w:tc>
          <w:tcPr>
            <w:tcW w:w="4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Partnership, L.P., the general partners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3"/>
        </w:trPr>
        <w:tc>
          <w:tcPr>
            <w:tcW w:w="4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Hagedorn Partnership , L.P.,</w:t>
            </w:r>
          </w:p>
        </w:tc>
        <w:tc>
          <w:tcPr>
            <w:tcW w:w="2840" w:type="dxa"/>
            <w:vAlign w:val="bottom"/>
          </w:tcPr>
          <w:p>
            <w:pPr>
              <w:spacing w:after="0"/>
              <w:rPr>
                <w:sz w:val="15"/>
                <w:szCs w:val="15"/>
                <w:color w:val="auto"/>
              </w:rPr>
            </w:pPr>
          </w:p>
        </w:tc>
      </w:tr>
      <w:tr>
        <w:trPr>
          <w:trHeight w:val="173"/>
        </w:trPr>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Horace Hagedorn,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Community Funds, Inc.,</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3"/>
        </w:trPr>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John Kenlon, The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Scotts Company (the</w:t>
            </w:r>
          </w:p>
        </w:tc>
        <w:tc>
          <w:tcPr>
            <w:tcW w:w="2840" w:type="dxa"/>
            <w:vAlign w:val="bottom"/>
          </w:tcPr>
          <w:p>
            <w:pPr>
              <w:spacing w:after="0"/>
              <w:rPr>
                <w:sz w:val="15"/>
                <w:szCs w:val="15"/>
                <w:color w:val="auto"/>
              </w:rPr>
            </w:pPr>
          </w:p>
        </w:tc>
      </w:tr>
    </w:tbl>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"Registrant"), and ZYX Corporation</w:t>
      </w:r>
    </w:p>
    <w:p>
      <w:pPr>
        <w:spacing w:after="0" w:line="178" w:lineRule="exact"/>
        <w:rPr>
          <w:sz w:val="20"/>
          <w:szCs w:val="20"/>
          <w:color w:val="auto"/>
        </w:rPr>
      </w:pPr>
    </w:p>
    <w:p>
      <w:pPr>
        <w:ind w:left="440" w:right="288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2(b)</w:t>
        <w:tab/>
        <w:t>First Amendment to Amended and Restated Agreement and Plan of Merger, made and entered into as of October 1, 1999, among 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181" w:lineRule="exact"/>
        <w:rPr>
          <w:sz w:val="20"/>
          <w:szCs w:val="20"/>
          <w:color w:val="auto"/>
        </w:rPr>
      </w:pPr>
    </w:p>
    <w:p>
      <w:pPr>
        <w:ind w:left="440" w:right="288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2(c)</w:t>
        <w:tab/>
        <w:t>Master Contract, dated September 30, 1998, by and between Rhone-Poulenc Agro; the Registrant; Scotts Celaflor GmbH &amp; Co. K.G.; "David" Sechsundfunfzigste Beteiligungs und</w:t>
      </w:r>
    </w:p>
    <w:p>
      <w:pPr>
        <w:spacing w:after="0" w:line="3" w:lineRule="exact"/>
        <w:rPr>
          <w:sz w:val="20"/>
          <w:szCs w:val="20"/>
          <w:color w:val="auto"/>
        </w:rPr>
      </w:pPr>
    </w:p>
    <w:p>
      <w:pPr>
        <w:ind w:left="440" w:right="2600"/>
        <w:spacing w:after="0" w:line="244" w:lineRule="auto"/>
        <w:rPr>
          <w:sz w:val="20"/>
          <w:szCs w:val="20"/>
          <w:color w:val="auto"/>
        </w:rPr>
      </w:pPr>
      <w:r>
        <w:rPr>
          <w:rFonts w:ascii="Courier New" w:cs="Courier New" w:eastAsia="Courier New" w:hAnsi="Courier New"/>
          <w:sz w:val="15"/>
          <w:szCs w:val="15"/>
          <w:color w:val="auto"/>
        </w:rPr>
        <w:t>dated Verwaltungsgesellschaft GmbH; Rhone-Poulenc Agro Europe GmbH; Scotts France Holdings 2] S.A.R.L.; Scotts France S.A.R.L.; and</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Scotts Belgium 2 B.V.B.A.</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8" w:lineRule="exact"/>
        <w:rPr>
          <w:sz w:val="20"/>
          <w:szCs w:val="20"/>
          <w:color w:val="auto"/>
        </w:rPr>
      </w:pPr>
    </w:p>
    <w:p>
      <w:pPr>
        <w:ind w:right="8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Current Form 8-K dated May 31,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0-19768)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Current Report on Form 8-K dated October 4, 1999 (File No. 1-11593) [Exhibit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Current Report on Form 8-K October 22, 1998 (File No. 1-11593) [Exhibit</w:t>
      </w:r>
    </w:p>
    <w:p>
      <w:pPr>
        <w:sectPr>
          <w:pgSz w:w="11900" w:h="16838" w:orient="portrait"/>
          <w:cols w:equalWidth="0" w:num="2">
            <w:col w:w="7560" w:space="720"/>
            <w:col w:w="2080"/>
          </w:cols>
          <w:pgMar w:left="240" w:top="291" w:right="1299"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2(d) Asset Purchase Agreement, dated as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November 11, 1998, between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Monsanto Company and the Registrant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(replaces and supersedes Exhibit</w:t>
      </w:r>
    </w:p>
    <w:p>
      <w:pPr>
        <w:spacing w:after="0" w:line="178" w:lineRule="exact"/>
        <w:rPr>
          <w:sz w:val="20"/>
          <w:szCs w:val="20"/>
          <w:color w:val="auto"/>
        </w:rPr>
      </w:pPr>
    </w:p>
    <w:p>
      <w:pPr>
        <w:ind w:left="440" w:right="252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3(a)</w:t>
        <w:tab/>
        <w:t>Amended Articles of Incorporation of the Registrant as filed with the Ohio Secretary of State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right="324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3(b)</w:t>
        <w:tab/>
        <w:t>Certificate of Amendment by Shareholders to the Articles of Incorporation of the Registrant as filed with the Ohio Secretary of State on May 4,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440" w:right="342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3(c)</w:t>
        <w:tab/>
        <w:t>Regulations of the Registrant (reflecting amendments adopted by the shareholders of the Registrant on April 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Report on Form</w:t>
        <w:tab/>
        <w:t>10- K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0-19768)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3(a)]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Quarterly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April 1, 1995 (File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0-19768)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Quarterly</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Report on Form</w:t>
        <w:tab/>
        <w:t>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April 1,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0-19768)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4(c)]</w:t>
      </w:r>
    </w:p>
    <w:p>
      <w:pPr>
        <w:sectPr>
          <w:pgSz w:w="11900" w:h="16838" w:orient="portrait"/>
          <w:cols w:equalWidth="0" w:num="2">
            <w:col w:w="7560" w:space="720"/>
            <w:col w:w="2260"/>
          </w:cols>
          <w:pgMar w:left="240" w:top="291" w:right="1119"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4(a) Form of Series A Warrant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4(b) Form of Series B Warrant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4(c) Form of Series C Warrant Included in</w:t>
      </w:r>
    </w:p>
    <w:p>
      <w:pPr>
        <w:spacing w:after="0" w:line="178" w:lineRule="exact"/>
        <w:rPr>
          <w:sz w:val="20"/>
          <w:szCs w:val="20"/>
          <w:color w:val="auto"/>
        </w:rPr>
      </w:pPr>
    </w:p>
    <w:p>
      <w:pPr>
        <w:ind w:left="440" w:right="1620" w:hanging="439"/>
        <w:spacing w:after="0" w:line="244" w:lineRule="auto"/>
        <w:tabs>
          <w:tab w:leader="none" w:pos="420" w:val="left"/>
        </w:tabs>
        <w:rPr>
          <w:sz w:val="20"/>
          <w:szCs w:val="20"/>
          <w:color w:val="auto"/>
        </w:rPr>
      </w:pPr>
      <w:r>
        <w:rPr>
          <w:rFonts w:ascii="Courier New" w:cs="Courier New" w:eastAsia="Courier New" w:hAnsi="Courier New"/>
          <w:sz w:val="15"/>
          <w:szCs w:val="15"/>
          <w:color w:val="auto"/>
        </w:rPr>
        <w:t>4(d)</w:t>
        <w:tab/>
        <w:t>Credit Agreement, dated as of December 4, 1998, by and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w:t>
      </w:r>
    </w:p>
    <w:p>
      <w:pPr>
        <w:spacing w:after="0" w:line="178" w:lineRule="exact"/>
        <w:rPr>
          <w:sz w:val="20"/>
          <w:szCs w:val="20"/>
          <w:color w:val="auto"/>
        </w:rPr>
      </w:pPr>
    </w:p>
    <w:p>
      <w:pPr>
        <w:ind w:left="440" w:right="2340"/>
        <w:spacing w:after="0" w:line="244" w:lineRule="auto"/>
        <w:rPr>
          <w:sz w:val="20"/>
          <w:szCs w:val="20"/>
          <w:color w:val="auto"/>
        </w:rPr>
      </w:pPr>
      <w:r>
        <w:rPr>
          <w:rFonts w:ascii="Courier New" w:cs="Courier New" w:eastAsia="Courier New" w:hAnsi="Courier New"/>
          <w:sz w:val="15"/>
          <w:szCs w:val="15"/>
          <w:color w:val="auto"/>
        </w:rPr>
        <w:t>Holdings SARL, Scotts Holding GmbH, Scotts Celaflor GmbH &amp; Co. KG, Scotts France SARL, Scotts Belgium 2 BVBA and The Scotts Company (UK) Ltd. as Subsidiary Borrowers; the lenders party thereto; The Chase Manhattan Bank as Administrative Agent; Salomon Smith Barney, Inc. as Syndication</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Agent; Credit Lyonnais Chicago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Branch and NBD Bank as Co-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Documentation Agents; and Chase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Inc. as Lead Arranger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as Book Manager</w:t>
      </w:r>
    </w:p>
    <w:p>
      <w:pPr>
        <w:spacing w:after="0" w:line="178" w:lineRule="exact"/>
        <w:rPr>
          <w:sz w:val="20"/>
          <w:szCs w:val="20"/>
          <w:color w:val="auto"/>
        </w:rPr>
      </w:pPr>
    </w:p>
    <w:p>
      <w:pPr>
        <w:ind w:left="440" w:right="2260" w:hanging="439"/>
        <w:spacing w:after="0" w:line="263" w:lineRule="auto"/>
        <w:tabs>
          <w:tab w:leader="none" w:pos="420" w:val="left"/>
        </w:tabs>
        <w:rPr>
          <w:sz w:val="20"/>
          <w:szCs w:val="20"/>
          <w:color w:val="auto"/>
        </w:rPr>
      </w:pPr>
      <w:r>
        <w:rPr>
          <w:rFonts w:ascii="Courier New" w:cs="Courier New" w:eastAsia="Courier New" w:hAnsi="Courier New"/>
          <w:sz w:val="14"/>
          <w:szCs w:val="14"/>
          <w:color w:val="auto"/>
        </w:rPr>
        <w:t>4(e)</w:t>
        <w:tab/>
        <w:t>Waiver, dated as of January 19, 1999, to the Credit Agreement, dated as of December 4, 1998,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and other subsidiaries of the Registrant who are also borrowers from time to time; the lenders party thereto; The Chase Manhattan Bank as Administrative Agent; Salomon Smith Barney, Inc. as Syndication Agent; Credit Lyonnais Chicago Branch and NBD Bank as Co-Documentation Agents;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5"/>
          <w:szCs w:val="15"/>
          <w:color w:val="auto"/>
        </w:rPr>
        <w:t>120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2(a)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2(a)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Current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8-K,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11,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300" w:space="720"/>
            <w:col w:w="3260"/>
          </w:cols>
          <w:pgMar w:left="240" w:top="291" w:right="1379"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4(f) Amendment No. 1 and Consent dated as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October 13, 1999 to the Credit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dated as of December 4, 1998,</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amended by the Waiver, dated as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January 19, 1999, among the Registrant;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OM Scott International Investments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Ltd., Miracle Garden Care Limited,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Scotts Holdings Limited, Hyponex</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Corporation, Scotts Miracle-Gro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 Inc., Scotts-Sierra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Horticultural Products Company, Republic</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Tool &amp; Manufacturing Corp.,</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Scotts-Sierra Investments, Inc. Scotts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France Holdings SARL, Scotts Holding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GmbH, Scotts Belgium 2 BVBA, The Scotts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(UK) LTD., Scotts Canada Ltd.,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Scotts Europe B.V., ASEF B.V. and other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subsidiaries of the Registrant who are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also borrowers from time to time; the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lenders party thereto; The Chase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Manhattan Bank as Administrative Agent;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Salomon Smith Barney, Inc. as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Syndication Agent; Credit Lyonnais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Chicago and NBD Bank as Co-Documentation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Agents; and Chase Securities Inc. as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Lead Arranger and Book Manager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4(g) Indenture, dated as of January 21, 1999,</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between The Scotts Company and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10(a) The O.M. Scott &amp; Sons Company Excess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Benefit Plan, effective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21,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333-76739)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Scotts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Delaware") (File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0-19768)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10(h)]</w:t>
      </w:r>
    </w:p>
    <w:p>
      <w:pPr>
        <w:sectPr>
          <w:pgSz w:w="11900" w:h="16838" w:orient="portrait"/>
          <w:cols w:equalWidth="0" w:num="2">
            <w:col w:w="7560" w:space="720"/>
            <w:col w:w="2260"/>
          </w:cols>
          <w:pgMar w:left="240" w:top="291" w:right="1119"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122</w:t>
      </w:r>
    </w:p>
    <w:p>
      <w:pPr>
        <w:spacing w:after="0" w:line="200" w:lineRule="exact"/>
        <w:rPr>
          <w:sz w:val="20"/>
          <w:szCs w:val="20"/>
          <w:color w:val="auto"/>
        </w:rPr>
      </w:pPr>
    </w:p>
    <w:p>
      <w:pPr>
        <w:spacing w:after="0" w:line="324"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10(b) The Scotts Company 1992 Long Term</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right="2700" w:hanging="539"/>
        <w:spacing w:after="0" w:line="243" w:lineRule="auto"/>
        <w:tabs>
          <w:tab w:leader="none" w:pos="520" w:val="left"/>
        </w:tabs>
        <w:rPr>
          <w:sz w:val="20"/>
          <w:szCs w:val="20"/>
          <w:color w:val="auto"/>
        </w:rPr>
      </w:pPr>
      <w:r>
        <w:rPr>
          <w:rFonts w:ascii="Courier New" w:cs="Courier New" w:eastAsia="Courier New" w:hAnsi="Courier New"/>
          <w:sz w:val="15"/>
          <w:szCs w:val="15"/>
          <w:color w:val="auto"/>
        </w:rPr>
        <w:t>10(c)</w:t>
        <w:tab/>
        <w:t>The Scotts Company 1999 Executive and Management Incentive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10(d) The Scotts Company 1996 Stock</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Option Plan (as amended through</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December 8,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10(e) The Scotts Company Executive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10(f) Employment Agreement, dated as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May 19, 1995, between the Registrant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 James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540" w:right="3340" w:hanging="539"/>
        <w:spacing w:after="0" w:line="244" w:lineRule="auto"/>
        <w:tabs>
          <w:tab w:leader="none" w:pos="520" w:val="left"/>
        </w:tabs>
        <w:rPr>
          <w:sz w:val="20"/>
          <w:szCs w:val="20"/>
          <w:color w:val="auto"/>
        </w:rPr>
      </w:pPr>
      <w:r>
        <w:rPr>
          <w:rFonts w:ascii="Courier New" w:cs="Courier New" w:eastAsia="Courier New" w:hAnsi="Courier New"/>
          <w:sz w:val="15"/>
          <w:szCs w:val="15"/>
          <w:color w:val="auto"/>
        </w:rPr>
        <w:t>10(g)</w:t>
        <w:tab/>
        <w:t>Consulting Agreement, dated July 9, 1997, among Scotts Miracle-Gro Products, Inc., the Registrant and Horace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right="2780" w:hanging="539"/>
        <w:spacing w:after="0" w:line="244" w:lineRule="auto"/>
        <w:tabs>
          <w:tab w:leader="none" w:pos="520" w:val="left"/>
        </w:tabs>
        <w:rPr>
          <w:sz w:val="20"/>
          <w:szCs w:val="20"/>
          <w:color w:val="auto"/>
        </w:rPr>
      </w:pPr>
      <w:r>
        <w:rPr>
          <w:rFonts w:ascii="Courier New" w:cs="Courier New" w:eastAsia="Courier New" w:hAnsi="Courier New"/>
          <w:sz w:val="15"/>
          <w:szCs w:val="15"/>
          <w:color w:val="auto"/>
        </w:rPr>
        <w:t>10(h)</w:t>
        <w:tab/>
        <w:t>Employment Agreement, dated as of May 19, 1995, among Stern's Miracle-Gro Products, Inc. (nka Scotts Miracle-Gro Products, Inc.), the Registrant and 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Scotts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Delaware's 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on March 26,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33-60056)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Report on Form</w:t>
        <w:tab/>
        <w:t>10-K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10(j)]</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(File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1-11593)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w:t>
      </w:r>
    </w:p>
    <w:p>
      <w:pPr>
        <w:sectPr>
          <w:pgSz w:w="11900" w:h="16838" w:orient="portrait"/>
          <w:cols w:equalWidth="0" w:num="2">
            <w:col w:w="7560" w:space="720"/>
            <w:col w:w="2180"/>
          </w:cols>
          <w:pgMar w:left="240" w:top="291" w:right="1199"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8" w:lineRule="exact"/>
        <w:rPr>
          <w:sz w:val="20"/>
          <w:szCs w:val="20"/>
          <w:color w:val="auto"/>
        </w:rPr>
      </w:pPr>
    </w:p>
    <w:p>
      <w:pPr>
        <w:ind w:left="540" w:right="2700" w:hanging="539"/>
        <w:spacing w:after="0" w:line="244" w:lineRule="auto"/>
        <w:tabs>
          <w:tab w:leader="none" w:pos="520" w:val="left"/>
        </w:tabs>
        <w:rPr>
          <w:sz w:val="20"/>
          <w:szCs w:val="20"/>
          <w:color w:val="auto"/>
        </w:rPr>
      </w:pPr>
      <w:r>
        <w:rPr>
          <w:rFonts w:ascii="Courier New" w:cs="Courier New" w:eastAsia="Courier New" w:hAnsi="Courier New"/>
          <w:sz w:val="15"/>
          <w:szCs w:val="15"/>
          <w:color w:val="auto"/>
        </w:rPr>
        <w:t>10(i)</w:t>
        <w:tab/>
        <w:t>Employment Agreement, dated as of August 7, 1998, between the Registrant and Charles M. Berger, and three attached Stock Option Agreements with the following effective dates: September 23, 1998; October 21, 1998 and September 24, 1999</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10(j) Stock Option Agreement, dated as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August 7, 1996, between the Registrant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right="3240" w:hanging="539"/>
        <w:spacing w:after="0" w:line="278" w:lineRule="auto"/>
        <w:tabs>
          <w:tab w:leader="none" w:pos="520" w:val="left"/>
        </w:tabs>
        <w:rPr>
          <w:sz w:val="20"/>
          <w:szCs w:val="20"/>
          <w:color w:val="auto"/>
        </w:rPr>
      </w:pPr>
      <w:r>
        <w:rPr>
          <w:rFonts w:ascii="Courier New" w:cs="Courier New" w:eastAsia="Courier New" w:hAnsi="Courier New"/>
          <w:sz w:val="14"/>
          <w:szCs w:val="14"/>
          <w:color w:val="auto"/>
        </w:rPr>
        <w:t>10(k)</w:t>
        <w:tab/>
        <w:t>Letter Agreement, dated December 23, 1996, between the Registrant and Jean H. Mordo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10(l) Specimen form of Stock Option Agreement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 Non-Qualified Stock Options</w:t>
      </w:r>
    </w:p>
    <w:p>
      <w:pPr>
        <w:spacing w:after="0" w:line="178" w:lineRule="exact"/>
        <w:rPr>
          <w:sz w:val="20"/>
          <w:szCs w:val="20"/>
          <w:color w:val="auto"/>
        </w:rPr>
      </w:pPr>
    </w:p>
    <w:p>
      <w:pPr>
        <w:ind w:left="540" w:right="3240" w:hanging="539"/>
        <w:spacing w:after="0" w:line="278" w:lineRule="auto"/>
        <w:tabs>
          <w:tab w:leader="none" w:pos="520" w:val="left"/>
        </w:tabs>
        <w:rPr>
          <w:sz w:val="20"/>
          <w:szCs w:val="20"/>
          <w:color w:val="auto"/>
        </w:rPr>
      </w:pPr>
      <w:r>
        <w:rPr>
          <w:rFonts w:ascii="Courier New" w:cs="Courier New" w:eastAsia="Courier New" w:hAnsi="Courier New"/>
          <w:sz w:val="14"/>
          <w:szCs w:val="14"/>
          <w:color w:val="auto"/>
        </w:rPr>
        <w:t>10(m)</w:t>
        <w:tab/>
        <w:t>Letter Agreement, dated April 10, 1997, between the Registrant and G. Robert Lucas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right="3140" w:hanging="539"/>
        <w:spacing w:after="0" w:line="243" w:lineRule="auto"/>
        <w:tabs>
          <w:tab w:leader="none" w:pos="520" w:val="left"/>
        </w:tabs>
        <w:rPr>
          <w:sz w:val="20"/>
          <w:szCs w:val="20"/>
          <w:color w:val="auto"/>
        </w:rPr>
      </w:pPr>
      <w:r>
        <w:rPr>
          <w:rFonts w:ascii="Courier New" w:cs="Courier New" w:eastAsia="Courier New" w:hAnsi="Courier New"/>
          <w:sz w:val="15"/>
          <w:szCs w:val="15"/>
          <w:color w:val="auto"/>
        </w:rPr>
        <w:t>10(n)</w:t>
        <w:tab/>
        <w:t>Letter Agreement, dated December 17, 1997, between the Registrant and William R. Radon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right="2960" w:hanging="539"/>
        <w:spacing w:after="0" w:line="243" w:lineRule="auto"/>
        <w:tabs>
          <w:tab w:leader="none" w:pos="520" w:val="left"/>
        </w:tabs>
        <w:rPr>
          <w:sz w:val="20"/>
          <w:szCs w:val="20"/>
          <w:color w:val="auto"/>
        </w:rPr>
      </w:pPr>
      <w:r>
        <w:rPr>
          <w:rFonts w:ascii="Courier New" w:cs="Courier New" w:eastAsia="Courier New" w:hAnsi="Courier New"/>
          <w:sz w:val="15"/>
          <w:szCs w:val="15"/>
          <w:color w:val="auto"/>
        </w:rPr>
        <w:t>10(o)</w:t>
        <w:tab/>
        <w:t>Letter Agreement, dated March 30, 1998, between the Registrant and William A. Dittman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right="3420" w:hanging="539"/>
        <w:spacing w:after="0" w:line="278" w:lineRule="auto"/>
        <w:tabs>
          <w:tab w:leader="none" w:pos="520" w:val="left"/>
        </w:tabs>
        <w:rPr>
          <w:sz w:val="20"/>
          <w:szCs w:val="20"/>
          <w:color w:val="auto"/>
        </w:rPr>
      </w:pPr>
      <w:r>
        <w:rPr>
          <w:rFonts w:ascii="Courier New" w:cs="Courier New" w:eastAsia="Courier New" w:hAnsi="Courier New"/>
          <w:sz w:val="14"/>
          <w:szCs w:val="14"/>
          <w:color w:val="auto"/>
        </w:rPr>
        <w:t>10(p)</w:t>
        <w:tab/>
        <w:t>Letter Agreement, dated March 16, 1999, between the Registrant and Hadia Lefavre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1-11593)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60" w:space="720"/>
            <w:col w:w="2180"/>
          </w:cols>
          <w:pgMar w:left="240" w:top="291" w:right="1199"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124</w:t>
      </w:r>
    </w:p>
    <w:p>
      <w:pPr>
        <w:spacing w:after="0" w:line="350" w:lineRule="exact"/>
        <w:rPr>
          <w:sz w:val="20"/>
          <w:szCs w:val="20"/>
          <w:color w:val="auto"/>
        </w:rPr>
      </w:pPr>
    </w:p>
    <w:p>
      <w:pPr>
        <w:ind w:left="8"/>
        <w:spacing w:after="0"/>
        <w:tabs>
          <w:tab w:leader="none" w:pos="3847"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78" w:lineRule="exact"/>
        <w:rPr>
          <w:sz w:val="20"/>
          <w:szCs w:val="20"/>
          <w:color w:val="auto"/>
        </w:rPr>
      </w:pPr>
    </w:p>
    <w:p>
      <w:pPr>
        <w:ind w:left="548" w:right="3060" w:hanging="539"/>
        <w:spacing w:after="0" w:line="278" w:lineRule="auto"/>
        <w:tabs>
          <w:tab w:leader="none" w:pos="527" w:val="left"/>
        </w:tabs>
        <w:rPr>
          <w:sz w:val="20"/>
          <w:szCs w:val="20"/>
          <w:color w:val="auto"/>
        </w:rPr>
      </w:pPr>
      <w:r>
        <w:rPr>
          <w:rFonts w:ascii="Courier New" w:cs="Courier New" w:eastAsia="Courier New" w:hAnsi="Courier New"/>
          <w:sz w:val="14"/>
          <w:szCs w:val="14"/>
          <w:color w:val="auto"/>
        </w:rPr>
        <w:t>10(q)</w:t>
        <w:tab/>
        <w:t>Letter Agreement, dated July 21, 1999, between the Registrant and David D. Harrison</w:t>
      </w:r>
    </w:p>
    <w:p>
      <w:pPr>
        <w:spacing w:after="0" w:line="153" w:lineRule="exact"/>
        <w:rPr>
          <w:sz w:val="20"/>
          <w:szCs w:val="20"/>
          <w:color w:val="auto"/>
        </w:rPr>
      </w:pPr>
    </w:p>
    <w:p>
      <w:pPr>
        <w:ind w:left="548" w:right="2780" w:hanging="539"/>
        <w:spacing w:after="0" w:line="244" w:lineRule="auto"/>
        <w:tabs>
          <w:tab w:leader="none" w:pos="527" w:val="left"/>
        </w:tabs>
        <w:rPr>
          <w:sz w:val="20"/>
          <w:szCs w:val="20"/>
          <w:color w:val="auto"/>
        </w:rPr>
      </w:pPr>
      <w:r>
        <w:rPr>
          <w:rFonts w:ascii="Courier New" w:cs="Courier New" w:eastAsia="Courier New" w:hAnsi="Courier New"/>
          <w:sz w:val="15"/>
          <w:szCs w:val="15"/>
          <w:color w:val="auto"/>
        </w:rPr>
        <w:t>10(r)</w:t>
        <w:tab/>
        <w:t>Contract of Employment dated February 28, 1986, between Rhodic (assumed by Scotts France SAS) and Christian Ringuet</w:t>
      </w:r>
    </w:p>
    <w:p>
      <w:pPr>
        <w:spacing w:after="0" w:line="175" w:lineRule="exact"/>
        <w:rPr>
          <w:sz w:val="20"/>
          <w:szCs w:val="20"/>
          <w:color w:val="auto"/>
        </w:rPr>
      </w:pPr>
    </w:p>
    <w:p>
      <w:pPr>
        <w:ind w:left="548" w:right="2420" w:hanging="539"/>
        <w:spacing w:after="0" w:line="243" w:lineRule="auto"/>
        <w:tabs>
          <w:tab w:leader="none" w:pos="527" w:val="left"/>
        </w:tabs>
        <w:rPr>
          <w:sz w:val="20"/>
          <w:szCs w:val="20"/>
          <w:color w:val="auto"/>
        </w:rPr>
      </w:pPr>
      <w:r>
        <w:rPr>
          <w:rFonts w:ascii="Courier New" w:cs="Courier New" w:eastAsia="Courier New" w:hAnsi="Courier New"/>
          <w:sz w:val="15"/>
          <w:szCs w:val="15"/>
          <w:color w:val="auto"/>
        </w:rPr>
        <w:t>10(s)</w:t>
        <w:tab/>
        <w:t>Employment Agreement, dated August 1, 1995, between Scotts Europe B.V. and Laurens J.M. de Kort</w:t>
      </w:r>
    </w:p>
    <w:p>
      <w:pPr>
        <w:spacing w:after="0" w:line="176" w:lineRule="exact"/>
        <w:rPr>
          <w:sz w:val="20"/>
          <w:szCs w:val="20"/>
          <w:color w:val="auto"/>
        </w:rPr>
      </w:pPr>
    </w:p>
    <w:p>
      <w:pPr>
        <w:ind w:left="548" w:right="2700" w:hanging="539"/>
        <w:spacing w:after="0" w:line="270" w:lineRule="auto"/>
        <w:tabs>
          <w:tab w:leader="none" w:pos="527" w:val="left"/>
        </w:tabs>
        <w:rPr>
          <w:sz w:val="20"/>
          <w:szCs w:val="20"/>
          <w:color w:val="auto"/>
        </w:rPr>
      </w:pPr>
      <w:r>
        <w:rPr>
          <w:rFonts w:ascii="Courier New" w:cs="Courier New" w:eastAsia="Courier New" w:hAnsi="Courier New"/>
          <w:sz w:val="14"/>
          <w:szCs w:val="14"/>
          <w:color w:val="auto"/>
        </w:rPr>
        <w:t>10(t)</w:t>
        <w:tab/>
        <w:t>Service Agreement, dated September 9, 1998, between Levington Horticulture Limited (nka The Scotts Company (UK) Ltd.) and Nicholas Kirkbride</w:t>
      </w:r>
    </w:p>
    <w:p>
      <w:pPr>
        <w:spacing w:after="0" w:line="158" w:lineRule="exact"/>
        <w:rPr>
          <w:sz w:val="20"/>
          <w:szCs w:val="20"/>
          <w:color w:val="auto"/>
        </w:rPr>
      </w:pPr>
    </w:p>
    <w:p>
      <w:pPr>
        <w:ind w:left="548" w:right="2880" w:hanging="539"/>
        <w:spacing w:after="0" w:line="262" w:lineRule="auto"/>
        <w:tabs>
          <w:tab w:leader="none" w:pos="527" w:val="left"/>
        </w:tabs>
        <w:rPr>
          <w:sz w:val="20"/>
          <w:szCs w:val="20"/>
          <w:color w:val="auto"/>
        </w:rPr>
      </w:pPr>
      <w:r>
        <w:rPr>
          <w:rFonts w:ascii="Courier New" w:cs="Courier New" w:eastAsia="Courier New" w:hAnsi="Courier New"/>
          <w:sz w:val="14"/>
          <w:szCs w:val="14"/>
          <w:color w:val="auto"/>
        </w:rPr>
        <w:t>10(u)</w:t>
        <w:tab/>
        <w:t>Exclusive Distributor Agreement--Horticulture, effective as of June 22, 1998, between</w:t>
      </w:r>
    </w:p>
    <w:p>
      <w:pPr>
        <w:ind w:left="548"/>
        <w:spacing w:after="0"/>
        <w:rPr>
          <w:sz w:val="20"/>
          <w:szCs w:val="20"/>
          <w:color w:val="auto"/>
        </w:rPr>
      </w:pPr>
      <w:r>
        <w:rPr>
          <w:rFonts w:ascii="Courier New" w:cs="Courier New" w:eastAsia="Courier New" w:hAnsi="Courier New"/>
          <w:sz w:val="15"/>
          <w:szCs w:val="15"/>
          <w:color w:val="auto"/>
        </w:rPr>
        <w:t>the Registrant and AgrEvo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692"/>
        <w:spacing w:after="0"/>
        <w:rPr>
          <w:sz w:val="20"/>
          <w:szCs w:val="20"/>
          <w:color w:val="auto"/>
        </w:rPr>
      </w:pPr>
      <w:r>
        <w:rPr>
          <w:rFonts w:ascii="Courier New" w:cs="Courier New" w:eastAsia="Courier New" w:hAnsi="Courier New"/>
          <w:sz w:val="14"/>
          <w:szCs w:val="14"/>
          <w:color w:val="auto"/>
        </w:rPr>
        <w:t>10(v) Amended and Restated Exclusive Agency</w:t>
      </w:r>
    </w:p>
    <w:p>
      <w:pPr>
        <w:spacing w:after="0" w:line="1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and Marketing Agreement, dated as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of September 30, 1998, between</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Monsanto Company and the Registrant</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(replaces and supersedes Exhibit 2(b)</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 the Registrant's Quarterly Report</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on Form 10-Q for the fiscal quarter</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ended April 3, 1999 (File No. 1-11593))**</w:t>
      </w:r>
    </w:p>
    <w:p>
      <w:pPr>
        <w:spacing w:after="0" w:line="177" w:lineRule="exact"/>
        <w:rPr>
          <w:sz w:val="20"/>
          <w:szCs w:val="20"/>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21</w:t>
        <w:tab/>
        <w:t>Subsidiaries of the Registrant</w:t>
      </w:r>
    </w:p>
    <w:p>
      <w:pPr>
        <w:spacing w:after="0" w:line="177" w:lineRule="exact"/>
        <w:rPr>
          <w:sz w:val="20"/>
          <w:szCs w:val="20"/>
          <w:color w:val="auto"/>
        </w:rPr>
      </w:pPr>
    </w:p>
    <w:p>
      <w:pPr>
        <w:ind w:left="448" w:hanging="448"/>
        <w:spacing w:after="0"/>
        <w:tabs>
          <w:tab w:leader="none" w:pos="4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Previously filed.</w:t>
      </w:r>
    </w:p>
    <w:p>
      <w:pPr>
        <w:spacing w:after="0" w:line="351" w:lineRule="exact"/>
        <w:rPr>
          <w:sz w:val="20"/>
          <w:szCs w:val="20"/>
          <w:color w:val="auto"/>
        </w:rPr>
      </w:pPr>
    </w:p>
    <w:p>
      <w:pPr>
        <w:ind w:left="8" w:right="540" w:hanging="8"/>
        <w:spacing w:after="0" w:line="244" w:lineRule="auto"/>
        <w:tabs>
          <w:tab w:leader="none" w:pos="27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have been omitted based upon a request for confidential treatment filed with the Securities and Exchange Commission ("SEC"). The non-public information has been filed separately with the SEC in connection with that request.</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1998 (File No. 1-11593) [Exhibit 10(v)]</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2">
        <w:col w:w="7568" w:space="720"/>
        <w:col w:w="2180"/>
      </w:cols>
      <w:pgMar w:left="232" w:top="29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upperLetter"/>
      <w:start w:val="24"/>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lvl w:ilvl="1">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29"/>
    </w:lvl>
  </w:abstractNum>
  <w:abstractNum w:abstractNumId="9">
    <w:nsid w:val="8138641"/>
    <w:multiLevelType w:val="hybridMultilevel"/>
    <w:lvl w:ilvl="0">
      <w:lvlJc w:val="left"/>
      <w:lvlText w:val="%1"/>
      <w:numFmt w:val="decimal"/>
      <w:start w:val="32"/>
    </w:lvl>
  </w:abstractNum>
  <w:abstractNum w:abstractNumId="10">
    <w:nsid w:val="1E7FF521"/>
    <w:multiLevelType w:val="hybridMultilevel"/>
    <w:lvl w:ilvl="0">
      <w:lvlJc w:val="left"/>
      <w:lvlText w:val="%1"/>
      <w:numFmt w:val="decimal"/>
      <w:start w:val="26"/>
    </w:lvl>
  </w:abstractNum>
  <w:abstractNum w:abstractNumId="11">
    <w:nsid w:val="7C3DBD3D"/>
    <w:multiLevelType w:val="hybridMultilevel"/>
    <w:lvl w:ilvl="0">
      <w:lvlJc w:val="left"/>
      <w:lvlText w:val="%1"/>
      <w:numFmt w:val="decimal"/>
      <w:start w:val="32"/>
    </w:lvl>
  </w:abstractNum>
  <w:abstractNum w:abstractNumId="12">
    <w:nsid w:val="737B8DDC"/>
    <w:multiLevelType w:val="hybridMultilevel"/>
    <w:lvl w:ilvl="0">
      <w:lvlJc w:val="left"/>
      <w:lvlText w:val="%1"/>
      <w:numFmt w:val="decimal"/>
      <w:start w:val="38"/>
    </w:lvl>
  </w:abstractNum>
  <w:abstractNum w:abstractNumId="13">
    <w:nsid w:val="6CEAF087"/>
    <w:multiLevelType w:val="hybridMultilevel"/>
    <w:lvl w:ilvl="0">
      <w:lvlJc w:val="left"/>
      <w:lvlText w:val="%1"/>
      <w:numFmt w:val="decimal"/>
      <w:start w:val="34"/>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lvl w:ilvl="1">
      <w:lvlJc w:val="left"/>
      <w:lvlText w:val="-"/>
      <w:numFmt w:val="bullet"/>
      <w:start w:val="1"/>
    </w:lvl>
  </w:abstractNum>
  <w:abstractNum w:abstractNumId="27">
    <w:nsid w:val="5E884ADC"/>
    <w:multiLevelType w:val="hybridMultilevel"/>
    <w:lvl w:ilvl="0">
      <w:lvlJc w:val="left"/>
      <w:lvlText w:val="-"/>
      <w:numFmt w:val="bullet"/>
      <w:start w:val="1"/>
    </w:lvl>
    <w:lvl w:ilvl="1">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lowerLetter"/>
      <w:start w:val="4"/>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3"/>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2"/>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23"/>
    </w:lvl>
  </w:abstractNum>
  <w:abstractNum w:abstractNumId="48">
    <w:nsid w:val="579478FE"/>
    <w:multiLevelType w:val="hybridMultilevel"/>
    <w:lvl w:ilvl="0">
      <w:lvlJc w:val="left"/>
      <w:lvlText w:val="%1"/>
      <w:numFmt w:val="decimal"/>
      <w:start w:val="27"/>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2019-12-20T06:20:07Z</dcterms:created>
  <dcterms:modified xsi:type="dcterms:W3CDTF">2019-12-20T06:20:07Z</dcterms:modified>
</cp:coreProperties>
</file>