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-231140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2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5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vMerge w:val="restart"/>
          </w:tcPr>
          <w:p>
            <w:pPr>
              <w:jc w:val="center"/>
              <w:ind w:right="3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5400040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14605</wp:posOffset>
            </wp:positionV>
            <wp:extent cx="7326630" cy="8155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81559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40" w:space="560"/>
            <w:col w:w="8720"/>
          </w:cols>
          <w:pgMar w:left="240" w:top="220" w:right="13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BRUNNER GORDON F</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line="334" w:lineRule="auto"/>
        <w:rPr>
          <w:sz w:val="20"/>
          <w:szCs w:val="20"/>
          <w:color w:val="auto"/>
        </w:rPr>
      </w:pPr>
      <w:r>
        <w:rPr>
          <w:rFonts w:ascii="Arial" w:cs="Arial" w:eastAsia="Arial" w:hAnsi="Arial"/>
          <w:sz w:val="17"/>
          <w:szCs w:val="17"/>
          <w:color w:val="0000FF"/>
        </w:rPr>
        <w:t>C/O THE SCOTTS MIRACLE-GRO COMPANY 14111 SCOTTSLAWN ROAD</w:t>
      </w:r>
    </w:p>
    <w:p>
      <w:pPr>
        <w:spacing w:after="0" w:line="19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2080" w:type="dxa"/>
            <w:vAlign w:val="bottom"/>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r>
      <w:tr>
        <w:trPr>
          <w:trHeight w:val="229"/>
        </w:trPr>
        <w:tc>
          <w:tcPr>
            <w:tcW w:w="2080" w:type="dxa"/>
            <w:vAlign w:val="bottom"/>
          </w:tcPr>
          <w:p>
            <w:pPr>
              <w:ind w:left="40"/>
              <w:spacing w:after="0"/>
              <w:rPr>
                <w:sz w:val="20"/>
                <w:szCs w:val="20"/>
                <w:color w:val="auto"/>
              </w:rPr>
            </w:pPr>
            <w:r>
              <w:rPr>
                <w:rFonts w:ascii="Arial" w:cs="Arial" w:eastAsia="Arial" w:hAnsi="Arial"/>
                <w:sz w:val="17"/>
                <w:szCs w:val="17"/>
                <w:color w:val="0000FF"/>
              </w:rPr>
              <w:t>MARYSVILLE   OH</w:t>
            </w:r>
          </w:p>
        </w:tc>
        <w:tc>
          <w:tcPr>
            <w:tcW w:w="920" w:type="dxa"/>
            <w:vAlign w:val="bottom"/>
          </w:tcPr>
          <w:p>
            <w:pPr>
              <w:jc w:val="right"/>
              <w:spacing w:after="0"/>
              <w:rPr>
                <w:sz w:val="20"/>
                <w:szCs w:val="20"/>
                <w:color w:val="auto"/>
              </w:rPr>
            </w:pPr>
            <w:r>
              <w:rPr>
                <w:rFonts w:ascii="Arial" w:cs="Arial" w:eastAsia="Arial" w:hAnsi="Arial"/>
                <w:sz w:val="17"/>
                <w:szCs w:val="17"/>
                <w:color w:val="0000FF"/>
              </w:rPr>
              <w:t>43041</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98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SCOTTS MIRACLE-GRO CO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SMG</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9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900" w:type="dxa"/>
            <w:vAlign w:val="bottom"/>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4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1900" w:type="dxa"/>
            <w:vAlign w:val="bottom"/>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4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1900" w:type="dxa"/>
            <w:vAlign w:val="bottom"/>
          </w:tcPr>
          <w:p>
            <w:pPr>
              <w:ind w:left="62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900" w:type="dxa"/>
            <w:vAlign w:val="bottom"/>
          </w:tcPr>
          <w:p>
            <w:pPr>
              <w:ind w:left="620"/>
              <w:spacing w:after="0" w:line="107" w:lineRule="exact"/>
              <w:rPr>
                <w:sz w:val="20"/>
                <w:szCs w:val="20"/>
                <w:color w:val="auto"/>
              </w:rPr>
            </w:pPr>
            <w:r>
              <w:rPr>
                <w:rFonts w:ascii="Arial" w:cs="Arial" w:eastAsia="Arial" w:hAnsi="Arial"/>
                <w:sz w:val="12"/>
                <w:szCs w:val="12"/>
                <w:color w:val="auto"/>
              </w:rPr>
              <w:t>below)</w:t>
            </w:r>
          </w:p>
        </w:tc>
        <w:tc>
          <w:tcPr>
            <w:tcW w:w="1540" w:type="dxa"/>
            <w:vAlign w:val="bottom"/>
          </w:tcPr>
          <w:p>
            <w:pPr>
              <w:ind w:left="36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6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1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640" w:type="dxa"/>
            <w:vAlign w:val="bottom"/>
            <w:gridSpan w:val="3"/>
          </w:tcPr>
          <w:p>
            <w:pPr>
              <w:ind w:left="60"/>
              <w:spacing w:after="0"/>
              <w:rPr>
                <w:sz w:val="20"/>
                <w:szCs w:val="20"/>
                <w:color w:val="auto"/>
              </w:rPr>
            </w:pPr>
            <w:r>
              <w:rPr>
                <w:rFonts w:ascii="Arial" w:cs="Arial" w:eastAsia="Arial" w:hAnsi="Arial"/>
                <w:sz w:val="17"/>
                <w:szCs w:val="17"/>
                <w:color w:val="0000FF"/>
              </w:rPr>
              <w:t>03/01/2007</w:t>
            </w:r>
          </w:p>
        </w:tc>
        <w:tc>
          <w:tcPr>
            <w:tcW w:w="1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40" w:type="dxa"/>
            <w:vAlign w:val="bottom"/>
            <w:gridSpan w:val="2"/>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40" w:type="dxa"/>
            <w:vAlign w:val="bottom"/>
            <w:gridSpan w:val="2"/>
          </w:tcPr>
          <w:p>
            <w:pPr>
              <w:ind w:left="6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480" w:space="520"/>
            <w:col w:w="7520"/>
          </w:cols>
          <w:pgMar w:left="240" w:top="220" w:right="139" w:bottom="0" w:gutter="0" w:footer="0" w:header="0"/>
          <w:type w:val="continuous"/>
        </w:sectPr>
      </w:pPr>
    </w:p>
    <w:p>
      <w:pPr>
        <w:spacing w:after="0" w:line="17"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6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9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20" w:type="dxa"/>
            <w:vAlign w:val="bottom"/>
          </w:tcPr>
          <w:p>
            <w:pPr>
              <w:ind w:left="92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120"/>
              <w:spacing w:after="0" w:line="125"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ind w:left="9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Following Reported</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6"/>
                <w:szCs w:val="6"/>
                <w:color w:val="auto"/>
              </w:rPr>
            </w:pPr>
          </w:p>
        </w:tc>
        <w:tc>
          <w:tcPr>
            <w:tcW w:w="860" w:type="dxa"/>
            <w:vAlign w:val="bottom"/>
            <w:vMerge w:val="restart"/>
          </w:tcPr>
          <w:p>
            <w:pPr>
              <w:ind w:left="120"/>
              <w:spacing w:after="0" w:line="128"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w w:val="95"/>
              </w:rPr>
              <w:t>5. Number of</w:t>
            </w:r>
          </w:p>
        </w:tc>
        <w:tc>
          <w:tcPr>
            <w:tcW w:w="260" w:type="dxa"/>
            <w:vAlign w:val="bottom"/>
          </w:tcPr>
          <w:p>
            <w:pPr>
              <w:spacing w:after="0"/>
              <w:rPr>
                <w:sz w:val="12"/>
                <w:szCs w:val="12"/>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201" w:lineRule="exact"/>
              <w:rPr>
                <w:sz w:val="20"/>
                <w:szCs w:val="20"/>
                <w:color w:val="auto"/>
              </w:rPr>
            </w:pPr>
            <w:r>
              <w:rPr>
                <w:rFonts w:ascii="Arial" w:cs="Arial" w:eastAsia="Arial" w:hAnsi="Arial"/>
                <w:sz w:val="12"/>
                <w:szCs w:val="12"/>
                <w:color w:val="auto"/>
                <w:w w:val="85"/>
              </w:rPr>
              <w:t>$</w:t>
            </w:r>
            <w:r>
              <w:rPr>
                <w:rFonts w:ascii="Arial" w:cs="Arial" w:eastAsia="Arial" w:hAnsi="Arial"/>
                <w:sz w:val="12"/>
                <w:szCs w:val="12"/>
                <w:color w:val="0000FF"/>
                <w:w w:val="85"/>
              </w:rPr>
              <w:t>26.53</w:t>
            </w:r>
            <w:r>
              <w:rPr>
                <w:rFonts w:ascii="Arial" w:cs="Arial" w:eastAsia="Arial" w:hAnsi="Arial"/>
                <w:sz w:val="21"/>
                <w:szCs w:val="21"/>
                <w:color w:val="008000"/>
                <w:w w:val="85"/>
                <w:vertAlign w:val="superscript"/>
              </w:rPr>
              <w:t>(1)</w:t>
            </w:r>
          </w:p>
        </w:tc>
        <w:tc>
          <w:tcPr>
            <w:tcW w:w="1080" w:type="dxa"/>
            <w:vAlign w:val="bottom"/>
          </w:tcPr>
          <w:p>
            <w:pPr>
              <w:jc w:val="center"/>
              <w:spacing w:after="0" w:line="201" w:lineRule="exact"/>
              <w:rPr>
                <w:sz w:val="20"/>
                <w:szCs w:val="20"/>
                <w:color w:val="auto"/>
              </w:rPr>
            </w:pPr>
            <w:r>
              <w:rPr>
                <w:rFonts w:ascii="Arial" w:cs="Arial" w:eastAsia="Arial" w:hAnsi="Arial"/>
                <w:sz w:val="13"/>
                <w:szCs w:val="13"/>
                <w:color w:val="0000FF"/>
                <w:w w:val="85"/>
              </w:rPr>
              <w:t>03/01/2007</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80" w:type="dxa"/>
            <w:vAlign w:val="bottom"/>
          </w:tcPr>
          <w:p>
            <w:pPr>
              <w:ind w:left="120"/>
              <w:spacing w:after="0" w:line="200"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(1)</w:t>
            </w:r>
          </w:p>
        </w:tc>
        <w:tc>
          <w:tcPr>
            <w:tcW w:w="800" w:type="dxa"/>
            <w:vAlign w:val="bottom"/>
          </w:tcPr>
          <w:p>
            <w:pPr>
              <w:jc w:val="center"/>
              <w:spacing w:after="0" w:line="201" w:lineRule="exact"/>
              <w:rPr>
                <w:sz w:val="20"/>
                <w:szCs w:val="20"/>
                <w:color w:val="auto"/>
              </w:rPr>
            </w:pPr>
            <w:r>
              <w:rPr>
                <w:rFonts w:ascii="Arial" w:cs="Arial" w:eastAsia="Arial" w:hAnsi="Arial"/>
                <w:sz w:val="13"/>
                <w:szCs w:val="13"/>
                <w:color w:val="0000FF"/>
                <w:w w:val="84"/>
              </w:rPr>
              <w:t>2,653</w:t>
            </w:r>
            <w:r>
              <w:rPr>
                <w:rFonts w:ascii="Arial" w:cs="Arial" w:eastAsia="Arial" w:hAnsi="Arial"/>
                <w:sz w:val="21"/>
                <w:szCs w:val="21"/>
                <w:color w:val="008000"/>
                <w:w w:val="84"/>
                <w:vertAlign w:val="superscript"/>
              </w:rPr>
              <w:t>(2)</w:t>
            </w:r>
          </w:p>
        </w:tc>
        <w:tc>
          <w:tcPr>
            <w:tcW w:w="2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0000FF"/>
                <w:w w:val="89"/>
              </w:rPr>
              <w:t>07/30/2004</w:t>
            </w:r>
          </w:p>
        </w:tc>
        <w:tc>
          <w:tcPr>
            <w:tcW w:w="720" w:type="dxa"/>
            <w:vAlign w:val="bottom"/>
          </w:tcPr>
          <w:p>
            <w:pPr>
              <w:jc w:val="center"/>
              <w:spacing w:after="0"/>
              <w:rPr>
                <w:sz w:val="20"/>
                <w:szCs w:val="20"/>
                <w:color w:val="auto"/>
              </w:rPr>
            </w:pPr>
            <w:r>
              <w:rPr>
                <w:rFonts w:ascii="Arial" w:cs="Arial" w:eastAsia="Arial" w:hAnsi="Arial"/>
                <w:sz w:val="13"/>
                <w:szCs w:val="13"/>
                <w:color w:val="0000FF"/>
                <w:w w:val="89"/>
              </w:rPr>
              <w:t>01/29/2014</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880" w:type="dxa"/>
            <w:vAlign w:val="bottom"/>
          </w:tcPr>
          <w:p>
            <w:pPr>
              <w:jc w:val="center"/>
              <w:spacing w:after="0" w:line="201" w:lineRule="exact"/>
              <w:rPr>
                <w:sz w:val="20"/>
                <w:szCs w:val="20"/>
                <w:color w:val="auto"/>
              </w:rPr>
            </w:pPr>
            <w:r>
              <w:rPr>
                <w:rFonts w:ascii="Arial" w:cs="Arial" w:eastAsia="Arial" w:hAnsi="Arial"/>
                <w:sz w:val="17"/>
                <w:szCs w:val="17"/>
                <w:color w:val="0000FF"/>
                <w:w w:val="83"/>
              </w:rPr>
              <w:t>2,653</w:t>
            </w:r>
            <w:r>
              <w:rPr>
                <w:rFonts w:ascii="Arial" w:cs="Arial" w:eastAsia="Arial" w:hAnsi="Arial"/>
                <w:sz w:val="21"/>
                <w:szCs w:val="21"/>
                <w:color w:val="008000"/>
                <w:w w:val="83"/>
                <w:vertAlign w:val="superscript"/>
              </w:rPr>
              <w:t>(2)</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jc w:val="center"/>
              <w:spacing w:after="0"/>
              <w:rPr>
                <w:sz w:val="20"/>
                <w:szCs w:val="20"/>
                <w:color w:val="auto"/>
              </w:rPr>
            </w:pPr>
            <w:r>
              <w:rPr>
                <w:rFonts w:ascii="Arial" w:cs="Arial" w:eastAsia="Arial" w:hAnsi="Arial"/>
                <w:sz w:val="13"/>
                <w:szCs w:val="13"/>
                <w:color w:val="0000FF"/>
                <w:w w:val="90"/>
              </w:rPr>
              <w:t>16,653</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80" w:type="dxa"/>
            <w:vAlign w:val="bottom"/>
          </w:tcPr>
          <w:p>
            <w:pPr>
              <w:ind w:left="60"/>
              <w:spacing w:after="0" w:line="81"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color w:val="0000FF"/>
              </w:rPr>
              <w:t>Shares</w:t>
            </w: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5"/>
              </w:rPr>
              <w:t>03/01/2007</w:t>
            </w:r>
            <w:r>
              <w:rPr>
                <w:rFonts w:ascii="Arial" w:cs="Arial" w:eastAsia="Arial" w:hAnsi="Arial"/>
                <w:sz w:val="21"/>
                <w:szCs w:val="21"/>
                <w:color w:val="008000"/>
                <w:w w:val="85"/>
                <w:vertAlign w:val="superscript"/>
              </w:rPr>
              <w:t>(4)</w:t>
            </w:r>
          </w:p>
        </w:tc>
        <w:tc>
          <w:tcPr>
            <w:tcW w:w="1080" w:type="dxa"/>
            <w:vAlign w:val="bottom"/>
          </w:tcPr>
          <w:p>
            <w:pPr>
              <w:spacing w:after="0"/>
              <w:rPr>
                <w:sz w:val="12"/>
                <w:szCs w:val="12"/>
                <w:color w:val="auto"/>
              </w:rPr>
            </w:pPr>
          </w:p>
        </w:tc>
        <w:tc>
          <w:tcPr>
            <w:tcW w:w="780" w:type="dxa"/>
            <w:vAlign w:val="bottom"/>
            <w:vMerge w:val="restart"/>
          </w:tcPr>
          <w:p>
            <w:pPr>
              <w:ind w:left="120"/>
              <w:spacing w:after="0" w:line="277"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84"/>
              </w:rPr>
              <w:t>270.5496</w:t>
            </w:r>
            <w:r>
              <w:rPr>
                <w:rFonts w:ascii="Arial" w:cs="Arial" w:eastAsia="Arial" w:hAnsi="Arial"/>
                <w:sz w:val="21"/>
                <w:szCs w:val="21"/>
                <w:color w:val="008000"/>
                <w:w w:val="84"/>
                <w:vertAlign w:val="superscript"/>
              </w:rPr>
              <w:t>(5)</w:t>
            </w:r>
          </w:p>
        </w:tc>
        <w:tc>
          <w:tcPr>
            <w:tcW w:w="2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4"/>
              </w:rPr>
              <w:t>270.5496</w:t>
            </w:r>
            <w:r>
              <w:rPr>
                <w:rFonts w:ascii="Arial" w:cs="Arial" w:eastAsia="Arial" w:hAnsi="Arial"/>
                <w:sz w:val="21"/>
                <w:szCs w:val="21"/>
                <w:color w:val="008000"/>
                <w:w w:val="84"/>
                <w:vertAlign w:val="superscript"/>
              </w:rPr>
              <w:t>(5)</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7" w:lineRule="exact"/>
              <w:rPr>
                <w:sz w:val="20"/>
                <w:szCs w:val="20"/>
                <w:color w:val="auto"/>
              </w:rPr>
            </w:pPr>
            <w:r>
              <w:rPr>
                <w:rFonts w:ascii="Arial" w:cs="Arial" w:eastAsia="Arial" w:hAnsi="Arial"/>
                <w:sz w:val="13"/>
                <w:szCs w:val="13"/>
                <w:color w:val="0000FF"/>
              </w:rPr>
              <w:t>Units</w:t>
            </w:r>
          </w:p>
        </w:tc>
        <w:tc>
          <w:tcPr>
            <w:tcW w:w="7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jc w:val="center"/>
              <w:spacing w:after="0" w:line="137" w:lineRule="exact"/>
              <w:rPr>
                <w:sz w:val="20"/>
                <w:szCs w:val="20"/>
                <w:color w:val="auto"/>
              </w:rPr>
            </w:pPr>
            <w:r>
              <w:rPr>
                <w:rFonts w:ascii="Arial" w:cs="Arial" w:eastAsia="Arial" w:hAnsi="Arial"/>
                <w:sz w:val="13"/>
                <w:szCs w:val="13"/>
                <w:color w:val="0000FF"/>
                <w:w w:val="86"/>
              </w:rPr>
              <w:t>1,698.5496</w:t>
            </w:r>
          </w:p>
        </w:tc>
        <w:tc>
          <w:tcPr>
            <w:tcW w:w="720" w:type="dxa"/>
            <w:vAlign w:val="bottom"/>
          </w:tcPr>
          <w:p>
            <w:pPr>
              <w:ind w:left="320"/>
              <w:spacing w:after="0" w:line="137"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80" w:type="dxa"/>
            <w:vAlign w:val="bottom"/>
          </w:tcPr>
          <w:p>
            <w:pPr>
              <w:ind w:left="60"/>
              <w:spacing w:after="0" w:line="144" w:lineRule="exact"/>
              <w:rPr>
                <w:sz w:val="20"/>
                <w:szCs w:val="20"/>
                <w:color w:val="auto"/>
              </w:rPr>
            </w:pPr>
            <w:r>
              <w:rPr>
                <w:rFonts w:ascii="Arial" w:cs="Arial" w:eastAsia="Arial" w:hAnsi="Arial"/>
                <w:sz w:val="13"/>
                <w:szCs w:val="13"/>
                <w:color w:val="0000FF"/>
              </w:rPr>
              <w:t>(Phantom</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3"/>
                <w:szCs w:val="13"/>
                <w:color w:val="0000FF"/>
                <w:w w:val="87"/>
              </w:rPr>
              <w:t>Shares</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201" w:lineRule="exact"/>
              <w:rPr>
                <w:sz w:val="20"/>
                <w:szCs w:val="20"/>
                <w:color w:val="auto"/>
              </w:rPr>
            </w:pPr>
            <w:r>
              <w:rPr>
                <w:rFonts w:ascii="Arial" w:cs="Arial" w:eastAsia="Arial" w:hAnsi="Arial"/>
                <w:sz w:val="12"/>
                <w:szCs w:val="12"/>
                <w:color w:val="auto"/>
                <w:w w:val="85"/>
              </w:rPr>
              <w:t>$</w:t>
            </w:r>
            <w:r>
              <w:rPr>
                <w:rFonts w:ascii="Arial" w:cs="Arial" w:eastAsia="Arial" w:hAnsi="Arial"/>
                <w:sz w:val="12"/>
                <w:szCs w:val="12"/>
                <w:color w:val="0000FF"/>
                <w:w w:val="85"/>
              </w:rPr>
              <w:t>27.39</w:t>
            </w:r>
            <w:r>
              <w:rPr>
                <w:rFonts w:ascii="Arial" w:cs="Arial" w:eastAsia="Arial" w:hAnsi="Arial"/>
                <w:sz w:val="21"/>
                <w:szCs w:val="21"/>
                <w:color w:val="008000"/>
                <w:w w:val="85"/>
                <w:vertAlign w:val="superscript"/>
              </w:rPr>
              <w:t>(1)</w:t>
            </w:r>
          </w:p>
        </w:tc>
        <w:tc>
          <w:tcPr>
            <w:tcW w:w="1080" w:type="dxa"/>
            <w:vAlign w:val="bottom"/>
          </w:tcPr>
          <w:p>
            <w:pPr>
              <w:jc w:val="center"/>
              <w:spacing w:after="0" w:line="201" w:lineRule="exact"/>
              <w:rPr>
                <w:sz w:val="20"/>
                <w:szCs w:val="20"/>
                <w:color w:val="auto"/>
              </w:rPr>
            </w:pPr>
            <w:r>
              <w:rPr>
                <w:rFonts w:ascii="Arial" w:cs="Arial" w:eastAsia="Arial" w:hAnsi="Arial"/>
                <w:sz w:val="13"/>
                <w:szCs w:val="13"/>
                <w:color w:val="0000FF"/>
                <w:w w:val="85"/>
              </w:rPr>
              <w:t>03/01/2007</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80" w:type="dxa"/>
            <w:vAlign w:val="bottom"/>
          </w:tcPr>
          <w:p>
            <w:pPr>
              <w:ind w:left="120"/>
              <w:spacing w:after="0" w:line="200"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(1)</w:t>
            </w:r>
          </w:p>
        </w:tc>
        <w:tc>
          <w:tcPr>
            <w:tcW w:w="800" w:type="dxa"/>
            <w:vAlign w:val="bottom"/>
          </w:tcPr>
          <w:p>
            <w:pPr>
              <w:jc w:val="center"/>
              <w:spacing w:after="0" w:line="201" w:lineRule="exact"/>
              <w:rPr>
                <w:sz w:val="20"/>
                <w:szCs w:val="20"/>
                <w:color w:val="auto"/>
              </w:rPr>
            </w:pPr>
            <w:r>
              <w:rPr>
                <w:rFonts w:ascii="Arial" w:cs="Arial" w:eastAsia="Arial" w:hAnsi="Arial"/>
                <w:sz w:val="13"/>
                <w:szCs w:val="13"/>
                <w:color w:val="0000FF"/>
                <w:w w:val="84"/>
              </w:rPr>
              <w:t>1,043</w:t>
            </w:r>
            <w:r>
              <w:rPr>
                <w:rFonts w:ascii="Arial" w:cs="Arial" w:eastAsia="Arial" w:hAnsi="Arial"/>
                <w:sz w:val="21"/>
                <w:szCs w:val="21"/>
                <w:color w:val="008000"/>
                <w:w w:val="84"/>
                <w:vertAlign w:val="superscript"/>
              </w:rPr>
              <w:t>(2)</w:t>
            </w:r>
          </w:p>
        </w:tc>
        <w:tc>
          <w:tcPr>
            <w:tcW w:w="2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0000FF"/>
                <w:w w:val="89"/>
              </w:rPr>
              <w:t>11/06/2004</w:t>
            </w:r>
          </w:p>
        </w:tc>
        <w:tc>
          <w:tcPr>
            <w:tcW w:w="720" w:type="dxa"/>
            <w:vAlign w:val="bottom"/>
          </w:tcPr>
          <w:p>
            <w:pPr>
              <w:jc w:val="center"/>
              <w:spacing w:after="0"/>
              <w:rPr>
                <w:sz w:val="20"/>
                <w:szCs w:val="20"/>
                <w:color w:val="auto"/>
              </w:rPr>
            </w:pPr>
            <w:r>
              <w:rPr>
                <w:rFonts w:ascii="Arial" w:cs="Arial" w:eastAsia="Arial" w:hAnsi="Arial"/>
                <w:sz w:val="13"/>
                <w:szCs w:val="13"/>
                <w:color w:val="0000FF"/>
                <w:w w:val="89"/>
              </w:rPr>
              <w:t>05/05/2014</w:t>
            </w:r>
          </w:p>
        </w:tc>
        <w:tc>
          <w:tcPr>
            <w:tcW w:w="6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880" w:type="dxa"/>
            <w:vAlign w:val="bottom"/>
          </w:tcPr>
          <w:p>
            <w:pPr>
              <w:jc w:val="center"/>
              <w:spacing w:after="0" w:line="201" w:lineRule="exact"/>
              <w:rPr>
                <w:sz w:val="20"/>
                <w:szCs w:val="20"/>
                <w:color w:val="auto"/>
              </w:rPr>
            </w:pPr>
            <w:r>
              <w:rPr>
                <w:rFonts w:ascii="Arial" w:cs="Arial" w:eastAsia="Arial" w:hAnsi="Arial"/>
                <w:sz w:val="17"/>
                <w:szCs w:val="17"/>
                <w:color w:val="0000FF"/>
                <w:w w:val="83"/>
              </w:rPr>
              <w:t>1,043</w:t>
            </w:r>
            <w:r>
              <w:rPr>
                <w:rFonts w:ascii="Arial" w:cs="Arial" w:eastAsia="Arial" w:hAnsi="Arial"/>
                <w:sz w:val="21"/>
                <w:szCs w:val="21"/>
                <w:color w:val="008000"/>
                <w:w w:val="83"/>
                <w:vertAlign w:val="superscript"/>
              </w:rPr>
              <w:t>(2)</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jc w:val="center"/>
              <w:spacing w:after="0"/>
              <w:rPr>
                <w:sz w:val="20"/>
                <w:szCs w:val="20"/>
                <w:color w:val="auto"/>
              </w:rPr>
            </w:pPr>
            <w:r>
              <w:rPr>
                <w:rFonts w:ascii="Arial" w:cs="Arial" w:eastAsia="Arial" w:hAnsi="Arial"/>
                <w:sz w:val="13"/>
                <w:szCs w:val="13"/>
                <w:color w:val="0000FF"/>
                <w:w w:val="85"/>
              </w:rPr>
              <w:t>6,543</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80" w:type="dxa"/>
            <w:vAlign w:val="bottom"/>
          </w:tcPr>
          <w:p>
            <w:pPr>
              <w:ind w:left="60"/>
              <w:spacing w:after="0" w:line="81"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color w:val="0000FF"/>
              </w:rPr>
              <w:t>Shares</w:t>
            </w: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5"/>
              </w:rPr>
              <w:t>03/01/2007</w:t>
            </w:r>
            <w:r>
              <w:rPr>
                <w:rFonts w:ascii="Arial" w:cs="Arial" w:eastAsia="Arial" w:hAnsi="Arial"/>
                <w:sz w:val="21"/>
                <w:szCs w:val="21"/>
                <w:color w:val="008000"/>
                <w:w w:val="85"/>
                <w:vertAlign w:val="superscript"/>
              </w:rPr>
              <w:t>(4)</w:t>
            </w:r>
          </w:p>
        </w:tc>
        <w:tc>
          <w:tcPr>
            <w:tcW w:w="1080" w:type="dxa"/>
            <w:vAlign w:val="bottom"/>
          </w:tcPr>
          <w:p>
            <w:pPr>
              <w:spacing w:after="0"/>
              <w:rPr>
                <w:sz w:val="12"/>
                <w:szCs w:val="12"/>
                <w:color w:val="auto"/>
              </w:rPr>
            </w:pPr>
          </w:p>
        </w:tc>
        <w:tc>
          <w:tcPr>
            <w:tcW w:w="780" w:type="dxa"/>
            <w:vAlign w:val="bottom"/>
            <w:vMerge w:val="restart"/>
          </w:tcPr>
          <w:p>
            <w:pPr>
              <w:ind w:left="120"/>
              <w:spacing w:after="0" w:line="277"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84"/>
              </w:rPr>
              <w:t>321.7039</w:t>
            </w:r>
            <w:r>
              <w:rPr>
                <w:rFonts w:ascii="Arial" w:cs="Arial" w:eastAsia="Arial" w:hAnsi="Arial"/>
                <w:sz w:val="21"/>
                <w:szCs w:val="21"/>
                <w:color w:val="008000"/>
                <w:w w:val="84"/>
                <w:vertAlign w:val="superscript"/>
              </w:rPr>
              <w:t>(5)</w:t>
            </w:r>
          </w:p>
        </w:tc>
        <w:tc>
          <w:tcPr>
            <w:tcW w:w="2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4"/>
              </w:rPr>
              <w:t>321.7039</w:t>
            </w:r>
            <w:r>
              <w:rPr>
                <w:rFonts w:ascii="Arial" w:cs="Arial" w:eastAsia="Arial" w:hAnsi="Arial"/>
                <w:sz w:val="21"/>
                <w:szCs w:val="21"/>
                <w:color w:val="008000"/>
                <w:w w:val="84"/>
                <w:vertAlign w:val="superscript"/>
              </w:rPr>
              <w:t>(5)</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7" w:lineRule="exact"/>
              <w:rPr>
                <w:sz w:val="20"/>
                <w:szCs w:val="20"/>
                <w:color w:val="auto"/>
              </w:rPr>
            </w:pPr>
            <w:r>
              <w:rPr>
                <w:rFonts w:ascii="Arial" w:cs="Arial" w:eastAsia="Arial" w:hAnsi="Arial"/>
                <w:sz w:val="13"/>
                <w:szCs w:val="13"/>
                <w:color w:val="0000FF"/>
              </w:rPr>
              <w:t>Units</w:t>
            </w:r>
          </w:p>
        </w:tc>
        <w:tc>
          <w:tcPr>
            <w:tcW w:w="7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jc w:val="center"/>
              <w:spacing w:after="0" w:line="137" w:lineRule="exact"/>
              <w:rPr>
                <w:sz w:val="20"/>
                <w:szCs w:val="20"/>
                <w:color w:val="auto"/>
              </w:rPr>
            </w:pPr>
            <w:r>
              <w:rPr>
                <w:rFonts w:ascii="Arial" w:cs="Arial" w:eastAsia="Arial" w:hAnsi="Arial"/>
                <w:sz w:val="13"/>
                <w:szCs w:val="13"/>
                <w:color w:val="0000FF"/>
                <w:w w:val="86"/>
              </w:rPr>
              <w:t>2,019.7039</w:t>
            </w:r>
          </w:p>
        </w:tc>
        <w:tc>
          <w:tcPr>
            <w:tcW w:w="720" w:type="dxa"/>
            <w:vAlign w:val="bottom"/>
          </w:tcPr>
          <w:p>
            <w:pPr>
              <w:ind w:left="320"/>
              <w:spacing w:after="0" w:line="137"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80" w:type="dxa"/>
            <w:vAlign w:val="bottom"/>
          </w:tcPr>
          <w:p>
            <w:pPr>
              <w:ind w:left="60"/>
              <w:spacing w:after="0" w:line="144" w:lineRule="exact"/>
              <w:rPr>
                <w:sz w:val="20"/>
                <w:szCs w:val="20"/>
                <w:color w:val="auto"/>
              </w:rPr>
            </w:pPr>
            <w:r>
              <w:rPr>
                <w:rFonts w:ascii="Arial" w:cs="Arial" w:eastAsia="Arial" w:hAnsi="Arial"/>
                <w:sz w:val="13"/>
                <w:szCs w:val="13"/>
                <w:color w:val="0000FF"/>
              </w:rPr>
              <w:t>(Phantom</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3"/>
                <w:szCs w:val="13"/>
                <w:color w:val="0000FF"/>
                <w:w w:val="87"/>
              </w:rPr>
              <w:t>Shares</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201" w:lineRule="exact"/>
              <w:rPr>
                <w:sz w:val="20"/>
                <w:szCs w:val="20"/>
                <w:color w:val="auto"/>
              </w:rPr>
            </w:pPr>
            <w:r>
              <w:rPr>
                <w:rFonts w:ascii="Arial" w:cs="Arial" w:eastAsia="Arial" w:hAnsi="Arial"/>
                <w:sz w:val="12"/>
                <w:szCs w:val="12"/>
                <w:color w:val="auto"/>
                <w:w w:val="85"/>
              </w:rPr>
              <w:t>$</w:t>
            </w:r>
            <w:r>
              <w:rPr>
                <w:rFonts w:ascii="Arial" w:cs="Arial" w:eastAsia="Arial" w:hAnsi="Arial"/>
                <w:sz w:val="12"/>
                <w:szCs w:val="12"/>
                <w:color w:val="0000FF"/>
                <w:w w:val="85"/>
              </w:rPr>
              <w:t>28.72</w:t>
            </w:r>
            <w:r>
              <w:rPr>
                <w:rFonts w:ascii="Arial" w:cs="Arial" w:eastAsia="Arial" w:hAnsi="Arial"/>
                <w:sz w:val="21"/>
                <w:szCs w:val="21"/>
                <w:color w:val="008000"/>
                <w:w w:val="85"/>
                <w:vertAlign w:val="superscript"/>
              </w:rPr>
              <w:t>(1)</w:t>
            </w:r>
          </w:p>
        </w:tc>
        <w:tc>
          <w:tcPr>
            <w:tcW w:w="1080" w:type="dxa"/>
            <w:vAlign w:val="bottom"/>
          </w:tcPr>
          <w:p>
            <w:pPr>
              <w:jc w:val="center"/>
              <w:spacing w:after="0" w:line="201" w:lineRule="exact"/>
              <w:rPr>
                <w:sz w:val="20"/>
                <w:szCs w:val="20"/>
                <w:color w:val="auto"/>
              </w:rPr>
            </w:pPr>
            <w:r>
              <w:rPr>
                <w:rFonts w:ascii="Arial" w:cs="Arial" w:eastAsia="Arial" w:hAnsi="Arial"/>
                <w:sz w:val="13"/>
                <w:szCs w:val="13"/>
                <w:color w:val="0000FF"/>
                <w:w w:val="85"/>
              </w:rPr>
              <w:t>03/01/2007</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80" w:type="dxa"/>
            <w:vAlign w:val="bottom"/>
          </w:tcPr>
          <w:p>
            <w:pPr>
              <w:ind w:left="120"/>
              <w:spacing w:after="0" w:line="200"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(1)</w:t>
            </w:r>
          </w:p>
        </w:tc>
        <w:tc>
          <w:tcPr>
            <w:tcW w:w="800" w:type="dxa"/>
            <w:vAlign w:val="bottom"/>
          </w:tcPr>
          <w:p>
            <w:pPr>
              <w:jc w:val="center"/>
              <w:spacing w:after="0" w:line="201" w:lineRule="exact"/>
              <w:rPr>
                <w:sz w:val="20"/>
                <w:szCs w:val="20"/>
                <w:color w:val="auto"/>
              </w:rPr>
            </w:pPr>
            <w:r>
              <w:rPr>
                <w:rFonts w:ascii="Arial" w:cs="Arial" w:eastAsia="Arial" w:hAnsi="Arial"/>
                <w:sz w:val="13"/>
                <w:szCs w:val="13"/>
                <w:color w:val="0000FF"/>
                <w:w w:val="84"/>
              </w:rPr>
              <w:t>2,660</w:t>
            </w:r>
            <w:r>
              <w:rPr>
                <w:rFonts w:ascii="Arial" w:cs="Arial" w:eastAsia="Arial" w:hAnsi="Arial"/>
                <w:sz w:val="21"/>
                <w:szCs w:val="21"/>
                <w:color w:val="008000"/>
                <w:w w:val="84"/>
                <w:vertAlign w:val="superscript"/>
              </w:rPr>
              <w:t>(2)</w:t>
            </w:r>
          </w:p>
        </w:tc>
        <w:tc>
          <w:tcPr>
            <w:tcW w:w="2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0000FF"/>
                <w:w w:val="89"/>
              </w:rPr>
              <w:t>01/28/2006</w:t>
            </w:r>
          </w:p>
        </w:tc>
        <w:tc>
          <w:tcPr>
            <w:tcW w:w="720" w:type="dxa"/>
            <w:vAlign w:val="bottom"/>
          </w:tcPr>
          <w:p>
            <w:pPr>
              <w:jc w:val="center"/>
              <w:spacing w:after="0"/>
              <w:rPr>
                <w:sz w:val="20"/>
                <w:szCs w:val="20"/>
                <w:color w:val="auto"/>
              </w:rPr>
            </w:pPr>
            <w:r>
              <w:rPr>
                <w:rFonts w:ascii="Arial" w:cs="Arial" w:eastAsia="Arial" w:hAnsi="Arial"/>
                <w:sz w:val="13"/>
                <w:szCs w:val="13"/>
                <w:color w:val="0000FF"/>
                <w:w w:val="89"/>
              </w:rPr>
              <w:t>01/27/2015</w:t>
            </w:r>
          </w:p>
        </w:tc>
        <w:tc>
          <w:tcPr>
            <w:tcW w:w="6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880" w:type="dxa"/>
            <w:vAlign w:val="bottom"/>
          </w:tcPr>
          <w:p>
            <w:pPr>
              <w:jc w:val="center"/>
              <w:spacing w:after="0" w:line="201" w:lineRule="exact"/>
              <w:rPr>
                <w:sz w:val="20"/>
                <w:szCs w:val="20"/>
                <w:color w:val="auto"/>
              </w:rPr>
            </w:pPr>
            <w:r>
              <w:rPr>
                <w:rFonts w:ascii="Arial" w:cs="Arial" w:eastAsia="Arial" w:hAnsi="Arial"/>
                <w:sz w:val="17"/>
                <w:szCs w:val="17"/>
                <w:color w:val="0000FF"/>
                <w:w w:val="83"/>
              </w:rPr>
              <w:t>2,660</w:t>
            </w:r>
            <w:r>
              <w:rPr>
                <w:rFonts w:ascii="Arial" w:cs="Arial" w:eastAsia="Arial" w:hAnsi="Arial"/>
                <w:sz w:val="21"/>
                <w:szCs w:val="21"/>
                <w:color w:val="008000"/>
                <w:w w:val="83"/>
                <w:vertAlign w:val="superscript"/>
              </w:rPr>
              <w:t>(2)</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jc w:val="center"/>
              <w:spacing w:after="0"/>
              <w:rPr>
                <w:sz w:val="20"/>
                <w:szCs w:val="20"/>
                <w:color w:val="auto"/>
              </w:rPr>
            </w:pPr>
            <w:r>
              <w:rPr>
                <w:rFonts w:ascii="Arial" w:cs="Arial" w:eastAsia="Arial" w:hAnsi="Arial"/>
                <w:sz w:val="13"/>
                <w:szCs w:val="13"/>
                <w:color w:val="0000FF"/>
                <w:w w:val="90"/>
              </w:rPr>
              <w:t>16,660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80" w:type="dxa"/>
            <w:vAlign w:val="bottom"/>
          </w:tcPr>
          <w:p>
            <w:pPr>
              <w:ind w:left="60"/>
              <w:spacing w:after="0" w:line="81"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color w:val="0000FF"/>
              </w:rPr>
              <w:t>Shares</w:t>
            </w: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5"/>
              </w:rPr>
              <w:t>03/01/2007</w:t>
            </w:r>
            <w:r>
              <w:rPr>
                <w:rFonts w:ascii="Arial" w:cs="Arial" w:eastAsia="Arial" w:hAnsi="Arial"/>
                <w:sz w:val="21"/>
                <w:szCs w:val="21"/>
                <w:color w:val="008000"/>
                <w:w w:val="85"/>
                <w:vertAlign w:val="superscript"/>
              </w:rPr>
              <w:t>(4)</w:t>
            </w:r>
          </w:p>
        </w:tc>
        <w:tc>
          <w:tcPr>
            <w:tcW w:w="1080" w:type="dxa"/>
            <w:vAlign w:val="bottom"/>
          </w:tcPr>
          <w:p>
            <w:pPr>
              <w:spacing w:after="0"/>
              <w:rPr>
                <w:sz w:val="12"/>
                <w:szCs w:val="12"/>
                <w:color w:val="auto"/>
              </w:rPr>
            </w:pPr>
          </w:p>
        </w:tc>
        <w:tc>
          <w:tcPr>
            <w:tcW w:w="780" w:type="dxa"/>
            <w:vAlign w:val="bottom"/>
            <w:vMerge w:val="restart"/>
          </w:tcPr>
          <w:p>
            <w:pPr>
              <w:ind w:left="120"/>
              <w:spacing w:after="0" w:line="277"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84"/>
              </w:rPr>
              <w:t>153.0841</w:t>
            </w:r>
            <w:r>
              <w:rPr>
                <w:rFonts w:ascii="Arial" w:cs="Arial" w:eastAsia="Arial" w:hAnsi="Arial"/>
                <w:sz w:val="21"/>
                <w:szCs w:val="21"/>
                <w:color w:val="008000"/>
                <w:w w:val="84"/>
                <w:vertAlign w:val="superscript"/>
              </w:rPr>
              <w:t>(5)</w:t>
            </w:r>
          </w:p>
        </w:tc>
        <w:tc>
          <w:tcPr>
            <w:tcW w:w="2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4"/>
              </w:rPr>
              <w:t>153.0841</w:t>
            </w:r>
            <w:r>
              <w:rPr>
                <w:rFonts w:ascii="Arial" w:cs="Arial" w:eastAsia="Arial" w:hAnsi="Arial"/>
                <w:sz w:val="21"/>
                <w:szCs w:val="21"/>
                <w:color w:val="008000"/>
                <w:w w:val="84"/>
                <w:vertAlign w:val="superscript"/>
              </w:rPr>
              <w:t>(5)</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7" w:lineRule="exact"/>
              <w:rPr>
                <w:sz w:val="20"/>
                <w:szCs w:val="20"/>
                <w:color w:val="auto"/>
              </w:rPr>
            </w:pPr>
            <w:r>
              <w:rPr>
                <w:rFonts w:ascii="Arial" w:cs="Arial" w:eastAsia="Arial" w:hAnsi="Arial"/>
                <w:sz w:val="13"/>
                <w:szCs w:val="13"/>
                <w:color w:val="0000FF"/>
              </w:rPr>
              <w:t>Units</w:t>
            </w:r>
          </w:p>
        </w:tc>
        <w:tc>
          <w:tcPr>
            <w:tcW w:w="7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jc w:val="center"/>
              <w:spacing w:after="0" w:line="137" w:lineRule="exact"/>
              <w:rPr>
                <w:sz w:val="20"/>
                <w:szCs w:val="20"/>
                <w:color w:val="auto"/>
              </w:rPr>
            </w:pPr>
            <w:r>
              <w:rPr>
                <w:rFonts w:ascii="Arial" w:cs="Arial" w:eastAsia="Arial" w:hAnsi="Arial"/>
                <w:sz w:val="13"/>
                <w:szCs w:val="13"/>
                <w:color w:val="0000FF"/>
                <w:w w:val="88"/>
              </w:rPr>
              <w:t>961.0841</w:t>
            </w:r>
          </w:p>
        </w:tc>
        <w:tc>
          <w:tcPr>
            <w:tcW w:w="720" w:type="dxa"/>
            <w:vAlign w:val="bottom"/>
          </w:tcPr>
          <w:p>
            <w:pPr>
              <w:ind w:left="320"/>
              <w:spacing w:after="0" w:line="137"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80" w:type="dxa"/>
            <w:vAlign w:val="bottom"/>
          </w:tcPr>
          <w:p>
            <w:pPr>
              <w:ind w:left="60"/>
              <w:spacing w:after="0" w:line="144" w:lineRule="exact"/>
              <w:rPr>
                <w:sz w:val="20"/>
                <w:szCs w:val="20"/>
                <w:color w:val="auto"/>
              </w:rPr>
            </w:pPr>
            <w:r>
              <w:rPr>
                <w:rFonts w:ascii="Arial" w:cs="Arial" w:eastAsia="Arial" w:hAnsi="Arial"/>
                <w:sz w:val="13"/>
                <w:szCs w:val="13"/>
                <w:color w:val="0000FF"/>
              </w:rPr>
              <w:t>(Phantom</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3"/>
                <w:szCs w:val="13"/>
                <w:color w:val="0000FF"/>
                <w:w w:val="87"/>
              </w:rPr>
              <w:t>Shares</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201" w:lineRule="exact"/>
              <w:rPr>
                <w:sz w:val="20"/>
                <w:szCs w:val="20"/>
                <w:color w:val="auto"/>
              </w:rPr>
            </w:pPr>
            <w:r>
              <w:rPr>
                <w:rFonts w:ascii="Arial" w:cs="Arial" w:eastAsia="Arial" w:hAnsi="Arial"/>
                <w:sz w:val="12"/>
                <w:szCs w:val="12"/>
                <w:color w:val="auto"/>
                <w:w w:val="85"/>
              </w:rPr>
              <w:t>$</w:t>
            </w:r>
            <w:r>
              <w:rPr>
                <w:rFonts w:ascii="Arial" w:cs="Arial" w:eastAsia="Arial" w:hAnsi="Arial"/>
                <w:sz w:val="12"/>
                <w:szCs w:val="12"/>
                <w:color w:val="0000FF"/>
                <w:w w:val="85"/>
              </w:rPr>
              <w:t>41.66</w:t>
            </w:r>
            <w:r>
              <w:rPr>
                <w:rFonts w:ascii="Arial" w:cs="Arial" w:eastAsia="Arial" w:hAnsi="Arial"/>
                <w:sz w:val="21"/>
                <w:szCs w:val="21"/>
                <w:color w:val="008000"/>
                <w:w w:val="85"/>
                <w:vertAlign w:val="superscript"/>
              </w:rPr>
              <w:t>(1)</w:t>
            </w:r>
          </w:p>
        </w:tc>
        <w:tc>
          <w:tcPr>
            <w:tcW w:w="1080" w:type="dxa"/>
            <w:vAlign w:val="bottom"/>
          </w:tcPr>
          <w:p>
            <w:pPr>
              <w:jc w:val="center"/>
              <w:spacing w:after="0" w:line="201" w:lineRule="exact"/>
              <w:rPr>
                <w:sz w:val="20"/>
                <w:szCs w:val="20"/>
                <w:color w:val="auto"/>
              </w:rPr>
            </w:pPr>
            <w:r>
              <w:rPr>
                <w:rFonts w:ascii="Arial" w:cs="Arial" w:eastAsia="Arial" w:hAnsi="Arial"/>
                <w:sz w:val="13"/>
                <w:szCs w:val="13"/>
                <w:color w:val="0000FF"/>
                <w:w w:val="85"/>
              </w:rPr>
              <w:t>03/01/2007</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80" w:type="dxa"/>
            <w:vAlign w:val="bottom"/>
          </w:tcPr>
          <w:p>
            <w:pPr>
              <w:ind w:left="120"/>
              <w:spacing w:after="0" w:line="200"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(1)</w:t>
            </w:r>
          </w:p>
        </w:tc>
        <w:tc>
          <w:tcPr>
            <w:tcW w:w="800" w:type="dxa"/>
            <w:vAlign w:val="bottom"/>
          </w:tcPr>
          <w:p>
            <w:pPr>
              <w:jc w:val="center"/>
              <w:spacing w:after="0" w:line="201" w:lineRule="exact"/>
              <w:rPr>
                <w:sz w:val="20"/>
                <w:szCs w:val="20"/>
                <w:color w:val="auto"/>
              </w:rPr>
            </w:pPr>
            <w:r>
              <w:rPr>
                <w:rFonts w:ascii="Arial" w:cs="Arial" w:eastAsia="Arial" w:hAnsi="Arial"/>
                <w:sz w:val="13"/>
                <w:szCs w:val="13"/>
                <w:color w:val="0000FF"/>
                <w:w w:val="84"/>
              </w:rPr>
              <w:t>2,659</w:t>
            </w:r>
            <w:r>
              <w:rPr>
                <w:rFonts w:ascii="Arial" w:cs="Arial" w:eastAsia="Arial" w:hAnsi="Arial"/>
                <w:sz w:val="21"/>
                <w:szCs w:val="21"/>
                <w:color w:val="008000"/>
                <w:w w:val="84"/>
                <w:vertAlign w:val="superscript"/>
              </w:rPr>
              <w:t>(2)</w:t>
            </w:r>
          </w:p>
        </w:tc>
        <w:tc>
          <w:tcPr>
            <w:tcW w:w="2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0000FF"/>
                <w:w w:val="89"/>
              </w:rPr>
              <w:t>01/27/2007</w:t>
            </w:r>
          </w:p>
        </w:tc>
        <w:tc>
          <w:tcPr>
            <w:tcW w:w="720" w:type="dxa"/>
            <w:vAlign w:val="bottom"/>
          </w:tcPr>
          <w:p>
            <w:pPr>
              <w:jc w:val="center"/>
              <w:spacing w:after="0"/>
              <w:rPr>
                <w:sz w:val="20"/>
                <w:szCs w:val="20"/>
                <w:color w:val="auto"/>
              </w:rPr>
            </w:pPr>
            <w:r>
              <w:rPr>
                <w:rFonts w:ascii="Arial" w:cs="Arial" w:eastAsia="Arial" w:hAnsi="Arial"/>
                <w:sz w:val="13"/>
                <w:szCs w:val="13"/>
                <w:color w:val="0000FF"/>
                <w:w w:val="89"/>
              </w:rPr>
              <w:t>01/27/2016</w:t>
            </w:r>
          </w:p>
        </w:tc>
        <w:tc>
          <w:tcPr>
            <w:tcW w:w="6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880" w:type="dxa"/>
            <w:vAlign w:val="bottom"/>
          </w:tcPr>
          <w:p>
            <w:pPr>
              <w:jc w:val="center"/>
              <w:spacing w:after="0" w:line="201" w:lineRule="exact"/>
              <w:rPr>
                <w:sz w:val="20"/>
                <w:szCs w:val="20"/>
                <w:color w:val="auto"/>
              </w:rPr>
            </w:pPr>
            <w:r>
              <w:rPr>
                <w:rFonts w:ascii="Arial" w:cs="Arial" w:eastAsia="Arial" w:hAnsi="Arial"/>
                <w:sz w:val="17"/>
                <w:szCs w:val="17"/>
                <w:color w:val="0000FF"/>
                <w:w w:val="83"/>
              </w:rPr>
              <w:t>2,659</w:t>
            </w:r>
            <w:r>
              <w:rPr>
                <w:rFonts w:ascii="Arial" w:cs="Arial" w:eastAsia="Arial" w:hAnsi="Arial"/>
                <w:sz w:val="21"/>
                <w:szCs w:val="21"/>
                <w:color w:val="008000"/>
                <w:w w:val="83"/>
                <w:vertAlign w:val="superscript"/>
              </w:rPr>
              <w:t>(2)</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jc w:val="center"/>
              <w:spacing w:after="0"/>
              <w:rPr>
                <w:sz w:val="20"/>
                <w:szCs w:val="20"/>
                <w:color w:val="auto"/>
              </w:rPr>
            </w:pPr>
            <w:r>
              <w:rPr>
                <w:rFonts w:ascii="Arial" w:cs="Arial" w:eastAsia="Arial" w:hAnsi="Arial"/>
                <w:sz w:val="13"/>
                <w:szCs w:val="13"/>
                <w:color w:val="0000FF"/>
                <w:w w:val="90"/>
              </w:rPr>
              <w:t>16,659</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80" w:type="dxa"/>
            <w:vAlign w:val="bottom"/>
          </w:tcPr>
          <w:p>
            <w:pPr>
              <w:ind w:left="60"/>
              <w:spacing w:after="0" w:line="81"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color w:val="0000FF"/>
              </w:rPr>
              <w:t>Shares</w:t>
            </w: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5"/>
              </w:rPr>
              <w:t>03/01/2007</w:t>
            </w:r>
            <w:r>
              <w:rPr>
                <w:rFonts w:ascii="Arial" w:cs="Arial" w:eastAsia="Arial" w:hAnsi="Arial"/>
                <w:sz w:val="21"/>
                <w:szCs w:val="21"/>
                <w:color w:val="008000"/>
                <w:w w:val="85"/>
                <w:vertAlign w:val="superscript"/>
              </w:rPr>
              <w:t>(4)</w:t>
            </w:r>
          </w:p>
        </w:tc>
        <w:tc>
          <w:tcPr>
            <w:tcW w:w="1080" w:type="dxa"/>
            <w:vAlign w:val="bottom"/>
          </w:tcPr>
          <w:p>
            <w:pPr>
              <w:spacing w:after="0"/>
              <w:rPr>
                <w:sz w:val="12"/>
                <w:szCs w:val="12"/>
                <w:color w:val="auto"/>
              </w:rPr>
            </w:pPr>
          </w:p>
        </w:tc>
        <w:tc>
          <w:tcPr>
            <w:tcW w:w="780" w:type="dxa"/>
            <w:vAlign w:val="bottom"/>
            <w:vMerge w:val="restart"/>
          </w:tcPr>
          <w:p>
            <w:pPr>
              <w:ind w:left="120"/>
              <w:spacing w:after="0" w:line="277"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84"/>
              </w:rPr>
              <w:t>142.6637</w:t>
            </w:r>
            <w:r>
              <w:rPr>
                <w:rFonts w:ascii="Arial" w:cs="Arial" w:eastAsia="Arial" w:hAnsi="Arial"/>
                <w:sz w:val="21"/>
                <w:szCs w:val="21"/>
                <w:color w:val="008000"/>
                <w:w w:val="84"/>
                <w:vertAlign w:val="superscript"/>
              </w:rPr>
              <w:t>(5)</w:t>
            </w:r>
          </w:p>
        </w:tc>
        <w:tc>
          <w:tcPr>
            <w:tcW w:w="26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0"/>
              </w:rPr>
              <w:t>Common</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4"/>
              </w:rPr>
              <w:t>142.6637</w:t>
            </w:r>
            <w:r>
              <w:rPr>
                <w:rFonts w:ascii="Arial" w:cs="Arial" w:eastAsia="Arial" w:hAnsi="Arial"/>
                <w:sz w:val="21"/>
                <w:szCs w:val="21"/>
                <w:color w:val="008000"/>
                <w:w w:val="84"/>
                <w:vertAlign w:val="superscript"/>
              </w:rPr>
              <w:t>(5)</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7" w:lineRule="exact"/>
              <w:rPr>
                <w:sz w:val="20"/>
                <w:szCs w:val="20"/>
                <w:color w:val="auto"/>
              </w:rPr>
            </w:pPr>
            <w:r>
              <w:rPr>
                <w:rFonts w:ascii="Arial" w:cs="Arial" w:eastAsia="Arial" w:hAnsi="Arial"/>
                <w:sz w:val="13"/>
                <w:szCs w:val="13"/>
                <w:color w:val="0000FF"/>
              </w:rPr>
              <w:t>Units</w:t>
            </w:r>
          </w:p>
        </w:tc>
        <w:tc>
          <w:tcPr>
            <w:tcW w:w="7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00" w:type="dxa"/>
            <w:vAlign w:val="bottom"/>
          </w:tcPr>
          <w:p>
            <w:pPr>
              <w:jc w:val="center"/>
              <w:spacing w:after="0" w:line="137"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jc w:val="center"/>
              <w:spacing w:after="0" w:line="137" w:lineRule="exact"/>
              <w:rPr>
                <w:sz w:val="20"/>
                <w:szCs w:val="20"/>
                <w:color w:val="auto"/>
              </w:rPr>
            </w:pPr>
            <w:r>
              <w:rPr>
                <w:rFonts w:ascii="Arial" w:cs="Arial" w:eastAsia="Arial" w:hAnsi="Arial"/>
                <w:sz w:val="13"/>
                <w:szCs w:val="13"/>
                <w:color w:val="0000FF"/>
                <w:w w:val="88"/>
              </w:rPr>
              <w:t>895.6637</w:t>
            </w:r>
          </w:p>
        </w:tc>
        <w:tc>
          <w:tcPr>
            <w:tcW w:w="720" w:type="dxa"/>
            <w:vAlign w:val="bottom"/>
          </w:tcPr>
          <w:p>
            <w:pPr>
              <w:ind w:left="320"/>
              <w:spacing w:after="0" w:line="137"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80" w:type="dxa"/>
            <w:vAlign w:val="bottom"/>
          </w:tcPr>
          <w:p>
            <w:pPr>
              <w:ind w:left="60"/>
              <w:spacing w:after="0" w:line="144" w:lineRule="exact"/>
              <w:rPr>
                <w:sz w:val="20"/>
                <w:szCs w:val="20"/>
                <w:color w:val="auto"/>
              </w:rPr>
            </w:pPr>
            <w:r>
              <w:rPr>
                <w:rFonts w:ascii="Arial" w:cs="Arial" w:eastAsia="Arial" w:hAnsi="Arial"/>
                <w:sz w:val="13"/>
                <w:szCs w:val="13"/>
                <w:color w:val="0000FF"/>
              </w:rPr>
              <w:t>(Phantom</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spacing w:after="0" w:line="128" w:lineRule="exact"/>
              <w:rPr>
                <w:sz w:val="20"/>
                <w:szCs w:val="20"/>
                <w:color w:val="auto"/>
              </w:rPr>
            </w:pPr>
            <w:r>
              <w:rPr>
                <w:rFonts w:ascii="Arial" w:cs="Arial" w:eastAsia="Arial" w:hAnsi="Arial"/>
                <w:sz w:val="13"/>
                <w:szCs w:val="13"/>
                <w:color w:val="0000FF"/>
                <w:w w:val="87"/>
              </w:rPr>
              <w:t>Shares</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201" w:lineRule="exact"/>
              <w:rPr>
                <w:sz w:val="20"/>
                <w:szCs w:val="20"/>
                <w:color w:val="auto"/>
              </w:rPr>
            </w:pPr>
            <w:r>
              <w:rPr>
                <w:rFonts w:ascii="Arial" w:cs="Arial" w:eastAsia="Arial" w:hAnsi="Arial"/>
                <w:sz w:val="12"/>
                <w:szCs w:val="12"/>
                <w:color w:val="auto"/>
                <w:w w:val="85"/>
              </w:rPr>
              <w:t>$</w:t>
            </w:r>
            <w:r>
              <w:rPr>
                <w:rFonts w:ascii="Arial" w:cs="Arial" w:eastAsia="Arial" w:hAnsi="Arial"/>
                <w:sz w:val="12"/>
                <w:szCs w:val="12"/>
                <w:color w:val="0000FF"/>
                <w:w w:val="85"/>
              </w:rPr>
              <w:t>44.69</w:t>
            </w:r>
            <w:r>
              <w:rPr>
                <w:rFonts w:ascii="Arial" w:cs="Arial" w:eastAsia="Arial" w:hAnsi="Arial"/>
                <w:sz w:val="21"/>
                <w:szCs w:val="21"/>
                <w:color w:val="008000"/>
                <w:w w:val="85"/>
                <w:vertAlign w:val="superscript"/>
              </w:rPr>
              <w:t>(1)</w:t>
            </w:r>
          </w:p>
        </w:tc>
        <w:tc>
          <w:tcPr>
            <w:tcW w:w="1080" w:type="dxa"/>
            <w:vAlign w:val="bottom"/>
          </w:tcPr>
          <w:p>
            <w:pPr>
              <w:jc w:val="center"/>
              <w:spacing w:after="0" w:line="201" w:lineRule="exact"/>
              <w:rPr>
                <w:sz w:val="20"/>
                <w:szCs w:val="20"/>
                <w:color w:val="auto"/>
              </w:rPr>
            </w:pPr>
            <w:r>
              <w:rPr>
                <w:rFonts w:ascii="Arial" w:cs="Arial" w:eastAsia="Arial" w:hAnsi="Arial"/>
                <w:sz w:val="13"/>
                <w:szCs w:val="13"/>
                <w:color w:val="0000FF"/>
                <w:w w:val="85"/>
              </w:rPr>
              <w:t>03/01/2007</w:t>
            </w:r>
            <w:r>
              <w:rPr>
                <w:rFonts w:ascii="Arial" w:cs="Arial" w:eastAsia="Arial" w:hAnsi="Arial"/>
                <w:sz w:val="21"/>
                <w:szCs w:val="21"/>
                <w:color w:val="008000"/>
                <w:w w:val="85"/>
                <w:vertAlign w:val="superscript"/>
              </w:rPr>
              <w:t>(1)</w:t>
            </w:r>
          </w:p>
        </w:tc>
        <w:tc>
          <w:tcPr>
            <w:tcW w:w="1080" w:type="dxa"/>
            <w:vAlign w:val="bottom"/>
          </w:tcPr>
          <w:p>
            <w:pPr>
              <w:spacing w:after="0"/>
              <w:rPr>
                <w:sz w:val="17"/>
                <w:szCs w:val="17"/>
                <w:color w:val="auto"/>
              </w:rPr>
            </w:pPr>
          </w:p>
        </w:tc>
        <w:tc>
          <w:tcPr>
            <w:tcW w:w="780" w:type="dxa"/>
            <w:vAlign w:val="bottom"/>
          </w:tcPr>
          <w:p>
            <w:pPr>
              <w:ind w:left="120"/>
              <w:spacing w:after="0" w:line="200"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(1)</w:t>
            </w:r>
          </w:p>
        </w:tc>
        <w:tc>
          <w:tcPr>
            <w:tcW w:w="800" w:type="dxa"/>
            <w:vAlign w:val="bottom"/>
          </w:tcPr>
          <w:p>
            <w:pPr>
              <w:jc w:val="center"/>
              <w:spacing w:after="0" w:line="201" w:lineRule="exact"/>
              <w:rPr>
                <w:sz w:val="20"/>
                <w:szCs w:val="20"/>
                <w:color w:val="auto"/>
              </w:rPr>
            </w:pPr>
            <w:r>
              <w:rPr>
                <w:rFonts w:ascii="Arial" w:cs="Arial" w:eastAsia="Arial" w:hAnsi="Arial"/>
                <w:sz w:val="13"/>
                <w:szCs w:val="13"/>
                <w:color w:val="0000FF"/>
                <w:w w:val="84"/>
              </w:rPr>
              <w:t>2,683</w:t>
            </w:r>
            <w:r>
              <w:rPr>
                <w:rFonts w:ascii="Arial" w:cs="Arial" w:eastAsia="Arial" w:hAnsi="Arial"/>
                <w:sz w:val="21"/>
                <w:szCs w:val="21"/>
                <w:color w:val="008000"/>
                <w:w w:val="84"/>
                <w:vertAlign w:val="superscript"/>
              </w:rPr>
              <w:t>(2)</w:t>
            </w:r>
          </w:p>
        </w:tc>
        <w:tc>
          <w:tcPr>
            <w:tcW w:w="26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0000FF"/>
                <w:w w:val="89"/>
              </w:rPr>
              <w:t>01/26/2008</w:t>
            </w:r>
          </w:p>
        </w:tc>
        <w:tc>
          <w:tcPr>
            <w:tcW w:w="720" w:type="dxa"/>
            <w:vAlign w:val="bottom"/>
          </w:tcPr>
          <w:p>
            <w:pPr>
              <w:jc w:val="center"/>
              <w:spacing w:after="0"/>
              <w:rPr>
                <w:sz w:val="20"/>
                <w:szCs w:val="20"/>
                <w:color w:val="auto"/>
              </w:rPr>
            </w:pPr>
            <w:r>
              <w:rPr>
                <w:rFonts w:ascii="Arial" w:cs="Arial" w:eastAsia="Arial" w:hAnsi="Arial"/>
                <w:sz w:val="13"/>
                <w:szCs w:val="13"/>
                <w:color w:val="0000FF"/>
                <w:w w:val="89"/>
              </w:rPr>
              <w:t>01/26/2017</w:t>
            </w:r>
          </w:p>
        </w:tc>
        <w:tc>
          <w:tcPr>
            <w:tcW w:w="60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880" w:type="dxa"/>
            <w:vAlign w:val="bottom"/>
          </w:tcPr>
          <w:p>
            <w:pPr>
              <w:jc w:val="center"/>
              <w:spacing w:after="0" w:line="201" w:lineRule="exact"/>
              <w:rPr>
                <w:sz w:val="20"/>
                <w:szCs w:val="20"/>
                <w:color w:val="auto"/>
              </w:rPr>
            </w:pPr>
            <w:r>
              <w:rPr>
                <w:rFonts w:ascii="Arial" w:cs="Arial" w:eastAsia="Arial" w:hAnsi="Arial"/>
                <w:sz w:val="17"/>
                <w:szCs w:val="17"/>
                <w:color w:val="0000FF"/>
                <w:w w:val="83"/>
              </w:rPr>
              <w:t>2,683</w:t>
            </w:r>
            <w:r>
              <w:rPr>
                <w:rFonts w:ascii="Arial" w:cs="Arial" w:eastAsia="Arial" w:hAnsi="Arial"/>
                <w:sz w:val="21"/>
                <w:szCs w:val="21"/>
                <w:color w:val="008000"/>
                <w:w w:val="83"/>
                <w:vertAlign w:val="superscript"/>
              </w:rPr>
              <w:t>(2)</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jc w:val="center"/>
              <w:spacing w:after="0"/>
              <w:rPr>
                <w:sz w:val="20"/>
                <w:szCs w:val="20"/>
                <w:color w:val="auto"/>
              </w:rPr>
            </w:pPr>
            <w:r>
              <w:rPr>
                <w:rFonts w:ascii="Arial" w:cs="Arial" w:eastAsia="Arial" w:hAnsi="Arial"/>
                <w:sz w:val="13"/>
                <w:szCs w:val="13"/>
                <w:color w:val="0000FF"/>
                <w:w w:val="90"/>
              </w:rPr>
              <w:t>16,683</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spacing w:after="0" w:line="91" w:lineRule="exact"/>
              <w:rPr>
                <w:sz w:val="20"/>
                <w:szCs w:val="20"/>
                <w:color w:val="auto"/>
              </w:rPr>
            </w:pPr>
            <w:r>
              <w:rPr>
                <w:rFonts w:ascii="Arial" w:cs="Arial" w:eastAsia="Arial" w:hAnsi="Arial"/>
                <w:sz w:val="10"/>
                <w:szCs w:val="10"/>
                <w:color w:val="0000FF"/>
              </w:rPr>
              <w:t>Shares</w:t>
            </w:r>
          </w:p>
        </w:tc>
        <w:tc>
          <w:tcPr>
            <w:tcW w:w="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1"/>
        <w:spacing w:after="0" w:line="232"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adjustment to previously granted stock option awards under the Issuer's equity-based compensation plans approved by the Compensation and Organization Committee on March 1, 2007 in connection with the special dividend of $8.00 per Issuer common share payable on March 5, 2007 to shareholders of record at the close of business on February 26, 2007. The exercise price of the stock options was adjusted to maintain the same ratio of exercise price to fair market value of the underlying common shares (0.25) before and after the adjustment. Fair market value was established by comparing the volume weighted average share price measured on February 21, 2007, the day before the ex-dividend date ($56.88), with that measured on February 22, 2007, the ex-dividend date ($47.82). The number of stock options subject to each award was increased as necessary to ensure the total value of the award was the same before and after the adjustment.</w:t>
      </w:r>
    </w:p>
    <w:p>
      <w:pPr>
        <w:spacing w:after="0" w:line="31"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number shown includes the number of additional stock options resulting from the adjustment to each of the previously granted stock option awards.</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security converts on a 1-for-1 basis.</w:t>
      </w:r>
    </w:p>
    <w:p>
      <w:pPr>
        <w:spacing w:after="0" w:line="42" w:lineRule="exact"/>
        <w:rPr>
          <w:rFonts w:ascii="Arial" w:cs="Arial" w:eastAsia="Arial" w:hAnsi="Arial"/>
          <w:sz w:val="13"/>
          <w:szCs w:val="13"/>
          <w:color w:val="008000"/>
        </w:rPr>
      </w:pPr>
    </w:p>
    <w:p>
      <w:pPr>
        <w:ind w:left="40" w:right="240" w:firstLine="1"/>
        <w:spacing w:after="0" w:line="300"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Reflects adjustment to outstanding director stock unit awards under the Issuer's equity-based compensation plans approved by the Compensation and Organization Committee on March 1, 2007 in connection with the special dividend of $8.00 per Issuer common share payable on March 5, 2007 to shareholders of record at the close of business on February 26, 2007. The number of director stock units was adjusted to maintain the same deferral value of the award before and after the adjustment. Deferral value was established by comparing the volume weighted average share price measured on February 21, 2007, the day before the ex-dividend date</w:t>
      </w:r>
    </w:p>
    <w:p>
      <w:pPr>
        <w:sectPr>
          <w:pgSz w:w="11900" w:h="16838" w:orient="portrait"/>
          <w:cols w:equalWidth="0" w:num="1">
            <w:col w:w="11520"/>
          </w:cols>
          <w:pgMar w:left="240" w:top="220" w:right="139" w:bottom="0" w:gutter="0" w:footer="0" w:header="0"/>
          <w:type w:val="continuous"/>
        </w:sectPr>
      </w:pPr>
    </w:p>
    <w:bookmarkStart w:id="1" w:name="page2"/>
    <w:bookmarkEnd w:id="1"/>
    <w:p>
      <w:pPr>
        <w:ind w:right="260"/>
        <w:spacing w:after="0" w:line="245" w:lineRule="auto"/>
        <w:rPr>
          <w:sz w:val="20"/>
          <w:szCs w:val="20"/>
          <w:color w:val="auto"/>
        </w:rPr>
      </w:pPr>
      <w:r>
        <w:rPr>
          <w:rFonts w:ascii="Arial" w:cs="Arial" w:eastAsia="Arial" w:hAnsi="Arial"/>
          <w:sz w:val="13"/>
          <w:szCs w:val="13"/>
          <w:color w:val="008000"/>
        </w:rPr>
        <w:t>($56.88), with that measured on February 22, 2007, the ex-dividend date ($47.82). The number of director stock units subject to each award was increased as necessary to ensure the deferral value of the award was the same before and after the adjustment.</w:t>
      </w:r>
    </w:p>
    <w:p>
      <w:pPr>
        <w:spacing w:after="0" w:line="27" w:lineRule="exact"/>
        <w:rPr>
          <w:sz w:val="20"/>
          <w:szCs w:val="20"/>
          <w:color w:val="auto"/>
        </w:rPr>
      </w:pPr>
    </w:p>
    <w:p>
      <w:pPr>
        <w:ind w:left="120" w:hanging="119"/>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shown includes the number of additional director stock units resulting from the adjustment to each of the outstanding director stock unit awards.</w:t>
      </w:r>
    </w:p>
    <w:p>
      <w:pPr>
        <w:spacing w:after="0" w:line="42" w:lineRule="exact"/>
        <w:rPr>
          <w:rFonts w:ascii="Arial" w:cs="Arial" w:eastAsia="Arial" w:hAnsi="Arial"/>
          <w:sz w:val="13"/>
          <w:szCs w:val="13"/>
          <w:color w:val="008000"/>
        </w:rPr>
      </w:pPr>
    </w:p>
    <w:p>
      <w:pPr>
        <w:ind w:firstLine="1"/>
        <w:spacing w:after="0" w:line="245"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Director Stock Units will be settled 100% in stock issued in one installment, commencing at the earlier of (a) the occurrence of a "Change in Control" of Issuer or (b) the reporting person's cessation of service on the Issuer's Board.</w:t>
      </w:r>
    </w:p>
    <w:p>
      <w:pPr>
        <w:spacing w:after="0" w:line="27" w:lineRule="exact"/>
        <w:rPr>
          <w:rFonts w:ascii="Arial" w:cs="Arial" w:eastAsia="Arial" w:hAnsi="Arial"/>
          <w:sz w:val="13"/>
          <w:szCs w:val="13"/>
          <w:color w:val="008000"/>
        </w:rPr>
      </w:pPr>
    </w:p>
    <w:p>
      <w:pPr>
        <w:ind w:right="60" w:firstLine="1"/>
        <w:spacing w:after="0" w:line="245"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Director Stock Units will be settled 100% in cash issued in one installment, commencing at the earlier of (a) the occurrence of a "Change in Control" of Issuer or (b) the reporting person's cessation of service on the Issuer's Board. Also, this security converts on a 1-for-1 basis.</w:t>
      </w:r>
    </w:p>
    <w:p>
      <w:pPr>
        <w:spacing w:after="0" w:line="32"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Kathy L. Uttley as attorney-in-</w:t>
            </w:r>
          </w:p>
        </w:tc>
        <w:tc>
          <w:tcPr>
            <w:tcW w:w="1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4"/>
              </w:rPr>
              <w:t>03/05/2007</w:t>
            </w:r>
          </w:p>
        </w:tc>
        <w:tc>
          <w:tcPr>
            <w:tcW w:w="0" w:type="dxa"/>
            <w:vAlign w:val="bottom"/>
          </w:tcPr>
          <w:p>
            <w:pPr>
              <w:spacing w:after="0"/>
              <w:rPr>
                <w:sz w:val="1"/>
                <w:szCs w:val="1"/>
                <w:color w:val="auto"/>
              </w:rPr>
            </w:pPr>
          </w:p>
        </w:tc>
      </w:tr>
      <w:tr>
        <w:trPr>
          <w:trHeight w:val="82"/>
        </w:trPr>
        <w:tc>
          <w:tcPr>
            <w:tcW w:w="218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 for Gordon F. Brunner</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960" w:firstLine="1"/>
        <w:spacing w:after="0" w:line="329"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40"/>
          </w:cols>
          <w:pgMar w:left="280" w:top="131" w:right="27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3139" w:firstLine="798"/>
        <w:spacing w:after="0" w:line="237" w:lineRule="auto"/>
        <w:rPr>
          <w:sz w:val="20"/>
          <w:szCs w:val="20"/>
          <w:color w:val="auto"/>
        </w:rPr>
      </w:pPr>
      <w:r>
        <w:rPr>
          <w:rFonts w:ascii="Courier New" w:cs="Courier New" w:eastAsia="Courier New" w:hAnsi="Courier New"/>
          <w:sz w:val="17"/>
          <w:szCs w:val="17"/>
          <w:color w:val="auto"/>
        </w:rPr>
        <w:t>Know all by these presents, that the undersigned officer and/or director of The Scotts Company (the "Company"), hereby constitutes and appoints each of David M. Aronowitz, Andrew B. Coogle and Kathy L. Uttley, signing singly, the undersigned's true and lawful attorney-in-fact to:</w:t>
      </w:r>
    </w:p>
    <w:p>
      <w:pPr>
        <w:spacing w:after="0" w:line="199" w:lineRule="exact"/>
        <w:rPr>
          <w:sz w:val="20"/>
          <w:szCs w:val="20"/>
          <w:color w:val="auto"/>
        </w:rPr>
      </w:pPr>
    </w:p>
    <w:p>
      <w:pPr>
        <w:ind w:right="2939" w:firstLine="2"/>
        <w:spacing w:after="0" w:line="237" w:lineRule="auto"/>
        <w:tabs>
          <w:tab w:leader="none" w:pos="29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02" w:lineRule="exact"/>
        <w:rPr>
          <w:rFonts w:ascii="Courier New" w:cs="Courier New" w:eastAsia="Courier New" w:hAnsi="Courier New"/>
          <w:sz w:val="17"/>
          <w:szCs w:val="17"/>
          <w:color w:val="auto"/>
        </w:rPr>
      </w:pPr>
    </w:p>
    <w:p>
      <w:pPr>
        <w:ind w:right="2939" w:firstLine="2"/>
        <w:spacing w:after="0" w:line="255" w:lineRule="auto"/>
        <w:tabs>
          <w:tab w:leader="none" w:pos="29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187" w:lineRule="exact"/>
        <w:rPr>
          <w:rFonts w:ascii="Courier New" w:cs="Courier New" w:eastAsia="Courier New" w:hAnsi="Courier New"/>
          <w:sz w:val="16"/>
          <w:szCs w:val="16"/>
          <w:color w:val="auto"/>
        </w:rPr>
      </w:pPr>
    </w:p>
    <w:p>
      <w:pPr>
        <w:ind w:right="3139" w:firstLine="2"/>
        <w:spacing w:after="0" w:line="238" w:lineRule="auto"/>
        <w:tabs>
          <w:tab w:leader="none" w:pos="29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7" w:lineRule="exact"/>
        <w:rPr>
          <w:sz w:val="20"/>
          <w:szCs w:val="20"/>
          <w:color w:val="auto"/>
        </w:rPr>
      </w:pPr>
    </w:p>
    <w:p>
      <w:pPr>
        <w:ind w:right="2939" w:firstLine="798"/>
        <w:spacing w:after="0" w:line="23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201" w:lineRule="exact"/>
        <w:rPr>
          <w:sz w:val="20"/>
          <w:szCs w:val="20"/>
          <w:color w:val="auto"/>
        </w:rPr>
      </w:pPr>
    </w:p>
    <w:p>
      <w:pPr>
        <w:ind w:right="2839" w:firstLine="798"/>
        <w:spacing w:after="0" w:line="25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w:t>
      </w:r>
    </w:p>
    <w:p>
      <w:pPr>
        <w:spacing w:after="0" w:line="1" w:lineRule="exact"/>
        <w:rPr>
          <w:sz w:val="20"/>
          <w:szCs w:val="20"/>
          <w:color w:val="auto"/>
        </w:rPr>
      </w:pPr>
    </w:p>
    <w:p>
      <w:pPr>
        <w:ind w:right="3139" w:firstLine="2"/>
        <w:spacing w:after="0" w:line="237" w:lineRule="auto"/>
        <w:tabs>
          <w:tab w:leader="none" w:pos="4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the undersigned's holdings of and transactions in securities issued by the Company, unless earlier revoked by the undersigned in a signed writing delivered to the above-named attorneys-in-fact.</w:t>
      </w:r>
    </w:p>
    <w:p>
      <w:pPr>
        <w:spacing w:after="0" w:line="198" w:lineRule="exact"/>
        <w:rPr>
          <w:sz w:val="20"/>
          <w:szCs w:val="20"/>
          <w:color w:val="auto"/>
        </w:rPr>
      </w:pPr>
    </w:p>
    <w:p>
      <w:pPr>
        <w:ind w:right="3439" w:firstLine="798"/>
        <w:spacing w:after="0" w:line="235"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28th day of July, 2003.</w:t>
      </w:r>
    </w:p>
    <w:p>
      <w:pPr>
        <w:spacing w:after="0" w:line="192"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/s/ Gordon F. Brunner</w:t>
      </w:r>
    </w:p>
    <w:p>
      <w:pPr>
        <w:ind w:left="4780"/>
        <w:spacing w:after="0"/>
        <w:rPr>
          <w:sz w:val="20"/>
          <w:szCs w:val="20"/>
          <w:color w:val="auto"/>
        </w:rPr>
      </w:pPr>
      <w:r>
        <w:rPr>
          <w:rFonts w:ascii="Courier New" w:cs="Courier New" w:eastAsia="Courier New" w:hAnsi="Courier New"/>
          <w:sz w:val="17"/>
          <w:szCs w:val="17"/>
          <w:color w:val="auto"/>
        </w:rPr>
        <w:t>Signature</w:t>
      </w:r>
    </w:p>
    <w:p>
      <w:pPr>
        <w:spacing w:after="0" w:line="190"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Gordon F. Brunner</w:t>
      </w:r>
    </w:p>
    <w:p>
      <w:pPr>
        <w:ind w:left="478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4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3188"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2019-12-23T22:37:44Z</dcterms:created>
  <dcterms:modified xsi:type="dcterms:W3CDTF">2019-12-23T22:37:44Z</dcterms:modified>
</cp:coreProperties>
</file>